
<file path=[Content_Types].xml><?xml version="1.0" encoding="utf-8"?>
<Types xmlns="http://schemas.openxmlformats.org/package/2006/content-types">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b w:val="1"/>
          <w:sz w:val="40"/>
          <w:szCs w:val="40"/>
        </w:rPr>
      </w:pPr>
      <w:r w:rsidDel="00000000" w:rsidR="00000000" w:rsidRPr="00000000">
        <w:rPr>
          <w:rtl w:val="0"/>
        </w:rPr>
      </w:r>
    </w:p>
    <w:p w:rsidR="00000000" w:rsidDel="00000000" w:rsidP="00000000" w:rsidRDefault="00000000" w:rsidRPr="00000000" w14:paraId="00000002">
      <w:pPr>
        <w:jc w:val="center"/>
        <w:rPr>
          <w:b w:val="1"/>
          <w:sz w:val="40"/>
          <w:szCs w:val="40"/>
        </w:rPr>
      </w:pPr>
      <w:r w:rsidDel="00000000" w:rsidR="00000000" w:rsidRPr="00000000">
        <w:rPr>
          <w:b w:val="1"/>
          <w:sz w:val="40"/>
          <w:szCs w:val="40"/>
          <w:rtl w:val="0"/>
        </w:rPr>
        <w:t xml:space="preserve">Programme: </w:t>
      </w:r>
      <w:r w:rsidDel="00000000" w:rsidR="00000000" w:rsidRPr="00000000">
        <w:rPr>
          <w:sz w:val="40"/>
          <w:szCs w:val="40"/>
          <w:rtl w:val="0"/>
        </w:rPr>
        <w:t xml:space="preserve">BA International Hotel Management</w:t>
      </w:r>
      <w:r w:rsidDel="00000000" w:rsidR="00000000" w:rsidRPr="00000000">
        <w:rPr>
          <w:rtl w:val="0"/>
        </w:rPr>
      </w:r>
    </w:p>
    <w:p w:rsidR="00000000" w:rsidDel="00000000" w:rsidP="00000000" w:rsidRDefault="00000000" w:rsidRPr="00000000" w14:paraId="00000003">
      <w:pPr>
        <w:jc w:val="center"/>
        <w:rPr>
          <w:b w:val="1"/>
        </w:rPr>
      </w:pPr>
      <w:r w:rsidDel="00000000" w:rsidR="00000000" w:rsidRPr="00000000">
        <w:rPr>
          <w:b w:val="1"/>
          <w:rtl w:val="0"/>
        </w:rPr>
        <w:t xml:space="preserve">Module Title:</w:t>
      </w:r>
      <w:r w:rsidDel="00000000" w:rsidR="00000000" w:rsidRPr="00000000">
        <w:rPr>
          <w:rtl w:val="0"/>
        </w:rPr>
        <w:t xml:space="preserve"> Contemporary Themes in the Hotel and Hospitality Sector</w:t>
      </w:r>
      <w:r w:rsidDel="00000000" w:rsidR="00000000" w:rsidRPr="00000000">
        <w:rPr>
          <w:rtl w:val="0"/>
        </w:rPr>
      </w:r>
    </w:p>
    <w:p w:rsidR="00000000" w:rsidDel="00000000" w:rsidP="00000000" w:rsidRDefault="00000000" w:rsidRPr="00000000" w14:paraId="00000004">
      <w:pPr>
        <w:jc w:val="center"/>
        <w:rPr/>
      </w:pPr>
      <w:r w:rsidDel="00000000" w:rsidR="00000000" w:rsidRPr="00000000">
        <w:rPr>
          <w:b w:val="1"/>
          <w:rtl w:val="0"/>
        </w:rPr>
        <w:t xml:space="preserve">Module Code:</w:t>
      </w:r>
      <w:r w:rsidDel="00000000" w:rsidR="00000000" w:rsidRPr="00000000">
        <w:rPr>
          <w:rtl w:val="0"/>
        </w:rPr>
        <w:t xml:space="preserve"> BMIH6001</w:t>
      </w:r>
    </w:p>
    <w:p w:rsidR="00000000" w:rsidDel="00000000" w:rsidP="00000000" w:rsidRDefault="00000000" w:rsidRPr="00000000" w14:paraId="00000005">
      <w:pPr>
        <w:jc w:val="center"/>
        <w:rPr>
          <w:b w:val="1"/>
          <w:sz w:val="40"/>
          <w:szCs w:val="40"/>
        </w:rPr>
      </w:pPr>
      <w:r w:rsidDel="00000000" w:rsidR="00000000" w:rsidRPr="00000000">
        <w:rPr>
          <w:b w:val="1"/>
          <w:sz w:val="40"/>
          <w:szCs w:val="40"/>
          <w:rtl w:val="0"/>
        </w:rPr>
        <w:t xml:space="preserve">The Deepening Mental Health Crisis in the Hospitality Industry</w:t>
      </w:r>
    </w:p>
    <w:p w:rsidR="00000000" w:rsidDel="00000000" w:rsidP="00000000" w:rsidRDefault="00000000" w:rsidRPr="00000000" w14:paraId="00000006">
      <w:pPr>
        <w:jc w:val="center"/>
        <w:rPr>
          <w:b w:val="1"/>
        </w:rPr>
      </w:pPr>
      <w:r w:rsidDel="00000000" w:rsidR="00000000" w:rsidRPr="00000000">
        <w:rPr>
          <w:rtl w:val="0"/>
        </w:rPr>
      </w:r>
    </w:p>
    <w:p w:rsidR="00000000" w:rsidDel="00000000" w:rsidP="00000000" w:rsidRDefault="00000000" w:rsidRPr="00000000" w14:paraId="00000007">
      <w:pPr>
        <w:jc w:val="center"/>
        <w:rPr>
          <w:sz w:val="28"/>
          <w:szCs w:val="28"/>
        </w:rPr>
      </w:pPr>
      <w:r w:rsidDel="00000000" w:rsidR="00000000" w:rsidRPr="00000000">
        <w:rPr>
          <w:b w:val="1"/>
          <w:sz w:val="28"/>
          <w:szCs w:val="28"/>
          <w:rtl w:val="0"/>
        </w:rPr>
        <w:t xml:space="preserve">Student Name: Shahjahan Ali</w:t>
      </w:r>
      <w:r w:rsidDel="00000000" w:rsidR="00000000" w:rsidRPr="00000000">
        <w:rPr>
          <w:rtl w:val="0"/>
        </w:rPr>
      </w:r>
    </w:p>
    <w:p w:rsidR="00000000" w:rsidDel="00000000" w:rsidP="00000000" w:rsidRDefault="00000000" w:rsidRPr="00000000" w14:paraId="00000008">
      <w:pPr>
        <w:jc w:val="center"/>
        <w:rPr>
          <w:b w:val="1"/>
          <w:sz w:val="28"/>
          <w:szCs w:val="28"/>
        </w:rPr>
      </w:pPr>
      <w:r w:rsidDel="00000000" w:rsidR="00000000" w:rsidRPr="00000000">
        <w:rPr>
          <w:b w:val="1"/>
          <w:sz w:val="28"/>
          <w:szCs w:val="28"/>
          <w:rtl w:val="0"/>
        </w:rPr>
        <w:t xml:space="preserve">Student ID: 2118400</w:t>
      </w:r>
    </w:p>
    <w:p w:rsidR="00000000" w:rsidDel="00000000" w:rsidP="00000000" w:rsidRDefault="00000000" w:rsidRPr="00000000" w14:paraId="00000009">
      <w:pPr>
        <w:jc w:val="center"/>
        <w:rPr>
          <w:b w:val="1"/>
          <w:sz w:val="28"/>
          <w:szCs w:val="28"/>
        </w:rPr>
      </w:pPr>
      <w:r w:rsidDel="00000000" w:rsidR="00000000" w:rsidRPr="00000000">
        <w:rPr>
          <w:b w:val="1"/>
          <w:sz w:val="28"/>
          <w:szCs w:val="28"/>
          <w:rtl w:val="0"/>
        </w:rPr>
        <w:t xml:space="preserve">Lecturer Name: Christopher Wilkin</w:t>
      </w:r>
    </w:p>
    <w:p w:rsidR="00000000" w:rsidDel="00000000" w:rsidP="00000000" w:rsidRDefault="00000000" w:rsidRPr="00000000" w14:paraId="0000000A">
      <w:pPr>
        <w:jc w:val="center"/>
        <w:rPr>
          <w:b w:val="1"/>
        </w:rPr>
      </w:pPr>
      <w:r w:rsidDel="00000000" w:rsidR="00000000" w:rsidRPr="00000000">
        <w:rPr>
          <w:rtl w:val="0"/>
        </w:rPr>
      </w:r>
    </w:p>
    <w:p w:rsidR="00000000" w:rsidDel="00000000" w:rsidP="00000000" w:rsidRDefault="00000000" w:rsidRPr="00000000" w14:paraId="0000000B">
      <w:pPr>
        <w:jc w:val="center"/>
        <w:rPr>
          <w:b w:val="1"/>
        </w:rPr>
      </w:pPr>
      <w:r w:rsidDel="00000000" w:rsidR="00000000" w:rsidRPr="00000000">
        <w:rPr>
          <w:rtl w:val="0"/>
        </w:rPr>
      </w:r>
    </w:p>
    <w:p w:rsidR="00000000" w:rsidDel="00000000" w:rsidP="00000000" w:rsidRDefault="00000000" w:rsidRPr="00000000" w14:paraId="0000000C">
      <w:pPr>
        <w:jc w:val="center"/>
        <w:rPr/>
      </w:pPr>
      <w:r w:rsidDel="00000000" w:rsidR="00000000" w:rsidRPr="00000000">
        <w:rPr>
          <w:rtl w:val="0"/>
        </w:rPr>
      </w:r>
    </w:p>
    <w:p w:rsidR="00000000" w:rsidDel="00000000" w:rsidP="00000000" w:rsidRDefault="00000000" w:rsidRPr="00000000" w14:paraId="0000000D">
      <w:pPr>
        <w:spacing w:after="280" w:lineRule="auto"/>
        <w:jc w:val="center"/>
        <w:rPr>
          <w:b w:val="1"/>
          <w:color w:val="000000"/>
          <w:sz w:val="28"/>
          <w:szCs w:val="28"/>
          <w:u w:val="single"/>
        </w:rPr>
      </w:pPr>
      <w:r w:rsidDel="00000000" w:rsidR="00000000" w:rsidRPr="00000000">
        <w:rPr>
          <w:b w:val="1"/>
          <w:color w:val="000000"/>
          <w:sz w:val="28"/>
          <w:szCs w:val="28"/>
          <w:u w:val="single"/>
          <w:rtl w:val="0"/>
        </w:rPr>
        <w:t xml:space="preserve">AI Acknowledgement</w:t>
      </w:r>
    </w:p>
    <w:p w:rsidR="00000000" w:rsidDel="00000000" w:rsidP="00000000" w:rsidRDefault="00000000" w:rsidRPr="00000000" w14:paraId="0000000E">
      <w:pPr>
        <w:rPr>
          <w:b w:val="1"/>
          <w:color w:val="000000"/>
          <w:sz w:val="28"/>
          <w:szCs w:val="28"/>
        </w:rPr>
      </w:pPr>
      <w:r w:rsidDel="00000000" w:rsidR="00000000" w:rsidRPr="00000000">
        <w:rPr>
          <w:b w:val="1"/>
          <w:color w:val="000000"/>
          <w:sz w:val="28"/>
          <w:szCs w:val="28"/>
          <w:rtl w:val="0"/>
        </w:rPr>
        <w:t xml:space="preserve">I confirm that I have not used any AI tools in the research and creation of this assignment. I confirm that I have not presented any AI-generated materials as my own work. I confirm I have copies of my drafts, notes, and other resources I used, which I may be asked to provide in evidence.</w:t>
      </w:r>
    </w:p>
    <w:p w:rsidR="00000000" w:rsidDel="00000000" w:rsidP="00000000" w:rsidRDefault="00000000" w:rsidRPr="00000000" w14:paraId="0000000F">
      <w:pPr>
        <w:spacing w:after="160" w:line="259" w:lineRule="auto"/>
        <w:jc w:val="left"/>
        <w:rPr>
          <w:b w:val="1"/>
        </w:rPr>
      </w:pPr>
      <w:r w:rsidDel="00000000" w:rsidR="00000000" w:rsidRPr="00000000">
        <w:rPr>
          <w:rtl w:val="0"/>
        </w:rPr>
      </w:r>
    </w:p>
    <w:p w:rsidR="00000000" w:rsidDel="00000000" w:rsidP="00000000" w:rsidRDefault="00000000" w:rsidRPr="00000000" w14:paraId="00000010">
      <w:pPr>
        <w:spacing w:after="160" w:line="259" w:lineRule="auto"/>
        <w:jc w:val="left"/>
        <w:rPr>
          <w:b w:val="1"/>
        </w:rPr>
      </w:pPr>
      <w:r w:rsidDel="00000000" w:rsidR="00000000" w:rsidRPr="00000000">
        <w:rPr>
          <w:rtl w:val="0"/>
        </w:rPr>
      </w:r>
    </w:p>
    <w:p w:rsidR="00000000" w:rsidDel="00000000" w:rsidP="00000000" w:rsidRDefault="00000000" w:rsidRPr="00000000" w14:paraId="00000011">
      <w:pPr>
        <w:spacing w:after="160" w:line="259" w:lineRule="auto"/>
        <w:jc w:val="left"/>
        <w:rPr>
          <w:b w:val="1"/>
        </w:rPr>
      </w:pPr>
      <w:r w:rsidDel="00000000" w:rsidR="00000000" w:rsidRPr="00000000">
        <w:rPr>
          <w:rtl w:val="0"/>
        </w:rPr>
      </w:r>
    </w:p>
    <w:p w:rsidR="00000000" w:rsidDel="00000000" w:rsidP="00000000" w:rsidRDefault="00000000" w:rsidRPr="00000000" w14:paraId="00000012">
      <w:pPr>
        <w:spacing w:after="160" w:line="259" w:lineRule="auto"/>
        <w:jc w:val="left"/>
        <w:rPr>
          <w:b w:val="1"/>
        </w:rPr>
      </w:pPr>
      <w:r w:rsidDel="00000000" w:rsidR="00000000" w:rsidRPr="00000000">
        <w:rPr>
          <w:rtl w:val="0"/>
        </w:rPr>
      </w:r>
    </w:p>
    <w:p w:rsidR="00000000" w:rsidDel="00000000" w:rsidP="00000000" w:rsidRDefault="00000000" w:rsidRPr="00000000" w14:paraId="00000013">
      <w:pPr>
        <w:spacing w:after="160" w:line="259" w:lineRule="auto"/>
        <w:jc w:val="left"/>
        <w:rPr>
          <w:b w:val="1"/>
        </w:rPr>
      </w:pPr>
      <w:r w:rsidDel="00000000" w:rsidR="00000000" w:rsidRPr="00000000">
        <w:rPr>
          <w:rtl w:val="0"/>
        </w:rPr>
      </w:r>
    </w:p>
    <w:p w:rsidR="00000000" w:rsidDel="00000000" w:rsidP="00000000" w:rsidRDefault="00000000" w:rsidRPr="00000000" w14:paraId="00000014">
      <w:pPr>
        <w:spacing w:after="160" w:line="259" w:lineRule="auto"/>
        <w:jc w:val="left"/>
        <w:rPr>
          <w:b w:val="1"/>
        </w:rPr>
      </w:pPr>
      <w:r w:rsidDel="00000000" w:rsidR="00000000" w:rsidRPr="00000000">
        <w:rPr>
          <w:rtl w:val="0"/>
        </w:rPr>
      </w:r>
    </w:p>
    <w:p w:rsidR="00000000" w:rsidDel="00000000" w:rsidP="00000000" w:rsidRDefault="00000000" w:rsidRPr="00000000" w14:paraId="00000015">
      <w:pPr>
        <w:spacing w:after="160" w:line="259" w:lineRule="auto"/>
        <w:jc w:val="left"/>
        <w:rPr>
          <w:b w:val="1"/>
        </w:rPr>
      </w:pPr>
      <w:r w:rsidDel="00000000" w:rsidR="00000000" w:rsidRPr="00000000">
        <w:rPr>
          <w:rtl w:val="0"/>
        </w:rPr>
      </w:r>
    </w:p>
    <w:p w:rsidR="00000000" w:rsidDel="00000000" w:rsidP="00000000" w:rsidRDefault="00000000" w:rsidRPr="00000000" w14:paraId="00000016">
      <w:pPr>
        <w:jc w:val="center"/>
        <w:rPr>
          <w:b w:val="1"/>
          <w:sz w:val="28"/>
          <w:szCs w:val="28"/>
        </w:rPr>
      </w:pPr>
      <w:r w:rsidDel="00000000" w:rsidR="00000000" w:rsidRPr="00000000">
        <w:rPr>
          <w:b w:val="1"/>
          <w:sz w:val="28"/>
          <w:szCs w:val="28"/>
          <w:rtl w:val="0"/>
        </w:rPr>
        <w:t xml:space="preserve">Abstract</w:t>
      </w:r>
    </w:p>
    <w:p w:rsidR="00000000" w:rsidDel="00000000" w:rsidP="00000000" w:rsidRDefault="00000000" w:rsidRPr="00000000" w14:paraId="00000017">
      <w:pPr>
        <w:rPr/>
      </w:pPr>
      <w:r w:rsidDel="00000000" w:rsidR="00000000" w:rsidRPr="00000000">
        <w:rPr>
          <w:rtl w:val="0"/>
        </w:rPr>
        <w:t xml:space="preserve">Sustainability issues such as mental health and well-being have become crucial in the hotel and hospitality sector. The stress, burnout and turnover has been a result of the challenging nature of the industry which involves long working hours, emotional labour, and job insecurity. This report examines the escalating mental health crisis within the hospitality industry and will be based on theoretical perspectives like Job Demand Control (JDC) Model, as well as the Emotional Labour Theory. It provides how organisational culture, policy reforms and leadership practices can be used to reduce the crisis using a secondary qualitative research approach aided by PESTEL and thematic analysis. Resilience-building, leadership training, and the introduction of mental health into corporate sustainability strategies are the areas of recommendations.</w:t>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t xml:space="preserve"> </w:t>
      </w:r>
    </w:p>
    <w:p w:rsidR="00000000" w:rsidDel="00000000" w:rsidP="00000000" w:rsidRDefault="00000000" w:rsidRPr="00000000" w14:paraId="0000001A">
      <w:pPr>
        <w:rPr/>
      </w:pPr>
      <w:r w:rsidDel="00000000" w:rsidR="00000000" w:rsidRPr="00000000">
        <w:rPr>
          <w:rtl w:val="0"/>
        </w:rPr>
        <w:t xml:space="preserve"> </w:t>
      </w:r>
    </w:p>
    <w:p w:rsidR="00000000" w:rsidDel="00000000" w:rsidP="00000000" w:rsidRDefault="00000000" w:rsidRPr="00000000" w14:paraId="0000001B">
      <w:pPr>
        <w:spacing w:after="160"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1C">
      <w:pPr>
        <w:pStyle w:val="Heading1"/>
        <w:rPr>
          <w:b w:val="1"/>
          <w:color w:val="000000"/>
        </w:rPr>
      </w:pPr>
      <w:bookmarkStart w:colFirst="0" w:colLast="0" w:name="_heading=h.qpz1qcqvw49v" w:id="0"/>
      <w:bookmarkEnd w:id="0"/>
      <w:r w:rsidDel="00000000" w:rsidR="00000000" w:rsidRPr="00000000">
        <w:rPr>
          <w:b w:val="1"/>
          <w:color w:val="000000"/>
          <w:rtl w:val="0"/>
        </w:rPr>
        <w:t xml:space="preserve">Introduction </w:t>
      </w:r>
    </w:p>
    <w:p w:rsidR="00000000" w:rsidDel="00000000" w:rsidP="00000000" w:rsidRDefault="00000000" w:rsidRPr="00000000" w14:paraId="0000001D">
      <w:pPr>
        <w:rPr/>
      </w:pPr>
      <w:r w:rsidDel="00000000" w:rsidR="00000000" w:rsidRPr="00000000">
        <w:rPr>
          <w:rtl w:val="0"/>
        </w:rPr>
        <w:t xml:space="preserve">Mental health has become a crucial sustainability issue in the entire hospitality industry of the world. It directly affects employee welfare, quality of service delivery, and profitability of organisations (Martínez, 2024). The industry is service sector and labour-intensive, where employees have to cope with a long period of interpersonal interaction, trying to handle customer expectations while under the pressure (Ford and Sturman, 2020). Hotel employees, chefs, frontline hospitality workers are exposed to the regularity of long working hours, emotional fatigue, and job insecurity, and all these factors increase stress and burnout risks (Batabyal and Das, 2019). Although these problems are widespread, mental health is still not well taken care of because of stigma and fear of being penalised by a professional (Costa and Costa, 2022).</w:t>
      </w:r>
    </w:p>
    <w:p w:rsidR="00000000" w:rsidDel="00000000" w:rsidP="00000000" w:rsidRDefault="00000000" w:rsidRPr="00000000" w14:paraId="0000001E">
      <w:pPr>
        <w:rPr/>
      </w:pPr>
      <w:r w:rsidDel="00000000" w:rsidR="00000000" w:rsidRPr="00000000">
        <w:rPr>
          <w:rtl w:val="0"/>
        </w:rPr>
        <w:t xml:space="preserve">The COVID-19 also revealed how vulnerable the mental support of the hospitality. It describes the situation, when people lost their jobs, their financial stability was in question, and their workloads were growing, which caused emotional burnout (Sharma, Singh and Tyagi, 2024). The resultant labour gaps have increased the level of stress among the sector and most employees complain of anxiety and disengagement. The issue of this crisis has ceased to be a personal or ethical decision but a business issue of long term resilience and sustainability. This report critically discusses the mental health crisis in the hospitality through both current literature and theoretical frameworks and practical cases with the aim of making strategic suggestions on how to enhance the psychological well-being in the industry.</w:t>
      </w:r>
    </w:p>
    <w:p w:rsidR="00000000" w:rsidDel="00000000" w:rsidP="00000000" w:rsidRDefault="00000000" w:rsidRPr="00000000" w14:paraId="0000001F">
      <w:pPr>
        <w:spacing w:after="160" w:line="259" w:lineRule="auto"/>
        <w:jc w:val="left"/>
        <w:rPr>
          <w:b w:val="1"/>
        </w:rPr>
      </w:pPr>
      <w:r w:rsidDel="00000000" w:rsidR="00000000" w:rsidRPr="00000000">
        <w:br w:type="page"/>
      </w:r>
      <w:r w:rsidDel="00000000" w:rsidR="00000000" w:rsidRPr="00000000">
        <w:rPr>
          <w:rtl w:val="0"/>
        </w:rPr>
      </w:r>
    </w:p>
    <w:p w:rsidR="00000000" w:rsidDel="00000000" w:rsidP="00000000" w:rsidRDefault="00000000" w:rsidRPr="00000000" w14:paraId="00000020">
      <w:pPr>
        <w:pStyle w:val="Heading1"/>
        <w:rPr>
          <w:b w:val="1"/>
          <w:color w:val="000000"/>
        </w:rPr>
      </w:pPr>
      <w:bookmarkStart w:colFirst="0" w:colLast="0" w:name="_heading=h.2ox0zftp89sa" w:id="1"/>
      <w:bookmarkEnd w:id="1"/>
      <w:r w:rsidDel="00000000" w:rsidR="00000000" w:rsidRPr="00000000">
        <w:rPr>
          <w:b w:val="1"/>
          <w:color w:val="000000"/>
          <w:rtl w:val="0"/>
        </w:rPr>
        <w:t xml:space="preserve">Literature Review </w:t>
      </w:r>
    </w:p>
    <w:p w:rsidR="00000000" w:rsidDel="00000000" w:rsidP="00000000" w:rsidRDefault="00000000" w:rsidRPr="00000000" w14:paraId="00000021">
      <w:pPr>
        <w:rPr/>
      </w:pPr>
      <w:r w:rsidDel="00000000" w:rsidR="00000000" w:rsidRPr="00000000">
        <w:rPr>
          <w:rtl w:val="0"/>
        </w:rPr>
        <w:t xml:space="preserve">Scholarly interest in the field of hospitality industry has been increasing in reference to occupational stress and emotional health. The work environment is characterized by high-level job demands, unpredictable schedules, and a need to have a continuous customer service, which leads to a high-pressure work environment that promotes chronic stress (Cooper and Hall, 2019). This is the Job Demand Control (JDC) Model that was created by Karasek, which provides that stress appears in a situation where the employees are required to do many things yet they have little control over their work (Tribe, 2009). In hospitality, staff do not have much control over workloads or customer contacts, which worsens a sense of powerlessness and burnout (Ford and Sturman, 2020).</w:t>
      </w:r>
    </w:p>
    <w:p w:rsidR="00000000" w:rsidDel="00000000" w:rsidP="00000000" w:rsidRDefault="00000000" w:rsidRPr="00000000" w14:paraId="00000022">
      <w:pPr>
        <w:rPr/>
      </w:pPr>
      <w:r w:rsidDel="00000000" w:rsidR="00000000" w:rsidRPr="00000000">
        <w:rPr>
          <w:rtl w:val="0"/>
        </w:rPr>
        <w:t xml:space="preserve">Likewise, theories such as Emotional Labour Theory (Hochschild, 1983, cited in Costa and Costa, 2022) help highlight the mental cost of the emotional control required to adjust to the rules of organisational display. Frontline employees have to be polite, warm, and empathetic in spite of personal distress. There is the emotional exhaustion, depersonalisation, and diminished job satisfaction because of prolonged emotional regulation without the opportunity to take a break (Batabyal and Das, 2019). Emotional labour therefore is a key factor in the hospitality mental health crisis. It has interrelated emotional regulation requirements towards turnover and absenteeism (Hori and Chao, 2022).</w:t>
      </w:r>
    </w:p>
    <w:p w:rsidR="00000000" w:rsidDel="00000000" w:rsidP="00000000" w:rsidRDefault="00000000" w:rsidRPr="00000000" w14:paraId="00000023">
      <w:pPr>
        <w:rPr/>
      </w:pPr>
      <w:r w:rsidDel="00000000" w:rsidR="00000000" w:rsidRPr="00000000">
        <w:rPr>
          <w:rtl w:val="0"/>
        </w:rPr>
        <w:t xml:space="preserve">Moreover, the literature also singles out structural and cultural factors that worsen the state of mental distress. According to Ivanov and Webster (2019), it is possible that in the future, automation and service robotics can help lessen emotional strain due to a transfer of routine tasks. Nonetheless, these technological interventions are not able to substitute the human empathy that is core to the hospitality services. As Costa and Costa (2022) stress, the sustainability of competitiveness is based on the balance between innovation and the welfare of the employees. It needs a comprehensive approach that would incorporate psychological well-being into corporate sustainability models.</w:t>
      </w:r>
    </w:p>
    <w:p w:rsidR="00000000" w:rsidDel="00000000" w:rsidP="00000000" w:rsidRDefault="00000000" w:rsidRPr="00000000" w14:paraId="00000024">
      <w:pPr>
        <w:rPr/>
      </w:pPr>
      <w:r w:rsidDel="00000000" w:rsidR="00000000" w:rsidRPr="00000000">
        <w:rPr>
          <w:rtl w:val="0"/>
        </w:rPr>
        <w:t xml:space="preserve">New research points to post-pandemic changes in workplace dynamics. According to Sharma, Singh and Tyagi (2024), COVID-19 has broken the stability of employees, which resulted in a high level of burnout and job insecurity, especially in small and mid-sized hotel operations. These struggles unveil the broad gap in mental health care, particularly in low-wage jobs where the benefits and counselling services are scarce. In the same vein, Dawson, Lemelin and Stewart (2012) state that the organisational resilience in tourism and hospitality depends on the adaptive leadership that would be able to address the psychosocial needs of employees in times of crises. </w:t>
      </w:r>
    </w:p>
    <w:p w:rsidR="00000000" w:rsidDel="00000000" w:rsidP="00000000" w:rsidRDefault="00000000" w:rsidRPr="00000000" w14:paraId="00000025">
      <w:pPr>
        <w:rPr/>
      </w:pPr>
      <w:r w:rsidDel="00000000" w:rsidR="00000000" w:rsidRPr="00000000">
        <w:rPr>
          <w:rtl w:val="0"/>
        </w:rPr>
        <w:t xml:space="preserve">Mitigating mental health risks depends on the leadership commitment and the organisational culture (Wu et al., 2021). The example of an employee-focused corporate strategy to improve the well-being of employees by means of mindfulness and training programs as well as resilience seminars could be Marriott International (TakeCare) initiative and Hilton program (Hilton, 2022 ; Marriott International, 2016). Nonetheless, according to Clegg, Skyttermoen and Vaagaasar (2021), the success of such programs relies on the need to incorporate mental health goals into larger project management and performance models instead of considering them as secondary HR programs. </w:t>
      </w:r>
    </w:p>
    <w:p w:rsidR="00000000" w:rsidDel="00000000" w:rsidP="00000000" w:rsidRDefault="00000000" w:rsidRPr="00000000" w14:paraId="00000026">
      <w:pPr>
        <w:rPr/>
      </w:pPr>
      <w:r w:rsidDel="00000000" w:rsidR="00000000" w:rsidRPr="00000000">
        <w:rPr>
          <w:rtl w:val="0"/>
        </w:rPr>
        <w:t xml:space="preserve">In spite of these positive trends, there is still stigma about it. Batabyal and Das (2019) unveil that most employees tend to understand help-seeking as a sign of weakness and fear of judgement or a halt in their career progress. Brotherton (2015) corroborates this by mentioning that hierarchies and gender relations at the workplace in hospitality may result in discouragement of mental health disclosure, especially in male staff members and temporary workers. This also implies that the culture should be changed to achieve psychological safety, which is a theme in modern leadership and sustainability literature (Cooper and Hall, 2019).</w:t>
      </w:r>
    </w:p>
    <w:p w:rsidR="00000000" w:rsidDel="00000000" w:rsidP="00000000" w:rsidRDefault="00000000" w:rsidRPr="00000000" w14:paraId="00000027">
      <w:pPr>
        <w:rPr/>
      </w:pPr>
      <w:r w:rsidDel="00000000" w:rsidR="00000000" w:rsidRPr="00000000">
        <w:rPr>
          <w:rtl w:val="0"/>
        </w:rPr>
        <w:t xml:space="preserve">As the scholarly findings show, these are the most efficient education-based methods, which focus on the leadership and supportive policy frameworks. The concept of strengthening mental health training as a part of sustainability policies, as put forward by Costa and Costa (2022), aligns with the corporate social responsibility (CSR) agenda that is part of well-being. Meanwhile, Santos and Silva (2019) concentrate on the role of digital communication strategies in improving mental health literacy and anonymous counselling that can improve the actions of younger employees.</w:t>
      </w:r>
    </w:p>
    <w:p w:rsidR="00000000" w:rsidDel="00000000" w:rsidP="00000000" w:rsidRDefault="00000000" w:rsidRPr="00000000" w14:paraId="00000028">
      <w:pPr>
        <w:rPr/>
      </w:pPr>
      <w:r w:rsidDel="00000000" w:rsidR="00000000" w:rsidRPr="00000000">
        <w:rPr>
          <w:rtl w:val="0"/>
        </w:rPr>
        <w:t xml:space="preserve">Overall, it has been demonstrated in the literature that the mental health crisis of the hospitality industry is a systemic problem, which is precipitated by the structural pressure, emotional labour, and organisational culture. In order to address it, a multi-level intervention must be implemented that presupposes the enforcement of policies, leadership education, and the implementation of the technology-based well-being programs to ensure that employee wellness will become an indivisible component of the sustainable hospitality activities.</w:t>
      </w:r>
    </w:p>
    <w:p w:rsidR="00000000" w:rsidDel="00000000" w:rsidP="00000000" w:rsidRDefault="00000000" w:rsidRPr="00000000" w14:paraId="00000029">
      <w:pPr>
        <w:spacing w:after="160" w:line="259" w:lineRule="auto"/>
        <w:jc w:val="left"/>
        <w:rPr>
          <w:b w:val="1"/>
        </w:rPr>
      </w:pPr>
      <w:r w:rsidDel="00000000" w:rsidR="00000000" w:rsidRPr="00000000">
        <w:br w:type="page"/>
      </w:r>
      <w:r w:rsidDel="00000000" w:rsidR="00000000" w:rsidRPr="00000000">
        <w:rPr>
          <w:rtl w:val="0"/>
        </w:rPr>
      </w:r>
    </w:p>
    <w:p w:rsidR="00000000" w:rsidDel="00000000" w:rsidP="00000000" w:rsidRDefault="00000000" w:rsidRPr="00000000" w14:paraId="0000002A">
      <w:pPr>
        <w:pStyle w:val="Heading1"/>
        <w:rPr>
          <w:b w:val="1"/>
          <w:color w:val="000000"/>
        </w:rPr>
      </w:pPr>
      <w:bookmarkStart w:colFirst="0" w:colLast="0" w:name="_heading=h.b03v7c9i44fj" w:id="2"/>
      <w:bookmarkEnd w:id="2"/>
      <w:r w:rsidDel="00000000" w:rsidR="00000000" w:rsidRPr="00000000">
        <w:rPr>
          <w:b w:val="1"/>
          <w:color w:val="000000"/>
          <w:rtl w:val="0"/>
        </w:rPr>
        <w:t xml:space="preserve">Method</w:t>
      </w:r>
    </w:p>
    <w:p w:rsidR="00000000" w:rsidDel="00000000" w:rsidP="00000000" w:rsidRDefault="00000000" w:rsidRPr="00000000" w14:paraId="0000002B">
      <w:pPr>
        <w:rPr>
          <w:b w:val="1"/>
        </w:rPr>
      </w:pPr>
      <w:r w:rsidDel="00000000" w:rsidR="00000000" w:rsidRPr="00000000">
        <w:rPr>
          <w:b w:val="1"/>
          <w:rtl w:val="0"/>
        </w:rPr>
        <w:t xml:space="preserve">Research Approach</w:t>
      </w:r>
    </w:p>
    <w:p w:rsidR="00000000" w:rsidDel="00000000" w:rsidP="00000000" w:rsidRDefault="00000000" w:rsidRPr="00000000" w14:paraId="0000002C">
      <w:pPr>
        <w:rPr/>
      </w:pPr>
      <w:r w:rsidDel="00000000" w:rsidR="00000000" w:rsidRPr="00000000">
        <w:rPr>
          <w:rtl w:val="0"/>
        </w:rPr>
        <w:t xml:space="preserve">The proposed research is a secondary qualitative study aimed at determining the mental health issues of the hospitality industry (Cheong </w:t>
      </w:r>
      <w:r w:rsidDel="00000000" w:rsidR="00000000" w:rsidRPr="00000000">
        <w:rPr>
          <w:i w:val="1"/>
          <w:rtl w:val="0"/>
        </w:rPr>
        <w:t xml:space="preserve">et al</w:t>
      </w:r>
      <w:r w:rsidDel="00000000" w:rsidR="00000000" w:rsidRPr="00000000">
        <w:rPr>
          <w:rtl w:val="0"/>
        </w:rPr>
        <w:t xml:space="preserve">., 2023). The approach is based on the analysis and synthesis of the available academic materials, industry research reports, and case studies instead of primary data gathering. A qualitative research would be especially appropriate regarding this issue since it will enable a thorough comprehension of the intricate psychological, cultural and organisational issues that impact employee well-being (Long-Sutehall, Sque and Addington-Hall, 2010). The literature review helps the study to capture various views of the role of structural job demands, emotional labour and workplace culture in contributing to mental health outcomes in hospitality.</w:t>
      </w:r>
    </w:p>
    <w:p w:rsidR="00000000" w:rsidDel="00000000" w:rsidP="00000000" w:rsidRDefault="00000000" w:rsidRPr="00000000" w14:paraId="0000002D">
      <w:pPr>
        <w:rPr>
          <w:b w:val="1"/>
        </w:rPr>
      </w:pPr>
      <w:r w:rsidDel="00000000" w:rsidR="00000000" w:rsidRPr="00000000">
        <w:rPr>
          <w:b w:val="1"/>
          <w:rtl w:val="0"/>
        </w:rPr>
        <w:t xml:space="preserve">Data Sources</w:t>
      </w:r>
    </w:p>
    <w:p w:rsidR="00000000" w:rsidDel="00000000" w:rsidP="00000000" w:rsidRDefault="00000000" w:rsidRPr="00000000" w14:paraId="0000002E">
      <w:pPr>
        <w:rPr/>
      </w:pPr>
      <w:r w:rsidDel="00000000" w:rsidR="00000000" w:rsidRPr="00000000">
        <w:rPr>
          <w:rtl w:val="0"/>
        </w:rPr>
        <w:t xml:space="preserve">Research papers in credible academic journals such as Tourism Management, Annals of Tourism research, and International Journal of hospitality management were used to gather the data. Further sources were based on the necessary readings in the modules and major theoretical sources like Ford and Sturman (2020), Batabyal and Das (2019), and Costa and Costa (2022). These sources play a solid theoretical and empirical base, discussing such crucial topics as stress management, emotional regulation, leadership behaviour, and sustainability integration. Industry reports and organisational case studies e.g. Hilton, Marriott, and Accor were also checked in order to demonstrate the practical interventions and their results.</w:t>
      </w:r>
    </w:p>
    <w:p w:rsidR="00000000" w:rsidDel="00000000" w:rsidP="00000000" w:rsidRDefault="00000000" w:rsidRPr="00000000" w14:paraId="0000002F">
      <w:pPr>
        <w:rPr>
          <w:b w:val="1"/>
        </w:rPr>
      </w:pPr>
      <w:r w:rsidDel="00000000" w:rsidR="00000000" w:rsidRPr="00000000">
        <w:rPr>
          <w:b w:val="1"/>
          <w:rtl w:val="0"/>
        </w:rPr>
        <w:t xml:space="preserve">Analytical Frameworks</w:t>
      </w:r>
    </w:p>
    <w:p w:rsidR="00000000" w:rsidDel="00000000" w:rsidP="00000000" w:rsidRDefault="00000000" w:rsidRPr="00000000" w14:paraId="00000030">
      <w:pPr>
        <w:rPr/>
      </w:pPr>
      <w:r w:rsidDel="00000000" w:rsidR="00000000" w:rsidRPr="00000000">
        <w:rPr>
          <w:rtl w:val="0"/>
        </w:rPr>
        <w:t xml:space="preserve">The two key analytical paradigms used in the study include PESTEL analysis and thematic analysis.</w:t>
      </w:r>
    </w:p>
    <w:p w:rsidR="00000000" w:rsidDel="00000000" w:rsidP="00000000" w:rsidRDefault="00000000" w:rsidRPr="00000000" w14:paraId="0000003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PESTEL Framework: This is a framework that organizes the analysis of the external forces, i.e., Political, Economic, Social, Technological, Environmental, and Legal (Washington State University, 2025). They influence the mental health context in the hospitality industry. It assists in determining the impact of macro-environmental factors, including the labour codes, digitalisation, and sustainability policies, on the well-being of employees.</w:t>
      </w:r>
    </w:p>
    <w:p w:rsidR="00000000" w:rsidDel="00000000" w:rsidP="00000000" w:rsidRDefault="00000000" w:rsidRPr="00000000" w14:paraId="0000003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Thematic Analysis: This technique is applied to determine, classify, and describe the common themes in the literature obtained (Naeem et al., 2023). Some of the themes are organisational culture, emotional labour, leadership and policy integration. Such an analytical process aids an implicit comprehension of the challenges and best practices, which will provide information on the interaction of these themes in various contexts.</w:t>
      </w:r>
    </w:p>
    <w:p w:rsidR="00000000" w:rsidDel="00000000" w:rsidP="00000000" w:rsidRDefault="00000000" w:rsidRPr="00000000" w14:paraId="00000033">
      <w:pPr>
        <w:rPr>
          <w:b w:val="1"/>
        </w:rPr>
      </w:pPr>
      <w:r w:rsidDel="00000000" w:rsidR="00000000" w:rsidRPr="00000000">
        <w:rPr>
          <w:b w:val="1"/>
          <w:rtl w:val="0"/>
        </w:rPr>
        <w:t xml:space="preserve">Validity and Limitations</w:t>
      </w:r>
    </w:p>
    <w:p w:rsidR="00000000" w:rsidDel="00000000" w:rsidP="00000000" w:rsidRDefault="00000000" w:rsidRPr="00000000" w14:paraId="00000034">
      <w:pPr>
        <w:rPr/>
      </w:pPr>
      <w:r w:rsidDel="00000000" w:rsidR="00000000" w:rsidRPr="00000000">
        <w:rPr>
          <w:rtl w:val="0"/>
        </w:rPr>
        <w:t xml:space="preserve">In order to achieve validity, the study uses triangulation to cross-check the results of the study with various sources; academic, industry, and theoretical (Akutey and Tiimub, 2021). This enhances the credibility of inferences and minimizes the probability of bias presented by single source analysis. The research is consistent with the real-world research principles proposed by Robson (2016) and assures academic rigour and a corresponding relevance to the context. Nevertheless, as a weakness, the lack of fieldwork is a constraint to collecting personal employee views. Nevertheless, the methodology offers an academically-based explanation of the contemporary tendencies and interventions, which can be useful in combating the mental health crisis that is getting increasingly severe in the hospitality industry. </w:t>
      </w:r>
      <w:r w:rsidDel="00000000" w:rsidR="00000000" w:rsidRPr="00000000">
        <w:br w:type="page"/>
      </w: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pStyle w:val="Heading1"/>
        <w:rPr>
          <w:b w:val="1"/>
          <w:color w:val="000000"/>
        </w:rPr>
      </w:pPr>
      <w:bookmarkStart w:colFirst="0" w:colLast="0" w:name="_heading=h.iwgikkbp0fwz" w:id="3"/>
      <w:bookmarkEnd w:id="3"/>
      <w:r w:rsidDel="00000000" w:rsidR="00000000" w:rsidRPr="00000000">
        <w:rPr>
          <w:b w:val="1"/>
          <w:color w:val="000000"/>
          <w:rtl w:val="0"/>
        </w:rPr>
        <w:t xml:space="preserve">Theme Impact Analysis</w:t>
      </w:r>
    </w:p>
    <w:tbl>
      <w:tblPr>
        <w:tblStyle w:val="Table1"/>
        <w:tblW w:w="9349.999999999998" w:type="dxa"/>
        <w:jc w:val="left"/>
        <w:tblBorders>
          <w:top w:color="bfbfbf" w:space="0" w:sz="4" w:val="single"/>
          <w:left w:color="bfbfbf" w:space="0" w:sz="4" w:val="single"/>
          <w:bottom w:color="bfbfbf" w:space="0" w:sz="4" w:val="single"/>
          <w:right w:color="bfbfbf" w:space="0" w:sz="4" w:val="single"/>
          <w:insideH w:color="bfbfbf" w:space="0" w:sz="4" w:val="single"/>
          <w:insideV w:color="bfbfbf" w:space="0" w:sz="4" w:val="single"/>
        </w:tblBorders>
        <w:tblLayout w:type="fixed"/>
        <w:tblLook w:val="04A0"/>
      </w:tblPr>
      <w:tblGrid>
        <w:gridCol w:w="1943"/>
        <w:gridCol w:w="1741"/>
        <w:gridCol w:w="2140"/>
        <w:gridCol w:w="1882"/>
        <w:gridCol w:w="1644"/>
        <w:tblGridChange w:id="0">
          <w:tblGrid>
            <w:gridCol w:w="1943"/>
            <w:gridCol w:w="1741"/>
            <w:gridCol w:w="2140"/>
            <w:gridCol w:w="1882"/>
            <w:gridCol w:w="1644"/>
          </w:tblGrid>
        </w:tblGridChange>
      </w:tblGrid>
      <w:tr>
        <w:trPr>
          <w:cantSplit w:val="0"/>
          <w:tblHeader w:val="0"/>
        </w:trPr>
        <w:tc>
          <w:tcPr/>
          <w:p w:rsidR="00000000" w:rsidDel="00000000" w:rsidP="00000000" w:rsidRDefault="00000000" w:rsidRPr="00000000" w14:paraId="00000037">
            <w:pPr>
              <w:rPr/>
            </w:pPr>
            <w:r w:rsidDel="00000000" w:rsidR="00000000" w:rsidRPr="00000000">
              <w:rPr>
                <w:rtl w:val="0"/>
              </w:rPr>
              <w:t xml:space="preserve">Theme</w:t>
            </w:r>
          </w:p>
        </w:tc>
        <w:tc>
          <w:tcPr/>
          <w:p w:rsidR="00000000" w:rsidDel="00000000" w:rsidP="00000000" w:rsidRDefault="00000000" w:rsidRPr="00000000" w14:paraId="00000038">
            <w:pPr>
              <w:rPr/>
            </w:pPr>
            <w:r w:rsidDel="00000000" w:rsidR="00000000" w:rsidRPr="00000000">
              <w:rPr>
                <w:rtl w:val="0"/>
              </w:rPr>
              <w:t xml:space="preserve">Key Focus</w:t>
            </w:r>
          </w:p>
        </w:tc>
        <w:tc>
          <w:tcPr/>
          <w:p w:rsidR="00000000" w:rsidDel="00000000" w:rsidP="00000000" w:rsidRDefault="00000000" w:rsidRPr="00000000" w14:paraId="00000039">
            <w:pPr>
              <w:rPr/>
            </w:pPr>
            <w:r w:rsidDel="00000000" w:rsidR="00000000" w:rsidRPr="00000000">
              <w:rPr>
                <w:rtl w:val="0"/>
              </w:rPr>
              <w:t xml:space="preserve">Impact on Hospitality Industry</w:t>
            </w:r>
          </w:p>
        </w:tc>
        <w:tc>
          <w:tcPr/>
          <w:p w:rsidR="00000000" w:rsidDel="00000000" w:rsidP="00000000" w:rsidRDefault="00000000" w:rsidRPr="00000000" w14:paraId="0000003A">
            <w:pPr>
              <w:rPr/>
            </w:pPr>
            <w:r w:rsidDel="00000000" w:rsidR="00000000" w:rsidRPr="00000000">
              <w:rPr>
                <w:rtl w:val="0"/>
              </w:rPr>
              <w:t xml:space="preserve">Industry Example</w:t>
            </w:r>
          </w:p>
        </w:tc>
        <w:tc>
          <w:tcPr/>
          <w:p w:rsidR="00000000" w:rsidDel="00000000" w:rsidP="00000000" w:rsidRDefault="00000000" w:rsidRPr="00000000" w14:paraId="0000003B">
            <w:pPr>
              <w:rPr/>
            </w:pPr>
            <w:r w:rsidDel="00000000" w:rsidR="00000000" w:rsidRPr="00000000">
              <w:rPr>
                <w:rtl w:val="0"/>
              </w:rPr>
              <w:t xml:space="preserve">Reference</w:t>
            </w:r>
          </w:p>
        </w:tc>
      </w:tr>
      <w:tr>
        <w:trPr>
          <w:cantSplit w:val="0"/>
          <w:tblHeader w:val="0"/>
        </w:trPr>
        <w:tc>
          <w:tcPr/>
          <w:p w:rsidR="00000000" w:rsidDel="00000000" w:rsidP="00000000" w:rsidRDefault="00000000" w:rsidRPr="00000000" w14:paraId="0000003C">
            <w:pPr>
              <w:rPr/>
            </w:pPr>
            <w:r w:rsidDel="00000000" w:rsidR="00000000" w:rsidRPr="00000000">
              <w:rPr>
                <w:rtl w:val="0"/>
              </w:rPr>
              <w:t xml:space="preserve">1. Emotional Labour</w:t>
            </w:r>
          </w:p>
        </w:tc>
        <w:tc>
          <w:tcPr/>
          <w:p w:rsidR="00000000" w:rsidDel="00000000" w:rsidP="00000000" w:rsidRDefault="00000000" w:rsidRPr="00000000" w14:paraId="0000003D">
            <w:pPr>
              <w:rPr/>
            </w:pPr>
            <w:r w:rsidDel="00000000" w:rsidR="00000000" w:rsidRPr="00000000">
              <w:rPr>
                <w:rtl w:val="0"/>
              </w:rPr>
              <w:t xml:space="preserve">Managing emotions to meet customer expectations.</w:t>
            </w:r>
          </w:p>
        </w:tc>
        <w:tc>
          <w:tcPr/>
          <w:p w:rsidR="00000000" w:rsidDel="00000000" w:rsidP="00000000" w:rsidRDefault="00000000" w:rsidRPr="00000000" w14:paraId="0000003E">
            <w:pPr>
              <w:rPr/>
            </w:pPr>
            <w:r w:rsidDel="00000000" w:rsidR="00000000" w:rsidRPr="00000000">
              <w:rPr>
                <w:rtl w:val="0"/>
              </w:rPr>
              <w:t xml:space="preserve">Leads to stress, burnout, and emotional exhaustion due to continuous emotional display requirements. Reduces job satisfaction and increases turnover rates.</w:t>
            </w:r>
          </w:p>
        </w:tc>
        <w:tc>
          <w:tcPr/>
          <w:p w:rsidR="00000000" w:rsidDel="00000000" w:rsidP="00000000" w:rsidRDefault="00000000" w:rsidRPr="00000000" w14:paraId="0000003F">
            <w:pPr>
              <w:rPr/>
            </w:pPr>
            <w:r w:rsidDel="00000000" w:rsidR="00000000" w:rsidRPr="00000000">
              <w:rPr>
                <w:rtl w:val="0"/>
              </w:rPr>
              <w:t xml:space="preserve">Frontline staff at luxury hotels report emotional fatigue from maintaining constant positivity.</w:t>
            </w:r>
          </w:p>
        </w:tc>
        <w:tc>
          <w:tcPr/>
          <w:p w:rsidR="00000000" w:rsidDel="00000000" w:rsidP="00000000" w:rsidRDefault="00000000" w:rsidRPr="00000000" w14:paraId="00000040">
            <w:pPr>
              <w:rPr/>
            </w:pPr>
            <w:r w:rsidDel="00000000" w:rsidR="00000000" w:rsidRPr="00000000">
              <w:rPr>
                <w:rtl w:val="0"/>
              </w:rPr>
              <w:t xml:space="preserve">Batabyal &amp; Das (2019); Costa &amp; Costa (2022)</w:t>
            </w:r>
          </w:p>
        </w:tc>
      </w:tr>
      <w:tr>
        <w:trPr>
          <w:cantSplit w:val="0"/>
          <w:tblHeader w:val="0"/>
        </w:trPr>
        <w:tc>
          <w:tcPr/>
          <w:p w:rsidR="00000000" w:rsidDel="00000000" w:rsidP="00000000" w:rsidRDefault="00000000" w:rsidRPr="00000000" w14:paraId="00000041">
            <w:pPr>
              <w:rPr/>
            </w:pPr>
            <w:r w:rsidDel="00000000" w:rsidR="00000000" w:rsidRPr="00000000">
              <w:rPr>
                <w:rtl w:val="0"/>
              </w:rPr>
              <w:t xml:space="preserve">2. Leadership and Organisational Culture</w:t>
            </w:r>
          </w:p>
        </w:tc>
        <w:tc>
          <w:tcPr/>
          <w:p w:rsidR="00000000" w:rsidDel="00000000" w:rsidP="00000000" w:rsidRDefault="00000000" w:rsidRPr="00000000" w14:paraId="00000042">
            <w:pPr>
              <w:rPr/>
            </w:pPr>
            <w:r w:rsidDel="00000000" w:rsidR="00000000" w:rsidRPr="00000000">
              <w:rPr>
                <w:rtl w:val="0"/>
              </w:rPr>
              <w:t xml:space="preserve">Role of leadership in shaping psychological safety and well-being.</w:t>
            </w:r>
          </w:p>
        </w:tc>
        <w:tc>
          <w:tcPr/>
          <w:p w:rsidR="00000000" w:rsidDel="00000000" w:rsidP="00000000" w:rsidRDefault="00000000" w:rsidRPr="00000000" w14:paraId="00000043">
            <w:pPr>
              <w:rPr/>
            </w:pPr>
            <w:r w:rsidDel="00000000" w:rsidR="00000000" w:rsidRPr="00000000">
              <w:rPr>
                <w:rtl w:val="0"/>
              </w:rPr>
              <w:t xml:space="preserve">Empathetic leadership improves morale and reduces stigma around mental health; poor leadership worsens stress and disengagement.</w:t>
            </w:r>
          </w:p>
        </w:tc>
        <w:tc>
          <w:tcPr/>
          <w:p w:rsidR="00000000" w:rsidDel="00000000" w:rsidP="00000000" w:rsidRDefault="00000000" w:rsidRPr="00000000" w14:paraId="00000044">
            <w:pPr>
              <w:rPr/>
            </w:pPr>
            <w:r w:rsidDel="00000000" w:rsidR="00000000" w:rsidRPr="00000000">
              <w:rPr>
                <w:rtl w:val="0"/>
              </w:rPr>
              <w:t xml:space="preserve">Hilton’s </w:t>
            </w:r>
            <w:r w:rsidDel="00000000" w:rsidR="00000000" w:rsidRPr="00000000">
              <w:rPr>
                <w:i w:val="1"/>
                <w:rtl w:val="0"/>
              </w:rPr>
              <w:t xml:space="preserve">Thrive@Hilton</w:t>
            </w:r>
            <w:r w:rsidDel="00000000" w:rsidR="00000000" w:rsidRPr="00000000">
              <w:rPr>
                <w:rtl w:val="0"/>
              </w:rPr>
              <w:t xml:space="preserve"> and Marriott’s </w:t>
            </w:r>
            <w:r w:rsidDel="00000000" w:rsidR="00000000" w:rsidRPr="00000000">
              <w:rPr>
                <w:i w:val="1"/>
                <w:rtl w:val="0"/>
              </w:rPr>
              <w:t xml:space="preserve">TakeCare</w:t>
            </w:r>
            <w:r w:rsidDel="00000000" w:rsidR="00000000" w:rsidRPr="00000000">
              <w:rPr>
                <w:rtl w:val="0"/>
              </w:rPr>
              <w:t xml:space="preserve"> programs promote well-being through inclusive leadership.</w:t>
            </w:r>
          </w:p>
        </w:tc>
        <w:tc>
          <w:tcPr/>
          <w:p w:rsidR="00000000" w:rsidDel="00000000" w:rsidP="00000000" w:rsidRDefault="00000000" w:rsidRPr="00000000" w14:paraId="00000045">
            <w:pPr>
              <w:rPr/>
            </w:pPr>
            <w:r w:rsidDel="00000000" w:rsidR="00000000" w:rsidRPr="00000000">
              <w:rPr>
                <w:rtl w:val="0"/>
              </w:rPr>
              <w:t xml:space="preserve">Clegg, Skyttermoen &amp; Vaagaasar (2021); Ford &amp; Sturman (2020)</w:t>
            </w:r>
          </w:p>
        </w:tc>
      </w:tr>
      <w:tr>
        <w:trPr>
          <w:cantSplit w:val="0"/>
          <w:tblHeader w:val="0"/>
        </w:trPr>
        <w:tc>
          <w:tcPr/>
          <w:p w:rsidR="00000000" w:rsidDel="00000000" w:rsidP="00000000" w:rsidRDefault="00000000" w:rsidRPr="00000000" w14:paraId="00000046">
            <w:pPr>
              <w:rPr/>
            </w:pPr>
            <w:r w:rsidDel="00000000" w:rsidR="00000000" w:rsidRPr="00000000">
              <w:rPr>
                <w:rtl w:val="0"/>
              </w:rPr>
              <w:t xml:space="preserve">3. Job Demand–Control (JDC) Dynamics</w:t>
            </w:r>
          </w:p>
        </w:tc>
        <w:tc>
          <w:tcPr/>
          <w:p w:rsidR="00000000" w:rsidDel="00000000" w:rsidP="00000000" w:rsidRDefault="00000000" w:rsidRPr="00000000" w14:paraId="00000047">
            <w:pPr>
              <w:rPr/>
            </w:pPr>
            <w:r w:rsidDel="00000000" w:rsidR="00000000" w:rsidRPr="00000000">
              <w:rPr>
                <w:rtl w:val="0"/>
              </w:rPr>
              <w:t xml:space="preserve">Balance between work demands and employee autonomy.</w:t>
            </w:r>
          </w:p>
        </w:tc>
        <w:tc>
          <w:tcPr/>
          <w:p w:rsidR="00000000" w:rsidDel="00000000" w:rsidP="00000000" w:rsidRDefault="00000000" w:rsidRPr="00000000" w14:paraId="00000048">
            <w:pPr>
              <w:rPr/>
            </w:pPr>
            <w:r w:rsidDel="00000000" w:rsidR="00000000" w:rsidRPr="00000000">
              <w:rPr>
                <w:rtl w:val="0"/>
              </w:rPr>
              <w:t xml:space="preserve">High job demands with low control lead to burnout and anxiety; increased autonomy enhances motivation and satisfaction.</w:t>
            </w:r>
          </w:p>
        </w:tc>
        <w:tc>
          <w:tcPr/>
          <w:p w:rsidR="00000000" w:rsidDel="00000000" w:rsidP="00000000" w:rsidRDefault="00000000" w:rsidRPr="00000000" w14:paraId="00000049">
            <w:pPr>
              <w:rPr/>
            </w:pPr>
            <w:r w:rsidDel="00000000" w:rsidR="00000000" w:rsidRPr="00000000">
              <w:rPr>
                <w:rtl w:val="0"/>
              </w:rPr>
              <w:t xml:space="preserve">Flexible scheduling policies improve retention and performance in boutique hotels.</w:t>
            </w:r>
          </w:p>
        </w:tc>
        <w:tc>
          <w:tcPr/>
          <w:p w:rsidR="00000000" w:rsidDel="00000000" w:rsidP="00000000" w:rsidRDefault="00000000" w:rsidRPr="00000000" w14:paraId="0000004A">
            <w:pPr>
              <w:rPr/>
            </w:pPr>
            <w:r w:rsidDel="00000000" w:rsidR="00000000" w:rsidRPr="00000000">
              <w:rPr>
                <w:rtl w:val="0"/>
              </w:rPr>
              <w:t xml:space="preserve">Tribe (2009); Ford &amp; Sturman (2020)</w:t>
            </w:r>
          </w:p>
        </w:tc>
      </w:tr>
      <w:tr>
        <w:trPr>
          <w:cantSplit w:val="0"/>
          <w:tblHeader w:val="0"/>
        </w:trPr>
        <w:tc>
          <w:tcPr/>
          <w:p w:rsidR="00000000" w:rsidDel="00000000" w:rsidP="00000000" w:rsidRDefault="00000000" w:rsidRPr="00000000" w14:paraId="0000004B">
            <w:pPr>
              <w:rPr/>
            </w:pPr>
            <w:r w:rsidDel="00000000" w:rsidR="00000000" w:rsidRPr="00000000">
              <w:rPr>
                <w:rtl w:val="0"/>
              </w:rPr>
              <w:t xml:space="preserve">4. Technology and Digital Well-Being Tools</w:t>
            </w:r>
          </w:p>
        </w:tc>
        <w:tc>
          <w:tcPr/>
          <w:p w:rsidR="00000000" w:rsidDel="00000000" w:rsidP="00000000" w:rsidRDefault="00000000" w:rsidRPr="00000000" w14:paraId="0000004C">
            <w:pPr>
              <w:rPr/>
            </w:pPr>
            <w:r w:rsidDel="00000000" w:rsidR="00000000" w:rsidRPr="00000000">
              <w:rPr>
                <w:rtl w:val="0"/>
              </w:rPr>
              <w:t xml:space="preserve">Integration of AI, apps, and digital systems for mental health support.</w:t>
            </w:r>
          </w:p>
        </w:tc>
        <w:tc>
          <w:tcPr/>
          <w:p w:rsidR="00000000" w:rsidDel="00000000" w:rsidP="00000000" w:rsidRDefault="00000000" w:rsidRPr="00000000" w14:paraId="0000004D">
            <w:pPr>
              <w:rPr/>
            </w:pPr>
            <w:r w:rsidDel="00000000" w:rsidR="00000000" w:rsidRPr="00000000">
              <w:rPr>
                <w:rtl w:val="0"/>
              </w:rPr>
              <w:t xml:space="preserve">Digital tools enhance accessibility and anonymity in seeking support but must complement human-centred systems.</w:t>
            </w:r>
          </w:p>
        </w:tc>
        <w:tc>
          <w:tcPr/>
          <w:p w:rsidR="00000000" w:rsidDel="00000000" w:rsidP="00000000" w:rsidRDefault="00000000" w:rsidRPr="00000000" w14:paraId="0000004E">
            <w:pPr>
              <w:rPr/>
            </w:pPr>
            <w:r w:rsidDel="00000000" w:rsidR="00000000" w:rsidRPr="00000000">
              <w:rPr>
                <w:rtl w:val="0"/>
              </w:rPr>
              <w:t xml:space="preserve">Accor’s </w:t>
            </w:r>
            <w:r w:rsidDel="00000000" w:rsidR="00000000" w:rsidRPr="00000000">
              <w:rPr>
                <w:i w:val="1"/>
                <w:rtl w:val="0"/>
              </w:rPr>
              <w:t xml:space="preserve">All Heartist Fund</w:t>
            </w:r>
            <w:r w:rsidDel="00000000" w:rsidR="00000000" w:rsidRPr="00000000">
              <w:rPr>
                <w:rtl w:val="0"/>
              </w:rPr>
              <w:t xml:space="preserve"> provided digital and financial assistance during COVID-19.</w:t>
            </w:r>
          </w:p>
        </w:tc>
        <w:tc>
          <w:tcPr/>
          <w:p w:rsidR="00000000" w:rsidDel="00000000" w:rsidP="00000000" w:rsidRDefault="00000000" w:rsidRPr="00000000" w14:paraId="0000004F">
            <w:pPr>
              <w:rPr/>
            </w:pPr>
            <w:r w:rsidDel="00000000" w:rsidR="00000000" w:rsidRPr="00000000">
              <w:rPr>
                <w:rtl w:val="0"/>
              </w:rPr>
              <w:t xml:space="preserve">Ivanov &amp; Webster (2019); Santos &amp; Silva (2019)</w:t>
            </w:r>
          </w:p>
        </w:tc>
      </w:tr>
      <w:tr>
        <w:trPr>
          <w:cantSplit w:val="0"/>
          <w:tblHeader w:val="0"/>
        </w:trPr>
        <w:tc>
          <w:tcPr/>
          <w:p w:rsidR="00000000" w:rsidDel="00000000" w:rsidP="00000000" w:rsidRDefault="00000000" w:rsidRPr="00000000" w14:paraId="00000050">
            <w:pPr>
              <w:rPr/>
            </w:pPr>
            <w:r w:rsidDel="00000000" w:rsidR="00000000" w:rsidRPr="00000000">
              <w:rPr>
                <w:rtl w:val="0"/>
              </w:rPr>
              <w:t xml:space="preserve">5. Policy and Sustainability Integration</w:t>
            </w:r>
          </w:p>
        </w:tc>
        <w:tc>
          <w:tcPr/>
          <w:p w:rsidR="00000000" w:rsidDel="00000000" w:rsidP="00000000" w:rsidRDefault="00000000" w:rsidRPr="00000000" w14:paraId="00000051">
            <w:pPr>
              <w:rPr/>
            </w:pPr>
            <w:r w:rsidDel="00000000" w:rsidR="00000000" w:rsidRPr="00000000">
              <w:rPr>
                <w:rtl w:val="0"/>
              </w:rPr>
              <w:t xml:space="preserve">Embedding mental health within CSR and sustainability strategies.</w:t>
            </w:r>
          </w:p>
        </w:tc>
        <w:tc>
          <w:tcPr/>
          <w:p w:rsidR="00000000" w:rsidDel="00000000" w:rsidP="00000000" w:rsidRDefault="00000000" w:rsidRPr="00000000" w14:paraId="00000052">
            <w:pPr>
              <w:rPr/>
            </w:pPr>
            <w:r w:rsidDel="00000000" w:rsidR="00000000" w:rsidRPr="00000000">
              <w:rPr>
                <w:rtl w:val="0"/>
              </w:rPr>
              <w:t xml:space="preserve">Institutionalising well-being improves resilience, retention, and brand reputation; supports long-term sustainable operations.</w:t>
            </w:r>
          </w:p>
        </w:tc>
        <w:tc>
          <w:tcPr/>
          <w:p w:rsidR="00000000" w:rsidDel="00000000" w:rsidP="00000000" w:rsidRDefault="00000000" w:rsidRPr="00000000" w14:paraId="00000053">
            <w:pPr>
              <w:rPr/>
            </w:pPr>
            <w:r w:rsidDel="00000000" w:rsidR="00000000" w:rsidRPr="00000000">
              <w:rPr>
                <w:rtl w:val="0"/>
              </w:rPr>
              <w:t xml:space="preserve">Inclusion of mental health audits and EAPs in hotel CSR frameworks.</w:t>
            </w:r>
          </w:p>
        </w:tc>
        <w:tc>
          <w:tcPr/>
          <w:p w:rsidR="00000000" w:rsidDel="00000000" w:rsidP="00000000" w:rsidRDefault="00000000" w:rsidRPr="00000000" w14:paraId="00000054">
            <w:pPr>
              <w:rPr/>
            </w:pPr>
            <w:r w:rsidDel="00000000" w:rsidR="00000000" w:rsidRPr="00000000">
              <w:rPr>
                <w:rtl w:val="0"/>
              </w:rPr>
              <w:t xml:space="preserve">Costa &amp; Costa (2022); Cooper &amp; Hall (2019)</w:t>
            </w:r>
          </w:p>
        </w:tc>
      </w:tr>
    </w:tbl>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t xml:space="preserve">The use of the PESTEL framework can be used to provide a systematic explanation of how external and internal environments influence mental health issues within the hospitality industry.</w:t>
      </w:r>
    </w:p>
    <w:p w:rsidR="00000000" w:rsidDel="00000000" w:rsidP="00000000" w:rsidRDefault="00000000" w:rsidRPr="00000000" w14:paraId="00000057">
      <w:pPr>
        <w:rPr>
          <w:b w:val="1"/>
        </w:rPr>
      </w:pPr>
      <w:r w:rsidDel="00000000" w:rsidR="00000000" w:rsidRPr="00000000">
        <w:rPr>
          <w:b w:val="1"/>
          <w:rtl w:val="0"/>
        </w:rPr>
        <w:t xml:space="preserve">Political factors:</w:t>
      </w:r>
    </w:p>
    <w:p w:rsidR="00000000" w:rsidDel="00000000" w:rsidP="00000000" w:rsidRDefault="00000000" w:rsidRPr="00000000" w14:paraId="00000058">
      <w:pPr>
        <w:rPr/>
      </w:pPr>
      <w:r w:rsidDel="00000000" w:rsidR="00000000" w:rsidRPr="00000000">
        <w:rPr>
          <w:rtl w:val="0"/>
        </w:rPr>
        <w:t xml:space="preserve">Mental health is becoming central to workplace legislation by governments and labour organisations. According to Cooper and Hall (2019), the psychological safety assessment and stress management training in the hospitality firms are now required in many countries. The HSE guidelines on work related stresses in the UK, such as the one on work-related stress, obligates the hotel to have risk assessment and counselling services. Nonetheless, the adherence is not always high, particularly among the small operators.</w:t>
      </w:r>
    </w:p>
    <w:p w:rsidR="00000000" w:rsidDel="00000000" w:rsidP="00000000" w:rsidRDefault="00000000" w:rsidRPr="00000000" w14:paraId="00000059">
      <w:pPr>
        <w:rPr>
          <w:b w:val="1"/>
        </w:rPr>
      </w:pPr>
      <w:r w:rsidDel="00000000" w:rsidR="00000000" w:rsidRPr="00000000">
        <w:rPr>
          <w:b w:val="1"/>
          <w:rtl w:val="0"/>
        </w:rPr>
        <w:t xml:space="preserve">Economic factors:</w:t>
      </w:r>
    </w:p>
    <w:p w:rsidR="00000000" w:rsidDel="00000000" w:rsidP="00000000" w:rsidRDefault="00000000" w:rsidRPr="00000000" w14:paraId="0000005A">
      <w:pPr>
        <w:rPr/>
      </w:pPr>
      <w:r w:rsidDel="00000000" w:rsidR="00000000" w:rsidRPr="00000000">
        <w:rPr>
          <w:rtl w:val="0"/>
        </w:rPr>
        <w:t xml:space="preserve">Economic costs are huge in mental health problems. Ford and Sturman (2020) approximate that burnout turnover cost hospitality employers millions a year in terms of recruitment and retraining. The recovery of the post-pandemic situation has produced the effect of increased workload pressure in the face of staff turnover, which has lowered productivity. Costa and Costa (2022) also claim that the investment in the mental health programs can be measured in terms of the better engagement, customer satisfaction, and brand image. The well-being of employees therefore must be accepted as a strategic economic investment but not as a cost.</w:t>
      </w:r>
    </w:p>
    <w:p w:rsidR="00000000" w:rsidDel="00000000" w:rsidP="00000000" w:rsidRDefault="00000000" w:rsidRPr="00000000" w14:paraId="0000005B">
      <w:pPr>
        <w:rPr>
          <w:b w:val="1"/>
        </w:rPr>
      </w:pPr>
      <w:r w:rsidDel="00000000" w:rsidR="00000000" w:rsidRPr="00000000">
        <w:rPr>
          <w:b w:val="1"/>
          <w:rtl w:val="0"/>
        </w:rPr>
        <w:t xml:space="preserve">Social factors:</w:t>
      </w:r>
    </w:p>
    <w:p w:rsidR="00000000" w:rsidDel="00000000" w:rsidP="00000000" w:rsidRDefault="00000000" w:rsidRPr="00000000" w14:paraId="0000005C">
      <w:pPr>
        <w:rPr/>
      </w:pPr>
      <w:r w:rsidDel="00000000" w:rsidR="00000000" w:rsidRPr="00000000">
        <w:rPr>
          <w:rtl w:val="0"/>
        </w:rPr>
        <w:t xml:space="preserve">Emotional labour is increased by social maturity in the position of hospitality. Employees must show maximum positivity and care, no matter how they feel (Batabyal and Das, 2019). This expectation together with stigma will deter disclosure and strengthens psychological distress. Indeed, Dawson, Lemelin and Stewart (2012) point out that these types of supportive social climates where empathy and openness are appreciated play a major role in reducing turnover. The example of Hilton and its initiative Thrive@Hilton can be used as an illustration of how the development of psychological safety can help to increase retention and morale.</w:t>
      </w:r>
    </w:p>
    <w:p w:rsidR="00000000" w:rsidDel="00000000" w:rsidP="00000000" w:rsidRDefault="00000000" w:rsidRPr="00000000" w14:paraId="0000005D">
      <w:pPr>
        <w:rPr>
          <w:b w:val="1"/>
        </w:rPr>
      </w:pPr>
      <w:r w:rsidDel="00000000" w:rsidR="00000000" w:rsidRPr="00000000">
        <w:rPr>
          <w:b w:val="1"/>
          <w:rtl w:val="0"/>
        </w:rPr>
        <w:t xml:space="preserve">Technological factors:</w:t>
      </w:r>
    </w:p>
    <w:p w:rsidR="00000000" w:rsidDel="00000000" w:rsidP="00000000" w:rsidRDefault="00000000" w:rsidRPr="00000000" w14:paraId="0000005E">
      <w:pPr>
        <w:rPr/>
      </w:pPr>
      <w:r w:rsidDel="00000000" w:rsidR="00000000" w:rsidRPr="00000000">
        <w:rPr>
          <w:rtl w:val="0"/>
        </w:rPr>
        <w:t xml:space="preserve">Digital transformation provides opportunities that can be used in managing mental health. According to Ivanov and Webster (2019), well-being apps and online counselling platforms are AI-driven and offer employees the confidential and readily available assistance. Santos and Silva (2019) state that incorporation of digital wellness tools into HR systems enables real-time tracking of indicators of stress. Nevertheless, human-centred support structures should not be substituted by technological solutions.</w:t>
      </w:r>
    </w:p>
    <w:p w:rsidR="00000000" w:rsidDel="00000000" w:rsidP="00000000" w:rsidRDefault="00000000" w:rsidRPr="00000000" w14:paraId="0000005F">
      <w:pPr>
        <w:rPr>
          <w:b w:val="1"/>
        </w:rPr>
      </w:pPr>
      <w:r w:rsidDel="00000000" w:rsidR="00000000" w:rsidRPr="00000000">
        <w:rPr>
          <w:b w:val="1"/>
          <w:rtl w:val="0"/>
        </w:rPr>
        <w:t xml:space="preserve">Environmental factors:</w:t>
      </w:r>
    </w:p>
    <w:p w:rsidR="00000000" w:rsidDel="00000000" w:rsidP="00000000" w:rsidRDefault="00000000" w:rsidRPr="00000000" w14:paraId="00000060">
      <w:pPr>
        <w:rPr/>
      </w:pPr>
      <w:r w:rsidDel="00000000" w:rsidR="00000000" w:rsidRPr="00000000">
        <w:rPr>
          <w:rtl w:val="0"/>
        </w:rPr>
        <w:t xml:space="preserve">The COVID-19 epidemic altered the workplace setting, which enhanced mental stress. It was discovered by Sharma, Singh and Tyagi (2024) that vacillating occupancy, fewer working hours, and more uncertainty were the reasons that left hospitality workers in severe anxiety. Besides, the pressure on sustainability, including green projects and a lack of resources, introduce new stress (Costa and Costa, 2022). Thus, environmental resilience should incorporate psychological sustainability and ecological goals.</w:t>
      </w:r>
    </w:p>
    <w:p w:rsidR="00000000" w:rsidDel="00000000" w:rsidP="00000000" w:rsidRDefault="00000000" w:rsidRPr="00000000" w14:paraId="00000061">
      <w:pPr>
        <w:rPr>
          <w:b w:val="1"/>
        </w:rPr>
      </w:pPr>
      <w:r w:rsidDel="00000000" w:rsidR="00000000" w:rsidRPr="00000000">
        <w:rPr>
          <w:b w:val="1"/>
          <w:rtl w:val="0"/>
        </w:rPr>
        <w:t xml:space="preserve">Legal factors:</w:t>
      </w:r>
    </w:p>
    <w:p w:rsidR="00000000" w:rsidDel="00000000" w:rsidP="00000000" w:rsidRDefault="00000000" w:rsidRPr="00000000" w14:paraId="00000062">
      <w:pPr>
        <w:rPr/>
      </w:pPr>
      <w:r w:rsidDel="00000000" w:rsidR="00000000" w:rsidRPr="00000000">
        <w:rPr>
          <w:rtl w:val="0"/>
        </w:rPr>
        <w:t xml:space="preserve">Laws on employment are focusing more on the well being of the workplace. According to Clegg, Skyttermoen and Vaagaasar (2021), the legal frameworks in Europe currently mandate mental health risk assessment and availability of employee assistance programs (EAPs). The enforcement is however not equal and most of the small hotel are not in a position to follow through. This highlights the essence of policy based support systems that offer mental health programs accessibility to sector wide.</w:t>
      </w:r>
    </w:p>
    <w:p w:rsidR="00000000" w:rsidDel="00000000" w:rsidP="00000000" w:rsidRDefault="00000000" w:rsidRPr="00000000" w14:paraId="00000063">
      <w:pPr>
        <w:rPr>
          <w:b w:val="1"/>
        </w:rPr>
      </w:pPr>
      <w:r w:rsidDel="00000000" w:rsidR="00000000" w:rsidRPr="00000000">
        <w:rPr>
          <w:b w:val="1"/>
          <w:rtl w:val="0"/>
        </w:rPr>
        <w:t xml:space="preserve">Examples and reflection in the industry:</w:t>
      </w:r>
    </w:p>
    <w:p w:rsidR="00000000" w:rsidDel="00000000" w:rsidP="00000000" w:rsidRDefault="00000000" w:rsidRPr="00000000" w14:paraId="00000064">
      <w:pPr>
        <w:rPr/>
      </w:pPr>
      <w:r w:rsidDel="00000000" w:rsidR="00000000" w:rsidRPr="00000000">
        <w:rPr>
          <w:rtl w:val="0"/>
        </w:rPr>
        <w:t xml:space="preserve">The largest hospitality brands have been on the frontline with innovative responses. The TakeCare program implemented by the Marriott International incorporates the wellness, diversity, and inclusion into the everyday routine, which have had quantifiable retention and job satisfaction benefits (Ford and Sturman, 2020). In the same way, Accor Hotels launched All Heartist Fund that offers both financial and psychological assistance during the pandemic. Although these efforts are fruitful, as Brotherton (2015) notes, big companies also tend to be able to roll out these programs, and minor operators are left behind. In addition, mental health programs tend to be reactionary and not proactive. Tribe (2009) and Cooper and Hall (2019) promote an active leadership style that integrates well-being into the systems of strategic management and quality of the services provided. It takes sustainable change to ensure that the short-term employee assistance changes to long-term organisational redesign with the focus on autonomy, flexibility and recognition. The PESTEL analysis shows that mental health issues in the hospitality sector are complex and influenced by external regulations, economic pressure, and culture within a company. The future of the world lies in the integration of psychological health in operational strategy, leadership behaviour, and public policy.</w:t>
      </w:r>
    </w:p>
    <w:p w:rsidR="00000000" w:rsidDel="00000000" w:rsidP="00000000" w:rsidRDefault="00000000" w:rsidRPr="00000000" w14:paraId="00000065">
      <w:pPr>
        <w:spacing w:after="160" w:line="259" w:lineRule="auto"/>
        <w:jc w:val="left"/>
        <w:rPr>
          <w:b w:val="1"/>
        </w:rPr>
      </w:pPr>
      <w:r w:rsidDel="00000000" w:rsidR="00000000" w:rsidRPr="00000000">
        <w:br w:type="page"/>
      </w:r>
      <w:r w:rsidDel="00000000" w:rsidR="00000000" w:rsidRPr="00000000">
        <w:rPr>
          <w:rtl w:val="0"/>
        </w:rPr>
      </w:r>
    </w:p>
    <w:p w:rsidR="00000000" w:rsidDel="00000000" w:rsidP="00000000" w:rsidRDefault="00000000" w:rsidRPr="00000000" w14:paraId="00000066">
      <w:pPr>
        <w:pStyle w:val="Heading1"/>
        <w:rPr>
          <w:b w:val="1"/>
          <w:color w:val="000000"/>
        </w:rPr>
      </w:pPr>
      <w:bookmarkStart w:colFirst="0" w:colLast="0" w:name="_heading=h.jfp0c7nd54xn" w:id="4"/>
      <w:bookmarkEnd w:id="4"/>
      <w:r w:rsidDel="00000000" w:rsidR="00000000" w:rsidRPr="00000000">
        <w:rPr>
          <w:b w:val="1"/>
          <w:color w:val="000000"/>
          <w:rtl w:val="0"/>
        </w:rPr>
        <w:t xml:space="preserve">Conclusion </w:t>
      </w:r>
    </w:p>
    <w:p w:rsidR="00000000" w:rsidDel="00000000" w:rsidP="00000000" w:rsidRDefault="00000000" w:rsidRPr="00000000" w14:paraId="00000067">
      <w:pPr>
        <w:rPr/>
      </w:pPr>
      <w:r w:rsidDel="00000000" w:rsidR="00000000" w:rsidRPr="00000000">
        <w:rPr>
          <w:rtl w:val="0"/>
        </w:rPr>
        <w:t xml:space="preserve">The worsening mental health crisis in the hospitality sector is a compound-interaction of structural, cultural, and psychological principles. The discussion has shown that long-term emotional labour, low job autonomy, and organisational insensitivity are some of the factors that cause employee burnout and disengagement. The use of the Job Demand Control (JDC) Model and the Emotional Labour Theory proves that too many work requirements and lack of control increases the level of psychological stress, with cultural stigma still preventing the open dialogue about mental health. Sustainability solutions must be approached in a comprehensive manner which will place the welfare of the employee in line with corporate responsibility and the business strategy in the long term. The most important aspects in the creation of supportive work environments include leadership development, flexible schedules, and using digital wellness tools. Also, policy changes and the collaboration inside the industry can guarantee equal access to mental health resources, in particular, small operators. By integrating psychological health into the sustainability systems, the mental health is no longer seen as an outlying issue but a strategic value. Finally, fostering mental resilience in the hospitality business sector does not simply increase employee retention and satisfaction but also boosts the hospitality sector ability to be innovative and excel in service delivery. By making sure that mental health is part of the essential aspect of sustainability, hospitality organisations will have the benefit of operating in a more challenging and competitive world as responsible entities.</w:t>
      </w:r>
    </w:p>
    <w:p w:rsidR="00000000" w:rsidDel="00000000" w:rsidP="00000000" w:rsidRDefault="00000000" w:rsidRPr="00000000" w14:paraId="00000068">
      <w:pPr>
        <w:rPr/>
      </w:pPr>
      <w:r w:rsidDel="00000000" w:rsidR="00000000" w:rsidRPr="00000000">
        <w:br w:type="page"/>
      </w:r>
      <w:r w:rsidDel="00000000" w:rsidR="00000000" w:rsidRPr="00000000">
        <w:rPr>
          <w:rtl w:val="0"/>
        </w:rPr>
      </w:r>
    </w:p>
    <w:p w:rsidR="00000000" w:rsidDel="00000000" w:rsidP="00000000" w:rsidRDefault="00000000" w:rsidRPr="00000000" w14:paraId="00000069">
      <w:pPr>
        <w:pStyle w:val="Heading1"/>
        <w:rPr>
          <w:b w:val="1"/>
          <w:color w:val="000000"/>
        </w:rPr>
      </w:pPr>
      <w:bookmarkStart w:colFirst="0" w:colLast="0" w:name="_heading=h.n099bvgd6dcy" w:id="5"/>
      <w:bookmarkEnd w:id="5"/>
      <w:r w:rsidDel="00000000" w:rsidR="00000000" w:rsidRPr="00000000">
        <w:rPr>
          <w:b w:val="1"/>
          <w:color w:val="000000"/>
          <w:rtl w:val="0"/>
        </w:rPr>
        <w:t xml:space="preserve">Recommendations</w:t>
      </w:r>
    </w:p>
    <w:tbl>
      <w:tblPr>
        <w:tblStyle w:val="Table2"/>
        <w:tblW w:w="9350.0" w:type="dxa"/>
        <w:jc w:val="left"/>
        <w:tblBorders>
          <w:top w:color="bfbfbf" w:space="0" w:sz="4" w:val="single"/>
          <w:left w:color="bfbfbf" w:space="0" w:sz="4" w:val="single"/>
          <w:bottom w:color="bfbfbf" w:space="0" w:sz="4" w:val="single"/>
          <w:right w:color="bfbfbf" w:space="0" w:sz="4" w:val="single"/>
          <w:insideH w:color="bfbfbf" w:space="0" w:sz="4" w:val="single"/>
          <w:insideV w:color="bfbfbf" w:space="0" w:sz="4" w:val="single"/>
        </w:tblBorders>
        <w:tblLayout w:type="fixed"/>
        <w:tblLook w:val="04A0"/>
      </w:tblPr>
      <w:tblGrid>
        <w:gridCol w:w="603"/>
        <w:gridCol w:w="2508"/>
        <w:gridCol w:w="3200"/>
        <w:gridCol w:w="3039"/>
        <w:tblGridChange w:id="0">
          <w:tblGrid>
            <w:gridCol w:w="603"/>
            <w:gridCol w:w="2508"/>
            <w:gridCol w:w="3200"/>
            <w:gridCol w:w="3039"/>
          </w:tblGrid>
        </w:tblGridChange>
      </w:tblGrid>
      <w:tr>
        <w:trPr>
          <w:cantSplit w:val="0"/>
          <w:tblHeader w:val="0"/>
        </w:trPr>
        <w:tc>
          <w:tcPr/>
          <w:p w:rsidR="00000000" w:rsidDel="00000000" w:rsidP="00000000" w:rsidRDefault="00000000" w:rsidRPr="00000000" w14:paraId="0000006A">
            <w:pPr>
              <w:rPr/>
            </w:pPr>
            <w:r w:rsidDel="00000000" w:rsidR="00000000" w:rsidRPr="00000000">
              <w:rPr>
                <w:rtl w:val="0"/>
              </w:rPr>
              <w:t xml:space="preserve">No.</w:t>
            </w:r>
          </w:p>
        </w:tc>
        <w:tc>
          <w:tcPr/>
          <w:p w:rsidR="00000000" w:rsidDel="00000000" w:rsidP="00000000" w:rsidRDefault="00000000" w:rsidRPr="00000000" w14:paraId="0000006B">
            <w:pPr>
              <w:rPr/>
            </w:pPr>
            <w:r w:rsidDel="00000000" w:rsidR="00000000" w:rsidRPr="00000000">
              <w:rPr>
                <w:rtl w:val="0"/>
              </w:rPr>
              <w:t xml:space="preserve">Area of Recommendation</w:t>
            </w:r>
          </w:p>
        </w:tc>
        <w:tc>
          <w:tcPr/>
          <w:p w:rsidR="00000000" w:rsidDel="00000000" w:rsidP="00000000" w:rsidRDefault="00000000" w:rsidRPr="00000000" w14:paraId="0000006C">
            <w:pPr>
              <w:rPr/>
            </w:pPr>
            <w:r w:rsidDel="00000000" w:rsidR="00000000" w:rsidRPr="00000000">
              <w:rPr>
                <w:rtl w:val="0"/>
              </w:rPr>
              <w:t xml:space="preserve">Key Action</w:t>
            </w:r>
          </w:p>
        </w:tc>
        <w:tc>
          <w:tcPr/>
          <w:p w:rsidR="00000000" w:rsidDel="00000000" w:rsidP="00000000" w:rsidRDefault="00000000" w:rsidRPr="00000000" w14:paraId="0000006D">
            <w:pPr>
              <w:rPr/>
            </w:pPr>
            <w:r w:rsidDel="00000000" w:rsidR="00000000" w:rsidRPr="00000000">
              <w:rPr>
                <w:rtl w:val="0"/>
              </w:rPr>
              <w:t xml:space="preserve">Expected Outcome</w:t>
            </w:r>
          </w:p>
        </w:tc>
      </w:tr>
      <w:tr>
        <w:trPr>
          <w:cantSplit w:val="0"/>
          <w:tblHeader w:val="0"/>
        </w:trPr>
        <w:tc>
          <w:tcPr/>
          <w:p w:rsidR="00000000" w:rsidDel="00000000" w:rsidP="00000000" w:rsidRDefault="00000000" w:rsidRPr="00000000" w14:paraId="0000006E">
            <w:pPr>
              <w:rPr/>
            </w:pPr>
            <w:r w:rsidDel="00000000" w:rsidR="00000000" w:rsidRPr="00000000">
              <w:rPr>
                <w:rtl w:val="0"/>
              </w:rPr>
              <w:t xml:space="preserve">1</w:t>
            </w:r>
          </w:p>
        </w:tc>
        <w:tc>
          <w:tcPr/>
          <w:p w:rsidR="00000000" w:rsidDel="00000000" w:rsidP="00000000" w:rsidRDefault="00000000" w:rsidRPr="00000000" w14:paraId="0000006F">
            <w:pPr>
              <w:rPr/>
            </w:pPr>
            <w:r w:rsidDel="00000000" w:rsidR="00000000" w:rsidRPr="00000000">
              <w:rPr>
                <w:rtl w:val="0"/>
              </w:rPr>
              <w:t xml:space="preserve">Leadership Training &amp; Literacy</w:t>
            </w:r>
          </w:p>
        </w:tc>
        <w:tc>
          <w:tcPr/>
          <w:p w:rsidR="00000000" w:rsidDel="00000000" w:rsidP="00000000" w:rsidRDefault="00000000" w:rsidRPr="00000000" w14:paraId="00000070">
            <w:pPr>
              <w:rPr/>
            </w:pPr>
            <w:r w:rsidDel="00000000" w:rsidR="00000000" w:rsidRPr="00000000">
              <w:rPr>
                <w:rtl w:val="0"/>
              </w:rPr>
              <w:t xml:space="preserve">Train managers to identify distress and foster open dialogue (Clegg et al., 2021).</w:t>
            </w:r>
          </w:p>
        </w:tc>
        <w:tc>
          <w:tcPr/>
          <w:p w:rsidR="00000000" w:rsidDel="00000000" w:rsidP="00000000" w:rsidRDefault="00000000" w:rsidRPr="00000000" w14:paraId="00000071">
            <w:pPr>
              <w:rPr/>
            </w:pPr>
            <w:r w:rsidDel="00000000" w:rsidR="00000000" w:rsidRPr="00000000">
              <w:rPr>
                <w:rtl w:val="0"/>
              </w:rPr>
              <w:t xml:space="preserve">Builds empathetic, supportive leadership culture.</w:t>
            </w:r>
          </w:p>
        </w:tc>
      </w:tr>
      <w:tr>
        <w:trPr>
          <w:cantSplit w:val="0"/>
          <w:tblHeader w:val="0"/>
        </w:trPr>
        <w:tc>
          <w:tcPr/>
          <w:p w:rsidR="00000000" w:rsidDel="00000000" w:rsidP="00000000" w:rsidRDefault="00000000" w:rsidRPr="00000000" w14:paraId="00000072">
            <w:pPr>
              <w:rPr/>
            </w:pPr>
            <w:r w:rsidDel="00000000" w:rsidR="00000000" w:rsidRPr="00000000">
              <w:rPr>
                <w:rtl w:val="0"/>
              </w:rPr>
              <w:t xml:space="preserve">2</w:t>
            </w:r>
          </w:p>
        </w:tc>
        <w:tc>
          <w:tcPr/>
          <w:p w:rsidR="00000000" w:rsidDel="00000000" w:rsidP="00000000" w:rsidRDefault="00000000" w:rsidRPr="00000000" w14:paraId="00000073">
            <w:pPr>
              <w:rPr/>
            </w:pPr>
            <w:r w:rsidDel="00000000" w:rsidR="00000000" w:rsidRPr="00000000">
              <w:rPr>
                <w:rtl w:val="0"/>
              </w:rPr>
              <w:t xml:space="preserve">Policy Integration</w:t>
            </w:r>
          </w:p>
        </w:tc>
        <w:tc>
          <w:tcPr/>
          <w:p w:rsidR="00000000" w:rsidDel="00000000" w:rsidP="00000000" w:rsidRDefault="00000000" w:rsidRPr="00000000" w14:paraId="00000074">
            <w:pPr>
              <w:rPr/>
            </w:pPr>
            <w:r w:rsidDel="00000000" w:rsidR="00000000" w:rsidRPr="00000000">
              <w:rPr>
                <w:rtl w:val="0"/>
              </w:rPr>
              <w:t xml:space="preserve">Embed mental health in CSR and sustainability policies (Costa &amp; Costa, 2022).</w:t>
            </w:r>
          </w:p>
        </w:tc>
        <w:tc>
          <w:tcPr/>
          <w:p w:rsidR="00000000" w:rsidDel="00000000" w:rsidP="00000000" w:rsidRDefault="00000000" w:rsidRPr="00000000" w14:paraId="00000075">
            <w:pPr>
              <w:rPr/>
            </w:pPr>
            <w:r w:rsidDel="00000000" w:rsidR="00000000" w:rsidRPr="00000000">
              <w:rPr>
                <w:rtl w:val="0"/>
              </w:rPr>
              <w:t xml:space="preserve">Aligns well-being with business goals and competitiveness.</w:t>
            </w:r>
          </w:p>
        </w:tc>
      </w:tr>
      <w:tr>
        <w:trPr>
          <w:cantSplit w:val="0"/>
          <w:tblHeader w:val="0"/>
        </w:trPr>
        <w:tc>
          <w:tcPr/>
          <w:p w:rsidR="00000000" w:rsidDel="00000000" w:rsidP="00000000" w:rsidRDefault="00000000" w:rsidRPr="00000000" w14:paraId="00000076">
            <w:pPr>
              <w:rPr/>
            </w:pPr>
            <w:r w:rsidDel="00000000" w:rsidR="00000000" w:rsidRPr="00000000">
              <w:rPr>
                <w:rtl w:val="0"/>
              </w:rPr>
              <w:t xml:space="preserve">3</w:t>
            </w:r>
          </w:p>
        </w:tc>
        <w:tc>
          <w:tcPr/>
          <w:p w:rsidR="00000000" w:rsidDel="00000000" w:rsidP="00000000" w:rsidRDefault="00000000" w:rsidRPr="00000000" w14:paraId="00000077">
            <w:pPr>
              <w:rPr/>
            </w:pPr>
            <w:r w:rsidDel="00000000" w:rsidR="00000000" w:rsidRPr="00000000">
              <w:rPr>
                <w:rtl w:val="0"/>
              </w:rPr>
              <w:t xml:space="preserve">Flexible Work Design</w:t>
            </w:r>
          </w:p>
        </w:tc>
        <w:tc>
          <w:tcPr/>
          <w:p w:rsidR="00000000" w:rsidDel="00000000" w:rsidP="00000000" w:rsidRDefault="00000000" w:rsidRPr="00000000" w14:paraId="00000078">
            <w:pPr>
              <w:rPr/>
            </w:pPr>
            <w:r w:rsidDel="00000000" w:rsidR="00000000" w:rsidRPr="00000000">
              <w:rPr>
                <w:rtl w:val="0"/>
              </w:rPr>
              <w:t xml:space="preserve">Offer schedule autonomy and adequate rest (Ford &amp; Sturman, 2020).</w:t>
            </w:r>
          </w:p>
        </w:tc>
        <w:tc>
          <w:tcPr/>
          <w:p w:rsidR="00000000" w:rsidDel="00000000" w:rsidP="00000000" w:rsidRDefault="00000000" w:rsidRPr="00000000" w14:paraId="00000079">
            <w:pPr>
              <w:rPr/>
            </w:pPr>
            <w:r w:rsidDel="00000000" w:rsidR="00000000" w:rsidRPr="00000000">
              <w:rPr>
                <w:rtl w:val="0"/>
              </w:rPr>
              <w:t xml:space="preserve">Reduces stress, improves job satisfaction and retention.</w:t>
            </w:r>
          </w:p>
        </w:tc>
      </w:tr>
      <w:tr>
        <w:trPr>
          <w:cantSplit w:val="0"/>
          <w:tblHeader w:val="0"/>
        </w:trPr>
        <w:tc>
          <w:tcPr/>
          <w:p w:rsidR="00000000" w:rsidDel="00000000" w:rsidP="00000000" w:rsidRDefault="00000000" w:rsidRPr="00000000" w14:paraId="0000007A">
            <w:pPr>
              <w:rPr/>
            </w:pPr>
            <w:r w:rsidDel="00000000" w:rsidR="00000000" w:rsidRPr="00000000">
              <w:rPr>
                <w:rtl w:val="0"/>
              </w:rPr>
              <w:t xml:space="preserve">4</w:t>
            </w:r>
          </w:p>
        </w:tc>
        <w:tc>
          <w:tcPr/>
          <w:p w:rsidR="00000000" w:rsidDel="00000000" w:rsidP="00000000" w:rsidRDefault="00000000" w:rsidRPr="00000000" w14:paraId="0000007B">
            <w:pPr>
              <w:rPr/>
            </w:pPr>
            <w:r w:rsidDel="00000000" w:rsidR="00000000" w:rsidRPr="00000000">
              <w:rPr>
                <w:rtl w:val="0"/>
              </w:rPr>
              <w:t xml:space="preserve">Digital Wellness Tools</w:t>
            </w:r>
          </w:p>
        </w:tc>
        <w:tc>
          <w:tcPr/>
          <w:p w:rsidR="00000000" w:rsidDel="00000000" w:rsidP="00000000" w:rsidRDefault="00000000" w:rsidRPr="00000000" w14:paraId="0000007C">
            <w:pPr>
              <w:rPr/>
            </w:pPr>
            <w:r w:rsidDel="00000000" w:rsidR="00000000" w:rsidRPr="00000000">
              <w:rPr>
                <w:rtl w:val="0"/>
              </w:rPr>
              <w:t xml:space="preserve">Use AI-based counselling and anonymous support (Ivanov &amp; Webster, 2019).</w:t>
            </w:r>
          </w:p>
        </w:tc>
        <w:tc>
          <w:tcPr/>
          <w:p w:rsidR="00000000" w:rsidDel="00000000" w:rsidP="00000000" w:rsidRDefault="00000000" w:rsidRPr="00000000" w14:paraId="0000007D">
            <w:pPr>
              <w:rPr/>
            </w:pPr>
            <w:r w:rsidDel="00000000" w:rsidR="00000000" w:rsidRPr="00000000">
              <w:rPr>
                <w:rtl w:val="0"/>
              </w:rPr>
              <w:t xml:space="preserve">Expands access to timely, confidential assistance.</w:t>
            </w:r>
          </w:p>
        </w:tc>
      </w:tr>
      <w:tr>
        <w:trPr>
          <w:cantSplit w:val="0"/>
          <w:tblHeader w:val="0"/>
        </w:trPr>
        <w:tc>
          <w:tcPr/>
          <w:p w:rsidR="00000000" w:rsidDel="00000000" w:rsidP="00000000" w:rsidRDefault="00000000" w:rsidRPr="00000000" w14:paraId="0000007E">
            <w:pPr>
              <w:rPr/>
            </w:pPr>
            <w:r w:rsidDel="00000000" w:rsidR="00000000" w:rsidRPr="00000000">
              <w:rPr>
                <w:rtl w:val="0"/>
              </w:rPr>
              <w:t xml:space="preserve">5</w:t>
            </w:r>
          </w:p>
        </w:tc>
        <w:tc>
          <w:tcPr/>
          <w:p w:rsidR="00000000" w:rsidDel="00000000" w:rsidP="00000000" w:rsidRDefault="00000000" w:rsidRPr="00000000" w14:paraId="0000007F">
            <w:pPr>
              <w:rPr/>
            </w:pPr>
            <w:r w:rsidDel="00000000" w:rsidR="00000000" w:rsidRPr="00000000">
              <w:rPr>
                <w:rtl w:val="0"/>
              </w:rPr>
              <w:t xml:space="preserve">Sector Collaboration</w:t>
            </w:r>
          </w:p>
        </w:tc>
        <w:tc>
          <w:tcPr/>
          <w:p w:rsidR="00000000" w:rsidDel="00000000" w:rsidP="00000000" w:rsidRDefault="00000000" w:rsidRPr="00000000" w14:paraId="00000080">
            <w:pPr>
              <w:rPr/>
            </w:pPr>
            <w:r w:rsidDel="00000000" w:rsidR="00000000" w:rsidRPr="00000000">
              <w:rPr>
                <w:rtl w:val="0"/>
              </w:rPr>
              <w:t xml:space="preserve">Share mental health resources across operators (Cooper &amp; Hall, 2019).</w:t>
            </w:r>
          </w:p>
        </w:tc>
        <w:tc>
          <w:tcPr/>
          <w:p w:rsidR="00000000" w:rsidDel="00000000" w:rsidP="00000000" w:rsidRDefault="00000000" w:rsidRPr="00000000" w14:paraId="00000081">
            <w:pPr>
              <w:rPr/>
            </w:pPr>
            <w:r w:rsidDel="00000000" w:rsidR="00000000" w:rsidRPr="00000000">
              <w:rPr>
                <w:rtl w:val="0"/>
              </w:rPr>
              <w:t xml:space="preserve">Promotes equality and collective resilience.</w:t>
            </w:r>
          </w:p>
        </w:tc>
      </w:tr>
      <w:tr>
        <w:trPr>
          <w:cantSplit w:val="0"/>
          <w:tblHeader w:val="0"/>
        </w:trPr>
        <w:tc>
          <w:tcPr/>
          <w:p w:rsidR="00000000" w:rsidDel="00000000" w:rsidP="00000000" w:rsidRDefault="00000000" w:rsidRPr="00000000" w14:paraId="00000082">
            <w:pPr>
              <w:rPr/>
            </w:pPr>
            <w:r w:rsidDel="00000000" w:rsidR="00000000" w:rsidRPr="00000000">
              <w:rPr>
                <w:rtl w:val="0"/>
              </w:rPr>
              <w:t xml:space="preserve">6</w:t>
            </w:r>
          </w:p>
        </w:tc>
        <w:tc>
          <w:tcPr/>
          <w:p w:rsidR="00000000" w:rsidDel="00000000" w:rsidP="00000000" w:rsidRDefault="00000000" w:rsidRPr="00000000" w14:paraId="00000083">
            <w:pPr>
              <w:rPr/>
            </w:pPr>
            <w:r w:rsidDel="00000000" w:rsidR="00000000" w:rsidRPr="00000000">
              <w:rPr>
                <w:rtl w:val="0"/>
              </w:rPr>
              <w:t xml:space="preserve">Continuous Evaluation</w:t>
            </w:r>
          </w:p>
        </w:tc>
        <w:tc>
          <w:tcPr/>
          <w:p w:rsidR="00000000" w:rsidDel="00000000" w:rsidP="00000000" w:rsidRDefault="00000000" w:rsidRPr="00000000" w14:paraId="00000084">
            <w:pPr>
              <w:rPr/>
            </w:pPr>
            <w:r w:rsidDel="00000000" w:rsidR="00000000" w:rsidRPr="00000000">
              <w:rPr>
                <w:rtl w:val="0"/>
              </w:rPr>
              <w:t xml:space="preserve">Conduct surveys and promote recognition culture (Brotherton, 2015).</w:t>
            </w:r>
          </w:p>
        </w:tc>
        <w:tc>
          <w:tcPr/>
          <w:p w:rsidR="00000000" w:rsidDel="00000000" w:rsidP="00000000" w:rsidRDefault="00000000" w:rsidRPr="00000000" w14:paraId="00000085">
            <w:pPr>
              <w:rPr/>
            </w:pPr>
            <w:r w:rsidDel="00000000" w:rsidR="00000000" w:rsidRPr="00000000">
              <w:rPr>
                <w:rtl w:val="0"/>
              </w:rPr>
              <w:t xml:space="preserve">Encourages ongoing improvement and psychological safety.</w:t>
            </w:r>
          </w:p>
        </w:tc>
      </w:tr>
    </w:tbl>
    <w:p w:rsidR="00000000" w:rsidDel="00000000" w:rsidP="00000000" w:rsidRDefault="00000000" w:rsidRPr="00000000" w14:paraId="00000086">
      <w:pPr>
        <w:rPr/>
      </w:pPr>
      <w:r w:rsidDel="00000000" w:rsidR="00000000" w:rsidRPr="00000000">
        <w:rPr>
          <w:rtl w:val="0"/>
        </w:rPr>
      </w:r>
    </w:p>
    <w:p w:rsidR="00000000" w:rsidDel="00000000" w:rsidP="00000000" w:rsidRDefault="00000000" w:rsidRPr="00000000" w14:paraId="00000087">
      <w:pPr>
        <w:rPr/>
      </w:pPr>
      <w:r w:rsidDel="00000000" w:rsidR="00000000" w:rsidRPr="00000000">
        <w:rPr>
          <w:rtl w:val="0"/>
        </w:rPr>
        <w:t xml:space="preserve">The mental health crisis within the hospitality industry needs multi-agency cooperation to effectively manage the issue. The development of leadership and mental health literacy should be taken as a priority as the managers are able to see the signs of distress early enough and offer empathetic care. Incorporation of psychological well-being into the corporate sustainability and CSR policies would mean that employee welfare becomes an organisational goal that can be measured and not something that can be sidelined. Furthermore, job demand and job control that are facilitated by Job Demand Control Model are able to help reduce occupational stress significantly, in addition to increasing job satisfaction and job retention. Traditionally supported systems can be supplemented by the implementation of digital wellness, i.e. AI-based counselling platforms, which provide employees with confidential and instant support. There should also be industry-wide co-operation in order to provide smaller operators with equal access to mental health resources by sharing programs or well-being hubs in regions. Lastly, the culture of openness, trust and belonging is nurtured by constant evaluation using feedback mechanisms, surveys, and reward schemes. Together, these measures will lead to a psychologically sustainable workforce, increased productivity, and increased organisational resilience, making mental health a major contributor to long-term competitiveness and social responsibility in the hospitality industry.</w:t>
      </w:r>
    </w:p>
    <w:p w:rsidR="00000000" w:rsidDel="00000000" w:rsidP="00000000" w:rsidRDefault="00000000" w:rsidRPr="00000000" w14:paraId="00000088">
      <w:pPr>
        <w:rPr/>
      </w:pPr>
      <w:r w:rsidDel="00000000" w:rsidR="00000000" w:rsidRPr="00000000">
        <w:br w:type="page"/>
      </w:r>
      <w:r w:rsidDel="00000000" w:rsidR="00000000" w:rsidRPr="00000000">
        <w:rPr>
          <w:rtl w:val="0"/>
        </w:rPr>
      </w:r>
    </w:p>
    <w:p w:rsidR="00000000" w:rsidDel="00000000" w:rsidP="00000000" w:rsidRDefault="00000000" w:rsidRPr="00000000" w14:paraId="00000089">
      <w:pPr>
        <w:pStyle w:val="Heading1"/>
        <w:rPr>
          <w:color w:val="000000"/>
        </w:rPr>
      </w:pPr>
      <w:bookmarkStart w:colFirst="0" w:colLast="0" w:name="_heading=h.diukkhbc9iyd" w:id="6"/>
      <w:bookmarkEnd w:id="6"/>
      <w:r w:rsidDel="00000000" w:rsidR="00000000" w:rsidRPr="00000000">
        <w:rPr>
          <w:color w:val="000000"/>
          <w:rtl w:val="0"/>
        </w:rPr>
        <w:t xml:space="preserve">References</w:t>
      </w:r>
    </w:p>
    <w:p w:rsidR="00000000" w:rsidDel="00000000" w:rsidP="00000000" w:rsidRDefault="00000000" w:rsidRPr="00000000" w14:paraId="0000008A">
      <w:pPr>
        <w:rPr/>
      </w:pPr>
      <w:r w:rsidDel="00000000" w:rsidR="00000000" w:rsidRPr="00000000">
        <w:rPr>
          <w:rtl w:val="0"/>
        </w:rPr>
      </w:r>
    </w:p>
    <w:p w:rsidR="00000000" w:rsidDel="00000000" w:rsidP="00000000" w:rsidRDefault="00000000" w:rsidRPr="00000000" w14:paraId="0000008B">
      <w:pPr>
        <w:rPr/>
      </w:pPr>
      <w:r w:rsidDel="00000000" w:rsidR="00000000" w:rsidRPr="00000000">
        <w:rPr>
          <w:rtl w:val="0"/>
        </w:rPr>
        <w:t xml:space="preserve">Akutey, A.B. - and Tiimub, B.M. (2021). </w:t>
      </w:r>
      <w:r w:rsidDel="00000000" w:rsidR="00000000" w:rsidRPr="00000000">
        <w:rPr>
          <w:i w:val="1"/>
          <w:rtl w:val="0"/>
        </w:rPr>
        <w:t xml:space="preserve">Triangulation in research</w:t>
      </w:r>
      <w:r w:rsidDel="00000000" w:rsidR="00000000" w:rsidRPr="00000000">
        <w:rPr>
          <w:rtl w:val="0"/>
        </w:rPr>
        <w:t xml:space="preserve">. [online] ResearchGate. Available at: https://www.researchgate.net/publication/355425953_Triangulation_in_Research [Accessed 20 Oct. 2025].</w:t>
      </w:r>
    </w:p>
    <w:p w:rsidR="00000000" w:rsidDel="00000000" w:rsidP="00000000" w:rsidRDefault="00000000" w:rsidRPr="00000000" w14:paraId="0000008C">
      <w:pPr>
        <w:rPr/>
      </w:pPr>
      <w:r w:rsidDel="00000000" w:rsidR="00000000" w:rsidRPr="00000000">
        <w:rPr>
          <w:rtl w:val="0"/>
        </w:rPr>
        <w:t xml:space="preserve">Annals of Tourism Research (2022); International Journal of Hospitality Management (2023); Journal of Sustainable Tourism (2023).</w:t>
      </w:r>
    </w:p>
    <w:p w:rsidR="00000000" w:rsidDel="00000000" w:rsidP="00000000" w:rsidRDefault="00000000" w:rsidRPr="00000000" w14:paraId="0000008D">
      <w:pPr>
        <w:rPr/>
      </w:pPr>
      <w:r w:rsidDel="00000000" w:rsidR="00000000" w:rsidRPr="00000000">
        <w:rPr>
          <w:rtl w:val="0"/>
        </w:rPr>
        <w:t xml:space="preserve">Batabyal, D. &amp; Das, D.K. (2019) </w:t>
      </w:r>
      <w:r w:rsidDel="00000000" w:rsidR="00000000" w:rsidRPr="00000000">
        <w:rPr>
          <w:i w:val="1"/>
          <w:rtl w:val="0"/>
        </w:rPr>
        <w:t xml:space="preserve">Global Trends, Practices, and Challenges in Contemporary Tourism and Hospitality Management</w:t>
      </w:r>
      <w:r w:rsidDel="00000000" w:rsidR="00000000" w:rsidRPr="00000000">
        <w:rPr>
          <w:rtl w:val="0"/>
        </w:rPr>
        <w:t xml:space="preserve">. Hershey, PA: IGI Global.</w:t>
      </w:r>
    </w:p>
    <w:p w:rsidR="00000000" w:rsidDel="00000000" w:rsidP="00000000" w:rsidRDefault="00000000" w:rsidRPr="00000000" w14:paraId="0000008E">
      <w:pPr>
        <w:rPr/>
      </w:pPr>
      <w:r w:rsidDel="00000000" w:rsidR="00000000" w:rsidRPr="00000000">
        <w:rPr>
          <w:rtl w:val="0"/>
        </w:rPr>
        <w:t xml:space="preserve">Brotherton, B. (2015) </w:t>
      </w:r>
      <w:r w:rsidDel="00000000" w:rsidR="00000000" w:rsidRPr="00000000">
        <w:rPr>
          <w:i w:val="1"/>
          <w:rtl w:val="0"/>
        </w:rPr>
        <w:t xml:space="preserve">Researching Hospitality &amp; Tourism</w:t>
      </w:r>
      <w:r w:rsidDel="00000000" w:rsidR="00000000" w:rsidRPr="00000000">
        <w:rPr>
          <w:rtl w:val="0"/>
        </w:rPr>
        <w:t xml:space="preserve">. 2nd edn. London: Sage.</w:t>
      </w:r>
    </w:p>
    <w:p w:rsidR="00000000" w:rsidDel="00000000" w:rsidP="00000000" w:rsidRDefault="00000000" w:rsidRPr="00000000" w14:paraId="0000008F">
      <w:pPr>
        <w:rPr/>
      </w:pPr>
      <w:r w:rsidDel="00000000" w:rsidR="00000000" w:rsidRPr="00000000">
        <w:rPr>
          <w:rtl w:val="0"/>
        </w:rPr>
        <w:t xml:space="preserve">Cheong, H., Lyons, A., Houghton, R. and Majumdar, A. (2023). Secondary Qualitative Research Methodology Using Online Data within the Context of Social Sciences. </w:t>
      </w:r>
      <w:r w:rsidDel="00000000" w:rsidR="00000000" w:rsidRPr="00000000">
        <w:rPr>
          <w:i w:val="1"/>
          <w:rtl w:val="0"/>
        </w:rPr>
        <w:t xml:space="preserve">International Journal of Qualitative Methods</w:t>
      </w:r>
      <w:r w:rsidDel="00000000" w:rsidR="00000000" w:rsidRPr="00000000">
        <w:rPr>
          <w:rtl w:val="0"/>
        </w:rPr>
        <w:t xml:space="preserve">, [online] 22(1), pp.1–19. Available at: https://journals.sagepub.com/doi/10.1177/16094069231180160 [Accessed 23A Oct. 2025].</w:t>
      </w:r>
    </w:p>
    <w:p w:rsidR="00000000" w:rsidDel="00000000" w:rsidP="00000000" w:rsidRDefault="00000000" w:rsidRPr="00000000" w14:paraId="00000090">
      <w:pPr>
        <w:rPr/>
      </w:pPr>
      <w:r w:rsidDel="00000000" w:rsidR="00000000" w:rsidRPr="00000000">
        <w:rPr>
          <w:rtl w:val="0"/>
        </w:rPr>
        <w:t xml:space="preserve">Clegg, S.R., Skyttermoen, T. &amp; Vaagaasar, A.L. (2021) </w:t>
      </w:r>
      <w:r w:rsidDel="00000000" w:rsidR="00000000" w:rsidRPr="00000000">
        <w:rPr>
          <w:i w:val="1"/>
          <w:rtl w:val="0"/>
        </w:rPr>
        <w:t xml:space="preserve">Project Management: A Value Creation Approach</w:t>
      </w:r>
      <w:r w:rsidDel="00000000" w:rsidR="00000000" w:rsidRPr="00000000">
        <w:rPr>
          <w:rtl w:val="0"/>
        </w:rPr>
        <w:t xml:space="preserve">. London: Sage.</w:t>
      </w:r>
    </w:p>
    <w:p w:rsidR="00000000" w:rsidDel="00000000" w:rsidP="00000000" w:rsidRDefault="00000000" w:rsidRPr="00000000" w14:paraId="00000091">
      <w:pPr>
        <w:rPr/>
      </w:pPr>
      <w:r w:rsidDel="00000000" w:rsidR="00000000" w:rsidRPr="00000000">
        <w:rPr>
          <w:rtl w:val="0"/>
        </w:rPr>
        <w:t xml:space="preserve">Clegg, S.R., Skyttermoen, T. &amp; Vaagaasar, A.L. (2021) </w:t>
      </w:r>
      <w:r w:rsidDel="00000000" w:rsidR="00000000" w:rsidRPr="00000000">
        <w:rPr>
          <w:i w:val="1"/>
          <w:rtl w:val="0"/>
        </w:rPr>
        <w:t xml:space="preserve">Project Management: A Value Creation Approach</w:t>
      </w:r>
      <w:r w:rsidDel="00000000" w:rsidR="00000000" w:rsidRPr="00000000">
        <w:rPr>
          <w:rtl w:val="0"/>
        </w:rPr>
        <w:t xml:space="preserve">. Sage, London.</w:t>
      </w:r>
    </w:p>
    <w:p w:rsidR="00000000" w:rsidDel="00000000" w:rsidP="00000000" w:rsidRDefault="00000000" w:rsidRPr="00000000" w14:paraId="00000092">
      <w:pPr>
        <w:rPr/>
      </w:pPr>
      <w:r w:rsidDel="00000000" w:rsidR="00000000" w:rsidRPr="00000000">
        <w:rPr>
          <w:rtl w:val="0"/>
        </w:rPr>
        <w:t xml:space="preserve">Cooper, C. &amp; Hall, M. (2019) </w:t>
      </w:r>
      <w:r w:rsidDel="00000000" w:rsidR="00000000" w:rsidRPr="00000000">
        <w:rPr>
          <w:i w:val="1"/>
          <w:rtl w:val="0"/>
        </w:rPr>
        <w:t xml:space="preserve">Contemporary Tourism: An International Approach</w:t>
      </w:r>
      <w:r w:rsidDel="00000000" w:rsidR="00000000" w:rsidRPr="00000000">
        <w:rPr>
          <w:rtl w:val="0"/>
        </w:rPr>
        <w:t xml:space="preserve">. 4th edn. Oxford: Goodfellow.</w:t>
      </w:r>
    </w:p>
    <w:p w:rsidR="00000000" w:rsidDel="00000000" w:rsidP="00000000" w:rsidRDefault="00000000" w:rsidRPr="00000000" w14:paraId="00000093">
      <w:pPr>
        <w:rPr/>
      </w:pPr>
      <w:r w:rsidDel="00000000" w:rsidR="00000000" w:rsidRPr="00000000">
        <w:rPr>
          <w:rtl w:val="0"/>
        </w:rPr>
        <w:t xml:space="preserve">Costa, V. &amp; Costa, C. (2022) </w:t>
      </w:r>
      <w:r w:rsidDel="00000000" w:rsidR="00000000" w:rsidRPr="00000000">
        <w:rPr>
          <w:i w:val="1"/>
          <w:rtl w:val="0"/>
        </w:rPr>
        <w:t xml:space="preserve">Sustainability and Competitiveness in the Hospitality Industry</w:t>
      </w:r>
      <w:r w:rsidDel="00000000" w:rsidR="00000000" w:rsidRPr="00000000">
        <w:rPr>
          <w:rtl w:val="0"/>
        </w:rPr>
        <w:t xml:space="preserve">. Hershey, PA: Business Science Reference.</w:t>
      </w:r>
    </w:p>
    <w:p w:rsidR="00000000" w:rsidDel="00000000" w:rsidP="00000000" w:rsidRDefault="00000000" w:rsidRPr="00000000" w14:paraId="00000094">
      <w:pPr>
        <w:rPr/>
      </w:pPr>
      <w:r w:rsidDel="00000000" w:rsidR="00000000" w:rsidRPr="00000000">
        <w:rPr>
          <w:rtl w:val="0"/>
        </w:rPr>
        <w:t xml:space="preserve">Dawson, J., Lemelin, H. &amp; Stewart, E. (2012) </w:t>
      </w:r>
      <w:r w:rsidDel="00000000" w:rsidR="00000000" w:rsidRPr="00000000">
        <w:rPr>
          <w:i w:val="1"/>
          <w:rtl w:val="0"/>
        </w:rPr>
        <w:t xml:space="preserve">Last Chance Tourism: Adapting Tourism Opportunities in a Changing World</w:t>
      </w:r>
      <w:r w:rsidDel="00000000" w:rsidR="00000000" w:rsidRPr="00000000">
        <w:rPr>
          <w:rtl w:val="0"/>
        </w:rPr>
        <w:t xml:space="preserve">. London: Routledge.</w:t>
      </w:r>
    </w:p>
    <w:p w:rsidR="00000000" w:rsidDel="00000000" w:rsidP="00000000" w:rsidRDefault="00000000" w:rsidRPr="00000000" w14:paraId="00000095">
      <w:pPr>
        <w:rPr/>
      </w:pPr>
      <w:r w:rsidDel="00000000" w:rsidR="00000000" w:rsidRPr="00000000">
        <w:rPr>
          <w:rtl w:val="0"/>
        </w:rPr>
        <w:t xml:space="preserve">Ford, R.C. &amp; Sturman, M.C. (2020) </w:t>
      </w:r>
      <w:r w:rsidDel="00000000" w:rsidR="00000000" w:rsidRPr="00000000">
        <w:rPr>
          <w:i w:val="1"/>
          <w:rtl w:val="0"/>
        </w:rPr>
        <w:t xml:space="preserve">Managing Hospitality Organizations</w:t>
      </w:r>
      <w:r w:rsidDel="00000000" w:rsidR="00000000" w:rsidRPr="00000000">
        <w:rPr>
          <w:rtl w:val="0"/>
        </w:rPr>
        <w:t xml:space="preserve">. 2nd edn. London: Sage.</w:t>
      </w:r>
    </w:p>
    <w:p w:rsidR="00000000" w:rsidDel="00000000" w:rsidP="00000000" w:rsidRDefault="00000000" w:rsidRPr="00000000" w14:paraId="00000096">
      <w:pPr>
        <w:rPr/>
      </w:pPr>
      <w:r w:rsidDel="00000000" w:rsidR="00000000" w:rsidRPr="00000000">
        <w:rPr>
          <w:rtl w:val="0"/>
        </w:rPr>
        <w:t xml:space="preserve">Hilton (2022). </w:t>
      </w:r>
      <w:r w:rsidDel="00000000" w:rsidR="00000000" w:rsidRPr="00000000">
        <w:rPr>
          <w:i w:val="1"/>
          <w:rtl w:val="0"/>
        </w:rPr>
        <w:t xml:space="preserve">What Is Thrive at Hilton? Q&amp;A with Hilton Benefits Leader</w:t>
      </w:r>
      <w:r w:rsidDel="00000000" w:rsidR="00000000" w:rsidRPr="00000000">
        <w:rPr>
          <w:rtl w:val="0"/>
        </w:rPr>
        <w:t xml:space="preserve">. [online] Hilton. Available at: https://jobs.hilton.com/us/en/blogarticle/what-is-thrive-at-hilton-qa-with-benefits-leader [Accessed 20 Oct. 2025].</w:t>
      </w:r>
    </w:p>
    <w:p w:rsidR="00000000" w:rsidDel="00000000" w:rsidP="00000000" w:rsidRDefault="00000000" w:rsidRPr="00000000" w14:paraId="00000097">
      <w:pPr>
        <w:rPr/>
      </w:pPr>
      <w:r w:rsidDel="00000000" w:rsidR="00000000" w:rsidRPr="00000000">
        <w:rPr>
          <w:rtl w:val="0"/>
        </w:rPr>
        <w:t xml:space="preserve">Hori, N. and Chao, R.-F. (2022). How emotional labor affects job performance in hospitality employees. </w:t>
      </w:r>
      <w:r w:rsidDel="00000000" w:rsidR="00000000" w:rsidRPr="00000000">
        <w:rPr>
          <w:i w:val="1"/>
          <w:rtl w:val="0"/>
        </w:rPr>
        <w:t xml:space="preserve">International Journal of Research in Business and Social Science (2147- 4478)</w:t>
      </w:r>
      <w:r w:rsidDel="00000000" w:rsidR="00000000" w:rsidRPr="00000000">
        <w:rPr>
          <w:rtl w:val="0"/>
        </w:rPr>
        <w:t xml:space="preserve">, 11(3), pp.151–160. doi:https://doi.org/10.20525/ijrbs.v11i3.1733.</w:t>
      </w:r>
    </w:p>
    <w:p w:rsidR="00000000" w:rsidDel="00000000" w:rsidP="00000000" w:rsidRDefault="00000000" w:rsidRPr="00000000" w14:paraId="00000098">
      <w:pPr>
        <w:rPr/>
      </w:pPr>
      <w:r w:rsidDel="00000000" w:rsidR="00000000" w:rsidRPr="00000000">
        <w:rPr>
          <w:rtl w:val="0"/>
        </w:rPr>
        <w:t xml:space="preserve">Ivanov, S. &amp; Webster, C. (2019) </w:t>
      </w:r>
      <w:r w:rsidDel="00000000" w:rsidR="00000000" w:rsidRPr="00000000">
        <w:rPr>
          <w:i w:val="1"/>
          <w:rtl w:val="0"/>
        </w:rPr>
        <w:t xml:space="preserve">Robots, Artificial Intelligence, and Service Automation in Travel, Tourism and Hospitality</w:t>
      </w:r>
      <w:r w:rsidDel="00000000" w:rsidR="00000000" w:rsidRPr="00000000">
        <w:rPr>
          <w:rtl w:val="0"/>
        </w:rPr>
        <w:t xml:space="preserve">. Bingley: Emerald Publishing.</w:t>
      </w:r>
    </w:p>
    <w:p w:rsidR="00000000" w:rsidDel="00000000" w:rsidP="00000000" w:rsidRDefault="00000000" w:rsidRPr="00000000" w14:paraId="00000099">
      <w:pPr>
        <w:rPr/>
      </w:pPr>
      <w:r w:rsidDel="00000000" w:rsidR="00000000" w:rsidRPr="00000000">
        <w:rPr>
          <w:rtl w:val="0"/>
        </w:rPr>
        <w:t xml:space="preserve">Long-Sutehall, T., Sque, M. and Addington-Hall, J. (2010). Secondary analysis of qualitative data: a valuable method for exploring sensitive issues with an elusive population? </w:t>
      </w:r>
      <w:r w:rsidDel="00000000" w:rsidR="00000000" w:rsidRPr="00000000">
        <w:rPr>
          <w:i w:val="1"/>
          <w:rtl w:val="0"/>
        </w:rPr>
        <w:t xml:space="preserve">Journal of Research in Nursing</w:t>
      </w:r>
      <w:r w:rsidDel="00000000" w:rsidR="00000000" w:rsidRPr="00000000">
        <w:rPr>
          <w:rtl w:val="0"/>
        </w:rPr>
        <w:t xml:space="preserve">, [online] 16(4), pp.335–344. doi:https://doi.org/10.1177/1744987110381553.</w:t>
      </w:r>
    </w:p>
    <w:p w:rsidR="00000000" w:rsidDel="00000000" w:rsidP="00000000" w:rsidRDefault="00000000" w:rsidRPr="00000000" w14:paraId="0000009A">
      <w:pPr>
        <w:rPr/>
      </w:pPr>
      <w:r w:rsidDel="00000000" w:rsidR="00000000" w:rsidRPr="00000000">
        <w:rPr>
          <w:rtl w:val="0"/>
        </w:rPr>
        <w:t xml:space="preserve">Marriott International (2016). </w:t>
      </w:r>
      <w:r w:rsidDel="00000000" w:rsidR="00000000" w:rsidRPr="00000000">
        <w:rPr>
          <w:i w:val="1"/>
          <w:rtl w:val="0"/>
        </w:rPr>
        <w:t xml:space="preserve">Need-Based Grants For Disaster Relief | Marriott International</w:t>
      </w:r>
      <w:r w:rsidDel="00000000" w:rsidR="00000000" w:rsidRPr="00000000">
        <w:rPr>
          <w:rtl w:val="0"/>
        </w:rPr>
        <w:t xml:space="preserve">. [online] Marriott.com. Available at: https://www.marriott.com/culture-and-values/takecare-relief-fund.mi [Accessed 21 Oct. 2025].</w:t>
      </w:r>
    </w:p>
    <w:p w:rsidR="00000000" w:rsidDel="00000000" w:rsidP="00000000" w:rsidRDefault="00000000" w:rsidRPr="00000000" w14:paraId="0000009B">
      <w:pPr>
        <w:rPr/>
      </w:pPr>
      <w:r w:rsidDel="00000000" w:rsidR="00000000" w:rsidRPr="00000000">
        <w:rPr>
          <w:rtl w:val="0"/>
        </w:rPr>
        <w:t xml:space="preserve">Martínez, N. (2024). </w:t>
      </w:r>
      <w:r w:rsidDel="00000000" w:rsidR="00000000" w:rsidRPr="00000000">
        <w:rPr>
          <w:i w:val="1"/>
          <w:rtl w:val="0"/>
        </w:rPr>
        <w:t xml:space="preserve">Understanding the link between mental health and sustainability</w:t>
      </w:r>
      <w:r w:rsidDel="00000000" w:rsidR="00000000" w:rsidRPr="00000000">
        <w:rPr>
          <w:rtl w:val="0"/>
        </w:rPr>
        <w:t xml:space="preserve">. [online] DoGood People. Available at: https://www.dogoodpeople.com/csr-trends/esg-criteria/social/understanding-the-link-between-mental-health-and-sustainability/ [Accessed 23 Oct. 2025].</w:t>
      </w:r>
    </w:p>
    <w:p w:rsidR="00000000" w:rsidDel="00000000" w:rsidP="00000000" w:rsidRDefault="00000000" w:rsidRPr="00000000" w14:paraId="0000009C">
      <w:pPr>
        <w:rPr/>
      </w:pPr>
      <w:r w:rsidDel="00000000" w:rsidR="00000000" w:rsidRPr="00000000">
        <w:rPr>
          <w:rtl w:val="0"/>
        </w:rPr>
        <w:t xml:space="preserve">Naeem, M., Ozuem, W., Howell, K. and Ranfagni, S. (2023). A step-by-step Process of Thematic Analysis to Develop a Conceptual Model in Qualitative Research. </w:t>
      </w:r>
      <w:r w:rsidDel="00000000" w:rsidR="00000000" w:rsidRPr="00000000">
        <w:rPr>
          <w:i w:val="1"/>
          <w:rtl w:val="0"/>
        </w:rPr>
        <w:t xml:space="preserve">International Journal of Qualitative Methods</w:t>
      </w:r>
      <w:r w:rsidDel="00000000" w:rsidR="00000000" w:rsidRPr="00000000">
        <w:rPr>
          <w:rtl w:val="0"/>
        </w:rPr>
        <w:t xml:space="preserve">, 22(1), pp.1–18. doi:https://doi.org/10.1177/16094069231205789.</w:t>
      </w:r>
    </w:p>
    <w:p w:rsidR="00000000" w:rsidDel="00000000" w:rsidP="00000000" w:rsidRDefault="00000000" w:rsidRPr="00000000" w14:paraId="0000009D">
      <w:pPr>
        <w:rPr/>
      </w:pPr>
      <w:r w:rsidDel="00000000" w:rsidR="00000000" w:rsidRPr="00000000">
        <w:rPr>
          <w:rtl w:val="0"/>
        </w:rPr>
        <w:t xml:space="preserve">Robson, C. (2016) </w:t>
      </w:r>
      <w:r w:rsidDel="00000000" w:rsidR="00000000" w:rsidRPr="00000000">
        <w:rPr>
          <w:i w:val="1"/>
          <w:rtl w:val="0"/>
        </w:rPr>
        <w:t xml:space="preserve">Real World Research</w:t>
      </w:r>
      <w:r w:rsidDel="00000000" w:rsidR="00000000" w:rsidRPr="00000000">
        <w:rPr>
          <w:rtl w:val="0"/>
        </w:rPr>
        <w:t xml:space="preserve">. Chichester: Wiley.</w:t>
      </w:r>
    </w:p>
    <w:p w:rsidR="00000000" w:rsidDel="00000000" w:rsidP="00000000" w:rsidRDefault="00000000" w:rsidRPr="00000000" w14:paraId="0000009E">
      <w:pPr>
        <w:rPr/>
      </w:pPr>
      <w:r w:rsidDel="00000000" w:rsidR="00000000" w:rsidRPr="00000000">
        <w:rPr>
          <w:rtl w:val="0"/>
        </w:rPr>
        <w:t xml:space="preserve">Santos, J.D. &amp; Silva, Ó.L. (2019) </w:t>
      </w:r>
      <w:r w:rsidDel="00000000" w:rsidR="00000000" w:rsidRPr="00000000">
        <w:rPr>
          <w:i w:val="1"/>
          <w:rtl w:val="0"/>
        </w:rPr>
        <w:t xml:space="preserve">Digital Marketing Strategies for Tourism, Hospitality, and Airline Industries</w:t>
      </w:r>
      <w:r w:rsidDel="00000000" w:rsidR="00000000" w:rsidRPr="00000000">
        <w:rPr>
          <w:rtl w:val="0"/>
        </w:rPr>
        <w:t xml:space="preserve">. Hershey, PA: IGI Global.</w:t>
      </w:r>
    </w:p>
    <w:p w:rsidR="00000000" w:rsidDel="00000000" w:rsidP="00000000" w:rsidRDefault="00000000" w:rsidRPr="00000000" w14:paraId="0000009F">
      <w:pPr>
        <w:rPr/>
      </w:pPr>
      <w:r w:rsidDel="00000000" w:rsidR="00000000" w:rsidRPr="00000000">
        <w:rPr>
          <w:rtl w:val="0"/>
        </w:rPr>
        <w:t xml:space="preserve">Sharma, M., Singh, A.K. &amp; Tyagi, P. (2024) </w:t>
      </w:r>
      <w:r w:rsidDel="00000000" w:rsidR="00000000" w:rsidRPr="00000000">
        <w:rPr>
          <w:i w:val="1"/>
          <w:rtl w:val="0"/>
        </w:rPr>
        <w:t xml:space="preserve">Proceedings of the International Conference on Innovation and Regenerative Trends in Tourism and Hospitality Industry (IRTTHI 2024)</w:t>
      </w:r>
      <w:r w:rsidDel="00000000" w:rsidR="00000000" w:rsidRPr="00000000">
        <w:rPr>
          <w:rtl w:val="0"/>
        </w:rPr>
        <w:t xml:space="preserve">. Dordrecht: Atlantis Press.</w:t>
      </w:r>
    </w:p>
    <w:p w:rsidR="00000000" w:rsidDel="00000000" w:rsidP="00000000" w:rsidRDefault="00000000" w:rsidRPr="00000000" w14:paraId="000000A0">
      <w:pPr>
        <w:rPr/>
      </w:pPr>
      <w:r w:rsidDel="00000000" w:rsidR="00000000" w:rsidRPr="00000000">
        <w:rPr>
          <w:rtl w:val="0"/>
        </w:rPr>
        <w:t xml:space="preserve">Tribe, J. (2009) </w:t>
      </w:r>
      <w:r w:rsidDel="00000000" w:rsidR="00000000" w:rsidRPr="00000000">
        <w:rPr>
          <w:i w:val="1"/>
          <w:rtl w:val="0"/>
        </w:rPr>
        <w:t xml:space="preserve">Philosophical Issues in Tourism</w:t>
      </w:r>
      <w:r w:rsidDel="00000000" w:rsidR="00000000" w:rsidRPr="00000000">
        <w:rPr>
          <w:rtl w:val="0"/>
        </w:rPr>
        <w:t xml:space="preserve">. Bristol: Channel View Publications.</w:t>
      </w:r>
    </w:p>
    <w:p w:rsidR="00000000" w:rsidDel="00000000" w:rsidP="00000000" w:rsidRDefault="00000000" w:rsidRPr="00000000" w14:paraId="000000A1">
      <w:pPr>
        <w:rPr/>
      </w:pPr>
      <w:r w:rsidDel="00000000" w:rsidR="00000000" w:rsidRPr="00000000">
        <w:rPr>
          <w:rtl w:val="0"/>
        </w:rPr>
        <w:t xml:space="preserve">Wahab, S. &amp; Cooper, C. (2005) </w:t>
      </w:r>
      <w:r w:rsidDel="00000000" w:rsidR="00000000" w:rsidRPr="00000000">
        <w:rPr>
          <w:i w:val="1"/>
          <w:rtl w:val="0"/>
        </w:rPr>
        <w:t xml:space="preserve">Tourism in the Age of Globalisation</w:t>
      </w:r>
      <w:r w:rsidDel="00000000" w:rsidR="00000000" w:rsidRPr="00000000">
        <w:rPr>
          <w:rtl w:val="0"/>
        </w:rPr>
        <w:t xml:space="preserve">. Abingdon: Routledge.</w:t>
      </w:r>
    </w:p>
    <w:p w:rsidR="00000000" w:rsidDel="00000000" w:rsidP="00000000" w:rsidRDefault="00000000" w:rsidRPr="00000000" w14:paraId="000000A2">
      <w:pPr>
        <w:rPr/>
      </w:pPr>
      <w:r w:rsidDel="00000000" w:rsidR="00000000" w:rsidRPr="00000000">
        <w:rPr>
          <w:rtl w:val="0"/>
        </w:rPr>
        <w:t xml:space="preserve">Washington State University (2025). </w:t>
      </w:r>
      <w:r w:rsidDel="00000000" w:rsidR="00000000" w:rsidRPr="00000000">
        <w:rPr>
          <w:i w:val="1"/>
          <w:rtl w:val="0"/>
        </w:rPr>
        <w:t xml:space="preserve">Industry Research: PESTEL Analysis</w:t>
      </w:r>
      <w:r w:rsidDel="00000000" w:rsidR="00000000" w:rsidRPr="00000000">
        <w:rPr>
          <w:rtl w:val="0"/>
        </w:rPr>
        <w:t xml:space="preserve">. [online] Washington State University. Available at: https://libguides.libraries.wsu.edu/c.php?g=294263&amp;p=4358409 [Accessed 22 Oct. 2025].</w:t>
      </w:r>
    </w:p>
    <w:p w:rsidR="00000000" w:rsidDel="00000000" w:rsidP="00000000" w:rsidRDefault="00000000" w:rsidRPr="00000000" w14:paraId="000000A3">
      <w:pPr>
        <w:rPr/>
      </w:pPr>
      <w:r w:rsidDel="00000000" w:rsidR="00000000" w:rsidRPr="00000000">
        <w:rPr>
          <w:rtl w:val="0"/>
        </w:rPr>
        <w:t xml:space="preserve">Wu, A., Roemer, E.C., Kent, K.B., Ballard, D.W. and Goetzel, R.Z. (2021). Organizational best practices supporting mental health in the workplace. </w:t>
      </w:r>
      <w:r w:rsidDel="00000000" w:rsidR="00000000" w:rsidRPr="00000000">
        <w:rPr>
          <w:i w:val="1"/>
          <w:rtl w:val="0"/>
        </w:rPr>
        <w:t xml:space="preserve">Journal of Occupational &amp; Environmental Medicine</w:t>
      </w:r>
      <w:r w:rsidDel="00000000" w:rsidR="00000000" w:rsidRPr="00000000">
        <w:rPr>
          <w:rtl w:val="0"/>
        </w:rPr>
        <w:t xml:space="preserve">, [online] 63(12), pp.925–931. doi:https://doi.org/10.1097/JOM.0000000000002407.</w:t>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ourier New"/>
  <w:font w:name="Aptos"/>
  <w:font w:name="Play">
    <w:embedRegular w:fontKey="{00000000-0000-0000-0000-000000000000}" r:id="rId1" w:subsetted="0"/>
    <w:embedBold w:fontKey="{00000000-0000-0000-0000-000000000000}" r:id="rId2" w:subsetted="0"/>
  </w:font>
  <w:font w:name="Noto Sans Symbols">
    <w:embedRegular w:fontKey="{00000000-0000-0000-0000-000000000000}" r:id="rId3" w:subsetted="0"/>
    <w:embedBold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4"/>
        <w:szCs w:val="24"/>
        <w:lang w:val="en_GB"/>
      </w:rPr>
    </w:rPrDefault>
    <w:pPrDefault>
      <w:pPr>
        <w:spacing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before="240" w:lineRule="auto"/>
    </w:pPr>
    <w:rPr>
      <w:color w:val="0f4761"/>
      <w:sz w:val="32"/>
      <w:szCs w:val="32"/>
    </w:rPr>
  </w:style>
  <w:style w:type="paragraph" w:styleId="Heading2">
    <w:name w:val="heading 2"/>
    <w:basedOn w:val="Normal"/>
    <w:next w:val="Normal"/>
    <w:pPr>
      <w:keepNext w:val="1"/>
      <w:keepLines w:val="1"/>
      <w:spacing w:before="40" w:lineRule="auto"/>
    </w:pPr>
    <w:rPr>
      <w:color w:val="0f4761"/>
      <w:sz w:val="28"/>
      <w:szCs w:val="28"/>
    </w:rPr>
  </w:style>
  <w:style w:type="paragraph" w:styleId="Heading3">
    <w:name w:val="heading 3"/>
    <w:basedOn w:val="Normal"/>
    <w:next w:val="Normal"/>
    <w:pPr>
      <w:keepNext w:val="1"/>
      <w:keepLines w:val="1"/>
      <w:spacing w:after="80" w:before="160" w:lineRule="auto"/>
    </w:pPr>
    <w:rPr>
      <w:rFonts w:ascii="Aptos" w:cs="Aptos" w:eastAsia="Aptos" w:hAnsi="Aptos"/>
      <w:color w:val="0f4761"/>
      <w:sz w:val="28"/>
      <w:szCs w:val="28"/>
    </w:rPr>
  </w:style>
  <w:style w:type="paragraph" w:styleId="Heading4">
    <w:name w:val="heading 4"/>
    <w:basedOn w:val="Normal"/>
    <w:next w:val="Normal"/>
    <w:pPr>
      <w:keepNext w:val="1"/>
      <w:keepLines w:val="1"/>
      <w:spacing w:after="40" w:before="80" w:lineRule="auto"/>
    </w:pPr>
    <w:rPr>
      <w:rFonts w:ascii="Aptos" w:cs="Aptos" w:eastAsia="Aptos" w:hAnsi="Aptos"/>
      <w:i w:val="1"/>
      <w:color w:val="0f4761"/>
    </w:rPr>
  </w:style>
  <w:style w:type="paragraph" w:styleId="Heading5">
    <w:name w:val="heading 5"/>
    <w:basedOn w:val="Normal"/>
    <w:next w:val="Normal"/>
    <w:pPr>
      <w:keepNext w:val="1"/>
      <w:keepLines w:val="1"/>
      <w:spacing w:after="40" w:before="80" w:lineRule="auto"/>
    </w:pPr>
    <w:rPr>
      <w:rFonts w:ascii="Aptos" w:cs="Aptos" w:eastAsia="Aptos" w:hAnsi="Aptos"/>
      <w:color w:val="0f4761"/>
    </w:rPr>
  </w:style>
  <w:style w:type="paragraph" w:styleId="Heading6">
    <w:name w:val="heading 6"/>
    <w:basedOn w:val="Normal"/>
    <w:next w:val="Normal"/>
    <w:pPr>
      <w:keepNext w:val="1"/>
      <w:keepLines w:val="1"/>
      <w:spacing w:before="40" w:lineRule="auto"/>
    </w:pPr>
    <w:rPr>
      <w:rFonts w:ascii="Aptos" w:cs="Aptos" w:eastAsia="Aptos" w:hAnsi="Aptos"/>
      <w:i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Heading7">
    <w:name w:val="heading 7"/>
    <w:basedOn w:val="Normal"/>
    <w:next w:val="Normal"/>
    <w:link w:val="Heading7Char"/>
    <w:uiPriority w:val="9"/>
    <w:semiHidden w:val="1"/>
    <w:unhideWhenUsed w:val="1"/>
    <w:qFormat w:val="1"/>
    <w:rsid w:val="00D36180"/>
    <w:pPr>
      <w:keepNext w:val="1"/>
      <w:keepLines w:val="1"/>
      <w:spacing w:before="40"/>
      <w:outlineLvl w:val="6"/>
    </w:pPr>
    <w:rPr>
      <w:rFonts w:asciiTheme="minorHAnsi" w:cstheme="majorBidi" w:eastAsiaTheme="majorEastAsia" w:hAnsiTheme="minorHAnsi"/>
      <w:color w:val="595959" w:themeColor="text1" w:themeTint="0000A6"/>
    </w:rPr>
  </w:style>
  <w:style w:type="paragraph" w:styleId="Heading8">
    <w:name w:val="heading 8"/>
    <w:basedOn w:val="Normal"/>
    <w:next w:val="Normal"/>
    <w:link w:val="Heading8Char"/>
    <w:uiPriority w:val="9"/>
    <w:semiHidden w:val="1"/>
    <w:unhideWhenUsed w:val="1"/>
    <w:qFormat w:val="1"/>
    <w:rsid w:val="00D36180"/>
    <w:pPr>
      <w:keepNext w:val="1"/>
      <w:keepLines w:val="1"/>
      <w:outlineLvl w:val="7"/>
    </w:pPr>
    <w:rPr>
      <w:rFonts w:asciiTheme="minorHAnsi" w:cstheme="majorBidi" w:eastAsiaTheme="majorEastAsia" w:hAnsiTheme="minorHAnsi"/>
      <w:i w:val="1"/>
      <w:iCs w:val="1"/>
      <w:color w:val="272727" w:themeColor="text1" w:themeTint="0000D8"/>
    </w:rPr>
  </w:style>
  <w:style w:type="paragraph" w:styleId="Heading9">
    <w:name w:val="heading 9"/>
    <w:basedOn w:val="Normal"/>
    <w:next w:val="Normal"/>
    <w:link w:val="Heading9Char"/>
    <w:uiPriority w:val="9"/>
    <w:semiHidden w:val="1"/>
    <w:unhideWhenUsed w:val="1"/>
    <w:qFormat w:val="1"/>
    <w:rsid w:val="00D36180"/>
    <w:pPr>
      <w:keepNext w:val="1"/>
      <w:keepLines w:val="1"/>
      <w:outlineLvl w:val="8"/>
    </w:pPr>
    <w:rPr>
      <w:rFonts w:asciiTheme="minorHAnsi" w:cstheme="majorBidi" w:eastAsiaTheme="majorEastAsia" w:hAnsiTheme="minorHAnsi"/>
      <w:color w:val="272727" w:themeColor="text1" w:themeTint="0000D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DD3C9C"/>
    <w:rPr>
      <w:rFonts w:ascii="Arial" w:hAnsi="Arial" w:cstheme="majorBidi" w:eastAsiaTheme="majorEastAsia"/>
      <w:color w:val="0f4761" w:themeColor="accent1" w:themeShade="0000BF"/>
      <w:sz w:val="32"/>
      <w:szCs w:val="32"/>
    </w:rPr>
  </w:style>
  <w:style w:type="character" w:styleId="Heading2Char" w:customStyle="1">
    <w:name w:val="Heading 2 Char"/>
    <w:basedOn w:val="DefaultParagraphFont"/>
    <w:link w:val="Heading2"/>
    <w:uiPriority w:val="9"/>
    <w:rsid w:val="000F5BF2"/>
    <w:rPr>
      <w:rFonts w:ascii="Arial" w:hAnsi="Arial" w:cstheme="majorBidi" w:eastAsiaTheme="majorEastAsia"/>
      <w:color w:val="0f4761" w:themeColor="accent1" w:themeShade="0000BF"/>
      <w:sz w:val="28"/>
      <w:szCs w:val="26"/>
    </w:rPr>
  </w:style>
  <w:style w:type="character" w:styleId="Heading3Char" w:customStyle="1">
    <w:name w:val="Heading 3 Char"/>
    <w:basedOn w:val="DefaultParagraphFont"/>
    <w:link w:val="Heading3"/>
    <w:uiPriority w:val="9"/>
    <w:semiHidden w:val="1"/>
    <w:rsid w:val="00D36180"/>
    <w:rPr>
      <w:rFonts w:cstheme="majorBidi" w:eastAsiaTheme="majorEastAsia"/>
      <w:color w:val="0f4761" w:themeColor="accent1" w:themeShade="0000BF"/>
      <w:sz w:val="28"/>
      <w:lang w:bidi="ar-SA"/>
    </w:rPr>
  </w:style>
  <w:style w:type="character" w:styleId="Heading4Char" w:customStyle="1">
    <w:name w:val="Heading 4 Char"/>
    <w:basedOn w:val="DefaultParagraphFont"/>
    <w:link w:val="Heading4"/>
    <w:uiPriority w:val="9"/>
    <w:semiHidden w:val="1"/>
    <w:rsid w:val="00D36180"/>
    <w:rPr>
      <w:rFonts w:cstheme="majorBidi" w:eastAsiaTheme="majorEastAsia"/>
      <w:i w:val="1"/>
      <w:iCs w:val="1"/>
      <w:color w:val="0f4761" w:themeColor="accent1" w:themeShade="0000BF"/>
      <w:sz w:val="24"/>
      <w:szCs w:val="22"/>
      <w:lang w:bidi="ar-SA"/>
    </w:rPr>
  </w:style>
  <w:style w:type="character" w:styleId="Heading5Char" w:customStyle="1">
    <w:name w:val="Heading 5 Char"/>
    <w:basedOn w:val="DefaultParagraphFont"/>
    <w:link w:val="Heading5"/>
    <w:uiPriority w:val="9"/>
    <w:semiHidden w:val="1"/>
    <w:rsid w:val="00D36180"/>
    <w:rPr>
      <w:rFonts w:cstheme="majorBidi" w:eastAsiaTheme="majorEastAsia"/>
      <w:color w:val="0f4761" w:themeColor="accent1" w:themeShade="0000BF"/>
      <w:sz w:val="24"/>
      <w:szCs w:val="22"/>
      <w:lang w:bidi="ar-SA"/>
    </w:rPr>
  </w:style>
  <w:style w:type="character" w:styleId="Heading6Char" w:customStyle="1">
    <w:name w:val="Heading 6 Char"/>
    <w:basedOn w:val="DefaultParagraphFont"/>
    <w:link w:val="Heading6"/>
    <w:uiPriority w:val="9"/>
    <w:semiHidden w:val="1"/>
    <w:rsid w:val="00D36180"/>
    <w:rPr>
      <w:rFonts w:cstheme="majorBidi" w:eastAsiaTheme="majorEastAsia"/>
      <w:i w:val="1"/>
      <w:iCs w:val="1"/>
      <w:color w:val="595959" w:themeColor="text1" w:themeTint="0000A6"/>
      <w:sz w:val="24"/>
      <w:szCs w:val="22"/>
      <w:lang w:bidi="ar-SA"/>
    </w:rPr>
  </w:style>
  <w:style w:type="character" w:styleId="Heading7Char" w:customStyle="1">
    <w:name w:val="Heading 7 Char"/>
    <w:basedOn w:val="DefaultParagraphFont"/>
    <w:link w:val="Heading7"/>
    <w:uiPriority w:val="9"/>
    <w:semiHidden w:val="1"/>
    <w:rsid w:val="00D36180"/>
    <w:rPr>
      <w:rFonts w:cstheme="majorBidi" w:eastAsiaTheme="majorEastAsia"/>
      <w:color w:val="595959" w:themeColor="text1" w:themeTint="0000A6"/>
      <w:sz w:val="24"/>
      <w:szCs w:val="22"/>
      <w:lang w:bidi="ar-SA"/>
    </w:rPr>
  </w:style>
  <w:style w:type="character" w:styleId="Heading8Char" w:customStyle="1">
    <w:name w:val="Heading 8 Char"/>
    <w:basedOn w:val="DefaultParagraphFont"/>
    <w:link w:val="Heading8"/>
    <w:uiPriority w:val="9"/>
    <w:semiHidden w:val="1"/>
    <w:rsid w:val="00D36180"/>
    <w:rPr>
      <w:rFonts w:cstheme="majorBidi" w:eastAsiaTheme="majorEastAsia"/>
      <w:i w:val="1"/>
      <w:iCs w:val="1"/>
      <w:color w:val="272727" w:themeColor="text1" w:themeTint="0000D8"/>
      <w:sz w:val="24"/>
      <w:szCs w:val="22"/>
      <w:lang w:bidi="ar-SA"/>
    </w:rPr>
  </w:style>
  <w:style w:type="character" w:styleId="Heading9Char" w:customStyle="1">
    <w:name w:val="Heading 9 Char"/>
    <w:basedOn w:val="DefaultParagraphFont"/>
    <w:link w:val="Heading9"/>
    <w:uiPriority w:val="9"/>
    <w:semiHidden w:val="1"/>
    <w:rsid w:val="00D36180"/>
    <w:rPr>
      <w:rFonts w:cstheme="majorBidi" w:eastAsiaTheme="majorEastAsia"/>
      <w:color w:val="272727" w:themeColor="text1" w:themeTint="0000D8"/>
      <w:sz w:val="24"/>
      <w:szCs w:val="22"/>
      <w:lang w:bidi="ar-SA"/>
    </w:rPr>
  </w:style>
  <w:style w:type="character" w:styleId="TitleChar" w:customStyle="1">
    <w:name w:val="Title Char"/>
    <w:basedOn w:val="DefaultParagraphFont"/>
    <w:link w:val="Title"/>
    <w:uiPriority w:val="10"/>
    <w:rsid w:val="00D36180"/>
    <w:rPr>
      <w:rFonts w:asciiTheme="majorHAnsi" w:cstheme="majorBidi" w:eastAsiaTheme="majorEastAsia" w:hAnsiTheme="majorHAnsi"/>
      <w:spacing w:val="-10"/>
      <w:kern w:val="28"/>
      <w:sz w:val="56"/>
      <w:szCs w:val="56"/>
      <w:lang w:bidi="ar-SA"/>
    </w:rPr>
  </w:style>
  <w:style w:type="character" w:styleId="SubtitleChar" w:customStyle="1">
    <w:name w:val="Subtitle Char"/>
    <w:basedOn w:val="DefaultParagraphFont"/>
    <w:link w:val="Subtitle"/>
    <w:uiPriority w:val="11"/>
    <w:rsid w:val="00D36180"/>
    <w:rPr>
      <w:rFonts w:cstheme="majorBidi" w:eastAsiaTheme="majorEastAsia"/>
      <w:color w:val="595959" w:themeColor="text1" w:themeTint="0000A6"/>
      <w:spacing w:val="15"/>
      <w:sz w:val="28"/>
      <w:lang w:bidi="ar-SA"/>
    </w:rPr>
  </w:style>
  <w:style w:type="paragraph" w:styleId="Quote">
    <w:name w:val="Quote"/>
    <w:basedOn w:val="Normal"/>
    <w:next w:val="Normal"/>
    <w:link w:val="QuoteChar"/>
    <w:uiPriority w:val="29"/>
    <w:qFormat w:val="1"/>
    <w:rsid w:val="00D36180"/>
    <w:pPr>
      <w:spacing w:after="160" w:before="160"/>
      <w:jc w:val="center"/>
    </w:pPr>
    <w:rPr>
      <w:i w:val="1"/>
      <w:iCs w:val="1"/>
      <w:color w:val="404040" w:themeColor="text1" w:themeTint="0000BF"/>
    </w:rPr>
  </w:style>
  <w:style w:type="character" w:styleId="QuoteChar" w:customStyle="1">
    <w:name w:val="Quote Char"/>
    <w:basedOn w:val="DefaultParagraphFont"/>
    <w:link w:val="Quote"/>
    <w:uiPriority w:val="29"/>
    <w:rsid w:val="00D36180"/>
    <w:rPr>
      <w:rFonts w:ascii="Arial" w:cs="Times New Roman" w:hAnsi="Arial"/>
      <w:i w:val="1"/>
      <w:iCs w:val="1"/>
      <w:color w:val="404040" w:themeColor="text1" w:themeTint="0000BF"/>
      <w:sz w:val="24"/>
      <w:szCs w:val="22"/>
      <w:lang w:bidi="ar-SA"/>
    </w:rPr>
  </w:style>
  <w:style w:type="paragraph" w:styleId="ListParagraph">
    <w:name w:val="List Paragraph"/>
    <w:basedOn w:val="Normal"/>
    <w:uiPriority w:val="34"/>
    <w:qFormat w:val="1"/>
    <w:rsid w:val="00D36180"/>
    <w:pPr>
      <w:ind w:left="720"/>
      <w:contextualSpacing w:val="1"/>
    </w:pPr>
  </w:style>
  <w:style w:type="character" w:styleId="IntenseEmphasis">
    <w:name w:val="Intense Emphasis"/>
    <w:basedOn w:val="DefaultParagraphFont"/>
    <w:uiPriority w:val="21"/>
    <w:qFormat w:val="1"/>
    <w:rsid w:val="00D36180"/>
    <w:rPr>
      <w:i w:val="1"/>
      <w:iCs w:val="1"/>
      <w:color w:val="0f4761" w:themeColor="accent1" w:themeShade="0000BF"/>
    </w:rPr>
  </w:style>
  <w:style w:type="paragraph" w:styleId="IntenseQuote">
    <w:name w:val="Intense Quote"/>
    <w:basedOn w:val="Normal"/>
    <w:next w:val="Normal"/>
    <w:link w:val="IntenseQuoteChar"/>
    <w:uiPriority w:val="30"/>
    <w:qFormat w:val="1"/>
    <w:rsid w:val="00D36180"/>
    <w:pPr>
      <w:pBdr>
        <w:top w:color="0f4761" w:space="10" w:sz="4" w:themeColor="accent1" w:themeShade="0000BF" w:val="single"/>
        <w:bottom w:color="0f4761" w:space="10" w:sz="4" w:themeColor="accent1" w:themeShade="0000BF" w:val="single"/>
      </w:pBdr>
      <w:spacing w:after="360" w:before="360"/>
      <w:ind w:left="864" w:right="864"/>
      <w:jc w:val="center"/>
    </w:pPr>
    <w:rPr>
      <w:i w:val="1"/>
      <w:iCs w:val="1"/>
      <w:color w:val="0f4761" w:themeColor="accent1" w:themeShade="0000BF"/>
    </w:rPr>
  </w:style>
  <w:style w:type="character" w:styleId="IntenseQuoteChar" w:customStyle="1">
    <w:name w:val="Intense Quote Char"/>
    <w:basedOn w:val="DefaultParagraphFont"/>
    <w:link w:val="IntenseQuote"/>
    <w:uiPriority w:val="30"/>
    <w:rsid w:val="00D36180"/>
    <w:rPr>
      <w:rFonts w:ascii="Arial" w:cs="Times New Roman" w:hAnsi="Arial"/>
      <w:i w:val="1"/>
      <w:iCs w:val="1"/>
      <w:color w:val="0f4761" w:themeColor="accent1" w:themeShade="0000BF"/>
      <w:sz w:val="24"/>
      <w:szCs w:val="22"/>
      <w:lang w:bidi="ar-SA"/>
    </w:rPr>
  </w:style>
  <w:style w:type="character" w:styleId="IntenseReference">
    <w:name w:val="Intense Reference"/>
    <w:basedOn w:val="DefaultParagraphFont"/>
    <w:uiPriority w:val="32"/>
    <w:qFormat w:val="1"/>
    <w:rsid w:val="00D36180"/>
    <w:rPr>
      <w:b w:val="1"/>
      <w:bCs w:val="1"/>
      <w:smallCaps w:val="1"/>
      <w:color w:val="0f4761" w:themeColor="accent1" w:themeShade="0000BF"/>
      <w:spacing w:val="5"/>
    </w:rPr>
  </w:style>
  <w:style w:type="table" w:styleId="PlainTable1">
    <w:name w:val="Plain Table 1"/>
    <w:basedOn w:val="TableNormal"/>
    <w:uiPriority w:val="41"/>
    <w:rsid w:val="00D36180"/>
    <w:pPr>
      <w:spacing w:after="0" w:line="240" w:lineRule="auto"/>
    </w:pPr>
    <w:tblPr>
      <w:tblStyleRowBandSize w:val="1"/>
      <w:tblStyleColBandSize w:val="1"/>
      <w:tblBorders>
        <w:top w:color="bfbfbf" w:space="0" w:sz="4" w:themeColor="background1" w:themeShade="0000BF" w:val="single"/>
        <w:left w:color="bfbfbf" w:space="0" w:sz="4" w:themeColor="background1" w:themeShade="0000BF" w:val="single"/>
        <w:bottom w:color="bfbfbf" w:space="0" w:sz="4" w:themeColor="background1" w:themeShade="0000BF" w:val="single"/>
        <w:right w:color="bfbfbf" w:space="0" w:sz="4" w:themeColor="background1" w:themeShade="0000BF" w:val="single"/>
        <w:insideH w:color="bfbfbf" w:space="0" w:sz="4" w:themeColor="background1" w:themeShade="0000BF" w:val="single"/>
        <w:insideV w:color="bfbfbf" w:space="0" w:sz="4" w:themeColor="background1" w:themeShade="0000BF" w:val="single"/>
      </w:tblBorders>
    </w:tblPr>
    <w:tblStylePr w:type="firstRow">
      <w:rPr>
        <w:b w:val="1"/>
        <w:bCs w:val="1"/>
      </w:rPr>
    </w:tblStylePr>
    <w:tblStylePr w:type="lastRow">
      <w:rPr>
        <w:b w:val="1"/>
        <w:bCs w:val="1"/>
      </w:rPr>
      <w:tblPr/>
      <w:tcPr>
        <w:tcBorders>
          <w:top w:color="bfbfbf" w:space="0" w:sz="4" w:themeColor="background1" w:themeShade="0000BF" w:val="double"/>
        </w:tcBorders>
      </w:tcPr>
    </w:tblStylePr>
    <w:tblStylePr w:type="firstCol">
      <w:rPr>
        <w:b w:val="1"/>
        <w:bCs w:val="1"/>
      </w:rPr>
    </w:tblStylePr>
    <w:tblStylePr w:type="lastCol">
      <w:rPr>
        <w:b w:val="1"/>
        <w:bCs w:val="1"/>
      </w:rPr>
    </w:tblStylePr>
    <w:tblStylePr w:type="band1Vert">
      <w:tblPr/>
      <w:tcPr>
        <w:shd w:color="auto" w:fill="f2f2f2" w:themeFill="background1" w:themeFillShade="0000F2" w:val="clear"/>
      </w:tcPr>
    </w:tblStylePr>
    <w:tblStylePr w:type="band1Horz">
      <w:tblPr/>
      <w:tcPr>
        <w:shd w:color="auto" w:fill="f2f2f2" w:themeFill="background1" w:themeFillShade="0000F2" w:val="clear"/>
      </w:tcPr>
    </w:tblStylePr>
  </w:style>
  <w:style w:type="paragraph" w:styleId="TOCHeading">
    <w:name w:val="TOC Heading"/>
    <w:basedOn w:val="Heading1"/>
    <w:next w:val="Normal"/>
    <w:uiPriority w:val="39"/>
    <w:unhideWhenUsed w:val="1"/>
    <w:qFormat w:val="1"/>
    <w:rsid w:val="00C568B2"/>
    <w:pPr>
      <w:spacing w:line="259" w:lineRule="auto"/>
      <w:jc w:val="left"/>
      <w:outlineLvl w:val="9"/>
    </w:pPr>
    <w:rPr>
      <w:rFonts w:asciiTheme="majorHAnsi" w:hAnsiTheme="majorHAnsi"/>
      <w:lang w:bidi="bn-IN"/>
    </w:rPr>
  </w:style>
  <w:style w:type="paragraph" w:styleId="TOC1">
    <w:name w:val="toc 1"/>
    <w:basedOn w:val="Normal"/>
    <w:next w:val="Normal"/>
    <w:autoRedefine w:val="1"/>
    <w:uiPriority w:val="39"/>
    <w:unhideWhenUsed w:val="1"/>
    <w:rsid w:val="00C568B2"/>
    <w:pPr>
      <w:spacing w:after="100"/>
    </w:pPr>
  </w:style>
  <w:style w:type="character" w:styleId="Hyperlink">
    <w:name w:val="Hyperlink"/>
    <w:basedOn w:val="DefaultParagraphFont"/>
    <w:uiPriority w:val="99"/>
    <w:unhideWhenUsed w:val="1"/>
    <w:rsid w:val="00C568B2"/>
    <w:rPr>
      <w:color w:val="467886" w:themeColor="hyperlink"/>
      <w:u w:val="single"/>
    </w:rPr>
  </w:style>
  <w:style w:type="paragraph" w:styleId="Subtitle">
    <w:name w:val="Subtitle"/>
    <w:basedOn w:val="Normal"/>
    <w:next w:val="Normal"/>
    <w:pPr>
      <w:spacing w:after="160" w:lineRule="auto"/>
    </w:pPr>
    <w:rPr>
      <w:rFonts w:ascii="Aptos" w:cs="Aptos" w:eastAsia="Aptos" w:hAnsi="Aptos"/>
      <w:color w:val="595959"/>
      <w:sz w:val="28"/>
      <w:szCs w:val="2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f2f2f2" w:val="clear"/>
      </w:tcPr>
    </w:tblStylePr>
    <w:tblStylePr w:type="band1Vert">
      <w:tcPr>
        <w:shd w:fill="f2f2f2" w:val="clear"/>
      </w:tcPr>
    </w:tblStylePr>
    <w:tblStylePr w:type="firstCol">
      <w:rPr>
        <w:b w:val="1"/>
      </w:rPr>
    </w:tblStylePr>
    <w:tblStylePr w:type="firstRow">
      <w:rPr>
        <w:b w:val="1"/>
      </w:rPr>
    </w:tblStylePr>
    <w:tblStylePr w:type="lastCol">
      <w:rPr>
        <w:b w:val="1"/>
      </w:rPr>
    </w:tblStylePr>
    <w:tblStylePr w:type="lastRow">
      <w:rPr>
        <w:b w:val="1"/>
      </w:rPr>
      <w:tcPr>
        <w:tcBorders>
          <w:top w:color="bfbfbf" w:space="0" w:sz="4" w:val="single"/>
        </w:tcBorders>
      </w:tcPr>
    </w:tblStyle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f2f2f2" w:val="clear"/>
      </w:tcPr>
    </w:tblStylePr>
    <w:tblStylePr w:type="band1Vert">
      <w:tcPr>
        <w:shd w:fill="f2f2f2" w:val="clear"/>
      </w:tcPr>
    </w:tblStylePr>
    <w:tblStylePr w:type="firstCol">
      <w:rPr>
        <w:b w:val="1"/>
      </w:rPr>
    </w:tblStylePr>
    <w:tblStylePr w:type="firstRow">
      <w:rPr>
        <w:b w:val="1"/>
      </w:rPr>
    </w:tblStylePr>
    <w:tblStylePr w:type="lastCol">
      <w:rPr>
        <w:b w:val="1"/>
      </w:rPr>
    </w:tblStylePr>
    <w:tblStylePr w:type="lastRow">
      <w:rPr>
        <w:b w:val="1"/>
      </w:rPr>
      <w:tcPr>
        <w:tcBorders>
          <w:top w:color="bfbfbf" w:space="0" w:sz="4" w:val="single"/>
        </w:tcBorders>
      </w:tcPr>
    </w:tblStyle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NotoSansSymbols-regular.ttf"/><Relationship Id="rId4"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XQGmbdURaVC8/6BbCoPqI2BydXA==">CgMxLjAyDmgucXB6MXFjcXZ3NDl2Mg5oLjJveDB6ZnRwODlzYTIOaC5iMDN2N2M5aTQ0ZmoyDmguaXdnaWtrYnAwZnd6Mg5oLmpmcDBjN25kNTR4bjIOaC5uMDk5YnZnZDZkY3kyDmguZGl1a2toYmM5aXlkOAByITF2RzZvcUNDMVhCNnoxdGxsbHEzcnhvMlJ4dFB6LWNVRA==</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2025-10-30T14:08:00Z</dcterms:created>
</cp:coreProperties>
</file>