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E8887" w14:textId="5C63CE37" w:rsidR="00807F27" w:rsidRPr="00710849" w:rsidRDefault="00807F27" w:rsidP="00807F27">
      <w:pPr>
        <w:pStyle w:val="a5"/>
        <w:tabs>
          <w:tab w:val="clear" w:pos="4153"/>
          <w:tab w:val="clear" w:pos="8306"/>
        </w:tabs>
        <w:ind w:right="100"/>
        <w:jc w:val="right"/>
        <w:rPr>
          <w:rFonts w:ascii="Arial" w:hAnsi="Arial" w:cs="Arial"/>
          <w:b/>
          <w:i/>
          <w:sz w:val="32"/>
        </w:rPr>
      </w:pPr>
      <w:r w:rsidRPr="00710849">
        <w:rPr>
          <w:rFonts w:ascii="Arial" w:hAnsi="Arial" w:cs="Arial"/>
          <w:noProof/>
          <w:lang w:val="en-US" w:eastAsia="zh-CN"/>
        </w:rPr>
        <w:drawing>
          <wp:anchor distT="0" distB="0" distL="114300" distR="114300" simplePos="0" relativeHeight="251659264" behindDoc="0" locked="0" layoutInCell="1" allowOverlap="1" wp14:anchorId="7BF91F82" wp14:editId="1F3ABD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10849">
        <w:rPr>
          <w:rFonts w:ascii="Arial" w:hAnsi="Arial" w:cs="Arial"/>
        </w:rPr>
        <w:t xml:space="preserve"> </w:t>
      </w:r>
      <w:r w:rsidRPr="00710849">
        <w:rPr>
          <w:rFonts w:ascii="Arial" w:hAnsi="Arial" w:cs="Arial"/>
        </w:rPr>
        <w:br w:type="textWrapping" w:clear="all"/>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2097"/>
      </w:tblGrid>
      <w:tr w:rsidR="00807F27" w:rsidRPr="00710849" w14:paraId="0C16B3C6" w14:textId="77777777" w:rsidTr="00C77AA2">
        <w:trPr>
          <w:jc w:val="center"/>
        </w:trPr>
        <w:tc>
          <w:tcPr>
            <w:tcW w:w="2093" w:type="dxa"/>
            <w:shd w:val="clear" w:color="auto" w:fill="auto"/>
          </w:tcPr>
          <w:p w14:paraId="6AF88280" w14:textId="77777777" w:rsidR="00807F27" w:rsidRPr="00710849" w:rsidRDefault="00807F27" w:rsidP="003B2C1E">
            <w:pPr>
              <w:spacing w:before="120" w:after="120"/>
              <w:jc w:val="both"/>
              <w:rPr>
                <w:b/>
              </w:rPr>
            </w:pPr>
            <w:r w:rsidRPr="00A406E5">
              <w:rPr>
                <w:b/>
              </w:rPr>
              <w:t>Student name:</w:t>
            </w:r>
          </w:p>
        </w:tc>
        <w:tc>
          <w:tcPr>
            <w:tcW w:w="3322" w:type="dxa"/>
          </w:tcPr>
          <w:p w14:paraId="5AB35213" w14:textId="1A20410E" w:rsidR="00807F27" w:rsidRPr="00710849" w:rsidRDefault="00807F27" w:rsidP="003B2C1E">
            <w:pPr>
              <w:spacing w:before="120" w:after="120"/>
              <w:jc w:val="both"/>
              <w:rPr>
                <w:b/>
              </w:rPr>
            </w:pPr>
            <w:r>
              <w:rPr>
                <w:b/>
              </w:rPr>
              <w:t>Yau Ka Chun</w:t>
            </w:r>
          </w:p>
        </w:tc>
        <w:tc>
          <w:tcPr>
            <w:tcW w:w="2410" w:type="dxa"/>
            <w:shd w:val="clear" w:color="auto" w:fill="D9D9D9" w:themeFill="background1" w:themeFillShade="D9"/>
          </w:tcPr>
          <w:p w14:paraId="2C607A32" w14:textId="77777777" w:rsidR="00807F27" w:rsidRPr="00710849" w:rsidRDefault="00807F27" w:rsidP="003B2C1E">
            <w:pPr>
              <w:spacing w:before="120" w:after="120"/>
              <w:jc w:val="both"/>
              <w:rPr>
                <w:b/>
              </w:rPr>
            </w:pPr>
            <w:r w:rsidRPr="00A406E5">
              <w:rPr>
                <w:b/>
              </w:rPr>
              <w:t>Student ID number:</w:t>
            </w:r>
          </w:p>
        </w:tc>
        <w:tc>
          <w:tcPr>
            <w:tcW w:w="2097" w:type="dxa"/>
          </w:tcPr>
          <w:p w14:paraId="0C3C9B19" w14:textId="77777777" w:rsidR="00807F27" w:rsidRPr="00710849" w:rsidRDefault="00807F27" w:rsidP="003B2C1E">
            <w:pPr>
              <w:spacing w:before="120" w:after="120"/>
              <w:jc w:val="both"/>
              <w:rPr>
                <w:b/>
              </w:rPr>
            </w:pPr>
            <w:r>
              <w:rPr>
                <w:b/>
              </w:rPr>
              <w:t>2327287</w:t>
            </w:r>
          </w:p>
        </w:tc>
      </w:tr>
      <w:tr w:rsidR="00807F27" w:rsidRPr="00710849" w14:paraId="37DA1616" w14:textId="77777777" w:rsidTr="00C77AA2">
        <w:trPr>
          <w:jc w:val="center"/>
        </w:trPr>
        <w:tc>
          <w:tcPr>
            <w:tcW w:w="2093" w:type="dxa"/>
            <w:shd w:val="clear" w:color="auto" w:fill="auto"/>
          </w:tcPr>
          <w:p w14:paraId="5DFB746A" w14:textId="77777777" w:rsidR="00807F27" w:rsidRPr="00710849" w:rsidRDefault="00807F27" w:rsidP="003B2C1E">
            <w:pPr>
              <w:spacing w:before="120" w:after="120"/>
              <w:jc w:val="both"/>
              <w:rPr>
                <w:b/>
              </w:rPr>
            </w:pPr>
            <w:r w:rsidRPr="00710849">
              <w:rPr>
                <w:b/>
              </w:rPr>
              <w:t>Programme:</w:t>
            </w:r>
          </w:p>
        </w:tc>
        <w:tc>
          <w:tcPr>
            <w:tcW w:w="7829" w:type="dxa"/>
            <w:gridSpan w:val="3"/>
          </w:tcPr>
          <w:p w14:paraId="12ADFD46" w14:textId="77777777" w:rsidR="00807F27" w:rsidRPr="00710849" w:rsidRDefault="00807F27" w:rsidP="003B2C1E">
            <w:pPr>
              <w:spacing w:before="120" w:after="120"/>
              <w:jc w:val="both"/>
              <w:rPr>
                <w:b/>
              </w:rPr>
            </w:pPr>
            <w:r w:rsidRPr="00710849">
              <w:rPr>
                <w:b/>
              </w:rPr>
              <w:t>DBA</w:t>
            </w:r>
          </w:p>
        </w:tc>
      </w:tr>
      <w:tr w:rsidR="00807F27" w:rsidRPr="00710849" w14:paraId="63B102CA" w14:textId="77777777" w:rsidTr="00C77AA2">
        <w:trPr>
          <w:jc w:val="center"/>
        </w:trPr>
        <w:tc>
          <w:tcPr>
            <w:tcW w:w="2093" w:type="dxa"/>
            <w:shd w:val="clear" w:color="auto" w:fill="auto"/>
          </w:tcPr>
          <w:p w14:paraId="448E118C" w14:textId="77777777" w:rsidR="00807F27" w:rsidRPr="00710849" w:rsidRDefault="00807F27" w:rsidP="003B2C1E">
            <w:pPr>
              <w:spacing w:before="120" w:after="120"/>
              <w:jc w:val="both"/>
              <w:rPr>
                <w:b/>
              </w:rPr>
            </w:pPr>
            <w:r w:rsidRPr="00710849">
              <w:rPr>
                <w:b/>
              </w:rPr>
              <w:t>Module:</w:t>
            </w:r>
          </w:p>
        </w:tc>
        <w:tc>
          <w:tcPr>
            <w:tcW w:w="7829" w:type="dxa"/>
            <w:gridSpan w:val="3"/>
            <w:shd w:val="clear" w:color="auto" w:fill="auto"/>
          </w:tcPr>
          <w:p w14:paraId="1944139C" w14:textId="77777777" w:rsidR="00807F27" w:rsidRPr="00710849" w:rsidRDefault="00807F27" w:rsidP="003B2C1E">
            <w:pPr>
              <w:spacing w:before="120" w:after="120"/>
              <w:jc w:val="both"/>
              <w:rPr>
                <w:b/>
              </w:rPr>
            </w:pPr>
            <w:r w:rsidRPr="004B0954">
              <w:rPr>
                <w:rFonts w:eastAsia="Times New Roman"/>
                <w:b/>
                <w:bCs/>
                <w:lang w:val="en-HK"/>
              </w:rPr>
              <w:t>Advancing to Doctoral Research Stage </w:t>
            </w:r>
          </w:p>
        </w:tc>
      </w:tr>
      <w:tr w:rsidR="00807F27" w:rsidRPr="00710849" w14:paraId="533707A4" w14:textId="77777777" w:rsidTr="00C77AA2">
        <w:trPr>
          <w:jc w:val="center"/>
        </w:trPr>
        <w:tc>
          <w:tcPr>
            <w:tcW w:w="2093" w:type="dxa"/>
            <w:shd w:val="clear" w:color="auto" w:fill="auto"/>
          </w:tcPr>
          <w:p w14:paraId="18C4E54A" w14:textId="77777777" w:rsidR="00807F27" w:rsidRPr="00710849" w:rsidRDefault="00807F27" w:rsidP="003B2C1E">
            <w:pPr>
              <w:spacing w:before="120" w:after="120"/>
              <w:jc w:val="both"/>
              <w:rPr>
                <w:b/>
              </w:rPr>
            </w:pPr>
            <w:r w:rsidRPr="00710849">
              <w:rPr>
                <w:b/>
              </w:rPr>
              <w:t>Module code:</w:t>
            </w:r>
          </w:p>
        </w:tc>
        <w:tc>
          <w:tcPr>
            <w:tcW w:w="3322" w:type="dxa"/>
          </w:tcPr>
          <w:p w14:paraId="549CFC8E" w14:textId="77777777" w:rsidR="00807F27" w:rsidRPr="00710849" w:rsidRDefault="00807F27" w:rsidP="003B2C1E">
            <w:pPr>
              <w:spacing w:before="120" w:after="120"/>
              <w:jc w:val="both"/>
              <w:rPr>
                <w:b/>
              </w:rPr>
            </w:pPr>
            <w:r w:rsidRPr="00710849">
              <w:rPr>
                <w:rFonts w:hint="eastAsia"/>
                <w:b/>
              </w:rPr>
              <w:t>H</w:t>
            </w:r>
            <w:r w:rsidRPr="00710849">
              <w:rPr>
                <w:b/>
              </w:rPr>
              <w:t>KBM70</w:t>
            </w:r>
            <w:r>
              <w:rPr>
                <w:b/>
              </w:rPr>
              <w:t>22</w:t>
            </w:r>
          </w:p>
        </w:tc>
        <w:tc>
          <w:tcPr>
            <w:tcW w:w="2410" w:type="dxa"/>
            <w:shd w:val="clear" w:color="auto" w:fill="D9D9D9" w:themeFill="background1" w:themeFillShade="D9"/>
          </w:tcPr>
          <w:p w14:paraId="2591C807" w14:textId="77777777" w:rsidR="00807F27" w:rsidRPr="00710849" w:rsidRDefault="00807F27" w:rsidP="003B2C1E">
            <w:pPr>
              <w:pStyle w:val="2"/>
              <w:rPr>
                <w:sz w:val="22"/>
                <w:szCs w:val="22"/>
              </w:rPr>
            </w:pPr>
            <w:r w:rsidRPr="00710849">
              <w:rPr>
                <w:sz w:val="22"/>
                <w:szCs w:val="22"/>
              </w:rPr>
              <w:t>Contribution to Overall Module Assessment (%):</w:t>
            </w:r>
          </w:p>
        </w:tc>
        <w:tc>
          <w:tcPr>
            <w:tcW w:w="2097" w:type="dxa"/>
          </w:tcPr>
          <w:p w14:paraId="64B3725B" w14:textId="77777777" w:rsidR="00807F27" w:rsidRPr="00710849" w:rsidRDefault="00807F27" w:rsidP="003B2C1E">
            <w:pPr>
              <w:spacing w:before="120" w:after="120"/>
              <w:jc w:val="both"/>
              <w:rPr>
                <w:b/>
              </w:rPr>
            </w:pPr>
            <w:r w:rsidRPr="00710849">
              <w:rPr>
                <w:b/>
              </w:rPr>
              <w:t>60%</w:t>
            </w:r>
          </w:p>
        </w:tc>
      </w:tr>
      <w:tr w:rsidR="00807F27" w:rsidRPr="00710849" w14:paraId="275CA244" w14:textId="77777777" w:rsidTr="00C77AA2">
        <w:trPr>
          <w:jc w:val="center"/>
        </w:trPr>
        <w:tc>
          <w:tcPr>
            <w:tcW w:w="2093" w:type="dxa"/>
            <w:shd w:val="clear" w:color="auto" w:fill="auto"/>
          </w:tcPr>
          <w:p w14:paraId="012CFEB7" w14:textId="77777777" w:rsidR="00807F27" w:rsidRPr="00710849" w:rsidRDefault="00807F27" w:rsidP="003B2C1E">
            <w:pPr>
              <w:spacing w:before="120" w:after="120"/>
              <w:jc w:val="both"/>
              <w:rPr>
                <w:b/>
              </w:rPr>
            </w:pPr>
            <w:r w:rsidRPr="00710849">
              <w:rPr>
                <w:b/>
              </w:rPr>
              <w:t>Lecturer:</w:t>
            </w:r>
          </w:p>
        </w:tc>
        <w:tc>
          <w:tcPr>
            <w:tcW w:w="3322" w:type="dxa"/>
          </w:tcPr>
          <w:p w14:paraId="363467AE" w14:textId="77777777" w:rsidR="00807F27" w:rsidRPr="00710849" w:rsidRDefault="00807F27" w:rsidP="003B2C1E">
            <w:pPr>
              <w:spacing w:before="120" w:after="120"/>
              <w:jc w:val="both"/>
              <w:rPr>
                <w:b/>
              </w:rPr>
            </w:pPr>
            <w:r>
              <w:rPr>
                <w:b/>
              </w:rPr>
              <w:t>Prof. Peter Fong</w:t>
            </w:r>
          </w:p>
        </w:tc>
        <w:tc>
          <w:tcPr>
            <w:tcW w:w="2410" w:type="dxa"/>
            <w:shd w:val="clear" w:color="auto" w:fill="D9D9D9" w:themeFill="background1" w:themeFillShade="D9"/>
          </w:tcPr>
          <w:p w14:paraId="137A56B5" w14:textId="77777777" w:rsidR="00807F27" w:rsidRPr="00710849" w:rsidRDefault="00807F27" w:rsidP="003B2C1E">
            <w:pPr>
              <w:spacing w:before="120" w:after="120"/>
              <w:jc w:val="both"/>
              <w:rPr>
                <w:b/>
              </w:rPr>
            </w:pPr>
            <w:r w:rsidRPr="00710849">
              <w:rPr>
                <w:b/>
              </w:rPr>
              <w:t>Internal Verifier:</w:t>
            </w:r>
          </w:p>
        </w:tc>
        <w:tc>
          <w:tcPr>
            <w:tcW w:w="2097" w:type="dxa"/>
          </w:tcPr>
          <w:p w14:paraId="575D0A2F" w14:textId="77777777" w:rsidR="00807F27" w:rsidRPr="00710849" w:rsidRDefault="00807F27" w:rsidP="003B2C1E">
            <w:pPr>
              <w:spacing w:before="120" w:after="120"/>
              <w:jc w:val="both"/>
              <w:rPr>
                <w:b/>
              </w:rPr>
            </w:pPr>
          </w:p>
        </w:tc>
      </w:tr>
      <w:tr w:rsidR="00807F27" w:rsidRPr="00710849" w14:paraId="4114C5C5" w14:textId="77777777" w:rsidTr="00C77AA2">
        <w:trPr>
          <w:jc w:val="center"/>
        </w:trPr>
        <w:tc>
          <w:tcPr>
            <w:tcW w:w="2093" w:type="dxa"/>
            <w:shd w:val="clear" w:color="auto" w:fill="auto"/>
          </w:tcPr>
          <w:p w14:paraId="27C9C17A" w14:textId="77777777" w:rsidR="00807F27" w:rsidRPr="00710849" w:rsidRDefault="00807F27" w:rsidP="003B2C1E">
            <w:pPr>
              <w:spacing w:before="120" w:after="120"/>
              <w:jc w:val="both"/>
              <w:rPr>
                <w:b/>
              </w:rPr>
            </w:pPr>
            <w:r w:rsidRPr="00710849">
              <w:rPr>
                <w:b/>
              </w:rPr>
              <w:t>Assignment Title:</w:t>
            </w:r>
          </w:p>
        </w:tc>
        <w:tc>
          <w:tcPr>
            <w:tcW w:w="3322" w:type="dxa"/>
          </w:tcPr>
          <w:p w14:paraId="021036B2" w14:textId="77777777" w:rsidR="00807F27" w:rsidRPr="00142E55" w:rsidRDefault="00807F27" w:rsidP="003B2C1E">
            <w:pPr>
              <w:spacing w:before="120" w:after="120"/>
              <w:jc w:val="both"/>
              <w:rPr>
                <w:b/>
              </w:rPr>
            </w:pPr>
            <w:r w:rsidRPr="00710849">
              <w:rPr>
                <w:rFonts w:hint="eastAsia"/>
                <w:b/>
              </w:rPr>
              <w:t>A</w:t>
            </w:r>
            <w:r w:rsidRPr="00710849">
              <w:rPr>
                <w:b/>
              </w:rPr>
              <w:t xml:space="preserve">ssignment 1 – </w:t>
            </w:r>
            <w:r w:rsidRPr="00710849">
              <w:rPr>
                <w:b/>
                <w:bCs/>
              </w:rPr>
              <w:t xml:space="preserve">Portfolio </w:t>
            </w:r>
          </w:p>
        </w:tc>
        <w:tc>
          <w:tcPr>
            <w:tcW w:w="2410" w:type="dxa"/>
            <w:shd w:val="clear" w:color="auto" w:fill="auto"/>
          </w:tcPr>
          <w:p w14:paraId="430F082E" w14:textId="3B0F33B2" w:rsidR="00807F27" w:rsidRPr="00710849" w:rsidRDefault="00807F27" w:rsidP="003B2C1E">
            <w:pPr>
              <w:spacing w:before="120" w:after="120"/>
              <w:jc w:val="both"/>
              <w:rPr>
                <w:b/>
              </w:rPr>
            </w:pPr>
            <w:r w:rsidRPr="00710849">
              <w:rPr>
                <w:b/>
              </w:rPr>
              <w:t xml:space="preserve">Word count </w:t>
            </w:r>
          </w:p>
        </w:tc>
        <w:tc>
          <w:tcPr>
            <w:tcW w:w="2097" w:type="dxa"/>
          </w:tcPr>
          <w:p w14:paraId="32B9AB6C" w14:textId="6034CF4E" w:rsidR="00807F27" w:rsidRDefault="00807F27" w:rsidP="003B2C1E">
            <w:pPr>
              <w:spacing w:before="120" w:after="120"/>
              <w:jc w:val="both"/>
              <w:rPr>
                <w:b/>
              </w:rPr>
            </w:pPr>
            <w:r>
              <w:rPr>
                <w:b/>
              </w:rPr>
              <w:t>4,</w:t>
            </w:r>
            <w:r w:rsidR="00C77AA2">
              <w:rPr>
                <w:b/>
                <w:lang w:val="en-US"/>
              </w:rPr>
              <w:t>628</w:t>
            </w:r>
            <w:r w:rsidRPr="00710849">
              <w:rPr>
                <w:b/>
              </w:rPr>
              <w:t xml:space="preserve"> words</w:t>
            </w:r>
          </w:p>
          <w:p w14:paraId="17F22F7E" w14:textId="72419659" w:rsidR="00807F27" w:rsidRPr="00C77AA2" w:rsidRDefault="00807F27" w:rsidP="003B2C1E">
            <w:pPr>
              <w:spacing w:before="120" w:after="120"/>
              <w:jc w:val="both"/>
              <w:rPr>
                <w:b/>
                <w:lang w:val="en-US"/>
              </w:rPr>
            </w:pPr>
          </w:p>
        </w:tc>
      </w:tr>
      <w:tr w:rsidR="00807F27" w:rsidRPr="00710849" w14:paraId="51EDB177" w14:textId="77777777" w:rsidTr="00C77AA2">
        <w:trPr>
          <w:jc w:val="center"/>
        </w:trPr>
        <w:tc>
          <w:tcPr>
            <w:tcW w:w="2093" w:type="dxa"/>
            <w:shd w:val="clear" w:color="auto" w:fill="auto"/>
          </w:tcPr>
          <w:p w14:paraId="54F3FDF7" w14:textId="77777777" w:rsidR="00807F27" w:rsidRPr="00710849" w:rsidRDefault="00807F27" w:rsidP="003B2C1E">
            <w:pPr>
              <w:spacing w:before="120" w:after="120"/>
              <w:jc w:val="both"/>
              <w:rPr>
                <w:b/>
              </w:rPr>
            </w:pPr>
            <w:r w:rsidRPr="00710849">
              <w:rPr>
                <w:b/>
              </w:rPr>
              <w:t>Submission deadline:</w:t>
            </w:r>
          </w:p>
        </w:tc>
        <w:tc>
          <w:tcPr>
            <w:tcW w:w="3322" w:type="dxa"/>
            <w:shd w:val="clear" w:color="auto" w:fill="auto"/>
          </w:tcPr>
          <w:p w14:paraId="2F62E00C" w14:textId="77777777" w:rsidR="00807F27" w:rsidRPr="00710849" w:rsidRDefault="00807F27" w:rsidP="003B2C1E">
            <w:pPr>
              <w:spacing w:before="120" w:after="120"/>
              <w:jc w:val="both"/>
              <w:rPr>
                <w:b/>
              </w:rPr>
            </w:pPr>
            <w:r w:rsidRPr="00710849">
              <w:rPr>
                <w:rFonts w:hint="eastAsia"/>
                <w:b/>
              </w:rPr>
              <w:t>1</w:t>
            </w:r>
            <w:r>
              <w:rPr>
                <w:b/>
              </w:rPr>
              <w:t>5 April 2024</w:t>
            </w:r>
          </w:p>
        </w:tc>
        <w:tc>
          <w:tcPr>
            <w:tcW w:w="2410" w:type="dxa"/>
            <w:shd w:val="clear" w:color="auto" w:fill="auto"/>
          </w:tcPr>
          <w:p w14:paraId="7F39F4BD" w14:textId="77777777" w:rsidR="00807F27" w:rsidRPr="00710849" w:rsidRDefault="00807F27" w:rsidP="003B2C1E">
            <w:pPr>
              <w:spacing w:before="120" w:after="120"/>
              <w:jc w:val="both"/>
              <w:rPr>
                <w:b/>
              </w:rPr>
            </w:pPr>
            <w:r w:rsidRPr="00710849">
              <w:rPr>
                <w:b/>
              </w:rPr>
              <w:t>Return date of provisional marks &amp; written feedback:</w:t>
            </w:r>
          </w:p>
        </w:tc>
        <w:tc>
          <w:tcPr>
            <w:tcW w:w="2097" w:type="dxa"/>
          </w:tcPr>
          <w:p w14:paraId="6D6EE254" w14:textId="77777777" w:rsidR="00807F27" w:rsidRPr="00710849" w:rsidRDefault="00807F27" w:rsidP="003B2C1E">
            <w:pPr>
              <w:spacing w:before="120" w:after="120"/>
              <w:jc w:val="both"/>
              <w:rPr>
                <w:b/>
              </w:rPr>
            </w:pPr>
            <w:r>
              <w:rPr>
                <w:b/>
              </w:rPr>
              <w:t>6 May 2024</w:t>
            </w:r>
          </w:p>
        </w:tc>
      </w:tr>
      <w:tr w:rsidR="00807F27" w:rsidRPr="00710849" w14:paraId="73DF23EE" w14:textId="77777777" w:rsidTr="00C77AA2">
        <w:trPr>
          <w:jc w:val="center"/>
        </w:trPr>
        <w:tc>
          <w:tcPr>
            <w:tcW w:w="2093" w:type="dxa"/>
            <w:shd w:val="clear" w:color="auto" w:fill="auto"/>
          </w:tcPr>
          <w:p w14:paraId="26BE134D" w14:textId="77777777" w:rsidR="00807F27" w:rsidRPr="00710849" w:rsidRDefault="00807F27" w:rsidP="003B2C1E">
            <w:pPr>
              <w:spacing w:before="120" w:after="120"/>
              <w:jc w:val="both"/>
              <w:rPr>
                <w:b/>
              </w:rPr>
            </w:pPr>
            <w:r w:rsidRPr="00710849">
              <w:rPr>
                <w:b/>
              </w:rPr>
              <w:t>Submission method:</w:t>
            </w:r>
          </w:p>
        </w:tc>
        <w:tc>
          <w:tcPr>
            <w:tcW w:w="7829" w:type="dxa"/>
            <w:gridSpan w:val="3"/>
            <w:shd w:val="clear" w:color="auto" w:fill="auto"/>
          </w:tcPr>
          <w:p w14:paraId="64F7281E" w14:textId="77777777" w:rsidR="00807F27" w:rsidRPr="00710849" w:rsidRDefault="00807F27" w:rsidP="003B2C1E">
            <w:r w:rsidRPr="00710849">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CAFB1C" w14:textId="77777777" w:rsidR="00807F27" w:rsidRPr="00710849" w:rsidRDefault="00807F27" w:rsidP="003B2C1E">
            <w:pPr>
              <w:spacing w:before="120" w:after="120"/>
              <w:jc w:val="both"/>
              <w:rPr>
                <w:b/>
              </w:rPr>
            </w:pPr>
            <w:r w:rsidRPr="00710849">
              <w:rPr>
                <w:b/>
              </w:rPr>
              <w:t xml:space="preserve">Alternative submission method (if applicable): </w:t>
            </w:r>
          </w:p>
          <w:p w14:paraId="1E1056D0" w14:textId="77777777" w:rsidR="00807F27" w:rsidRPr="00710849" w:rsidRDefault="00807F27" w:rsidP="003B2C1E">
            <w:pPr>
              <w:spacing w:before="120" w:after="120"/>
              <w:jc w:val="both"/>
              <w:rPr>
                <w:b/>
              </w:rPr>
            </w:pPr>
            <w:r w:rsidRPr="00710849">
              <w:rPr>
                <w:b/>
              </w:rPr>
              <w:t xml:space="preserve">Late submission of the assessment will result in a late penalty mark.  </w:t>
            </w:r>
            <w:r w:rsidRPr="00710849">
              <w:t>Penalties for late submission: Up to one week late, maximum mark of 50%.  Over one week late, 0%.  Only the Extenuating Circumstances Panel may approve a change to submission dates.</w:t>
            </w:r>
          </w:p>
        </w:tc>
      </w:tr>
      <w:tr w:rsidR="00807F27" w:rsidRPr="00710849" w14:paraId="7EE92F30" w14:textId="77777777" w:rsidTr="00C77AA2">
        <w:trPr>
          <w:jc w:val="center"/>
        </w:trPr>
        <w:tc>
          <w:tcPr>
            <w:tcW w:w="2093" w:type="dxa"/>
            <w:shd w:val="clear" w:color="auto" w:fill="auto"/>
          </w:tcPr>
          <w:p w14:paraId="52724E68" w14:textId="77777777" w:rsidR="00807F27" w:rsidRPr="00710849" w:rsidRDefault="00807F27" w:rsidP="003B2C1E">
            <w:pPr>
              <w:spacing w:before="120" w:after="120"/>
              <w:rPr>
                <w:b/>
              </w:rPr>
            </w:pPr>
            <w:r w:rsidRPr="00710849">
              <w:rPr>
                <w:b/>
              </w:rPr>
              <w:t>Academic honesty / referencing:</w:t>
            </w:r>
          </w:p>
        </w:tc>
        <w:tc>
          <w:tcPr>
            <w:tcW w:w="7829" w:type="dxa"/>
            <w:gridSpan w:val="3"/>
            <w:shd w:val="clear" w:color="auto" w:fill="auto"/>
          </w:tcPr>
          <w:p w14:paraId="0636C9D2" w14:textId="77777777" w:rsidR="00807F27" w:rsidRPr="00710849" w:rsidRDefault="00807F27" w:rsidP="003B2C1E">
            <w:pPr>
              <w:spacing w:before="120" w:after="120"/>
              <w:jc w:val="both"/>
            </w:pPr>
            <w:r w:rsidRPr="00710849">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2C44397" w14:textId="77777777" w:rsidR="00807F27" w:rsidRPr="00710849" w:rsidRDefault="00807F27" w:rsidP="00807F27">
      <w:pPr>
        <w:rPr>
          <w:sz w:val="32"/>
        </w:rPr>
      </w:pPr>
    </w:p>
    <w:p w14:paraId="4E61DB23" w14:textId="77777777" w:rsidR="00807F27" w:rsidRPr="00710849" w:rsidRDefault="00807F27" w:rsidP="00807F27">
      <w:pPr>
        <w:rPr>
          <w:sz w:val="32"/>
        </w:rPr>
      </w:pPr>
    </w:p>
    <w:p w14:paraId="1B209B0B" w14:textId="77777777" w:rsidR="00807F27" w:rsidRPr="00710849" w:rsidRDefault="00807F27" w:rsidP="00807F27">
      <w:pPr>
        <w:rPr>
          <w:sz w:val="32"/>
        </w:rPr>
      </w:pPr>
    </w:p>
    <w:p w14:paraId="4CE8B9DB" w14:textId="77777777" w:rsidR="00807F27" w:rsidRPr="00710849" w:rsidRDefault="00807F27" w:rsidP="00807F27">
      <w:pPr>
        <w:rPr>
          <w:sz w:val="32"/>
        </w:rPr>
      </w:pPr>
    </w:p>
    <w:p w14:paraId="00000001" w14:textId="0825956E" w:rsidR="00721A11" w:rsidRPr="00F75495" w:rsidRDefault="00F75495" w:rsidP="00F75495">
      <w:pPr>
        <w:jc w:val="center"/>
        <w:rPr>
          <w:b/>
          <w:bCs/>
          <w:sz w:val="32"/>
        </w:rPr>
      </w:pPr>
      <w:r w:rsidRPr="00F75495">
        <w:rPr>
          <w:b/>
          <w:bCs/>
          <w:sz w:val="32"/>
        </w:rPr>
        <w:br w:type="page"/>
      </w:r>
      <w:r w:rsidR="00000000" w:rsidRPr="00F75495">
        <w:rPr>
          <w:rFonts w:ascii="Times New Roman" w:eastAsia="Times New Roman" w:hAnsi="Times New Roman" w:cs="Times New Roman"/>
          <w:b/>
          <w:bCs/>
          <w:color w:val="0E101A"/>
          <w:sz w:val="24"/>
          <w:szCs w:val="24"/>
        </w:rPr>
        <w:lastRenderedPageBreak/>
        <w:t>Table of Contents</w:t>
      </w:r>
    </w:p>
    <w:p w14:paraId="25F16F26" w14:textId="7CF7E657" w:rsidR="00F75495" w:rsidRPr="00C77AA2" w:rsidRDefault="00F75495" w:rsidP="00807F27">
      <w:pPr>
        <w:spacing w:line="360" w:lineRule="auto"/>
        <w:jc w:val="both"/>
        <w:rPr>
          <w:rFonts w:ascii="Times New Roman" w:eastAsia="Times New Roman" w:hAnsi="Times New Roman" w:cs="Times New Roman"/>
          <w:color w:val="0E101A"/>
          <w:sz w:val="24"/>
          <w:szCs w:val="24"/>
          <w:lang w:val="en-US"/>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1603"/>
      </w:tblGrid>
      <w:tr w:rsidR="00F75495" w14:paraId="11A714B2" w14:textId="77777777" w:rsidTr="00C77AA2">
        <w:trPr>
          <w:trHeight w:val="685"/>
        </w:trPr>
        <w:tc>
          <w:tcPr>
            <w:tcW w:w="8359" w:type="dxa"/>
            <w:vAlign w:val="center"/>
          </w:tcPr>
          <w:p w14:paraId="5DD352AC" w14:textId="4D5C8EA5" w:rsidR="00F75495" w:rsidRPr="00F75495" w:rsidRDefault="00F75495" w:rsidP="00F75495">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Contents</w:t>
            </w:r>
          </w:p>
        </w:tc>
        <w:tc>
          <w:tcPr>
            <w:tcW w:w="1603" w:type="dxa"/>
            <w:vAlign w:val="center"/>
          </w:tcPr>
          <w:p w14:paraId="0F177318" w14:textId="1BB86C0E" w:rsidR="00F75495" w:rsidRPr="00F75495" w:rsidRDefault="00F75495" w:rsidP="00F75495">
            <w:pPr>
              <w:spacing w:line="360" w:lineRule="auto"/>
              <w:jc w:val="center"/>
              <w:rPr>
                <w:rFonts w:ascii="Times New Roman" w:eastAsia="Times New Roman" w:hAnsi="Times New Roman" w:cs="Times New Roman"/>
                <w:color w:val="0E101A"/>
                <w:sz w:val="24"/>
                <w:szCs w:val="24"/>
                <w:lang w:val="en-US"/>
              </w:rPr>
            </w:pPr>
            <w:r w:rsidRPr="00807F27">
              <w:rPr>
                <w:rFonts w:ascii="Times New Roman" w:eastAsia="Times New Roman" w:hAnsi="Times New Roman" w:cs="Times New Roman"/>
                <w:color w:val="0E101A"/>
                <w:sz w:val="24"/>
                <w:szCs w:val="24"/>
              </w:rPr>
              <w:t>Page</w:t>
            </w:r>
          </w:p>
        </w:tc>
      </w:tr>
      <w:tr w:rsidR="00F75495" w14:paraId="219BEFA2" w14:textId="77777777" w:rsidTr="00C77AA2">
        <w:tc>
          <w:tcPr>
            <w:tcW w:w="8359" w:type="dxa"/>
          </w:tcPr>
          <w:p w14:paraId="6AB92381" w14:textId="77777777" w:rsidR="00F75495" w:rsidRPr="00F75495" w:rsidRDefault="00F75495" w:rsidP="00F75495">
            <w:pPr>
              <w:pStyle w:val="a7"/>
              <w:spacing w:line="360" w:lineRule="auto"/>
              <w:ind w:leftChars="0" w:left="360"/>
              <w:jc w:val="both"/>
              <w:rPr>
                <w:rFonts w:ascii="Times New Roman" w:eastAsia="Times New Roman" w:hAnsi="Times New Roman" w:cs="Times New Roman"/>
                <w:color w:val="0E101A"/>
                <w:sz w:val="24"/>
                <w:szCs w:val="24"/>
              </w:rPr>
            </w:pPr>
          </w:p>
          <w:p w14:paraId="7C6C7261" w14:textId="26717C45" w:rsidR="00F75495" w:rsidRPr="00F75495" w:rsidRDefault="00F75495" w:rsidP="00F75495">
            <w:pPr>
              <w:pStyle w:val="a7"/>
              <w:numPr>
                <w:ilvl w:val="0"/>
                <w:numId w:val="4"/>
              </w:numPr>
              <w:spacing w:line="360" w:lineRule="auto"/>
              <w:ind w:leftChars="0"/>
              <w:jc w:val="both"/>
              <w:rPr>
                <w:rFonts w:ascii="Times New Roman" w:eastAsia="Times New Roman" w:hAnsi="Times New Roman" w:cs="Times New Roman"/>
                <w:color w:val="0E101A"/>
                <w:sz w:val="24"/>
                <w:szCs w:val="24"/>
              </w:rPr>
            </w:pPr>
            <w:r w:rsidRPr="00F75495">
              <w:rPr>
                <w:rFonts w:ascii="Times New Roman" w:eastAsia="Times New Roman" w:hAnsi="Times New Roman" w:cs="Times New Roman"/>
                <w:color w:val="0E101A"/>
                <w:sz w:val="24"/>
                <w:szCs w:val="24"/>
              </w:rPr>
              <w:t>A summary of the research proposal (RP)</w:t>
            </w:r>
          </w:p>
          <w:p w14:paraId="676CF097"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p>
          <w:p w14:paraId="5956CCB6" w14:textId="77777777" w:rsidR="00F75495" w:rsidRPr="00F75495" w:rsidRDefault="00F75495" w:rsidP="00F75495">
            <w:pPr>
              <w:pStyle w:val="a7"/>
              <w:numPr>
                <w:ilvl w:val="0"/>
                <w:numId w:val="4"/>
              </w:numPr>
              <w:spacing w:line="360" w:lineRule="auto"/>
              <w:ind w:leftChars="0"/>
              <w:jc w:val="both"/>
              <w:rPr>
                <w:rFonts w:ascii="Times New Roman" w:eastAsia="Times New Roman" w:hAnsi="Times New Roman" w:cs="Times New Roman"/>
                <w:sz w:val="24"/>
                <w:szCs w:val="24"/>
              </w:rPr>
            </w:pPr>
            <w:r w:rsidRPr="00F75495">
              <w:rPr>
                <w:rFonts w:ascii="Times New Roman" w:eastAsia="Times New Roman" w:hAnsi="Times New Roman" w:cs="Times New Roman"/>
                <w:sz w:val="24"/>
                <w:szCs w:val="24"/>
              </w:rPr>
              <w:t>Analysing the Strengths, Weaknesses, and Limitations of the Study</w:t>
            </w:r>
          </w:p>
          <w:p w14:paraId="71F8459F" w14:textId="77777777" w:rsidR="00F75495" w:rsidRPr="00807F27" w:rsidRDefault="00F75495" w:rsidP="00F75495">
            <w:pPr>
              <w:spacing w:line="360" w:lineRule="auto"/>
              <w:jc w:val="both"/>
              <w:rPr>
                <w:rFonts w:ascii="Times New Roman" w:eastAsia="Times New Roman" w:hAnsi="Times New Roman" w:cs="Times New Roman"/>
                <w:sz w:val="24"/>
                <w:szCs w:val="24"/>
              </w:rPr>
            </w:pPr>
          </w:p>
          <w:p w14:paraId="5C93C6FE" w14:textId="77777777" w:rsidR="00F75495" w:rsidRPr="00807F27" w:rsidRDefault="00F75495" w:rsidP="00F75495">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2.1 Strengths of the Study</w:t>
            </w:r>
          </w:p>
          <w:p w14:paraId="2C45DD36" w14:textId="77777777" w:rsidR="00F75495" w:rsidRPr="00807F27" w:rsidRDefault="00F75495" w:rsidP="00F75495">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2.2 Weaknesses of the Study</w:t>
            </w:r>
          </w:p>
          <w:p w14:paraId="0F44196B" w14:textId="77777777" w:rsidR="00F75495" w:rsidRPr="00807F27" w:rsidRDefault="00F75495" w:rsidP="00F75495">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2.3 Limitations of the Study</w:t>
            </w:r>
          </w:p>
          <w:p w14:paraId="428FC535"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p>
          <w:p w14:paraId="208D69F5" w14:textId="77777777" w:rsidR="00F75495" w:rsidRPr="00F75495" w:rsidRDefault="00F75495" w:rsidP="00F75495">
            <w:pPr>
              <w:pStyle w:val="a7"/>
              <w:numPr>
                <w:ilvl w:val="0"/>
                <w:numId w:val="4"/>
              </w:numPr>
              <w:spacing w:line="360" w:lineRule="auto"/>
              <w:ind w:leftChars="0"/>
              <w:jc w:val="both"/>
              <w:rPr>
                <w:rFonts w:ascii="Times New Roman" w:eastAsia="Times New Roman" w:hAnsi="Times New Roman" w:cs="Times New Roman"/>
                <w:color w:val="1C1C1C"/>
                <w:sz w:val="24"/>
                <w:szCs w:val="24"/>
                <w:highlight w:val="white"/>
              </w:rPr>
            </w:pPr>
            <w:r w:rsidRPr="00F75495">
              <w:rPr>
                <w:rFonts w:ascii="Times New Roman" w:eastAsia="Times New Roman" w:hAnsi="Times New Roman" w:cs="Times New Roman"/>
                <w:color w:val="0E101A"/>
                <w:sz w:val="24"/>
                <w:szCs w:val="24"/>
              </w:rPr>
              <w:t>​​</w:t>
            </w:r>
            <w:r w:rsidRPr="00F75495">
              <w:rPr>
                <w:rFonts w:ascii="Times New Roman" w:eastAsia="Times New Roman" w:hAnsi="Times New Roman" w:cs="Times New Roman"/>
                <w:color w:val="1C1C1C"/>
                <w:sz w:val="24"/>
                <w:szCs w:val="24"/>
                <w:highlight w:val="white"/>
              </w:rPr>
              <w:t>Exploring Alternative Research Methods to Address Shortcomings in the Research Design</w:t>
            </w:r>
          </w:p>
          <w:p w14:paraId="6C269E77" w14:textId="77777777" w:rsidR="00F75495" w:rsidRPr="00807F27" w:rsidRDefault="00F75495" w:rsidP="00F75495">
            <w:pPr>
              <w:spacing w:line="360" w:lineRule="auto"/>
              <w:jc w:val="both"/>
              <w:rPr>
                <w:rFonts w:ascii="Times New Roman" w:eastAsia="Times New Roman" w:hAnsi="Times New Roman" w:cs="Times New Roman"/>
                <w:color w:val="1C1C1C"/>
                <w:sz w:val="24"/>
                <w:szCs w:val="24"/>
                <w:highlight w:val="white"/>
              </w:rPr>
            </w:pPr>
          </w:p>
          <w:p w14:paraId="209A197E"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3.1 The reason for including case studies in the methodology</w:t>
            </w:r>
          </w:p>
          <w:p w14:paraId="52D0BDBB"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3.2 Distinguishing between quantitative and qualitative approaches</w:t>
            </w:r>
          </w:p>
          <w:p w14:paraId="2D0B894C"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3.3 Strategies for increasing survey participation rates </w:t>
            </w:r>
          </w:p>
          <w:p w14:paraId="2E9F04B3"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3.4 Factors to consider when collecting data from teachers</w:t>
            </w:r>
          </w:p>
          <w:p w14:paraId="25840392"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3.5 Methods for reducing the sample size of the target survey</w:t>
            </w:r>
          </w:p>
          <w:p w14:paraId="5489C8E3" w14:textId="77777777" w:rsidR="00F75495" w:rsidRPr="00807F27" w:rsidRDefault="00F75495" w:rsidP="00F75495">
            <w:pPr>
              <w:spacing w:line="360" w:lineRule="auto"/>
              <w:jc w:val="both"/>
              <w:rPr>
                <w:rFonts w:ascii="Times New Roman" w:eastAsia="Times New Roman" w:hAnsi="Times New Roman" w:cs="Times New Roman"/>
                <w:color w:val="0E101A"/>
                <w:sz w:val="24"/>
                <w:szCs w:val="24"/>
              </w:rPr>
            </w:pPr>
          </w:p>
          <w:p w14:paraId="44EC85EE" w14:textId="77777777" w:rsidR="00F75495" w:rsidRPr="00F75495" w:rsidRDefault="00F75495" w:rsidP="00F75495">
            <w:pPr>
              <w:pStyle w:val="a7"/>
              <w:numPr>
                <w:ilvl w:val="0"/>
                <w:numId w:val="4"/>
              </w:numPr>
              <w:spacing w:line="360" w:lineRule="auto"/>
              <w:ind w:leftChars="0"/>
              <w:jc w:val="both"/>
              <w:rPr>
                <w:rFonts w:ascii="Times New Roman" w:eastAsia="Times New Roman" w:hAnsi="Times New Roman" w:cs="Times New Roman"/>
                <w:sz w:val="24"/>
                <w:szCs w:val="24"/>
              </w:rPr>
            </w:pPr>
            <w:r w:rsidRPr="00F75495">
              <w:rPr>
                <w:rFonts w:ascii="Times New Roman" w:eastAsia="Times New Roman" w:hAnsi="Times New Roman" w:cs="Times New Roman"/>
                <w:sz w:val="24"/>
                <w:szCs w:val="24"/>
              </w:rPr>
              <w:t>Potential impacts of the research</w:t>
            </w:r>
          </w:p>
          <w:p w14:paraId="40DAD0A8" w14:textId="77777777" w:rsidR="00F75495" w:rsidRPr="00807F27" w:rsidRDefault="00F75495" w:rsidP="00F75495">
            <w:pPr>
              <w:spacing w:line="360" w:lineRule="auto"/>
              <w:rPr>
                <w:rFonts w:ascii="Times New Roman" w:hAnsi="Times New Roman" w:cs="Times New Roman"/>
                <w:sz w:val="24"/>
                <w:szCs w:val="24"/>
              </w:rPr>
            </w:pPr>
          </w:p>
          <w:p w14:paraId="258384AA" w14:textId="77777777" w:rsidR="00F75495" w:rsidRPr="00807F27" w:rsidRDefault="00F75495" w:rsidP="00F75495">
            <w:pPr>
              <w:spacing w:line="360" w:lineRule="auto"/>
              <w:rPr>
                <w:rFonts w:ascii="Times New Roman" w:hAnsi="Times New Roman" w:cs="Times New Roman"/>
                <w:sz w:val="24"/>
                <w:szCs w:val="24"/>
              </w:rPr>
            </w:pPr>
            <w:r w:rsidRPr="00807F27">
              <w:rPr>
                <w:rFonts w:ascii="Times New Roman" w:hAnsi="Times New Roman" w:cs="Times New Roman"/>
                <w:sz w:val="24"/>
                <w:szCs w:val="24"/>
              </w:rPr>
              <w:t>4.1 Potential Contributions to Knowledge and Future Research</w:t>
            </w:r>
          </w:p>
          <w:p w14:paraId="41853A1C" w14:textId="77777777" w:rsidR="00F75495" w:rsidRPr="00807F27" w:rsidRDefault="00F75495" w:rsidP="00F75495">
            <w:pPr>
              <w:spacing w:line="360" w:lineRule="auto"/>
              <w:rPr>
                <w:rFonts w:ascii="Times New Roman" w:hAnsi="Times New Roman" w:cs="Times New Roman"/>
                <w:sz w:val="24"/>
                <w:szCs w:val="24"/>
              </w:rPr>
            </w:pPr>
            <w:r w:rsidRPr="00807F27">
              <w:rPr>
                <w:rFonts w:ascii="Times New Roman" w:hAnsi="Times New Roman" w:cs="Times New Roman"/>
                <w:sz w:val="24"/>
                <w:szCs w:val="24"/>
              </w:rPr>
              <w:t>4.2 The Value of Using Demand-Driven Evidence</w:t>
            </w:r>
          </w:p>
          <w:p w14:paraId="2F132189" w14:textId="77777777" w:rsidR="00F75495" w:rsidRPr="00807F27" w:rsidRDefault="00F75495" w:rsidP="00F75495">
            <w:pPr>
              <w:spacing w:line="360" w:lineRule="auto"/>
              <w:rPr>
                <w:rFonts w:ascii="Times New Roman" w:hAnsi="Times New Roman" w:cs="Times New Roman"/>
                <w:sz w:val="24"/>
                <w:szCs w:val="24"/>
              </w:rPr>
            </w:pPr>
            <w:r w:rsidRPr="00807F27">
              <w:rPr>
                <w:rFonts w:ascii="Times New Roman" w:hAnsi="Times New Roman" w:cs="Times New Roman"/>
                <w:sz w:val="24"/>
                <w:szCs w:val="24"/>
              </w:rPr>
              <w:t>4.3 Key Concepts for Market Optimisation</w:t>
            </w:r>
          </w:p>
          <w:p w14:paraId="0BFA44B0" w14:textId="77777777" w:rsidR="00F75495" w:rsidRPr="00807F27" w:rsidRDefault="00F75495" w:rsidP="00F75495">
            <w:pPr>
              <w:spacing w:line="360" w:lineRule="auto"/>
              <w:rPr>
                <w:rFonts w:ascii="Times New Roman" w:hAnsi="Times New Roman" w:cs="Times New Roman"/>
                <w:sz w:val="24"/>
                <w:szCs w:val="24"/>
              </w:rPr>
            </w:pPr>
            <w:r w:rsidRPr="00807F27">
              <w:rPr>
                <w:rFonts w:ascii="Times New Roman" w:hAnsi="Times New Roman" w:cs="Times New Roman"/>
                <w:sz w:val="24"/>
                <w:szCs w:val="24"/>
              </w:rPr>
              <w:t>4.4 The Importance of Impactful Supplemental Learning</w:t>
            </w:r>
          </w:p>
          <w:p w14:paraId="1B29C518" w14:textId="77777777" w:rsidR="00F75495" w:rsidRPr="00807F27" w:rsidRDefault="00F75495" w:rsidP="00F75495">
            <w:pPr>
              <w:spacing w:line="360" w:lineRule="auto"/>
              <w:rPr>
                <w:rFonts w:ascii="Times New Roman" w:hAnsi="Times New Roman" w:cs="Times New Roman"/>
                <w:sz w:val="24"/>
                <w:szCs w:val="24"/>
              </w:rPr>
            </w:pPr>
            <w:r w:rsidRPr="00807F27">
              <w:rPr>
                <w:rFonts w:ascii="Times New Roman" w:hAnsi="Times New Roman" w:cs="Times New Roman"/>
                <w:sz w:val="24"/>
                <w:szCs w:val="24"/>
              </w:rPr>
              <w:t>4.5 The Importance of Support Systems and Continuous Improvement</w:t>
            </w:r>
          </w:p>
          <w:p w14:paraId="2C7AE331" w14:textId="77777777" w:rsidR="00F75495" w:rsidRPr="00807F27" w:rsidRDefault="00F75495" w:rsidP="00F75495">
            <w:pPr>
              <w:spacing w:line="360" w:lineRule="auto"/>
              <w:rPr>
                <w:rFonts w:ascii="Times New Roman" w:hAnsi="Times New Roman" w:cs="Times New Roman"/>
                <w:sz w:val="24"/>
                <w:szCs w:val="24"/>
              </w:rPr>
            </w:pPr>
            <w:r w:rsidRPr="00807F27">
              <w:rPr>
                <w:rFonts w:ascii="Times New Roman" w:hAnsi="Times New Roman" w:cs="Times New Roman"/>
                <w:sz w:val="24"/>
                <w:szCs w:val="24"/>
              </w:rPr>
              <w:t>4.6 The Importance of Investing in Human Capital Development</w:t>
            </w:r>
          </w:p>
          <w:p w14:paraId="0C82E7E1" w14:textId="77777777" w:rsidR="00F75495" w:rsidRDefault="00F75495" w:rsidP="00807F27">
            <w:pPr>
              <w:spacing w:line="360" w:lineRule="auto"/>
              <w:jc w:val="both"/>
              <w:rPr>
                <w:rFonts w:ascii="Times New Roman" w:eastAsia="Times New Roman" w:hAnsi="Times New Roman" w:cs="Times New Roman"/>
                <w:color w:val="0E101A"/>
                <w:sz w:val="24"/>
                <w:szCs w:val="24"/>
                <w:lang w:val="en-US" w:eastAsia="zh-HK"/>
              </w:rPr>
            </w:pPr>
          </w:p>
          <w:p w14:paraId="51D1B440" w14:textId="0B814455" w:rsidR="00C77AA2" w:rsidRPr="00C77AA2" w:rsidRDefault="00C77AA2" w:rsidP="00C77AA2">
            <w:pPr>
              <w:pStyle w:val="a7"/>
              <w:numPr>
                <w:ilvl w:val="0"/>
                <w:numId w:val="4"/>
              </w:numPr>
              <w:spacing w:line="360" w:lineRule="auto"/>
              <w:ind w:leftChars="0"/>
              <w:jc w:val="both"/>
              <w:rPr>
                <w:rFonts w:ascii="Times New Roman" w:eastAsia="Times New Roman" w:hAnsi="Times New Roman" w:cs="Times New Roman"/>
                <w:color w:val="0E101A"/>
                <w:sz w:val="24"/>
                <w:szCs w:val="24"/>
                <w:lang w:val="en-US" w:eastAsia="zh-HK"/>
              </w:rPr>
            </w:pPr>
            <w:r w:rsidRPr="00C77AA2">
              <w:rPr>
                <w:rFonts w:ascii="Times New Roman" w:eastAsia="Times New Roman" w:hAnsi="Times New Roman" w:cs="Times New Roman"/>
                <w:color w:val="0E101A"/>
                <w:sz w:val="24"/>
                <w:szCs w:val="24"/>
                <w:lang w:val="en-US" w:eastAsia="zh-HK"/>
              </w:rPr>
              <w:t>References</w:t>
            </w:r>
          </w:p>
        </w:tc>
        <w:tc>
          <w:tcPr>
            <w:tcW w:w="1603" w:type="dxa"/>
          </w:tcPr>
          <w:p w14:paraId="2432994D" w14:textId="77777777" w:rsidR="00F75495" w:rsidRDefault="00F75495" w:rsidP="00C77AA2">
            <w:pPr>
              <w:spacing w:line="360" w:lineRule="auto"/>
              <w:jc w:val="center"/>
              <w:rPr>
                <w:rFonts w:ascii="Times New Roman" w:eastAsia="Times New Roman" w:hAnsi="Times New Roman" w:cs="Times New Roman"/>
                <w:color w:val="0E101A"/>
                <w:sz w:val="24"/>
                <w:szCs w:val="24"/>
                <w:lang w:val="en-US"/>
              </w:rPr>
            </w:pPr>
          </w:p>
          <w:p w14:paraId="68175429" w14:textId="4CF16461" w:rsidR="00F75495" w:rsidRDefault="00F75495"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3</w:t>
            </w:r>
          </w:p>
          <w:p w14:paraId="66510757" w14:textId="77777777" w:rsidR="00F75495" w:rsidRDefault="00F75495" w:rsidP="00C77AA2">
            <w:pPr>
              <w:spacing w:line="360" w:lineRule="auto"/>
              <w:jc w:val="center"/>
              <w:rPr>
                <w:rFonts w:ascii="Times New Roman" w:eastAsia="Times New Roman" w:hAnsi="Times New Roman" w:cs="Times New Roman"/>
                <w:color w:val="0E101A"/>
                <w:sz w:val="24"/>
                <w:szCs w:val="24"/>
                <w:lang w:val="en-US"/>
              </w:rPr>
            </w:pPr>
          </w:p>
          <w:p w14:paraId="2F707583" w14:textId="77777777" w:rsidR="00F75495" w:rsidRDefault="00F75495" w:rsidP="00C77AA2">
            <w:pPr>
              <w:spacing w:line="360" w:lineRule="auto"/>
              <w:jc w:val="center"/>
              <w:rPr>
                <w:rFonts w:ascii="Times New Roman" w:eastAsia="Times New Roman" w:hAnsi="Times New Roman" w:cs="Times New Roman"/>
                <w:color w:val="0E101A"/>
                <w:sz w:val="24"/>
                <w:szCs w:val="24"/>
                <w:lang w:val="en-US"/>
              </w:rPr>
            </w:pPr>
          </w:p>
          <w:p w14:paraId="598551DF" w14:textId="77777777" w:rsidR="00F75495" w:rsidRDefault="00F75495" w:rsidP="00C77AA2">
            <w:pPr>
              <w:spacing w:line="360" w:lineRule="auto"/>
              <w:jc w:val="center"/>
              <w:rPr>
                <w:rFonts w:ascii="Times New Roman" w:eastAsia="Times New Roman" w:hAnsi="Times New Roman" w:cs="Times New Roman"/>
                <w:color w:val="0E101A"/>
                <w:sz w:val="24"/>
                <w:szCs w:val="24"/>
                <w:lang w:val="en-US"/>
              </w:rPr>
            </w:pPr>
          </w:p>
          <w:p w14:paraId="32B43FDB" w14:textId="77777777" w:rsidR="00F75495"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7</w:t>
            </w:r>
          </w:p>
          <w:p w14:paraId="0D3BB129"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8</w:t>
            </w:r>
          </w:p>
          <w:p w14:paraId="2E89A36E"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9</w:t>
            </w:r>
          </w:p>
          <w:p w14:paraId="0FA93663"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0D8427D9"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760AAEE3"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57F94BE3"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3ED27C7C"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10</w:t>
            </w:r>
          </w:p>
          <w:p w14:paraId="60A310BE"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11</w:t>
            </w:r>
          </w:p>
          <w:p w14:paraId="211DB628"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12</w:t>
            </w:r>
          </w:p>
          <w:p w14:paraId="6C455894"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13</w:t>
            </w:r>
          </w:p>
          <w:p w14:paraId="220A564A"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14</w:t>
            </w:r>
          </w:p>
          <w:p w14:paraId="0050C35B"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3A01B07E"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43D06D4E"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3AAC291C"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15</w:t>
            </w:r>
          </w:p>
          <w:p w14:paraId="6D822FC5"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15</w:t>
            </w:r>
          </w:p>
          <w:p w14:paraId="02C6C70F"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16</w:t>
            </w:r>
          </w:p>
          <w:p w14:paraId="37C94CAE"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16</w:t>
            </w:r>
          </w:p>
          <w:p w14:paraId="338CC7E5"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17</w:t>
            </w:r>
          </w:p>
          <w:p w14:paraId="58BB9C69"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17</w:t>
            </w:r>
          </w:p>
          <w:p w14:paraId="454025CE" w14:textId="77777777" w:rsidR="00C77AA2" w:rsidRDefault="00C77AA2" w:rsidP="00C77AA2">
            <w:pPr>
              <w:spacing w:line="360" w:lineRule="auto"/>
              <w:jc w:val="center"/>
              <w:rPr>
                <w:rFonts w:ascii="Times New Roman" w:eastAsia="Times New Roman" w:hAnsi="Times New Roman" w:cs="Times New Roman"/>
                <w:color w:val="0E101A"/>
                <w:sz w:val="24"/>
                <w:szCs w:val="24"/>
                <w:lang w:val="en-US"/>
              </w:rPr>
            </w:pPr>
          </w:p>
          <w:p w14:paraId="74FCCEF1" w14:textId="4B2978FD" w:rsidR="00C77AA2" w:rsidRPr="00F75495" w:rsidRDefault="00C77AA2" w:rsidP="00C77AA2">
            <w:pPr>
              <w:spacing w:line="360" w:lineRule="auto"/>
              <w:jc w:val="center"/>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18</w:t>
            </w:r>
          </w:p>
        </w:tc>
      </w:tr>
    </w:tbl>
    <w:p w14:paraId="0000001F" w14:textId="568E7677" w:rsidR="00721A11" w:rsidRPr="00C77AA2" w:rsidRDefault="00000000" w:rsidP="00807F27">
      <w:pPr>
        <w:spacing w:line="360" w:lineRule="auto"/>
        <w:jc w:val="both"/>
        <w:rPr>
          <w:rFonts w:ascii="Times New Roman" w:eastAsia="Times New Roman" w:hAnsi="Times New Roman" w:cs="Times New Roman"/>
          <w:color w:val="0E101A"/>
          <w:sz w:val="24"/>
          <w:szCs w:val="24"/>
          <w:lang w:val="en-US"/>
        </w:rPr>
      </w:pPr>
      <w:r w:rsidRPr="00807F27">
        <w:rPr>
          <w:rFonts w:ascii="Times New Roman" w:hAnsi="Times New Roman" w:cs="Times New Roman"/>
          <w:sz w:val="24"/>
          <w:szCs w:val="24"/>
        </w:rPr>
        <w:br w:type="page"/>
      </w:r>
      <w:r w:rsidR="00C77AA2">
        <w:rPr>
          <w:rFonts w:ascii="Times New Roman" w:hAnsi="Times New Roman" w:cs="Times New Roman"/>
          <w:sz w:val="24"/>
          <w:szCs w:val="24"/>
          <w:lang w:val="en-US"/>
        </w:rPr>
        <w:lastRenderedPageBreak/>
        <w:t>8</w:t>
      </w:r>
    </w:p>
    <w:p w14:paraId="00000020" w14:textId="69DA1D3A" w:rsidR="00721A11" w:rsidRPr="00F75495" w:rsidRDefault="00000000" w:rsidP="00F75495">
      <w:pPr>
        <w:pStyle w:val="a7"/>
        <w:numPr>
          <w:ilvl w:val="0"/>
          <w:numId w:val="5"/>
        </w:numPr>
        <w:spacing w:line="360" w:lineRule="auto"/>
        <w:ind w:leftChars="0"/>
        <w:jc w:val="both"/>
        <w:rPr>
          <w:rFonts w:ascii="Times New Roman" w:eastAsia="Times New Roman" w:hAnsi="Times New Roman" w:cs="Times New Roman"/>
          <w:color w:val="0E101A"/>
          <w:sz w:val="24"/>
          <w:szCs w:val="24"/>
        </w:rPr>
      </w:pPr>
      <w:r w:rsidRPr="00F75495">
        <w:rPr>
          <w:rFonts w:ascii="Times New Roman" w:eastAsia="Times New Roman" w:hAnsi="Times New Roman" w:cs="Times New Roman"/>
          <w:color w:val="0E101A"/>
          <w:sz w:val="24"/>
          <w:szCs w:val="24"/>
        </w:rPr>
        <w:t>A summary of the research proposal (RP)</w:t>
      </w:r>
    </w:p>
    <w:p w14:paraId="00000021"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22"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Title: An Analysis of Parental Decision-Making and Market Optimisation in the Hong Kong STEM Education Industry"</w:t>
      </w:r>
    </w:p>
    <w:p w14:paraId="00000023"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24"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Gungsuh" w:hAnsi="Times New Roman" w:cs="Times New Roman"/>
          <w:color w:val="0E101A"/>
          <w:sz w:val="24"/>
          <w:szCs w:val="24"/>
        </w:rPr>
        <w:t>Background</w:t>
      </w:r>
      <w:r w:rsidRPr="00807F27">
        <w:rPr>
          <w:rFonts w:ascii="Times New Roman" w:eastAsia="Gungsuh" w:hAnsi="Times New Roman" w:cs="Times New Roman"/>
          <w:color w:val="0E101A"/>
          <w:sz w:val="24"/>
          <w:szCs w:val="24"/>
        </w:rPr>
        <w:t>：</w:t>
      </w:r>
    </w:p>
    <w:p w14:paraId="00000025"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26"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STEM education has become increasingly important globally as the world transitions to a technology-driven economy. Nations are promoting STEM to ensure future competitiveness and economic growth. In line with this trend, the Hong Kong government is boosting STEM education policies to develop skills that are aligned with its long-term plans. This research aims to understand parental factors in choosing STEM activities to enhance our curriculum, branding and competitiveness. Insights will optimise our marketing strategy and ultimately support providing students with an outstanding learning experience.</w:t>
      </w:r>
    </w:p>
    <w:p w14:paraId="00000027"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28"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Introduction: </w:t>
      </w:r>
    </w:p>
    <w:p w14:paraId="00000029"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This proposal outlines a mixed-methods study investigating factors influencing parental decisions when choosing STEM extracurricular activities for their children in Hong Kong. Given the growth of the STEM education sector, understanding these demand-side perspectives is essential. Limited research exists on this topic, so our study will contribute to new empirical findings.</w:t>
      </w:r>
    </w:p>
    <w:p w14:paraId="0000002A"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2B"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Key Concepts: </w:t>
      </w:r>
    </w:p>
    <w:p w14:paraId="0000002C"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The research will examine consumer behaviour, market segmentation, branding and positioning, marketing communications, pricing strategies, customer relationship management, and competitive analysis frameworks. It will identify underlying psychological, social, cultural and perceived value factors influencing parental choices. </w:t>
      </w:r>
    </w:p>
    <w:p w14:paraId="0000002D"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2E"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Significance: </w:t>
      </w:r>
    </w:p>
    <w:p w14:paraId="0000002F"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This study aims to understand factors influencing parental choice of STEM activities for children in Hong Kong. It will provide valuable insights for optimising STEM education to support economic and workforce development goals. Identifying demand-side decision factors can guide education providers in improving programming, marketing, and relationships. Empirical findings and recommendations will </w:t>
      </w:r>
      <w:r w:rsidRPr="00807F27">
        <w:rPr>
          <w:rFonts w:ascii="Times New Roman" w:eastAsia="Times New Roman" w:hAnsi="Times New Roman" w:cs="Times New Roman"/>
          <w:color w:val="0E101A"/>
          <w:sz w:val="24"/>
          <w:szCs w:val="24"/>
        </w:rPr>
        <w:lastRenderedPageBreak/>
        <w:t xml:space="preserve">enhance student enrollment in STEM activities. It will advance theoretical knowledge of relevant consumer behaviour and business concepts. A mixed-methods approach incorporating multiple perspectives investigates this vital issue. </w:t>
      </w:r>
    </w:p>
    <w:p w14:paraId="00000030"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31"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Major Concepts in Literature: </w:t>
      </w:r>
    </w:p>
    <w:p w14:paraId="00000032"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Existing literature establishes that individual characteristics and contexts influence consumer decision-making. This study actively investigates psychological, social and economic factors driving STEM activity choices through quantitative and qualitative methods. The market segmentation theory proposes that segmentation improves competitiveness through customisation. This research analyses survey data into subgroups to optimise opportunities through refined targeting. Strong and differentiated brands that connect emotionally with their audience over time can influence parents to enrol their children in programs or services. Past models overlook consumer perspectives on critical equity dimensions. This research explores effective branding strategies developed from multidimensional equity measures to optimise impact.</w:t>
      </w:r>
    </w:p>
    <w:p w14:paraId="00000033"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34"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As the digital world continues to evolve, the way parents interact with each other and make decisions is increasingly influenced. Recommendations and referrals from online sources are becoming more important and are shaping the parenting landscape. This research examines the growing role of online environments in STEM choices.</w:t>
      </w:r>
    </w:p>
    <w:p w14:paraId="00000035"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36"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Pricing strategies, bundles, and promotions shape customers' value perception, making it important for businesses to craft offers that maintain their market prestige and reputation. This research provides evidence-based pricing guidance. Relationships dictate retention through customisation and insights, though student outcomes outweigh parental views. A multidimensional CRM approach balancing factors bolsters viability. This study strengthens relationship-focused practice by exploring interaction effectiveness.</w:t>
      </w:r>
    </w:p>
    <w:p w14:paraId="00000037"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38"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Research Aims &amp; Objectives: </w:t>
      </w:r>
    </w:p>
    <w:p w14:paraId="00000039"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The study aims to understand factors influencing parental STEM activity choices and provide marketing optimisation recommendations. Objectives include identifying influential factors, segmenting the market, evaluating current strategies, analysing relationship-building practices, and formulating prescriptions to strengthen competitiveness. </w:t>
      </w:r>
    </w:p>
    <w:p w14:paraId="0000003A" w14:textId="63A4BC2C" w:rsidR="00F75495" w:rsidRDefault="00F75495">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br w:type="page"/>
      </w:r>
    </w:p>
    <w:p w14:paraId="0000003B"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lastRenderedPageBreak/>
        <w:t>Research Aims:</w:t>
      </w:r>
    </w:p>
    <w:p w14:paraId="0000003C" w14:textId="77777777" w:rsidR="00721A11" w:rsidRPr="00807F27" w:rsidRDefault="00000000" w:rsidP="00807F27">
      <w:pPr>
        <w:numPr>
          <w:ilvl w:val="0"/>
          <w:numId w:val="2"/>
        </w:num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color w:val="0E101A"/>
          <w:sz w:val="24"/>
          <w:szCs w:val="24"/>
        </w:rPr>
        <w:t>To understand the factors influencing parental decision-making when choosing STEM extracurricular activities for their children.</w:t>
      </w:r>
    </w:p>
    <w:p w14:paraId="0000003D" w14:textId="77777777" w:rsidR="00721A11" w:rsidRPr="00807F27" w:rsidRDefault="00000000" w:rsidP="00807F27">
      <w:pPr>
        <w:numPr>
          <w:ilvl w:val="0"/>
          <w:numId w:val="2"/>
        </w:num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color w:val="0E101A"/>
          <w:sz w:val="24"/>
          <w:szCs w:val="24"/>
        </w:rPr>
        <w:t>To recommend optimising sales and marketing strategies to attract more students to STEM programs.</w:t>
      </w:r>
    </w:p>
    <w:p w14:paraId="0000003E"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Research Objectives:</w:t>
      </w:r>
    </w:p>
    <w:p w14:paraId="0000003F" w14:textId="77777777" w:rsidR="00721A11" w:rsidRPr="00807F27" w:rsidRDefault="00000000" w:rsidP="00807F27">
      <w:pPr>
        <w:numPr>
          <w:ilvl w:val="0"/>
          <w:numId w:val="3"/>
        </w:num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color w:val="0E101A"/>
          <w:sz w:val="24"/>
          <w:szCs w:val="24"/>
        </w:rPr>
        <w:t>To identify and analyse the internal and external influences on parents.</w:t>
      </w:r>
    </w:p>
    <w:p w14:paraId="00000040" w14:textId="77777777" w:rsidR="00721A11" w:rsidRPr="00807F27" w:rsidRDefault="00000000" w:rsidP="00807F27">
      <w:pPr>
        <w:numPr>
          <w:ilvl w:val="0"/>
          <w:numId w:val="3"/>
        </w:num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color w:val="0E101A"/>
          <w:sz w:val="24"/>
          <w:szCs w:val="24"/>
        </w:rPr>
        <w:t>To segment the target parental market into subgroups based on shared traits.</w:t>
      </w:r>
    </w:p>
    <w:p w14:paraId="00000041" w14:textId="77777777" w:rsidR="00721A11" w:rsidRPr="00807F27" w:rsidRDefault="00000000" w:rsidP="00807F27">
      <w:pPr>
        <w:numPr>
          <w:ilvl w:val="0"/>
          <w:numId w:val="3"/>
        </w:num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color w:val="0E101A"/>
          <w:sz w:val="24"/>
          <w:szCs w:val="24"/>
        </w:rPr>
        <w:t>To evaluate current approaches used through case studies of top-performing activity providers.</w:t>
      </w:r>
    </w:p>
    <w:p w14:paraId="00000042" w14:textId="77777777" w:rsidR="00721A11" w:rsidRPr="00807F27" w:rsidRDefault="00000000" w:rsidP="00807F27">
      <w:pPr>
        <w:numPr>
          <w:ilvl w:val="0"/>
          <w:numId w:val="3"/>
        </w:num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color w:val="0E101A"/>
          <w:sz w:val="24"/>
          <w:szCs w:val="24"/>
        </w:rPr>
        <w:t>To analyse practices enhancing customer experience, satisfaction, trust and engagement.</w:t>
      </w:r>
    </w:p>
    <w:p w14:paraId="00000043" w14:textId="77777777" w:rsidR="00721A11" w:rsidRPr="00807F27" w:rsidRDefault="00000000" w:rsidP="00807F27">
      <w:pPr>
        <w:numPr>
          <w:ilvl w:val="0"/>
          <w:numId w:val="3"/>
        </w:num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color w:val="0E101A"/>
          <w:sz w:val="24"/>
          <w:szCs w:val="24"/>
        </w:rPr>
        <w:t>To formulate tailored prescriptions based on all findings to strengthen organisations' competitive differentiation and student recruitment.</w:t>
      </w:r>
    </w:p>
    <w:p w14:paraId="00000044"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45"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Methodology: </w:t>
      </w:r>
    </w:p>
    <w:p w14:paraId="00000046"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We will conduct the research using a mixed-methods approach that involves surveys, interviews, and case studies. Phase 1 involves distributing an online and paper survey through 36 schools to collect at least 3,600 responses from parents, students and teachers. </w:t>
      </w:r>
    </w:p>
    <w:p w14:paraId="00000047"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Phase 2 consists of 30 qualitative interviews. Quantitative analysis using Orange includes descriptive statistics, correlations, factor analysis to identify underlying influences, and clustering algorithms to segment the 3600+ sample into subgroups. NVivo will be used to code and analyse 30 interview transcripts. </w:t>
      </w:r>
    </w:p>
    <w:p w14:paraId="00000048"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00000049"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Pilot Study Plan:</w:t>
      </w:r>
    </w:p>
    <w:p w14:paraId="0000004A"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A pilot study will be conducted before the full research begins. It aims to pre-test the data collection tools and methodology on a small sample. The draft online survey and interview guides developed for the study will be administered to approximately 50 parents, students, and teachers from 3 to 5 selected schools. Feedback will be gathered from participants to identify any issues. </w:t>
      </w:r>
    </w:p>
    <w:p w14:paraId="0000004B"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Analysing the pilot data will evaluate how effectively the tools capture intended data and inform necessary refinements. Analytics software like Orange and NVivo will also be configured and tested based on expected pilot variables. Insights gained from pre-testing the methodology on a small scale will allow for the optimisation of approaches before applying them to the complete study.</w:t>
      </w:r>
    </w:p>
    <w:p w14:paraId="0000004C" w14:textId="77777777" w:rsidR="00721A11" w:rsidRPr="00807F27" w:rsidRDefault="00721A11" w:rsidP="00807F27">
      <w:pPr>
        <w:spacing w:line="360" w:lineRule="auto"/>
        <w:jc w:val="both"/>
        <w:rPr>
          <w:rFonts w:ascii="Times New Roman" w:eastAsia="Times New Roman" w:hAnsi="Times New Roman" w:cs="Times New Roman"/>
          <w:color w:val="0E101A"/>
          <w:sz w:val="24"/>
          <w:szCs w:val="24"/>
        </w:rPr>
      </w:pPr>
    </w:p>
    <w:p w14:paraId="2D2DBCC8" w14:textId="77777777" w:rsidR="00F75495" w:rsidRDefault="00F75495">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br w:type="page"/>
      </w:r>
    </w:p>
    <w:p w14:paraId="0000004D" w14:textId="73F23024"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lastRenderedPageBreak/>
        <w:t xml:space="preserve">Expected Outcomes: </w:t>
      </w:r>
    </w:p>
    <w:p w14:paraId="0000004E" w14:textId="77777777" w:rsidR="00721A11" w:rsidRPr="00807F27" w:rsidRDefault="00000000" w:rsidP="00807F27">
      <w:pPr>
        <w:spacing w:line="360" w:lineRule="auto"/>
        <w:jc w:val="both"/>
        <w:rPr>
          <w:rFonts w:ascii="Times New Roman" w:eastAsia="Times New Roman" w:hAnsi="Times New Roman" w:cs="Times New Roman"/>
          <w:color w:val="0E101A"/>
          <w:sz w:val="24"/>
          <w:szCs w:val="24"/>
        </w:rPr>
      </w:pPr>
      <w:r w:rsidRPr="00807F27">
        <w:rPr>
          <w:rFonts w:ascii="Times New Roman" w:eastAsia="Times New Roman" w:hAnsi="Times New Roman" w:cs="Times New Roman"/>
          <w:color w:val="0E101A"/>
          <w:sz w:val="24"/>
          <w:szCs w:val="24"/>
        </w:rPr>
        <w:t xml:space="preserve">Theoretical advancement, new empirical insights, identification of excellence benchmarks, and evidence-based recommendations are expected to optimise enrollment, experience, and organisational outcomes by comprehensively addressing parental perspectives. </w:t>
      </w:r>
    </w:p>
    <w:p w14:paraId="0000004F"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50" w14:textId="5DD3DDD8"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2</w:t>
      </w:r>
      <w:r w:rsidR="00C77AA2">
        <w:rPr>
          <w:rFonts w:ascii="Times New Roman" w:eastAsia="Times New Roman" w:hAnsi="Times New Roman" w:cs="Times New Roman"/>
          <w:sz w:val="24"/>
          <w:szCs w:val="24"/>
          <w:lang w:val="en-US"/>
        </w:rPr>
        <w:t>)</w:t>
      </w:r>
      <w:r w:rsidRPr="00807F27">
        <w:rPr>
          <w:rFonts w:ascii="Times New Roman" w:eastAsia="Times New Roman" w:hAnsi="Times New Roman" w:cs="Times New Roman"/>
          <w:sz w:val="24"/>
          <w:szCs w:val="24"/>
        </w:rPr>
        <w:t xml:space="preserve"> Analyzing the Strengths, Weaknesses, and Limitations of the Study</w:t>
      </w:r>
    </w:p>
    <w:p w14:paraId="00000051"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52"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2.1 Strengths of the Study</w:t>
      </w:r>
    </w:p>
    <w:p w14:paraId="00000053"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54"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proposed research plan stands out for its unique approach, which has been fortified by a comprehensive literature review. This review not only identified gaps in the existing literature but also informed the study design, ensuring that the research addresses underexplored areas and builds on existing knowledge. This robust foundation, coupled with the novel approach, will significantly enhance the credibility of the study findings and their applicability in practice.</w:t>
      </w:r>
    </w:p>
    <w:p w14:paraId="00000055"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56"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research has adopted a mixed methods approach, incorporating surveys, interviews, and case studies. This approach offers several advantages. Firstly, it provides a broader data perspective by incorporating quantitative measures, which aid in identifying patterns and trends. Secondly, qualitative analysis is also employed to offer a more comprehensive understanding of the research problem. This approach is beneficial in exploring complex phenomena, as it allows for a deeper understanding of the underlying reasons and motivations behind the data. Lastly, the large sample sizes planned for surveys and the number of case study organisations enhance generalizability, meaning that the findings can be applied to a broader population beyond the study sample. In summary, the mixed methods approach adopted in this research allows for a more comprehensive and robust analysis of the research problem.</w:t>
      </w:r>
    </w:p>
    <w:p w14:paraId="00000057"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58"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conceptual framework employed in this research is comprehensive, considering both the demand and supply-side perspectives. This approach ensures a holistic understanding of the factors influencing parental decisions regarding STEM engagement. The framework, enriched by multiple theories, offers a deeper understanding of the complicated phenomenon of STEM engagement. This comprehensive understanding can significantly contribute to developing policies and practices that support parents' decision-making processes.</w:t>
      </w:r>
    </w:p>
    <w:p w14:paraId="00000059"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5A"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methodology section of the research paper is crucial in ensuring that the findings are reliable and valid. A rigorous approach has been taken to achieve this, and each step of the research process has been detailed. Appropriate data analysis techniques such as factor analysis, clustering, and thematic analysis have been carefully selected and implemented to enhance the credibility of the research. These techniques have been chosen to ensure that the study is carried out with the greatest severity and that the results are accurate and meaningful.</w:t>
      </w:r>
    </w:p>
    <w:p w14:paraId="00000060" w14:textId="2D6256D1"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2.2 Weaknesses of the Study</w:t>
      </w:r>
    </w:p>
    <w:p w14:paraId="00000061"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3"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proposed research plan has several strengths, but it also has some identified weaknesses. Firstly, the pilot study's sample size is only 50 surveys, which may need to be more significant to test and refine tools thoroughly. It can address the weaknesses by conducting a larger pilot test, strengthening the methodology and increasing the research's validity. Doing so would give the research a better chance of achieving its objectives and producing reliable results.</w:t>
      </w:r>
    </w:p>
    <w:p w14:paraId="00000064"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5"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When selecting schools for a study, purposeful selection within a specific context may lead to limitations in its generalizability. This is particularly true in the case of Hong Kong, which was the focus of this particular study. To overcome this limitation and enhance the external validity of the study, it is necessary to expand cross-nationally. Doing so will provide comparative insights to help us better understand the subject matter. In other words, broadening the scope of the study will ensure that its conclusions are not limited to a single context but can be more widely applied.</w:t>
      </w:r>
    </w:p>
    <w:p w14:paraId="00000066"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7"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When gathering data through interviews, sample size plays a crucial role. In this context, it is worth noting that interviewing only 30 parents may need to provide more data saturation, especially considering the heterogeneity of the target population. Therefore, a larger qualitative sample size is preferable to represent all perspectives adequately. This approach will help gain a more comprehensive understanding of the topic and lead to more accurate and insightful conclusions.</w:t>
      </w:r>
    </w:p>
    <w:p w14:paraId="00000068"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9"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24-month timeline for implementing recommendations, evaluating real-world impact, and iterating based on stakeholder feedback before the research concludes may not be adequate. This means that the usefulness of the research findings could be limited, and it may hinder the practical implementation. To ensure the best outcomes, a longer timeline may be necessary to fully address the complexities of the research and allow for comprehensive evaluation and feedback.</w:t>
      </w:r>
    </w:p>
    <w:p w14:paraId="0000006A"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B"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C"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D"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E"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6F"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70"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2.3 Limitations of the Study</w:t>
      </w:r>
    </w:p>
    <w:p w14:paraId="00000071"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72"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proposed research plan has several limitations that need to be taken into account. Firstly, the use of self-reported survey and interview data may be subject to biases, such as social desirability bias. While triangulating sources may help to minimise these biases to some extent, their complete elimination is not guaranteed. As a result, it is important to interpret the study findings with caution, mindful of the potential limitations of the research methodology employed.</w:t>
      </w:r>
    </w:p>
    <w:p w14:paraId="00000073"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74"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non-experimental research design has its limitations when it comes to establishing causal relationships between variables of interest. As a result, researchers can only observe correlations and cannot make definitive claims about the causal links between the variables. This limits the study's explanatory power and leads to a less comprehensive understanding of the research topic.</w:t>
      </w:r>
    </w:p>
    <w:p w14:paraId="00000075"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76"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When considering the limitations of the study, it is important to acknowledge that the 24-month timeline may hinder the investigation of long-term patterns in parental choices. This is particularly relevant in the context of gradual shifts in these choices over generations, which are influenced by changing social conditions. As a result, the study's ability to provide insights into long-term trends and future developments may be limited by this time constraint.</w:t>
      </w:r>
    </w:p>
    <w:p w14:paraId="00000077"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78"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study's limited generalizability is a result of its narrow focus on one region, rather than multiple international contexts with varying education systems and cultural backgrounds. As a result, the findings of this study may not be applicable to other settings.</w:t>
      </w:r>
    </w:p>
    <w:p w14:paraId="00000079"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7A"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7B" w14:textId="30A94F8B"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3</w:t>
      </w:r>
      <w:r w:rsidR="00C77AA2">
        <w:rPr>
          <w:rFonts w:ascii="Times New Roman" w:eastAsia="Times New Roman" w:hAnsi="Times New Roman" w:cs="Times New Roman"/>
          <w:sz w:val="24"/>
          <w:szCs w:val="24"/>
          <w:lang w:val="en-US"/>
        </w:rPr>
        <w:t>)</w:t>
      </w:r>
      <w:r w:rsidRPr="00807F27">
        <w:rPr>
          <w:rFonts w:ascii="Times New Roman" w:eastAsia="Times New Roman" w:hAnsi="Times New Roman" w:cs="Times New Roman"/>
          <w:sz w:val="24"/>
          <w:szCs w:val="24"/>
        </w:rPr>
        <w:t xml:space="preserve"> </w:t>
      </w:r>
      <w:r w:rsidRPr="00807F27">
        <w:rPr>
          <w:rFonts w:ascii="Times New Roman" w:eastAsia="Times New Roman" w:hAnsi="Times New Roman" w:cs="Times New Roman"/>
          <w:color w:val="1C1C1C"/>
          <w:sz w:val="24"/>
          <w:szCs w:val="24"/>
          <w:highlight w:val="white"/>
        </w:rPr>
        <w:t>Exploring Alternative Research Methods to Address Shortcomings in the Research Design</w:t>
      </w:r>
    </w:p>
    <w:p w14:paraId="0000007C"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7D"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There are some alternative methodological approaches that could address certain shortcomings. These approaches include the following:</w:t>
      </w:r>
    </w:p>
    <w:p w14:paraId="0000007F" w14:textId="77777777" w:rsidR="00721A11" w:rsidRPr="00C77AA2" w:rsidRDefault="00721A11" w:rsidP="00807F27">
      <w:pPr>
        <w:spacing w:line="360" w:lineRule="auto"/>
        <w:jc w:val="both"/>
        <w:rPr>
          <w:rFonts w:ascii="Times New Roman" w:eastAsia="Times New Roman" w:hAnsi="Times New Roman" w:cs="Times New Roman"/>
          <w:sz w:val="24"/>
          <w:szCs w:val="24"/>
          <w:lang w:val="en-US"/>
        </w:rPr>
      </w:pPr>
    </w:p>
    <w:p w14:paraId="00000080"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3.1 The reason for including case studies in the methodology</w:t>
      </w:r>
    </w:p>
    <w:p w14:paraId="00000081"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82"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Previously the research design did not include conducting case studies of top STEM extracurricular programs as part of the methodology.</w:t>
      </w:r>
    </w:p>
    <w:p w14:paraId="00000083"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84"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Including case studies allows for an additional in-depth exploration of real-world optimisation strategies currently employed by leading organisations in the field. Case studies can provide rich qualitative data on positioning, branding, marketing communications, pricing approaches, customer relationship management practices, and competitive differentiation tactics. This adds a valuable applied perspective to complement the demand-side parental insights from surveys and interviews and advance understanding of supply-side optimisation opportunities.</w:t>
      </w:r>
    </w:p>
    <w:p w14:paraId="00000085"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86"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With case studies incorporated, the methodology now involves purposefully selecting three top-performing STEM programs and collecting detailed documentation on their strategies through observations, document analysis, and interviews. This allows for a more comprehensive approach to addressing current standards of excellence and differentiation strategies.. The methodology can then triangulate findings from case studies with other data to inform evidence-based recommendations for strengthening organisational competitiveness. The addition of case studies thus offers a strategic extension that further enriches the research by providing an on-the-ground supply perspective alongside demand-side consumer insights.</w:t>
      </w:r>
    </w:p>
    <w:p w14:paraId="00000087"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88"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In summary, including case studies, as now proposed, fills a gap by allowing real-world best practices to be explored. This enhances the comprehensive, multi-stakeholder nature of the research that aims to optimise engagement across the STEM education sector.</w:t>
      </w:r>
    </w:p>
    <w:p w14:paraId="00000089"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8A"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8B"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3.2 Distinguishing between quantitative and qualitative approaches</w:t>
      </w:r>
    </w:p>
    <w:p w14:paraId="0000008C"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8D"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purpose of the quantitative survey is to answer the question "what". It seeks to understand patterns and relationships in the data to learn the facts and characteristics of the phenomenon being studied. Specifically, it tries to find out what factors influence parental STEM activity choices and what the characteristics of distinct market segments are. To do this, quantitative analysis techniques such as descriptive statistics, inferential testing, factor analysis, and clustering algorithms are used to objectively quantify and examine what is happening among the large survey sample.</w:t>
      </w:r>
    </w:p>
    <w:p w14:paraId="0000008E"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8F"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On the other hand, the qualitative interviews aim to learn "how" and "why". They provide rich contextual insights into the human experiences, perspectives, processes, and meanings behind participants' responses. Specifically, they try to find out how parents describe their decision-making process and how optimisation strategies employed by programs work in practice. Thematic coding of interviews allows emergent concepts, themes, and relationships to be inductively identified to learn the intricate "how" of the topic from participants' voices.</w:t>
      </w:r>
    </w:p>
    <w:p w14:paraId="00000090"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91"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By integrating the "what" discovered quantitatively with the "how" revealed qualitatively, a more holistic understanding of both the facts and human factors involved can be achieved. This mixed methods design leverages the strengths of qualitative and quantitative inquiry to comprehensively address the research aims.</w:t>
      </w:r>
    </w:p>
    <w:p w14:paraId="00000092"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93"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94"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 xml:space="preserve">3.3 Strategies for increasing survey participation rates </w:t>
      </w:r>
    </w:p>
    <w:p w14:paraId="00000095"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96"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Partnering with school administrators is crucial to the success of surveys. Researchers need to work closely with them to promote the study and encourage students and parents to participate. It is important to present the value of the insights gained to secure the administrators' support and buy-in. With their endorsement, promotion through official school channels becomes possible.</w:t>
      </w:r>
    </w:p>
    <w:p w14:paraId="00000097"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98"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Providing incentives is an effective way to boost motivation for completing surveys. Respondents may feel more compelled to participate if there is a small reward. Even small tokens of appreciation can increase individual motivation to contribute.</w:t>
      </w:r>
    </w:p>
    <w:p w14:paraId="00000099"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9A"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Emphasising the relevance of the survey findings upfront is equally important. Researchers should clearly communicate how the results will help optimise programs and support available to students. People are more likely to participate if they understand the potential impact of their contribution. Timing is also significant - launching during busy periods risks lower prioritisation. It is best to work around exam and holiday schedules when feasible.</w:t>
      </w:r>
    </w:p>
    <w:p w14:paraId="0000009B"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9C"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Survey design significantly affects participation levels. Forms should be concise yet comprehensive, taking minimal time to complete. Limiting text-heavy, mentally taxing questions will reduce the burden. Mobile-friendliness accommodates flexibility. Multiple reminder emails and school announcements can also boost response rates over time.</w:t>
      </w:r>
    </w:p>
    <w:p w14:paraId="0000009D"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9E"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Addressing privacy concerns from the outset also gains trust. Outlining strict data confidentiality protocols and specific yet limited use of provided information assuages fears. If allowed, using student networks to encourage parental involvement can be effective. Additionally, testing outreach strategies on a smaller scale can refine promotional techniques before the full study rollout.</w:t>
      </w:r>
    </w:p>
    <w:p w14:paraId="0000009F"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A0"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A1"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3.4 Factors to consider when collecting data from teachers</w:t>
      </w:r>
    </w:p>
    <w:p w14:paraId="000000A2"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A3"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There are valid arguments about whether collecting survey data from teachers is necessary for the research project. The primary focus of the research is to understand the factors parents consider when choosing extracurricular activities for their children. Therefore, teachers' perspectives may not directly inform the critical influences on parental choices. Additionally, time spent with teachers is typically not a determining factor for parents in selecting activities for their children.</w:t>
      </w:r>
    </w:p>
    <w:p w14:paraId="000000A4"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A5"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Most of the data gathered for market segmentation, marketing approaches, pricing models, and optimisation strategies aim to attract parental enrollments rather than rely on teacher referrals. Adding teachers to the survey may burden the responses of all groups. It may be better to spend the valuable interview time acquiring rich insights directly from parents.</w:t>
      </w:r>
    </w:p>
    <w:p w14:paraId="000000A6"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A7"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However, if resources allow, teacher inputs could still provide some proper supplementary context. They may offer feedback on marketing and program materials that are shown to students. Teachers also have perspectives on curriculum quality, operational aspects, and learner outcomes that could help shape recommendations. Comparisons between teacher and parent perceptions of different activities may surface additional implications.</w:t>
      </w:r>
    </w:p>
    <w:p w14:paraId="000000A8"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A9"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 xml:space="preserve">Considering the research's primary objectives centred around the parental perspective and strategies targeting parents, limiting surveys to just parents and students would likely meet needs while streamlining methodology. </w:t>
      </w:r>
    </w:p>
    <w:p w14:paraId="000000AA"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AB"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AC"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3.5 Methods for reducing the sample size of the target survey</w:t>
      </w:r>
    </w:p>
    <w:p w14:paraId="000000AD"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AE"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Given the time and resource constraints, it is more practical to reduce the target survey sample size from 3000+ to around 300 responses. While a larger sample size would increase statistical power, it may require more work to obtain successfully, potentially prolonging the data collection and handling process.</w:t>
      </w:r>
    </w:p>
    <w:p w14:paraId="000000AF"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0"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A sample size of 300 is still considered sufficient for most quantitative analyses in social science research. With this size, researchers can detect meaningful effects and relationships between variables with adequate statistical power while also allowing for subgroup comparisons if needed.</w:t>
      </w:r>
    </w:p>
    <w:p w14:paraId="000000B1"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2"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Additionally, a more manageable sample size of 300 would facilitate a smoother data cleaning and preparation process, reducing the potential for errors and inconsistencies that could arise when dealing with extremely large datasets. This would enable researchers to allocate more time and effort towards conducting in-depth qualitative data collection and analysis, which is a crucial aspect of the proposed mixed-methods design.</w:t>
      </w:r>
    </w:p>
    <w:p w14:paraId="000000B3"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4"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 xml:space="preserve">Ultimately, while a larger sample size is often desirable, it is important to strike a balance between statistical rigor and practical feasibility. By adjusting the target survey sample size to around 300 responses, the researchers can still achieve the overall research aims and objectives while ensuring a more efficient and manageable data collection process </w:t>
      </w:r>
    </w:p>
    <w:p w14:paraId="000000B5"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6"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7"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8"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hAnsi="Times New Roman" w:cs="Times New Roman"/>
          <w:sz w:val="24"/>
          <w:szCs w:val="24"/>
        </w:rPr>
        <w:br w:type="page"/>
      </w:r>
    </w:p>
    <w:p w14:paraId="000000BA" w14:textId="6A5D4323"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4</w:t>
      </w:r>
      <w:r w:rsidR="00C77AA2">
        <w:rPr>
          <w:rFonts w:ascii="Times New Roman" w:eastAsia="Times New Roman" w:hAnsi="Times New Roman" w:cs="Times New Roman"/>
          <w:sz w:val="24"/>
          <w:szCs w:val="24"/>
          <w:lang w:val="en-US"/>
        </w:rPr>
        <w:t>)</w:t>
      </w:r>
      <w:r w:rsidRPr="00807F27">
        <w:rPr>
          <w:rFonts w:ascii="Times New Roman" w:eastAsia="Times New Roman" w:hAnsi="Times New Roman" w:cs="Times New Roman"/>
          <w:sz w:val="24"/>
          <w:szCs w:val="24"/>
        </w:rPr>
        <w:t xml:space="preserve"> Potential impacts of the research</w:t>
      </w:r>
    </w:p>
    <w:p w14:paraId="000000BB"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C"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4.1 Potential Contributions to Knowledge and Future Research</w:t>
      </w:r>
    </w:p>
    <w:p w14:paraId="000000BD"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BE"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The study presented a comprehensive analysis of the current state of STEM engagement and identified areas where it could improve the field. By examining existing research and using innovative data analysis, the study provides new theoretical insights into STEM engagement that can significantly broaden our understanding. Developing a conceptual model that integrates the findings into a cohesive framework is one of the study's key contributions. This framework offers a new perspective on the complex factors influencing STEM engagement, which can inform future research. The study also sheds light on evolving preferences among individuals regarding STEM engagement, offering insights that can guide future research directions and inform the development of more effective STEM engagement programs. Overall, the study is a valuable contribution to the field of STEM engagement and sets the stage for further exploration of this vital topic.</w:t>
      </w:r>
    </w:p>
    <w:p w14:paraId="000000BF"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C0"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4.2 The Value of Using Demand-Driven Evidence</w:t>
      </w:r>
    </w:p>
    <w:p w14:paraId="000000C1"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C2"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Using demand-driven evidence to make recommendations is highly beneficial for activity providers. This approach helps them optimise various aspects of their programming, outreach, pricing, and relationships by offering tailored services based on the needs and demands of students and communities. Moreover, this approach facilitates long-term impact evaluations, which can help refine practices continuously, ensuring that the services offered remain relevant, effective, and beneficial to the end-users. All in all, using demand-driven evidence is an excellent way for activity providers to meet the evolving needs of their target audience and provide them with the best possible experience.</w:t>
      </w:r>
    </w:p>
    <w:p w14:paraId="000000C3"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7E53C575" w14:textId="77777777" w:rsidR="00C77AA2" w:rsidRDefault="00C77AA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C4" w14:textId="16E58609"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4.3 Key Concepts for Market Optimisation</w:t>
      </w:r>
    </w:p>
    <w:p w14:paraId="000000C5"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C6"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Market segmentation divides a larger market into smaller groups of people or organisations with similar characteristics, needs, or preferences. It helps organisations allocate their resources strategically and target unique segments. By segmenting the market, organisations can identify the most profitable segments and tailor their products and services to meet their needs.</w:t>
      </w:r>
    </w:p>
    <w:p w14:paraId="000000C7"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C8"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Competitive differentiation is another crucial element of successful market segmentation. It involves creating a unique value proposition that distinguishes the organisation from its competitors. Organisations can attract and retain customers more effectively by offering something competitors do not.</w:t>
      </w:r>
    </w:p>
    <w:p w14:paraId="000000C9"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CA"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Marketing optimisation identifies the most effective marketing channels and tactics for reaching different market segments. It involves analysing customer behaviour, preferences, and demographic data to identify each segment's most effective marketing messages and channels. Enrollment and retention are important factors in supporting organisational viability. By improving enrollment and retention rates, organisations can create long-term customer loyalty and revenue streams, which in turn support the organisation's long-term viability and success.</w:t>
      </w:r>
    </w:p>
    <w:p w14:paraId="000000CB"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CC"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Finally, data-driven decision-making is vital for achieving organisational goals. By analysing customer behaviour, market trends, and other factors, organisations can make informed decisions about resource allocation, marketing strategies, and other critical business decisions. This, in turn, enhances the organisation's chances of achieving its goals, increasing profitability, and maintaining long-term success.</w:t>
      </w:r>
    </w:p>
    <w:p w14:paraId="000000CD"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CE"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4.4 The Importance of Impactful Supplemental Learning</w:t>
      </w:r>
    </w:p>
    <w:p w14:paraId="000000CF"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D0"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Students exposed to satisfying educational experiences that help them develop their interests, skills, and career aspirations tend to become lifelong learners who can achieve their full potential. The study further suggests that access to impactful supplemental learning can provide many individual benefits, such as improved academic performance, increased motivation, enhanced creativity, better problem-solving abilities, and greater confidence. Therefore, ensuring students access high-quality educational resources is essential to help them cultivate their talents and pursue their goals.</w:t>
      </w:r>
    </w:p>
    <w:p w14:paraId="000000D1"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D2"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4.5 The Importance of Support Systems and Continuous Improvement</w:t>
      </w:r>
    </w:p>
    <w:p w14:paraId="000000D3"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D4"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Providing ongoing guidance to students is critical to improving educational outcomes. This guidance can come through mentorship, academic advising, or regular check-ins with a trusted teacher or counsellor. Additionally, students are more likely to succeed when supportive families actively participate in their education. By fostering stronger relationships between educators, students, and families, schools can create more effective learning environments that help students thrive. Finally, it's essential for schools to assess their progress toward shared educational goals regularly and to use data and insights to refine their approach and sustain improvement over time continually.</w:t>
      </w:r>
    </w:p>
    <w:p w14:paraId="000000D5"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D6"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4.6 The Importance of Investing in Human Capital Development</w:t>
      </w:r>
    </w:p>
    <w:p w14:paraId="000000D7"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D8"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Focusing on nurturing human capital is essential to achieve broader prosperity, mobility, and well-being. By investing in education and training programs that enhance scientific literacy and technical skills, we can create a workforce better equipped to thrive in the modern economy. Such initiatives can also help reduce inequality, increase social mobility, and improve overall well-being in communities. Therefore, it is crucial to prioritise human capital development as a means to drive sustainable economic growth and prosperity.</w:t>
      </w:r>
    </w:p>
    <w:p w14:paraId="000000D9"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DA" w14:textId="77777777"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This study can potentially lead to significant progress, as it is based on sound theoretical principles and supported by empirical evidence. Its findings have wide-ranging applications that can benefit not just individuals but also society as a whole. By providing a deeper understanding of complex issues, such as human behaviour and social interactions, this study can help inform policies and interventions that promote positive change at multiple levels. Whether improving health outcomes, enhancing educational opportunities, or reducing social inequality, it can use the insights gained from this study to effect real-world improvements that benefit everyone.</w:t>
      </w:r>
    </w:p>
    <w:p w14:paraId="000000DB"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7F475646" w14:textId="77777777" w:rsidR="00C77AA2" w:rsidRDefault="00C77AA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DC" w14:textId="6ECB1090" w:rsidR="00721A11" w:rsidRPr="00807F27" w:rsidRDefault="00000000" w:rsidP="00807F27">
      <w:pPr>
        <w:spacing w:line="360" w:lineRule="auto"/>
        <w:jc w:val="both"/>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References</w:t>
      </w:r>
    </w:p>
    <w:p w14:paraId="000000DD" w14:textId="77777777" w:rsidR="00721A11" w:rsidRPr="00807F27" w:rsidRDefault="00721A11" w:rsidP="00807F27">
      <w:pPr>
        <w:spacing w:line="360" w:lineRule="auto"/>
        <w:jc w:val="both"/>
        <w:rPr>
          <w:rFonts w:ascii="Times New Roman" w:eastAsia="Times New Roman" w:hAnsi="Times New Roman" w:cs="Times New Roman"/>
          <w:sz w:val="24"/>
          <w:szCs w:val="24"/>
        </w:rPr>
      </w:pPr>
    </w:p>
    <w:p w14:paraId="000000DE" w14:textId="77777777" w:rsidR="00721A11" w:rsidRPr="00807F27" w:rsidRDefault="00000000" w:rsidP="00807F27">
      <w:pPr>
        <w:numPr>
          <w:ilvl w:val="0"/>
          <w:numId w:val="1"/>
        </w:numPr>
        <w:spacing w:line="360" w:lineRule="auto"/>
        <w:jc w:val="both"/>
        <w:rPr>
          <w:rFonts w:ascii="Times New Roman" w:hAnsi="Times New Roman" w:cs="Times New Roman"/>
          <w:sz w:val="24"/>
          <w:szCs w:val="24"/>
        </w:rPr>
      </w:pPr>
      <w:r w:rsidRPr="00807F27">
        <w:rPr>
          <w:rFonts w:ascii="Times New Roman" w:hAnsi="Times New Roman" w:cs="Times New Roman"/>
          <w:sz w:val="24"/>
          <w:szCs w:val="24"/>
        </w:rPr>
        <w:t>Yau, K. C. [self] (2024). Converting Research into Practice (module HKBM7020). Unpublished. University of Wales.</w:t>
      </w:r>
    </w:p>
    <w:p w14:paraId="000000DF" w14:textId="77777777" w:rsidR="00721A11" w:rsidRPr="00807F27" w:rsidRDefault="00721A11" w:rsidP="00807F27">
      <w:pPr>
        <w:spacing w:line="360" w:lineRule="auto"/>
        <w:ind w:left="720"/>
        <w:jc w:val="both"/>
        <w:rPr>
          <w:rFonts w:ascii="Times New Roman" w:hAnsi="Times New Roman" w:cs="Times New Roman"/>
          <w:sz w:val="24"/>
          <w:szCs w:val="24"/>
        </w:rPr>
      </w:pPr>
    </w:p>
    <w:p w14:paraId="000000E0"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A. Poplavskaya, I. G., and A. Petlin. (2018). "Defining the Problem of Choosing Extracurricular Activities in Russia."</w:t>
      </w:r>
    </w:p>
    <w:p w14:paraId="000000E1"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E2"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Aaker, D. A. (1996). "Measuring brand equity across products and markets." California management review 38(3).</w:t>
      </w:r>
    </w:p>
    <w:p w14:paraId="000000E3"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E4"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Anshari, M., et al. (2019). "Customer relationship management and big data enabled: Personalization &amp; customization of services." Applied Computing and Informatics 15(2): 94-101.</w:t>
      </w:r>
    </w:p>
    <w:p w14:paraId="000000E5" w14:textId="77777777" w:rsidR="00721A11" w:rsidRPr="00807F27" w:rsidRDefault="00000000" w:rsidP="00807F27">
      <w:pPr>
        <w:spacing w:line="360" w:lineRule="auto"/>
        <w:ind w:left="720"/>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 xml:space="preserve">           </w:t>
      </w:r>
    </w:p>
    <w:p w14:paraId="000000E6"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Baalbaki, S. S. (2012). Consumer perception of brand equity measurement: A new scale. United States -- Texas, University of North Texas: 102.</w:t>
      </w:r>
    </w:p>
    <w:p w14:paraId="000000E7"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E8"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Bashar, A., et al. (2012). "Effectiveness of social media as a marketing tool: An empirical study." International Journal of Marketing, Financial Services &amp; Management Research 1(11): 88-99.</w:t>
      </w:r>
    </w:p>
    <w:p w14:paraId="000000E9"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EA"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Bon, A. T. and E. M. Mustafa (2013). "Impact of total quality management on innovation in service organizations: Literature review and new conceptual framework." Procedia Engineering 53: 516-529.</w:t>
      </w:r>
    </w:p>
    <w:p w14:paraId="000000EB"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EC"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Brown, J. J. and P. H. Reingen (1987). "Social Ties and Word-of-Mouth Referral Behavior." Journal of Consumer Research 14(3): 350.</w:t>
      </w:r>
    </w:p>
    <w:p w14:paraId="000000ED"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EE"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Calma, A. and C. Dickson-Deane (2020). "The student as customer and quality in higher education." The International Journal of Educational Management 34(8): 1221-1235.</w:t>
      </w:r>
    </w:p>
    <w:p w14:paraId="000000EF"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F0"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lastRenderedPageBreak/>
        <w:t>Darke, P. R. and C. M. Y. Chung (2005). "Effects of pricing and promotion on consumer perceptions: it depends on how you frame it." Journal of Retailing 81(1): 35-47.</w:t>
      </w:r>
    </w:p>
    <w:p w14:paraId="000000F1" w14:textId="77777777" w:rsidR="00721A11" w:rsidRPr="00807F27" w:rsidRDefault="00721A11" w:rsidP="00807F27">
      <w:pPr>
        <w:spacing w:line="360" w:lineRule="auto"/>
        <w:ind w:left="720"/>
        <w:rPr>
          <w:rFonts w:ascii="Times New Roman" w:eastAsia="Times New Roman" w:hAnsi="Times New Roman" w:cs="Times New Roman"/>
          <w:sz w:val="24"/>
          <w:szCs w:val="24"/>
        </w:rPr>
      </w:pPr>
    </w:p>
    <w:p w14:paraId="000000F2"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Gilmore, A., et al. (2007). "E-marketing and SMEs: operational lessons for the future." European Business Review 19(3): 234-247.</w:t>
      </w:r>
    </w:p>
    <w:p w14:paraId="000000F3"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0F4"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Greaves, E., et al. (2023). "Marketing and School Choice: A Systematic Literature Review." Review of Educational Research 93(6): 825-861.</w:t>
      </w:r>
    </w:p>
    <w:p w14:paraId="000000F5"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0F6"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Green, P. E. and A. M. Krieger (1991). "Segmenting markets with conjoint analysis." Journal of marketing 55(4): 20-31.</w:t>
      </w:r>
    </w:p>
    <w:p w14:paraId="000000F7"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0F8"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Hennig-Thurau, T., et al. (2004). "Electronic word-of-mouth via consumer-opinion platforms: What motivates consumers to articulate themselves on the Internet?" Journal of Interactive Marketing 18(1): 38.</w:t>
      </w:r>
    </w:p>
    <w:p w14:paraId="000000F9"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0FA"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Hoyer, W. D. and C. J. Cobb-Walgren (1988). "Consumer Decision Making Across Product Categories: The Influence of Task Environment: ABSTRACT." Psychology &amp; Marketing (1986-1998)</w:t>
      </w:r>
    </w:p>
    <w:p w14:paraId="000000FB"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0FC"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Jain, R., et al. (2003). "MEASURING CUSTOMER RELATIONSHIP MANAGEMENT." Journal of Services Research 2(2): 97-109.</w:t>
      </w:r>
    </w:p>
    <w:p w14:paraId="000000FD"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0FE"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Kara, A. and E. Kaynak (1997). "Markets of a single customer: exploiting conceptual developments in market segmentation." European Journal of Marketing 31(11/12): 873-895.</w:t>
      </w:r>
    </w:p>
    <w:p w14:paraId="000000FF"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100"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Krzyżanowska, M. and J. Tkaczyk (2012). "Competitive landscape of the educational market: A managerial perspective." International Journal of Management Cases 9.</w:t>
      </w:r>
    </w:p>
    <w:p w14:paraId="00000101"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102"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Li, J. and S. Netessine (2012). "Who are my competitors?-Let the customer decide."</w:t>
      </w:r>
    </w:p>
    <w:p w14:paraId="00000103"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104"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Negoiţă, O. D., et al. (2018). "Digital Marketing Tools Used by Companies." FAIMA Business &amp; Management Journal 6(4): 66-76.</w:t>
      </w:r>
    </w:p>
    <w:p w14:paraId="00000105"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106"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Punj, G. N. and D. W. Stewart (1983). "An interaction framework of consumer decision making." Journal of Consumer Research 10(2): 181-196.</w:t>
      </w:r>
    </w:p>
    <w:p w14:paraId="00000107" w14:textId="77777777" w:rsidR="00721A11" w:rsidRPr="00807F27" w:rsidRDefault="00721A11" w:rsidP="00807F27">
      <w:pPr>
        <w:spacing w:line="360" w:lineRule="auto"/>
        <w:rPr>
          <w:rFonts w:ascii="Times New Roman" w:eastAsia="Times New Roman" w:hAnsi="Times New Roman" w:cs="Times New Roman"/>
          <w:sz w:val="24"/>
          <w:szCs w:val="24"/>
        </w:rPr>
      </w:pPr>
    </w:p>
    <w:p w14:paraId="00000108" w14:textId="77777777" w:rsidR="00721A11" w:rsidRPr="00807F27" w:rsidRDefault="00000000" w:rsidP="00807F27">
      <w:pPr>
        <w:numPr>
          <w:ilvl w:val="0"/>
          <w:numId w:val="1"/>
        </w:numPr>
        <w:spacing w:line="360" w:lineRule="auto"/>
        <w:rPr>
          <w:rFonts w:ascii="Times New Roman" w:eastAsia="Times New Roman" w:hAnsi="Times New Roman" w:cs="Times New Roman"/>
          <w:sz w:val="24"/>
          <w:szCs w:val="24"/>
        </w:rPr>
      </w:pPr>
      <w:r w:rsidRPr="00807F27">
        <w:rPr>
          <w:rFonts w:ascii="Times New Roman" w:eastAsia="Times New Roman" w:hAnsi="Times New Roman" w:cs="Times New Roman"/>
          <w:sz w:val="24"/>
          <w:szCs w:val="24"/>
        </w:rPr>
        <w:t>Singh, J. (2013). "Market segmentation: a conceptual framework." International Journal of Advanced Research in Management and Social Sciences 2(9): 224-230.</w:t>
      </w:r>
    </w:p>
    <w:p w14:paraId="00000109" w14:textId="77777777" w:rsidR="00721A11" w:rsidRPr="00807F27" w:rsidRDefault="00721A11" w:rsidP="00807F27">
      <w:pPr>
        <w:spacing w:line="360" w:lineRule="auto"/>
        <w:jc w:val="both"/>
        <w:rPr>
          <w:rFonts w:ascii="Times New Roman" w:eastAsia="Times New Roman" w:hAnsi="Times New Roman" w:cs="Times New Roman"/>
          <w:sz w:val="24"/>
          <w:szCs w:val="24"/>
        </w:rPr>
      </w:pPr>
    </w:p>
    <w:sectPr w:rsidR="00721A11" w:rsidRPr="00807F27" w:rsidSect="009F5E54">
      <w:footerReference w:type="even" r:id="rId9"/>
      <w:footerReference w:type="default" r:id="rId10"/>
      <w:pgSz w:w="12240" w:h="15840"/>
      <w:pgMar w:top="1134" w:right="1134" w:bottom="1134"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CA1D7" w14:textId="77777777" w:rsidR="009F5E54" w:rsidRDefault="009F5E54">
      <w:pPr>
        <w:spacing w:line="240" w:lineRule="auto"/>
      </w:pPr>
      <w:r>
        <w:separator/>
      </w:r>
    </w:p>
  </w:endnote>
  <w:endnote w:type="continuationSeparator" w:id="0">
    <w:p w14:paraId="4FB2FB40" w14:textId="77777777" w:rsidR="009F5E54" w:rsidRDefault="009F5E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798600188"/>
      <w:docPartObj>
        <w:docPartGallery w:val="Page Numbers (Bottom of Page)"/>
        <w:docPartUnique/>
      </w:docPartObj>
    </w:sdtPr>
    <w:sdtContent>
      <w:p w14:paraId="0A9D7678" w14:textId="2381569E" w:rsidR="00F75495" w:rsidRDefault="00F75495" w:rsidP="001F327E">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378BC856" w14:textId="77777777" w:rsidR="00F75495" w:rsidRDefault="00F7549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762952797"/>
      <w:docPartObj>
        <w:docPartGallery w:val="Page Numbers (Bottom of Page)"/>
        <w:docPartUnique/>
      </w:docPartObj>
    </w:sdtPr>
    <w:sdtContent>
      <w:p w14:paraId="12399903" w14:textId="01CFFC61" w:rsidR="00F75495" w:rsidRDefault="00F75495" w:rsidP="001F327E">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4A1C881D" w14:textId="77777777" w:rsidR="00F75495" w:rsidRDefault="00F7549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A84A5" w14:textId="77777777" w:rsidR="009F5E54" w:rsidRDefault="009F5E54">
      <w:pPr>
        <w:spacing w:line="240" w:lineRule="auto"/>
      </w:pPr>
      <w:r>
        <w:separator/>
      </w:r>
    </w:p>
  </w:footnote>
  <w:footnote w:type="continuationSeparator" w:id="0">
    <w:p w14:paraId="4265DED4" w14:textId="77777777" w:rsidR="009F5E54" w:rsidRDefault="009F5E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71B47"/>
    <w:multiLevelType w:val="multilevel"/>
    <w:tmpl w:val="5066F332"/>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8826A31"/>
    <w:multiLevelType w:val="hybridMultilevel"/>
    <w:tmpl w:val="26D63EBA"/>
    <w:lvl w:ilvl="0" w:tplc="7DD03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B02B8A"/>
    <w:multiLevelType w:val="multilevel"/>
    <w:tmpl w:val="344EF9D6"/>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55724C63"/>
    <w:multiLevelType w:val="hybridMultilevel"/>
    <w:tmpl w:val="E4401454"/>
    <w:lvl w:ilvl="0" w:tplc="FBBC10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00461F"/>
    <w:multiLevelType w:val="multilevel"/>
    <w:tmpl w:val="BB1A86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25159887">
    <w:abstractNumId w:val="4"/>
  </w:num>
  <w:num w:numId="2" w16cid:durableId="1985625794">
    <w:abstractNumId w:val="2"/>
  </w:num>
  <w:num w:numId="3" w16cid:durableId="1086193942">
    <w:abstractNumId w:val="0"/>
  </w:num>
  <w:num w:numId="4" w16cid:durableId="2038240181">
    <w:abstractNumId w:val="1"/>
  </w:num>
  <w:num w:numId="5" w16cid:durableId="1347832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A11"/>
    <w:rsid w:val="00721A11"/>
    <w:rsid w:val="00807F27"/>
    <w:rsid w:val="009F5E54"/>
    <w:rsid w:val="00C77AA2"/>
    <w:rsid w:val="00F75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59DC7AD6"/>
  <w15:docId w15:val="{DC2A411D-19BB-4D46-B49F-DE2F305C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zh-HK"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paragraph" w:styleId="a5">
    <w:name w:val="header"/>
    <w:basedOn w:val="a"/>
    <w:link w:val="a6"/>
    <w:rsid w:val="00807F27"/>
    <w:pPr>
      <w:tabs>
        <w:tab w:val="center" w:pos="4153"/>
        <w:tab w:val="right" w:pos="8306"/>
      </w:tabs>
      <w:spacing w:line="240" w:lineRule="auto"/>
    </w:pPr>
    <w:rPr>
      <w:rFonts w:ascii="Times New Roman" w:eastAsia="新細明體" w:hAnsi="Times New Roman" w:cs="Times New Roman"/>
      <w:sz w:val="20"/>
      <w:szCs w:val="20"/>
      <w:lang w:val="en-GB" w:eastAsia="en-GB"/>
    </w:rPr>
  </w:style>
  <w:style w:type="character" w:customStyle="1" w:styleId="a6">
    <w:name w:val="頁首 字元"/>
    <w:basedOn w:val="a0"/>
    <w:link w:val="a5"/>
    <w:rsid w:val="00807F27"/>
    <w:rPr>
      <w:rFonts w:ascii="Times New Roman" w:eastAsia="新細明體" w:hAnsi="Times New Roman" w:cs="Times New Roman"/>
      <w:sz w:val="20"/>
      <w:szCs w:val="20"/>
      <w:lang w:val="en-GB" w:eastAsia="en-GB"/>
    </w:rPr>
  </w:style>
  <w:style w:type="paragraph" w:styleId="a7">
    <w:name w:val="List Paragraph"/>
    <w:basedOn w:val="a"/>
    <w:uiPriority w:val="34"/>
    <w:qFormat/>
    <w:rsid w:val="00F75495"/>
    <w:pPr>
      <w:ind w:leftChars="200" w:left="480"/>
    </w:pPr>
  </w:style>
  <w:style w:type="paragraph" w:styleId="a8">
    <w:name w:val="footer"/>
    <w:basedOn w:val="a"/>
    <w:link w:val="a9"/>
    <w:uiPriority w:val="99"/>
    <w:unhideWhenUsed/>
    <w:rsid w:val="00F75495"/>
    <w:pPr>
      <w:tabs>
        <w:tab w:val="center" w:pos="4153"/>
        <w:tab w:val="right" w:pos="8306"/>
      </w:tabs>
      <w:snapToGrid w:val="0"/>
    </w:pPr>
    <w:rPr>
      <w:sz w:val="20"/>
      <w:szCs w:val="20"/>
    </w:rPr>
  </w:style>
  <w:style w:type="character" w:customStyle="1" w:styleId="a9">
    <w:name w:val="頁尾 字元"/>
    <w:basedOn w:val="a0"/>
    <w:link w:val="a8"/>
    <w:uiPriority w:val="99"/>
    <w:rsid w:val="00F75495"/>
    <w:rPr>
      <w:sz w:val="20"/>
      <w:szCs w:val="20"/>
    </w:rPr>
  </w:style>
  <w:style w:type="character" w:styleId="aa">
    <w:name w:val="page number"/>
    <w:basedOn w:val="a0"/>
    <w:uiPriority w:val="99"/>
    <w:semiHidden/>
    <w:unhideWhenUsed/>
    <w:rsid w:val="00F75495"/>
  </w:style>
  <w:style w:type="table" w:styleId="ab">
    <w:name w:val="Table Grid"/>
    <w:basedOn w:val="a1"/>
    <w:uiPriority w:val="39"/>
    <w:rsid w:val="00F754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20</Pages>
  <Words>4951</Words>
  <Characters>28224</Characters>
  <Application>Microsoft Office Word</Application>
  <DocSecurity>0</DocSecurity>
  <Lines>235</Lines>
  <Paragraphs>66</Paragraphs>
  <ScaleCrop>false</ScaleCrop>
  <Company/>
  <LinksUpToDate>false</LinksUpToDate>
  <CharactersWithSpaces>33109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Jacky Yau</cp:lastModifiedBy>
  <cp:revision>3</cp:revision>
  <dcterms:created xsi:type="dcterms:W3CDTF">2024-04-14T09:33:00Z</dcterms:created>
  <dcterms:modified xsi:type="dcterms:W3CDTF">2024-04-14T09:45:00Z</dcterms:modified>
</cp:coreProperties>
</file>