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8827F" w14:textId="77777777" w:rsidR="00194ADD" w:rsidRPr="008F00BE" w:rsidRDefault="00194ADD" w:rsidP="00194ADD">
      <w:pPr>
        <w:spacing w:after="106"/>
        <w:ind w:left="-1" w:right="4849"/>
        <w:jc w:val="right"/>
        <w:rPr>
          <w:rFonts w:ascii="Arial" w:hAnsi="Arial"/>
        </w:rPr>
      </w:pPr>
      <w:r w:rsidRPr="008F00BE">
        <w:rPr>
          <w:rFonts w:ascii="Arial" w:hAnsi="Arial"/>
          <w:noProof/>
        </w:rPr>
        <w:drawing>
          <wp:inline distT="0" distB="0" distL="0" distR="0" wp14:anchorId="7E6BF568" wp14:editId="0EB297D0">
            <wp:extent cx="2619248" cy="1165860"/>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6"/>
                    <a:stretch>
                      <a:fillRect/>
                    </a:stretch>
                  </pic:blipFill>
                  <pic:spPr>
                    <a:xfrm>
                      <a:off x="0" y="0"/>
                      <a:ext cx="2619248" cy="1165860"/>
                    </a:xfrm>
                    <a:prstGeom prst="rect">
                      <a:avLst/>
                    </a:prstGeom>
                  </pic:spPr>
                </pic:pic>
              </a:graphicData>
            </a:graphic>
          </wp:inline>
        </w:drawing>
      </w:r>
      <w:r w:rsidRPr="008F00BE">
        <w:rPr>
          <w:rFonts w:ascii="Arial" w:eastAsia="Segoe UI" w:hAnsi="Arial" w:cs="Segoe UI"/>
          <w:sz w:val="20"/>
        </w:rPr>
        <w:t xml:space="preserve"> </w:t>
      </w:r>
    </w:p>
    <w:p w14:paraId="2A9319BB" w14:textId="77777777" w:rsidR="00194ADD" w:rsidRPr="008F00BE" w:rsidRDefault="00194ADD" w:rsidP="00194ADD">
      <w:pPr>
        <w:spacing w:after="161"/>
        <w:rPr>
          <w:rFonts w:ascii="Arial" w:hAnsi="Arial"/>
        </w:rPr>
      </w:pPr>
      <w:r w:rsidRPr="008F00BE">
        <w:rPr>
          <w:rFonts w:ascii="Arial" w:eastAsia="Segoe UI" w:hAnsi="Arial" w:cs="Segoe UI"/>
          <w:sz w:val="20"/>
        </w:rPr>
        <w:t xml:space="preserve"> </w:t>
      </w:r>
    </w:p>
    <w:p w14:paraId="684EDB5F" w14:textId="77777777" w:rsidR="00194ADD" w:rsidRPr="008F00BE" w:rsidRDefault="00194ADD" w:rsidP="00194ADD">
      <w:pPr>
        <w:spacing w:after="157"/>
        <w:rPr>
          <w:rFonts w:ascii="Arial" w:hAnsi="Arial"/>
        </w:rPr>
      </w:pPr>
      <w:r w:rsidRPr="008F00BE">
        <w:rPr>
          <w:rFonts w:ascii="Arial" w:eastAsia="Segoe UI" w:hAnsi="Arial" w:cs="Segoe UI"/>
          <w:sz w:val="20"/>
        </w:rPr>
        <w:t xml:space="preserve"> </w:t>
      </w:r>
    </w:p>
    <w:p w14:paraId="3442AD72" w14:textId="77777777" w:rsidR="00194ADD" w:rsidRPr="008F00BE" w:rsidRDefault="00194ADD" w:rsidP="00194ADD">
      <w:pPr>
        <w:spacing w:after="161"/>
        <w:rPr>
          <w:rFonts w:ascii="Arial" w:hAnsi="Arial"/>
        </w:rPr>
      </w:pPr>
      <w:r w:rsidRPr="008F00BE">
        <w:rPr>
          <w:rFonts w:ascii="Arial" w:eastAsia="Segoe UI" w:hAnsi="Arial" w:cs="Segoe UI"/>
          <w:sz w:val="20"/>
        </w:rPr>
        <w:t xml:space="preserve"> </w:t>
      </w:r>
    </w:p>
    <w:p w14:paraId="7D04B166" w14:textId="77777777" w:rsidR="00194ADD" w:rsidRPr="008F00BE" w:rsidRDefault="00194ADD" w:rsidP="00194ADD">
      <w:pPr>
        <w:spacing w:after="156"/>
        <w:rPr>
          <w:rFonts w:ascii="Arial" w:hAnsi="Arial"/>
        </w:rPr>
      </w:pPr>
      <w:r w:rsidRPr="008F00BE">
        <w:rPr>
          <w:rFonts w:ascii="Arial" w:eastAsia="Segoe UI" w:hAnsi="Arial" w:cs="Segoe UI"/>
          <w:sz w:val="20"/>
        </w:rPr>
        <w:t xml:space="preserve"> </w:t>
      </w:r>
    </w:p>
    <w:p w14:paraId="38167EBB" w14:textId="77777777" w:rsidR="00194ADD" w:rsidRPr="008F00BE" w:rsidRDefault="00194ADD" w:rsidP="00194ADD">
      <w:pPr>
        <w:spacing w:after="207"/>
        <w:rPr>
          <w:rFonts w:ascii="Arial" w:hAnsi="Arial"/>
        </w:rPr>
      </w:pPr>
      <w:r w:rsidRPr="008F00BE">
        <w:rPr>
          <w:rFonts w:ascii="Arial" w:eastAsia="Segoe UI" w:hAnsi="Arial" w:cs="Segoe UI"/>
          <w:sz w:val="20"/>
        </w:rPr>
        <w:t xml:space="preserve"> </w:t>
      </w:r>
    </w:p>
    <w:p w14:paraId="52089C55" w14:textId="4B15DF02" w:rsidR="00194ADD" w:rsidRPr="008F00BE" w:rsidRDefault="00194ADD" w:rsidP="00194ADD">
      <w:pPr>
        <w:ind w:left="-5" w:hanging="10"/>
        <w:rPr>
          <w:rFonts w:ascii="Arial" w:hAnsi="Arial"/>
        </w:rPr>
      </w:pPr>
      <w:r w:rsidRPr="008F00BE">
        <w:rPr>
          <w:rFonts w:ascii="Arial" w:eastAsia="Arial" w:hAnsi="Arial" w:cs="Arial"/>
          <w:sz w:val="28"/>
        </w:rPr>
        <w:t xml:space="preserve">Name:  </w:t>
      </w:r>
      <w:r w:rsidR="005E5D60">
        <w:rPr>
          <w:rFonts w:ascii="Arial" w:eastAsia="Arial" w:hAnsi="Arial" w:cs="Arial"/>
          <w:sz w:val="28"/>
        </w:rPr>
        <w:t xml:space="preserve">Elizabeth Adesaogun </w:t>
      </w:r>
    </w:p>
    <w:p w14:paraId="2F623EE6" w14:textId="795005EA" w:rsidR="00194ADD" w:rsidRPr="008F00BE" w:rsidRDefault="00194ADD" w:rsidP="00194ADD">
      <w:pPr>
        <w:ind w:left="-5" w:hanging="10"/>
        <w:rPr>
          <w:rFonts w:ascii="Arial" w:hAnsi="Arial"/>
        </w:rPr>
      </w:pPr>
      <w:r w:rsidRPr="008F00BE">
        <w:rPr>
          <w:rFonts w:ascii="Arial" w:eastAsia="Arial" w:hAnsi="Arial" w:cs="Arial"/>
          <w:sz w:val="28"/>
        </w:rPr>
        <w:t xml:space="preserve">Student ID: </w:t>
      </w:r>
      <w:r w:rsidR="005E5D60">
        <w:rPr>
          <w:rFonts w:ascii="Arial" w:eastAsia="Arial" w:hAnsi="Arial" w:cs="Arial"/>
          <w:sz w:val="28"/>
        </w:rPr>
        <w:t>2515702</w:t>
      </w:r>
    </w:p>
    <w:p w14:paraId="6713C51C" w14:textId="586B68F3" w:rsidR="00194ADD" w:rsidRPr="008F00BE" w:rsidRDefault="00194ADD" w:rsidP="00194ADD">
      <w:pPr>
        <w:ind w:left="-5" w:hanging="10"/>
        <w:rPr>
          <w:rFonts w:ascii="Arial" w:hAnsi="Arial"/>
        </w:rPr>
      </w:pPr>
      <w:r w:rsidRPr="008F00BE">
        <w:rPr>
          <w:rFonts w:ascii="Arial" w:eastAsia="Arial" w:hAnsi="Arial" w:cs="Arial"/>
          <w:sz w:val="28"/>
        </w:rPr>
        <w:t xml:space="preserve">Module Code:  </w:t>
      </w:r>
      <w:r w:rsidR="005E5D60">
        <w:rPr>
          <w:rFonts w:ascii="Arial" w:eastAsia="Arial" w:hAnsi="Arial" w:cs="Arial"/>
          <w:sz w:val="28"/>
        </w:rPr>
        <w:t>LCHS4001</w:t>
      </w:r>
    </w:p>
    <w:p w14:paraId="7C7DAEEA" w14:textId="10ADC590" w:rsidR="00194ADD" w:rsidRPr="008F00BE" w:rsidRDefault="00194ADD" w:rsidP="00194ADD">
      <w:pPr>
        <w:ind w:left="-5" w:hanging="10"/>
        <w:rPr>
          <w:rFonts w:ascii="Arial" w:hAnsi="Arial"/>
        </w:rPr>
      </w:pPr>
      <w:r w:rsidRPr="008F00BE">
        <w:rPr>
          <w:rFonts w:ascii="Arial" w:eastAsia="Arial" w:hAnsi="Arial" w:cs="Arial"/>
          <w:sz w:val="28"/>
        </w:rPr>
        <w:t xml:space="preserve">Module:  </w:t>
      </w:r>
      <w:r w:rsidR="005E5D60">
        <w:rPr>
          <w:rFonts w:ascii="Arial" w:eastAsia="Arial" w:hAnsi="Arial" w:cs="Arial"/>
          <w:sz w:val="28"/>
        </w:rPr>
        <w:t xml:space="preserve">Academic and Employability </w:t>
      </w:r>
    </w:p>
    <w:p w14:paraId="7CAC4ED9" w14:textId="0915BE5C" w:rsidR="00194ADD" w:rsidRPr="008F00BE" w:rsidRDefault="00194ADD" w:rsidP="00194ADD">
      <w:pPr>
        <w:ind w:left="-5" w:hanging="10"/>
        <w:rPr>
          <w:rFonts w:ascii="Arial" w:hAnsi="Arial"/>
        </w:rPr>
      </w:pPr>
      <w:r w:rsidRPr="008F00BE">
        <w:rPr>
          <w:rFonts w:ascii="Arial" w:eastAsia="Arial" w:hAnsi="Arial" w:cs="Arial"/>
          <w:sz w:val="28"/>
        </w:rPr>
        <w:t xml:space="preserve">Lecturer: </w:t>
      </w:r>
      <w:r w:rsidR="005E5D60">
        <w:rPr>
          <w:rFonts w:ascii="Arial" w:eastAsia="Arial" w:hAnsi="Arial" w:cs="Arial"/>
          <w:sz w:val="28"/>
        </w:rPr>
        <w:t>Natalia Dozie</w:t>
      </w:r>
    </w:p>
    <w:p w14:paraId="7959E72B" w14:textId="77777777" w:rsidR="00194ADD" w:rsidRPr="008F00BE" w:rsidRDefault="00194ADD" w:rsidP="00194ADD">
      <w:pPr>
        <w:spacing w:after="6" w:line="376" w:lineRule="auto"/>
        <w:ind w:right="8953"/>
        <w:rPr>
          <w:rFonts w:ascii="Arial" w:hAnsi="Arial"/>
        </w:rPr>
      </w:pPr>
      <w:r w:rsidRPr="008F00BE">
        <w:rPr>
          <w:rFonts w:ascii="Arial" w:eastAsia="Arial" w:hAnsi="Arial" w:cs="Arial"/>
          <w:sz w:val="28"/>
        </w:rPr>
        <w:t xml:space="preserve">  </w:t>
      </w:r>
    </w:p>
    <w:p w14:paraId="09066512" w14:textId="77777777" w:rsidR="00194ADD" w:rsidRPr="008F00BE" w:rsidRDefault="00194ADD" w:rsidP="00194ADD">
      <w:pPr>
        <w:spacing w:after="5" w:line="376" w:lineRule="auto"/>
        <w:ind w:right="8953"/>
        <w:rPr>
          <w:rFonts w:ascii="Arial" w:hAnsi="Arial"/>
        </w:rPr>
      </w:pPr>
      <w:r w:rsidRPr="008F00BE">
        <w:rPr>
          <w:rFonts w:ascii="Arial" w:eastAsia="Arial" w:hAnsi="Arial" w:cs="Arial"/>
          <w:sz w:val="28"/>
        </w:rPr>
        <w:t xml:space="preserve">  </w:t>
      </w:r>
    </w:p>
    <w:p w14:paraId="55600E2C" w14:textId="77777777" w:rsidR="00194ADD" w:rsidRPr="008F00BE" w:rsidRDefault="00194ADD" w:rsidP="00194ADD">
      <w:pPr>
        <w:spacing w:after="5" w:line="376" w:lineRule="auto"/>
        <w:ind w:right="8953"/>
        <w:rPr>
          <w:rFonts w:ascii="Arial" w:hAnsi="Arial"/>
        </w:rPr>
      </w:pPr>
      <w:r w:rsidRPr="008F00BE">
        <w:rPr>
          <w:rFonts w:ascii="Arial" w:eastAsia="Arial" w:hAnsi="Arial" w:cs="Arial"/>
          <w:sz w:val="28"/>
        </w:rPr>
        <w:t xml:space="preserve">  </w:t>
      </w:r>
    </w:p>
    <w:p w14:paraId="610C9562" w14:textId="77777777" w:rsidR="00194ADD" w:rsidRPr="008F00BE" w:rsidRDefault="00194ADD" w:rsidP="00194ADD">
      <w:pPr>
        <w:spacing w:after="182"/>
        <w:rPr>
          <w:rFonts w:ascii="Arial" w:hAnsi="Arial"/>
        </w:rPr>
      </w:pPr>
      <w:r w:rsidRPr="008F00BE">
        <w:rPr>
          <w:rFonts w:ascii="Arial" w:eastAsia="Arial" w:hAnsi="Arial" w:cs="Arial"/>
          <w:sz w:val="28"/>
        </w:rPr>
        <w:t xml:space="preserve"> </w:t>
      </w:r>
    </w:p>
    <w:p w14:paraId="6EA1A63C" w14:textId="51B69D42" w:rsidR="00194ADD" w:rsidRPr="005E5D60" w:rsidRDefault="00194ADD" w:rsidP="005E5D60">
      <w:pPr>
        <w:tabs>
          <w:tab w:val="center" w:pos="721"/>
          <w:tab w:val="center" w:pos="1441"/>
          <w:tab w:val="center" w:pos="2161"/>
          <w:tab w:val="center" w:pos="3745"/>
        </w:tabs>
        <w:ind w:left="-15"/>
        <w:rPr>
          <w:rFonts w:ascii="Arial" w:hAnsi="Arial"/>
        </w:rPr>
        <w:sectPr w:rsidR="00194ADD" w:rsidRPr="005E5D60">
          <w:pgSz w:w="11906" w:h="16838"/>
          <w:pgMar w:top="1440" w:right="1440" w:bottom="1440" w:left="1440" w:header="708" w:footer="708" w:gutter="0"/>
          <w:cols w:space="708"/>
          <w:docGrid w:linePitch="360"/>
        </w:sectPr>
      </w:pPr>
      <w:r w:rsidRPr="008F00BE">
        <w:rPr>
          <w:rFonts w:ascii="Arial" w:eastAsia="Arial" w:hAnsi="Arial" w:cs="Arial"/>
          <w:sz w:val="28"/>
        </w:rPr>
        <w:tab/>
        <w:t xml:space="preserve"> </w:t>
      </w:r>
      <w:r w:rsidRPr="008F00BE">
        <w:rPr>
          <w:rFonts w:ascii="Arial" w:eastAsia="Arial" w:hAnsi="Arial" w:cs="Arial"/>
          <w:sz w:val="28"/>
        </w:rPr>
        <w:tab/>
        <w:t xml:space="preserve"> </w:t>
      </w:r>
      <w:r w:rsidRPr="008F00BE">
        <w:rPr>
          <w:rFonts w:ascii="Arial" w:eastAsia="Arial" w:hAnsi="Arial" w:cs="Arial"/>
          <w:sz w:val="28"/>
        </w:rPr>
        <w:tab/>
        <w:t xml:space="preserve"> </w:t>
      </w:r>
      <w:r w:rsidRPr="008F00BE">
        <w:rPr>
          <w:rFonts w:ascii="Arial" w:eastAsia="Arial" w:hAnsi="Arial" w:cs="Arial"/>
          <w:sz w:val="28"/>
        </w:rPr>
        <w:tab/>
        <w:t xml:space="preserve">Submitted on:   </w:t>
      </w:r>
      <w:r w:rsidR="005E5D60">
        <w:rPr>
          <w:rFonts w:ascii="Arial" w:eastAsia="Arial" w:hAnsi="Arial" w:cs="Arial"/>
          <w:sz w:val="28"/>
        </w:rPr>
        <w:t>14/12/2025</w:t>
      </w:r>
      <w:r w:rsidRPr="008F00BE">
        <w:rPr>
          <w:rFonts w:ascii="Arial" w:eastAsia="Arial" w:hAnsi="Arial" w:cs="Arial"/>
          <w:sz w:val="28"/>
        </w:rPr>
        <w:t xml:space="preserve">  </w:t>
      </w:r>
    </w:p>
    <w:sdt>
      <w:sdtPr>
        <w:rPr>
          <w:rFonts w:ascii="Arial" w:eastAsiaTheme="minorHAnsi" w:hAnsi="Arial" w:cstheme="minorBidi"/>
          <w:color w:val="auto"/>
          <w:sz w:val="22"/>
          <w:szCs w:val="22"/>
          <w:lang w:val="en-GB"/>
        </w:rPr>
        <w:id w:val="1693651272"/>
        <w:docPartObj>
          <w:docPartGallery w:val="Table of Contents"/>
          <w:docPartUnique/>
        </w:docPartObj>
      </w:sdtPr>
      <w:sdtEndPr>
        <w:rPr>
          <w:b/>
          <w:bCs/>
          <w:noProof/>
          <w:color w:val="000000" w:themeColor="text1"/>
        </w:rPr>
      </w:sdtEndPr>
      <w:sdtContent>
        <w:p w14:paraId="31666F6C" w14:textId="1D7314A5" w:rsidR="00194ADD" w:rsidRPr="00CE5EE2" w:rsidRDefault="00194ADD" w:rsidP="00194ADD">
          <w:pPr>
            <w:pStyle w:val="TOCHeading"/>
            <w:rPr>
              <w:rFonts w:ascii="Times New Roman" w:hAnsi="Times New Roman"/>
              <w:b/>
              <w:bCs/>
              <w:color w:val="000000" w:themeColor="text1"/>
              <w:sz w:val="22"/>
              <w:szCs w:val="22"/>
            </w:rPr>
          </w:pPr>
          <w:r w:rsidRPr="00CE5EE2">
            <w:rPr>
              <w:rFonts w:ascii="Times New Roman" w:hAnsi="Times New Roman"/>
              <w:b/>
              <w:bCs/>
              <w:color w:val="000000" w:themeColor="text1"/>
              <w:sz w:val="22"/>
              <w:szCs w:val="22"/>
            </w:rPr>
            <w:t>Table of Contents</w:t>
          </w:r>
        </w:p>
        <w:p w14:paraId="0C5A6BE2" w14:textId="69E94549" w:rsidR="00CE5EE2" w:rsidRPr="00CE5EE2" w:rsidRDefault="00194ADD">
          <w:pPr>
            <w:pStyle w:val="TOC1"/>
            <w:tabs>
              <w:tab w:val="right" w:leader="dot" w:pos="9016"/>
            </w:tabs>
            <w:rPr>
              <w:rFonts w:ascii="Times New Roman" w:eastAsiaTheme="minorEastAsia" w:hAnsi="Times New Roman"/>
              <w:noProof/>
              <w:kern w:val="2"/>
              <w:sz w:val="24"/>
              <w:szCs w:val="24"/>
              <w:lang w:eastAsia="en-GB"/>
              <w14:ligatures w14:val="standardContextual"/>
            </w:rPr>
          </w:pPr>
          <w:r w:rsidRPr="00CE5EE2">
            <w:rPr>
              <w:rFonts w:ascii="Times New Roman" w:hAnsi="Times New Roman"/>
              <w:color w:val="000000" w:themeColor="text1"/>
            </w:rPr>
            <w:fldChar w:fldCharType="begin"/>
          </w:r>
          <w:r w:rsidRPr="00CE5EE2">
            <w:rPr>
              <w:rFonts w:ascii="Times New Roman" w:hAnsi="Times New Roman"/>
              <w:color w:val="000000" w:themeColor="text1"/>
            </w:rPr>
            <w:instrText xml:space="preserve"> TOC \o "1-3" \h \z \u </w:instrText>
          </w:r>
          <w:r w:rsidRPr="00CE5EE2">
            <w:rPr>
              <w:rFonts w:ascii="Times New Roman" w:hAnsi="Times New Roman"/>
              <w:color w:val="000000" w:themeColor="text1"/>
            </w:rPr>
            <w:fldChar w:fldCharType="separate"/>
          </w:r>
          <w:hyperlink w:anchor="_Toc216507280" w:history="1">
            <w:r w:rsidR="00CE5EE2" w:rsidRPr="00CE5EE2">
              <w:rPr>
                <w:rStyle w:val="Hyperlink"/>
                <w:rFonts w:ascii="Times New Roman" w:hAnsi="Times New Roman"/>
                <w:noProof/>
              </w:rPr>
              <w:t>1.1 Introduction</w:t>
            </w:r>
            <w:r w:rsidR="00CE5EE2" w:rsidRPr="00CE5EE2">
              <w:rPr>
                <w:rFonts w:ascii="Times New Roman" w:hAnsi="Times New Roman"/>
                <w:noProof/>
                <w:webHidden/>
              </w:rPr>
              <w:tab/>
            </w:r>
            <w:r w:rsidR="00CE5EE2" w:rsidRPr="00CE5EE2">
              <w:rPr>
                <w:rFonts w:ascii="Times New Roman" w:hAnsi="Times New Roman"/>
                <w:noProof/>
                <w:webHidden/>
              </w:rPr>
              <w:fldChar w:fldCharType="begin"/>
            </w:r>
            <w:r w:rsidR="00CE5EE2" w:rsidRPr="00CE5EE2">
              <w:rPr>
                <w:rFonts w:ascii="Times New Roman" w:hAnsi="Times New Roman"/>
                <w:noProof/>
                <w:webHidden/>
              </w:rPr>
              <w:instrText xml:space="preserve"> PAGEREF _Toc216507280 \h </w:instrText>
            </w:r>
            <w:r w:rsidR="00CE5EE2" w:rsidRPr="00CE5EE2">
              <w:rPr>
                <w:rFonts w:ascii="Times New Roman" w:hAnsi="Times New Roman"/>
                <w:noProof/>
                <w:webHidden/>
              </w:rPr>
            </w:r>
            <w:r w:rsidR="00CE5EE2" w:rsidRPr="00CE5EE2">
              <w:rPr>
                <w:rFonts w:ascii="Times New Roman" w:hAnsi="Times New Roman"/>
                <w:noProof/>
                <w:webHidden/>
              </w:rPr>
              <w:fldChar w:fldCharType="separate"/>
            </w:r>
            <w:r w:rsidR="00CE5EE2" w:rsidRPr="00CE5EE2">
              <w:rPr>
                <w:rFonts w:ascii="Times New Roman" w:hAnsi="Times New Roman"/>
                <w:noProof/>
                <w:webHidden/>
              </w:rPr>
              <w:t>1</w:t>
            </w:r>
            <w:r w:rsidR="00CE5EE2" w:rsidRPr="00CE5EE2">
              <w:rPr>
                <w:rFonts w:ascii="Times New Roman" w:hAnsi="Times New Roman"/>
                <w:noProof/>
                <w:webHidden/>
              </w:rPr>
              <w:fldChar w:fldCharType="end"/>
            </w:r>
          </w:hyperlink>
        </w:p>
        <w:p w14:paraId="03E96AF6" w14:textId="568841F2"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1" w:history="1">
            <w:r w:rsidRPr="00CE5EE2">
              <w:rPr>
                <w:rStyle w:val="Hyperlink"/>
                <w:rFonts w:ascii="Times New Roman" w:hAnsi="Times New Roman"/>
                <w:noProof/>
              </w:rPr>
              <w:t>2. Forensic Psychologist in the Health and Social Care Field</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_Toc216507281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1</w:t>
            </w:r>
            <w:r w:rsidRPr="00CE5EE2">
              <w:rPr>
                <w:rFonts w:ascii="Times New Roman" w:hAnsi="Times New Roman"/>
                <w:noProof/>
                <w:webHidden/>
              </w:rPr>
              <w:fldChar w:fldCharType="end"/>
            </w:r>
          </w:hyperlink>
        </w:p>
        <w:p w14:paraId="2CB91923" w14:textId="4F8C212C"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2" w:history="1">
            <w:r w:rsidRPr="00CE5EE2">
              <w:rPr>
                <w:rStyle w:val="Hyperlink"/>
                <w:rFonts w:ascii="Times New Roman" w:hAnsi="Times New Roman"/>
                <w:noProof/>
              </w:rPr>
              <w:t>2.1 Description of the Forensic Psychologist in Health and Social Care</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_Toc216507282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1</w:t>
            </w:r>
            <w:r w:rsidRPr="00CE5EE2">
              <w:rPr>
                <w:rFonts w:ascii="Times New Roman" w:hAnsi="Times New Roman"/>
                <w:noProof/>
                <w:webHidden/>
              </w:rPr>
              <w:fldChar w:fldCharType="end"/>
            </w:r>
          </w:hyperlink>
        </w:p>
        <w:p w14:paraId="54062F47" w14:textId="5B881048"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3" w:history="1">
            <w:r w:rsidRPr="00CE5EE2">
              <w:rPr>
                <w:rStyle w:val="Hyperlink"/>
                <w:rFonts w:ascii="Times New Roman" w:hAnsi="Times New Roman"/>
                <w:noProof/>
              </w:rPr>
              <w:t>2.2 Explanation of Most Significant Skills Needed for Forensic Psychologist in Health and Social Care</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_Toc216507283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1</w:t>
            </w:r>
            <w:r w:rsidRPr="00CE5EE2">
              <w:rPr>
                <w:rFonts w:ascii="Times New Roman" w:hAnsi="Times New Roman"/>
                <w:noProof/>
                <w:webHidden/>
              </w:rPr>
              <w:fldChar w:fldCharType="end"/>
            </w:r>
          </w:hyperlink>
        </w:p>
        <w:p w14:paraId="0C508F49" w14:textId="381E1E1C"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4" w:history="1">
            <w:r w:rsidRPr="00CE5EE2">
              <w:rPr>
                <w:rStyle w:val="Hyperlink"/>
                <w:rFonts w:ascii="Times New Roman" w:hAnsi="Times New Roman"/>
                <w:noProof/>
              </w:rPr>
              <w:t>3 Strategies to Enhance Skills in Forensic Psychologists.</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_Toc216507284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2</w:t>
            </w:r>
            <w:r w:rsidRPr="00CE5EE2">
              <w:rPr>
                <w:rFonts w:ascii="Times New Roman" w:hAnsi="Times New Roman"/>
                <w:noProof/>
                <w:webHidden/>
              </w:rPr>
              <w:fldChar w:fldCharType="end"/>
            </w:r>
          </w:hyperlink>
        </w:p>
        <w:p w14:paraId="0995AADB" w14:textId="241A628D"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5" w:history="1">
            <w:r w:rsidRPr="00CE5EE2">
              <w:rPr>
                <w:rStyle w:val="Hyperlink"/>
                <w:rFonts w:ascii="Times New Roman" w:hAnsi="Times New Roman"/>
                <w:noProof/>
              </w:rPr>
              <w:t>3.1 Three Strategies to Improve the Skills for Forensic Psychologist</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_Toc216507285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2</w:t>
            </w:r>
            <w:r w:rsidRPr="00CE5EE2">
              <w:rPr>
                <w:rFonts w:ascii="Times New Roman" w:hAnsi="Times New Roman"/>
                <w:noProof/>
                <w:webHidden/>
              </w:rPr>
              <w:fldChar w:fldCharType="end"/>
            </w:r>
          </w:hyperlink>
        </w:p>
        <w:p w14:paraId="4DC84409" w14:textId="6F6D3E81"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6" w:history="1">
            <w:r w:rsidRPr="00CE5EE2">
              <w:rPr>
                <w:rStyle w:val="Hyperlink"/>
                <w:rFonts w:ascii="Times New Roman" w:hAnsi="Times New Roman"/>
                <w:noProof/>
              </w:rPr>
              <w:t>4 Conclusion</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_Toc216507286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3</w:t>
            </w:r>
            <w:r w:rsidRPr="00CE5EE2">
              <w:rPr>
                <w:rFonts w:ascii="Times New Roman" w:hAnsi="Times New Roman"/>
                <w:noProof/>
                <w:webHidden/>
              </w:rPr>
              <w:fldChar w:fldCharType="end"/>
            </w:r>
          </w:hyperlink>
        </w:p>
        <w:p w14:paraId="16E6FB1E" w14:textId="257F8960" w:rsidR="00CE5EE2" w:rsidRPr="00CE5EE2" w:rsidRDefault="00CE5EE2">
          <w:pPr>
            <w:pStyle w:val="TOC1"/>
            <w:tabs>
              <w:tab w:val="right" w:leader="dot" w:pos="9016"/>
            </w:tabs>
            <w:rPr>
              <w:rFonts w:ascii="Times New Roman" w:eastAsiaTheme="minorEastAsia" w:hAnsi="Times New Roman"/>
              <w:noProof/>
              <w:kern w:val="2"/>
              <w:sz w:val="24"/>
              <w:szCs w:val="24"/>
              <w:lang w:eastAsia="en-GB"/>
              <w14:ligatures w14:val="standardContextual"/>
            </w:rPr>
          </w:pPr>
          <w:hyperlink w:anchor="_Toc216507287" w:history="1">
            <w:r w:rsidRPr="00CE5EE2">
              <w:rPr>
                <w:rStyle w:val="Hyperlink"/>
                <w:rFonts w:ascii="Times New Roman" w:hAnsi="Times New Roman"/>
                <w:noProof/>
              </w:rPr>
              <w:t>REFERENCE LIST</w:t>
            </w:r>
            <w:r w:rsidRPr="00CE5EE2">
              <w:rPr>
                <w:rFonts w:ascii="Times New Roman" w:hAnsi="Times New Roman"/>
                <w:noProof/>
                <w:webHidden/>
              </w:rPr>
              <w:tab/>
            </w:r>
            <w:r w:rsidRPr="00CE5EE2">
              <w:rPr>
                <w:rFonts w:ascii="Times New Roman" w:hAnsi="Times New Roman"/>
                <w:noProof/>
                <w:webHidden/>
              </w:rPr>
              <w:fldChar w:fldCharType="begin"/>
            </w:r>
            <w:r w:rsidRPr="00CE5EE2">
              <w:rPr>
                <w:rFonts w:ascii="Times New Roman" w:hAnsi="Times New Roman"/>
                <w:noProof/>
                <w:webHidden/>
              </w:rPr>
              <w:instrText xml:space="preserve"> PAGEREF _Toc216507287 \h </w:instrText>
            </w:r>
            <w:r w:rsidRPr="00CE5EE2">
              <w:rPr>
                <w:rFonts w:ascii="Times New Roman" w:hAnsi="Times New Roman"/>
                <w:noProof/>
                <w:webHidden/>
              </w:rPr>
            </w:r>
            <w:r w:rsidRPr="00CE5EE2">
              <w:rPr>
                <w:rFonts w:ascii="Times New Roman" w:hAnsi="Times New Roman"/>
                <w:noProof/>
                <w:webHidden/>
              </w:rPr>
              <w:fldChar w:fldCharType="separate"/>
            </w:r>
            <w:r w:rsidRPr="00CE5EE2">
              <w:rPr>
                <w:rFonts w:ascii="Times New Roman" w:hAnsi="Times New Roman"/>
                <w:noProof/>
                <w:webHidden/>
              </w:rPr>
              <w:t>4</w:t>
            </w:r>
            <w:r w:rsidRPr="00CE5EE2">
              <w:rPr>
                <w:rFonts w:ascii="Times New Roman" w:hAnsi="Times New Roman"/>
                <w:noProof/>
                <w:webHidden/>
              </w:rPr>
              <w:fldChar w:fldCharType="end"/>
            </w:r>
          </w:hyperlink>
        </w:p>
        <w:p w14:paraId="41CD5CBF" w14:textId="363C6C51" w:rsidR="00194ADD" w:rsidRPr="008F00BE" w:rsidRDefault="00194ADD" w:rsidP="00194ADD">
          <w:pPr>
            <w:rPr>
              <w:rFonts w:ascii="Arial" w:hAnsi="Arial"/>
              <w:color w:val="000000" w:themeColor="text1"/>
            </w:rPr>
          </w:pPr>
          <w:r w:rsidRPr="00CE5EE2">
            <w:rPr>
              <w:rFonts w:ascii="Times New Roman" w:hAnsi="Times New Roman"/>
              <w:b/>
              <w:bCs/>
              <w:noProof/>
              <w:color w:val="000000" w:themeColor="text1"/>
            </w:rPr>
            <w:fldChar w:fldCharType="end"/>
          </w:r>
        </w:p>
      </w:sdtContent>
    </w:sdt>
    <w:p w14:paraId="69B0CB09" w14:textId="77777777" w:rsidR="00E03C6A" w:rsidRPr="008F00BE" w:rsidRDefault="00E03C6A" w:rsidP="00E03C6A">
      <w:pPr>
        <w:rPr>
          <w:rFonts w:ascii="Arial" w:eastAsiaTheme="majorEastAsia" w:hAnsi="Arial" w:cstheme="majorBidi"/>
          <w:b/>
          <w:bCs/>
          <w:color w:val="000000" w:themeColor="text1"/>
          <w:szCs w:val="32"/>
        </w:rPr>
        <w:sectPr w:rsidR="00E03C6A" w:rsidRPr="008F00BE" w:rsidSect="00E03C6A">
          <w:footerReference w:type="default" r:id="rId7"/>
          <w:pgSz w:w="11906" w:h="16838"/>
          <w:pgMar w:top="1440" w:right="1440" w:bottom="1440" w:left="1440" w:header="708" w:footer="708" w:gutter="0"/>
          <w:pgNumType w:fmt="lowerRoman" w:start="1"/>
          <w:cols w:space="708"/>
          <w:docGrid w:linePitch="360"/>
        </w:sectPr>
      </w:pPr>
    </w:p>
    <w:p w14:paraId="3E6A091D" w14:textId="77777777" w:rsidR="00E03C6A" w:rsidRPr="008F00BE" w:rsidRDefault="00E03C6A" w:rsidP="00E03C6A">
      <w:pPr>
        <w:pStyle w:val="Heading1"/>
      </w:pPr>
      <w:bookmarkStart w:id="0" w:name="_Toc216507280"/>
      <w:r w:rsidRPr="008F00BE">
        <w:lastRenderedPageBreak/>
        <w:t>1.1 Introduction</w:t>
      </w:r>
      <w:bookmarkEnd w:id="0"/>
    </w:p>
    <w:p w14:paraId="04EC6625" w14:textId="7139EC60" w:rsidR="00E03C6A" w:rsidRPr="008F00BE" w:rsidRDefault="00E03C6A" w:rsidP="00E03C6A">
      <w:pPr>
        <w:spacing w:after="0" w:line="276" w:lineRule="auto"/>
        <w:jc w:val="both"/>
        <w:rPr>
          <w:rFonts w:ascii="Arial" w:hAnsi="Arial"/>
        </w:rPr>
      </w:pPr>
      <w:r w:rsidRPr="008F00BE">
        <w:rPr>
          <w:rFonts w:ascii="Arial" w:hAnsi="Arial"/>
        </w:rPr>
        <w:t>The Health and Social Care sector is a very broad field, comprising a multitude of professions that share the common goal of well-being of the population (</w:t>
      </w:r>
      <w:proofErr w:type="spellStart"/>
      <w:r w:rsidRPr="008F00BE">
        <w:rPr>
          <w:rFonts w:ascii="Arial" w:hAnsi="Arial"/>
        </w:rPr>
        <w:t>Musikanski</w:t>
      </w:r>
      <w:proofErr w:type="spellEnd"/>
      <w:r w:rsidRPr="008F00BE">
        <w:rPr>
          <w:rFonts w:ascii="Arial" w:hAnsi="Arial"/>
        </w:rPr>
        <w:t xml:space="preserve"> et al., 2020). Professionals in this field have to work in complicated ethical, clinical, and legal settings (Schofield et al., 2020). The Forensic Psychologist represents one of these occupations and is especially crucial since they are the only </w:t>
      </w:r>
      <w:r w:rsidR="00F44CD8">
        <w:rPr>
          <w:rFonts w:ascii="Arial" w:hAnsi="Arial"/>
        </w:rPr>
        <w:t>profession which relate with</w:t>
      </w:r>
      <w:r w:rsidRPr="008F00BE">
        <w:rPr>
          <w:rFonts w:ascii="Arial" w:hAnsi="Arial"/>
        </w:rPr>
        <w:t xml:space="preserve"> mental health and the criminal system. This report will </w:t>
      </w:r>
      <w:r w:rsidR="005E5D60" w:rsidRPr="008F00BE">
        <w:rPr>
          <w:rFonts w:ascii="Arial" w:hAnsi="Arial"/>
        </w:rPr>
        <w:t>analyse</w:t>
      </w:r>
      <w:r w:rsidRPr="008F00BE">
        <w:rPr>
          <w:rFonts w:ascii="Arial" w:hAnsi="Arial"/>
        </w:rPr>
        <w:t xml:space="preserve"> the role of the Forensic Psychologist, describe three core skills needed to practice competently, and introduce the evidence-based strategies that help to facilitate the ongoing progress of every skill.</w:t>
      </w:r>
    </w:p>
    <w:p w14:paraId="7C174D4A" w14:textId="77777777" w:rsidR="00E03C6A" w:rsidRPr="008F00BE" w:rsidRDefault="00E03C6A" w:rsidP="00E03C6A">
      <w:pPr>
        <w:spacing w:after="0" w:line="276" w:lineRule="auto"/>
        <w:jc w:val="both"/>
        <w:rPr>
          <w:rFonts w:ascii="Arial" w:hAnsi="Arial"/>
        </w:rPr>
      </w:pPr>
      <w:r w:rsidRPr="008F00BE">
        <w:rPr>
          <w:rFonts w:ascii="Arial" w:hAnsi="Arial"/>
        </w:rPr>
        <w:t xml:space="preserve"> </w:t>
      </w:r>
    </w:p>
    <w:p w14:paraId="24FD0466" w14:textId="77777777" w:rsidR="00E03C6A" w:rsidRPr="008F00BE" w:rsidRDefault="00E03C6A" w:rsidP="00E03C6A">
      <w:pPr>
        <w:pStyle w:val="Heading1"/>
      </w:pPr>
      <w:bookmarkStart w:id="1" w:name="_Toc216507281"/>
      <w:r w:rsidRPr="008F00BE">
        <w:t>2. Forensic Psychologist in the Health and Social Care Field</w:t>
      </w:r>
      <w:bookmarkEnd w:id="1"/>
    </w:p>
    <w:p w14:paraId="199E81EB" w14:textId="77777777" w:rsidR="00E03C6A" w:rsidRPr="008F00BE" w:rsidRDefault="00E03C6A" w:rsidP="00E03C6A">
      <w:pPr>
        <w:pStyle w:val="Heading1"/>
      </w:pPr>
      <w:bookmarkStart w:id="2" w:name="_Toc216507282"/>
      <w:r w:rsidRPr="008F00BE">
        <w:t>2.1 Description of the Forensic Psychologist in Health and Social Care</w:t>
      </w:r>
      <w:bookmarkEnd w:id="2"/>
      <w:r w:rsidRPr="008F00BE">
        <w:t xml:space="preserve"> </w:t>
      </w:r>
    </w:p>
    <w:p w14:paraId="70EAC512" w14:textId="389B3B4F" w:rsidR="00E03C6A" w:rsidRPr="008F00BE" w:rsidRDefault="00E03C6A" w:rsidP="00E03C6A">
      <w:pPr>
        <w:jc w:val="both"/>
        <w:rPr>
          <w:rFonts w:ascii="Arial" w:hAnsi="Arial"/>
        </w:rPr>
      </w:pPr>
      <w:r w:rsidRPr="008F00BE">
        <w:rPr>
          <w:rFonts w:ascii="Arial" w:hAnsi="Arial"/>
        </w:rPr>
        <w:t xml:space="preserve">Forensic </w:t>
      </w:r>
      <w:r w:rsidR="00F44CD8" w:rsidRPr="008F00BE">
        <w:rPr>
          <w:rFonts w:ascii="Arial" w:hAnsi="Arial"/>
        </w:rPr>
        <w:t xml:space="preserve">Psychologists’ </w:t>
      </w:r>
      <w:r w:rsidRPr="008F00BE">
        <w:rPr>
          <w:rFonts w:ascii="Arial" w:hAnsi="Arial"/>
        </w:rPr>
        <w:t xml:space="preserve">role has become an inseparable part of present-day health and social care because this field integrates psychological knowledge and legal procedures in order to improve the safety of the population. This position is critical since it plays a role in assessments, interventions, and risk evaluation that have a direct impact on the outcome of criminal justice. According to the British Psychological Society (2023) the responsibilities of </w:t>
      </w:r>
      <w:r w:rsidR="00F44CD8" w:rsidRPr="008F00BE">
        <w:rPr>
          <w:rFonts w:ascii="Arial" w:hAnsi="Arial"/>
        </w:rPr>
        <w:t xml:space="preserve">Forensic Psychologists </w:t>
      </w:r>
      <w:r w:rsidRPr="008F00BE">
        <w:rPr>
          <w:rFonts w:ascii="Arial" w:hAnsi="Arial"/>
        </w:rPr>
        <w:t xml:space="preserve">include performing psychological evaluation, </w:t>
      </w:r>
      <w:r>
        <w:rPr>
          <w:rFonts w:ascii="Arial" w:hAnsi="Arial"/>
        </w:rPr>
        <w:t>prov</w:t>
      </w:r>
      <w:r w:rsidRPr="008F00BE">
        <w:rPr>
          <w:rFonts w:ascii="Arial" w:hAnsi="Arial"/>
        </w:rPr>
        <w:t>iding therapeutic assistance</w:t>
      </w:r>
      <w:r>
        <w:rPr>
          <w:rFonts w:ascii="Arial" w:hAnsi="Arial"/>
        </w:rPr>
        <w:t xml:space="preserve"> and</w:t>
      </w:r>
      <w:r w:rsidRPr="008F00BE">
        <w:rPr>
          <w:rFonts w:ascii="Arial" w:hAnsi="Arial"/>
        </w:rPr>
        <w:t xml:space="preserve"> giving advice to the court</w:t>
      </w:r>
      <w:r>
        <w:rPr>
          <w:rFonts w:ascii="Arial" w:hAnsi="Arial"/>
        </w:rPr>
        <w:t xml:space="preserve">. </w:t>
      </w:r>
      <w:r w:rsidR="005E5D60">
        <w:rPr>
          <w:rFonts w:ascii="Arial" w:hAnsi="Arial"/>
        </w:rPr>
        <w:t>Hence</w:t>
      </w:r>
      <w:r w:rsidRPr="008F00BE">
        <w:rPr>
          <w:rFonts w:ascii="Arial" w:hAnsi="Arial"/>
        </w:rPr>
        <w:t xml:space="preserve">, the </w:t>
      </w:r>
      <w:r w:rsidR="00F44CD8" w:rsidRPr="008F00BE">
        <w:rPr>
          <w:rFonts w:ascii="Arial" w:hAnsi="Arial"/>
        </w:rPr>
        <w:t xml:space="preserve">Forensic Psychologist </w:t>
      </w:r>
      <w:r w:rsidRPr="008F00BE">
        <w:rPr>
          <w:rFonts w:ascii="Arial" w:hAnsi="Arial"/>
        </w:rPr>
        <w:t>is an essential specialist whose practice involves a combination of mental health care, legal issues, and the security of society.</w:t>
      </w:r>
    </w:p>
    <w:p w14:paraId="79974649" w14:textId="709A4056" w:rsidR="00E03C6A" w:rsidRPr="008F00BE" w:rsidRDefault="00E03C6A" w:rsidP="00E03C6A">
      <w:pPr>
        <w:jc w:val="both"/>
        <w:rPr>
          <w:rFonts w:ascii="Arial" w:hAnsi="Arial"/>
        </w:rPr>
      </w:pPr>
      <w:r w:rsidRPr="008F00BE">
        <w:rPr>
          <w:rFonts w:ascii="Arial" w:hAnsi="Arial"/>
        </w:rPr>
        <w:t xml:space="preserve">The tasks of a </w:t>
      </w:r>
      <w:r w:rsidR="00F44CD8" w:rsidRPr="008F00BE">
        <w:rPr>
          <w:rFonts w:ascii="Arial" w:hAnsi="Arial"/>
        </w:rPr>
        <w:t xml:space="preserve">Forensic Psychologist </w:t>
      </w:r>
      <w:r w:rsidRPr="008F00BE">
        <w:rPr>
          <w:rFonts w:ascii="Arial" w:hAnsi="Arial"/>
        </w:rPr>
        <w:t xml:space="preserve">are more than a clinical examination; there is a special work that informs the legal and correctional decisions. It is a role that requires formulation of case conceptualisations, assessment of the risk of reoffending, designing treatments, and expert testimony in </w:t>
      </w:r>
      <w:r>
        <w:rPr>
          <w:rFonts w:ascii="Arial" w:hAnsi="Arial"/>
        </w:rPr>
        <w:t>court</w:t>
      </w:r>
      <w:r w:rsidRPr="008F00BE">
        <w:rPr>
          <w:rFonts w:ascii="Arial" w:hAnsi="Arial"/>
        </w:rPr>
        <w:t>. According to Neal et al. (2022</w:t>
      </w:r>
      <w:r>
        <w:rPr>
          <w:rFonts w:ascii="Arial" w:hAnsi="Arial"/>
        </w:rPr>
        <w:t>)</w:t>
      </w:r>
      <w:r w:rsidRPr="008F00BE">
        <w:rPr>
          <w:rFonts w:ascii="Arial" w:hAnsi="Arial"/>
        </w:rPr>
        <w:t xml:space="preserve">, forensic psychological expertise enhances rehabilitation programmes and strategies of risk management, which </w:t>
      </w:r>
      <w:r>
        <w:rPr>
          <w:rFonts w:ascii="Arial" w:hAnsi="Arial"/>
        </w:rPr>
        <w:t>has a broad impact on society.</w:t>
      </w:r>
      <w:r w:rsidRPr="008F00BE">
        <w:rPr>
          <w:rFonts w:ascii="Arial" w:hAnsi="Arial"/>
        </w:rPr>
        <w:t xml:space="preserve"> These duties require accuracy, objectiveness and ethical guidelines to guarantee principles of justice and accountability. Therefore, the role of the </w:t>
      </w:r>
      <w:r w:rsidR="00F44CD8" w:rsidRPr="008F00BE">
        <w:rPr>
          <w:rFonts w:ascii="Arial" w:hAnsi="Arial"/>
        </w:rPr>
        <w:t xml:space="preserve">Forensic Psychologist </w:t>
      </w:r>
      <w:r w:rsidRPr="008F00BE">
        <w:rPr>
          <w:rFonts w:ascii="Arial" w:hAnsi="Arial"/>
        </w:rPr>
        <w:t>cannot be ignored in the upholding of justice, and</w:t>
      </w:r>
      <w:r>
        <w:rPr>
          <w:rFonts w:ascii="Arial" w:hAnsi="Arial"/>
        </w:rPr>
        <w:t xml:space="preserve"> in</w:t>
      </w:r>
      <w:r w:rsidRPr="008F00BE">
        <w:rPr>
          <w:rFonts w:ascii="Arial" w:hAnsi="Arial"/>
        </w:rPr>
        <w:t xml:space="preserve"> offering quality forensic mental health services.</w:t>
      </w:r>
    </w:p>
    <w:p w14:paraId="3B705D60" w14:textId="77777777" w:rsidR="00E03C6A" w:rsidRPr="008F00BE" w:rsidRDefault="00E03C6A" w:rsidP="00E03C6A">
      <w:pPr>
        <w:pStyle w:val="Heading1"/>
      </w:pPr>
      <w:bookmarkStart w:id="3" w:name="_Toc216507283"/>
      <w:r w:rsidRPr="008F00BE">
        <w:t xml:space="preserve">2.2 Explanation of Most Significant Skills Needed for </w:t>
      </w:r>
      <w:r>
        <w:t>Forensic Psychologist</w:t>
      </w:r>
      <w:r w:rsidRPr="008F00BE">
        <w:t xml:space="preserve"> in Health and Social Care</w:t>
      </w:r>
      <w:bookmarkEnd w:id="3"/>
    </w:p>
    <w:p w14:paraId="60BAF348" w14:textId="51692E11" w:rsidR="00E03C6A" w:rsidRPr="008F00BE" w:rsidRDefault="00E03C6A" w:rsidP="00E03C6A">
      <w:pPr>
        <w:jc w:val="both"/>
        <w:rPr>
          <w:rFonts w:ascii="Arial" w:hAnsi="Arial"/>
        </w:rPr>
      </w:pPr>
      <w:r w:rsidRPr="008F00BE">
        <w:rPr>
          <w:rFonts w:ascii="Arial" w:hAnsi="Arial"/>
        </w:rPr>
        <w:t xml:space="preserve">One of the important skills that should be possessed by a </w:t>
      </w:r>
      <w:r w:rsidR="00F44CD8" w:rsidRPr="008F00BE">
        <w:rPr>
          <w:rFonts w:ascii="Arial" w:hAnsi="Arial"/>
        </w:rPr>
        <w:t xml:space="preserve">Forensic Psychologist </w:t>
      </w:r>
      <w:r w:rsidRPr="008F00BE">
        <w:rPr>
          <w:rFonts w:ascii="Arial" w:hAnsi="Arial"/>
        </w:rPr>
        <w:t xml:space="preserve">is analytical and critical thinking </w:t>
      </w:r>
      <w:r>
        <w:rPr>
          <w:rFonts w:ascii="Arial" w:hAnsi="Arial"/>
        </w:rPr>
        <w:t>which</w:t>
      </w:r>
      <w:r w:rsidRPr="008F00BE">
        <w:rPr>
          <w:rFonts w:ascii="Arial" w:hAnsi="Arial"/>
        </w:rPr>
        <w:t xml:space="preserve"> forms the basis of proper assessment and evidence-based judgement. This </w:t>
      </w:r>
      <w:r>
        <w:rPr>
          <w:rFonts w:ascii="Arial" w:hAnsi="Arial"/>
        </w:rPr>
        <w:t>skill</w:t>
      </w:r>
      <w:r w:rsidRPr="008F00BE">
        <w:rPr>
          <w:rFonts w:ascii="Arial" w:hAnsi="Arial"/>
        </w:rPr>
        <w:t xml:space="preserve"> helps the practitioner to make sense of complicated behavioural information and make a credible psychological conclusion. </w:t>
      </w:r>
      <w:proofErr w:type="spellStart"/>
      <w:r w:rsidRPr="008F00BE">
        <w:rPr>
          <w:rFonts w:ascii="Arial" w:hAnsi="Arial"/>
        </w:rPr>
        <w:t>Kamorowski</w:t>
      </w:r>
      <w:proofErr w:type="spellEnd"/>
      <w:r w:rsidRPr="008F00BE">
        <w:rPr>
          <w:rFonts w:ascii="Arial" w:hAnsi="Arial"/>
        </w:rPr>
        <w:t xml:space="preserve"> et al. (2021) note that successful forensic assessments are based on structured professional judgement and critical analysis to minimise bias</w:t>
      </w:r>
      <w:r>
        <w:rPr>
          <w:rFonts w:ascii="Arial" w:hAnsi="Arial"/>
        </w:rPr>
        <w:t>.</w:t>
      </w:r>
      <w:r w:rsidRPr="008F00BE">
        <w:rPr>
          <w:rFonts w:ascii="Arial" w:hAnsi="Arial"/>
        </w:rPr>
        <w:t xml:space="preserve"> Indicatively, when presenting inconsistencies in self-report of an offender, the psychologist must consider the alternative explanations based on empirical data and the established forensic frameworks</w:t>
      </w:r>
      <w:r>
        <w:rPr>
          <w:rFonts w:ascii="Arial" w:hAnsi="Arial"/>
        </w:rPr>
        <w:t xml:space="preserve"> </w:t>
      </w:r>
      <w:r w:rsidRPr="00E36848">
        <w:rPr>
          <w:rFonts w:ascii="Arial" w:hAnsi="Arial"/>
        </w:rPr>
        <w:t>(Acklin and Velasquez, 2021)</w:t>
      </w:r>
      <w:r w:rsidRPr="008F00BE">
        <w:rPr>
          <w:rFonts w:ascii="Arial" w:hAnsi="Arial"/>
        </w:rPr>
        <w:t xml:space="preserve">. Analytical and critical thinking therefore forms the basis of integrity and credibility </w:t>
      </w:r>
      <w:r>
        <w:rPr>
          <w:rFonts w:ascii="Arial" w:hAnsi="Arial"/>
        </w:rPr>
        <w:t>a</w:t>
      </w:r>
      <w:r w:rsidRPr="008F00BE">
        <w:rPr>
          <w:rFonts w:ascii="Arial" w:hAnsi="Arial"/>
        </w:rPr>
        <w:t xml:space="preserve"> </w:t>
      </w:r>
      <w:r w:rsidR="00F44CD8" w:rsidRPr="008F00BE">
        <w:rPr>
          <w:rFonts w:ascii="Arial" w:hAnsi="Arial"/>
        </w:rPr>
        <w:t xml:space="preserve">Forensic </w:t>
      </w:r>
      <w:r w:rsidR="00F44CD8">
        <w:rPr>
          <w:rFonts w:ascii="Arial" w:hAnsi="Arial"/>
        </w:rPr>
        <w:t>Psychologist</w:t>
      </w:r>
      <w:r>
        <w:rPr>
          <w:rFonts w:ascii="Arial" w:hAnsi="Arial"/>
        </w:rPr>
        <w:t>.</w:t>
      </w:r>
    </w:p>
    <w:p w14:paraId="7F13EEF7" w14:textId="62CCA522" w:rsidR="00E03C6A" w:rsidRPr="008F00BE" w:rsidRDefault="00F44CD8" w:rsidP="00E03C6A">
      <w:pPr>
        <w:jc w:val="both"/>
        <w:rPr>
          <w:rFonts w:ascii="Arial" w:hAnsi="Arial"/>
        </w:rPr>
      </w:pPr>
      <w:r>
        <w:rPr>
          <w:rFonts w:ascii="Arial" w:hAnsi="Arial"/>
        </w:rPr>
        <w:t>Also, for a</w:t>
      </w:r>
      <w:r w:rsidR="00E03C6A" w:rsidRPr="008F00BE">
        <w:rPr>
          <w:rFonts w:ascii="Arial" w:hAnsi="Arial"/>
        </w:rPr>
        <w:t xml:space="preserve"> </w:t>
      </w:r>
      <w:r w:rsidRPr="008F00BE">
        <w:rPr>
          <w:rFonts w:ascii="Arial" w:hAnsi="Arial"/>
        </w:rPr>
        <w:t>Forensic Psychologist</w:t>
      </w:r>
      <w:r>
        <w:rPr>
          <w:rFonts w:ascii="Arial" w:hAnsi="Arial"/>
        </w:rPr>
        <w:t xml:space="preserve"> a very important skill </w:t>
      </w:r>
      <w:r w:rsidR="00E03C6A" w:rsidRPr="008F00BE">
        <w:rPr>
          <w:rFonts w:ascii="Arial" w:hAnsi="Arial"/>
        </w:rPr>
        <w:t xml:space="preserve">is communication </w:t>
      </w:r>
      <w:r w:rsidR="00E03C6A">
        <w:rPr>
          <w:rFonts w:ascii="Arial" w:hAnsi="Arial"/>
        </w:rPr>
        <w:t>which</w:t>
      </w:r>
      <w:r w:rsidR="00E03C6A" w:rsidRPr="008F00BE">
        <w:rPr>
          <w:rFonts w:ascii="Arial" w:hAnsi="Arial"/>
        </w:rPr>
        <w:t xml:space="preserve"> make</w:t>
      </w:r>
      <w:r w:rsidR="00E03C6A">
        <w:rPr>
          <w:rFonts w:ascii="Arial" w:hAnsi="Arial"/>
        </w:rPr>
        <w:t>s</w:t>
      </w:r>
      <w:r w:rsidR="00E03C6A" w:rsidRPr="008F00BE">
        <w:rPr>
          <w:rFonts w:ascii="Arial" w:hAnsi="Arial"/>
        </w:rPr>
        <w:t xml:space="preserve"> the complex psychological discoveries clear and objective. Efficient communication entails coming up with written expert reports, giving evidence, and offering the findings in a way that would be understood by the judges, solicitors, and care providers</w:t>
      </w:r>
      <w:r w:rsidR="00E03C6A">
        <w:rPr>
          <w:rFonts w:ascii="Arial" w:hAnsi="Arial"/>
        </w:rPr>
        <w:t xml:space="preserve"> </w:t>
      </w:r>
      <w:r w:rsidR="00E03C6A" w:rsidRPr="00E36848">
        <w:rPr>
          <w:rFonts w:ascii="Arial" w:hAnsi="Arial"/>
        </w:rPr>
        <w:t>(Reid and Howes, 2020)</w:t>
      </w:r>
      <w:r w:rsidR="00E03C6A" w:rsidRPr="008F00BE">
        <w:rPr>
          <w:rFonts w:ascii="Arial" w:hAnsi="Arial"/>
        </w:rPr>
        <w:t xml:space="preserve">. </w:t>
      </w:r>
      <w:r w:rsidR="00CE5EE2">
        <w:rPr>
          <w:rFonts w:ascii="Arial" w:hAnsi="Arial"/>
        </w:rPr>
        <w:t xml:space="preserve">Furthermore, </w:t>
      </w:r>
      <w:r w:rsidR="00E03C6A" w:rsidRPr="008F00BE">
        <w:rPr>
          <w:rFonts w:ascii="Arial" w:hAnsi="Arial"/>
        </w:rPr>
        <w:t xml:space="preserve">forensic reports should be clear and supported </w:t>
      </w:r>
      <w:r w:rsidR="00E03C6A">
        <w:rPr>
          <w:rFonts w:ascii="Arial" w:hAnsi="Arial"/>
        </w:rPr>
        <w:t>with</w:t>
      </w:r>
      <w:r w:rsidR="00E03C6A" w:rsidRPr="008F00BE">
        <w:rPr>
          <w:rFonts w:ascii="Arial" w:hAnsi="Arial"/>
        </w:rPr>
        <w:t xml:space="preserve"> evidence </w:t>
      </w:r>
      <w:r w:rsidR="00E03C6A" w:rsidRPr="00E36848">
        <w:rPr>
          <w:rFonts w:ascii="Arial" w:hAnsi="Arial"/>
        </w:rPr>
        <w:t xml:space="preserve">(Franqueira and </w:t>
      </w:r>
      <w:r w:rsidR="00E03C6A" w:rsidRPr="00E36848">
        <w:rPr>
          <w:rFonts w:ascii="Arial" w:hAnsi="Arial"/>
        </w:rPr>
        <w:lastRenderedPageBreak/>
        <w:t>Horsman, 2020)</w:t>
      </w:r>
      <w:r w:rsidR="00E03C6A">
        <w:rPr>
          <w:rFonts w:ascii="Arial" w:hAnsi="Arial"/>
        </w:rPr>
        <w:t>.</w:t>
      </w:r>
      <w:r w:rsidR="00E03C6A" w:rsidRPr="008F00BE">
        <w:rPr>
          <w:rFonts w:ascii="Arial" w:hAnsi="Arial"/>
        </w:rPr>
        <w:t xml:space="preserve"> To illustrate, when the psychologist has to present risk assessment results before a court, </w:t>
      </w:r>
      <w:r w:rsidR="00E03C6A">
        <w:rPr>
          <w:rFonts w:ascii="Arial" w:hAnsi="Arial"/>
        </w:rPr>
        <w:t>the</w:t>
      </w:r>
      <w:r w:rsidR="00E03C6A" w:rsidRPr="008F00BE">
        <w:rPr>
          <w:rFonts w:ascii="Arial" w:hAnsi="Arial"/>
        </w:rPr>
        <w:t xml:space="preserve"> psychometric</w:t>
      </w:r>
      <w:r w:rsidR="00E03C6A">
        <w:rPr>
          <w:rFonts w:ascii="Arial" w:hAnsi="Arial"/>
        </w:rPr>
        <w:t xml:space="preserve"> </w:t>
      </w:r>
      <w:r w:rsidR="00E03C6A" w:rsidRPr="008F00BE">
        <w:rPr>
          <w:rFonts w:ascii="Arial" w:hAnsi="Arial"/>
        </w:rPr>
        <w:t>data</w:t>
      </w:r>
      <w:r w:rsidR="00E03C6A">
        <w:rPr>
          <w:rFonts w:ascii="Arial" w:hAnsi="Arial"/>
        </w:rPr>
        <w:t xml:space="preserve"> must be presented in a way that</w:t>
      </w:r>
      <w:r w:rsidR="00E03C6A" w:rsidRPr="008F00BE">
        <w:rPr>
          <w:rFonts w:ascii="Arial" w:hAnsi="Arial"/>
        </w:rPr>
        <w:t xml:space="preserve"> technical </w:t>
      </w:r>
      <w:r w:rsidR="00E03C6A">
        <w:rPr>
          <w:rFonts w:ascii="Arial" w:hAnsi="Arial"/>
        </w:rPr>
        <w:t>terms can be</w:t>
      </w:r>
      <w:r w:rsidR="00E03C6A" w:rsidRPr="008F00BE">
        <w:rPr>
          <w:rFonts w:ascii="Arial" w:hAnsi="Arial"/>
        </w:rPr>
        <w:t xml:space="preserve"> translated into clear and defensible results. Effective communication is very important in determining the quality, openness and effectiveness of the </w:t>
      </w:r>
      <w:r w:rsidRPr="008F00BE">
        <w:rPr>
          <w:rFonts w:ascii="Arial" w:hAnsi="Arial"/>
        </w:rPr>
        <w:t>Forensic</w:t>
      </w:r>
      <w:r>
        <w:rPr>
          <w:rFonts w:ascii="Arial" w:hAnsi="Arial"/>
        </w:rPr>
        <w:t xml:space="preserve"> Psychologist</w:t>
      </w:r>
      <w:r w:rsidR="00E03C6A">
        <w:rPr>
          <w:rFonts w:ascii="Arial" w:hAnsi="Arial"/>
        </w:rPr>
        <w:t>.</w:t>
      </w:r>
    </w:p>
    <w:p w14:paraId="3AC36374" w14:textId="65EB0BD2" w:rsidR="00E03C6A" w:rsidRPr="008F00BE" w:rsidRDefault="00E03C6A" w:rsidP="00E03C6A">
      <w:pPr>
        <w:jc w:val="both"/>
        <w:rPr>
          <w:rFonts w:ascii="Arial" w:hAnsi="Arial"/>
        </w:rPr>
      </w:pPr>
      <w:r w:rsidRPr="008F00BE">
        <w:rPr>
          <w:rFonts w:ascii="Arial" w:hAnsi="Arial"/>
        </w:rPr>
        <w:t xml:space="preserve">Professional and moral judgement is also a critical component of </w:t>
      </w:r>
      <w:r w:rsidR="00F44CD8" w:rsidRPr="008F00BE">
        <w:rPr>
          <w:rFonts w:ascii="Arial" w:hAnsi="Arial"/>
        </w:rPr>
        <w:t xml:space="preserve">Forensic Psychologists </w:t>
      </w:r>
      <w:r w:rsidRPr="008F00BE">
        <w:rPr>
          <w:rFonts w:ascii="Arial" w:hAnsi="Arial"/>
        </w:rPr>
        <w:t>because of the nature of the work and its confidentiality. This competence will assist in making balanced decisions, protecting the vulnerable individuals, and adhering to statutory</w:t>
      </w:r>
      <w:r>
        <w:rPr>
          <w:rFonts w:ascii="Arial" w:hAnsi="Arial"/>
        </w:rPr>
        <w:t xml:space="preserve"> </w:t>
      </w:r>
      <w:r w:rsidRPr="008F00BE">
        <w:rPr>
          <w:rFonts w:ascii="Arial" w:hAnsi="Arial"/>
        </w:rPr>
        <w:t xml:space="preserve">and professional codes of practice. </w:t>
      </w:r>
      <w:r w:rsidR="00F44CD8">
        <w:rPr>
          <w:rFonts w:ascii="Arial" w:hAnsi="Arial"/>
        </w:rPr>
        <w:t>T</w:t>
      </w:r>
      <w:r w:rsidRPr="008F00BE">
        <w:rPr>
          <w:rFonts w:ascii="Arial" w:hAnsi="Arial"/>
        </w:rPr>
        <w:t xml:space="preserve">he issue of ethical competence is core to the management of dilemmas like confidentiality boundaries, the dual </w:t>
      </w:r>
      <w:r w:rsidR="005E5D60" w:rsidRPr="008F00BE">
        <w:rPr>
          <w:rFonts w:ascii="Arial" w:hAnsi="Arial"/>
        </w:rPr>
        <w:t>role</w:t>
      </w:r>
      <w:r w:rsidR="005E5D60">
        <w:rPr>
          <w:rFonts w:ascii="Arial" w:hAnsi="Arial"/>
        </w:rPr>
        <w:t xml:space="preserve"> which</w:t>
      </w:r>
      <w:r w:rsidR="00F44CD8">
        <w:rPr>
          <w:rFonts w:ascii="Arial" w:hAnsi="Arial"/>
        </w:rPr>
        <w:t xml:space="preserve"> is</w:t>
      </w:r>
      <w:r w:rsidRPr="008F00BE">
        <w:rPr>
          <w:rFonts w:ascii="Arial" w:hAnsi="Arial"/>
        </w:rPr>
        <w:t xml:space="preserve"> the need to balance public safety and provide therapy</w:t>
      </w:r>
      <w:r>
        <w:rPr>
          <w:rFonts w:ascii="Arial" w:hAnsi="Arial"/>
        </w:rPr>
        <w:t xml:space="preserve"> </w:t>
      </w:r>
      <w:r w:rsidRPr="0040087F">
        <w:rPr>
          <w:rFonts w:ascii="Arial" w:hAnsi="Arial"/>
        </w:rPr>
        <w:t>(Rogers and Schill, 2021)</w:t>
      </w:r>
      <w:r w:rsidRPr="008F00BE">
        <w:rPr>
          <w:rFonts w:ascii="Arial" w:hAnsi="Arial"/>
        </w:rPr>
        <w:t>. As an example, in situations where a psychologist should evaluate a high-risk individual who expresses harmful intentions, the legal and ethical principles should be used to understand when the confidentiality is to be violated in order to safeguard other</w:t>
      </w:r>
      <w:r>
        <w:rPr>
          <w:rFonts w:ascii="Arial" w:hAnsi="Arial"/>
        </w:rPr>
        <w:t>s</w:t>
      </w:r>
      <w:r w:rsidRPr="008F00BE">
        <w:rPr>
          <w:rFonts w:ascii="Arial" w:hAnsi="Arial"/>
        </w:rPr>
        <w:t xml:space="preserve">. </w:t>
      </w:r>
      <w:r>
        <w:rPr>
          <w:rFonts w:ascii="Arial" w:hAnsi="Arial"/>
        </w:rPr>
        <w:t>It is necessary for</w:t>
      </w:r>
      <w:r w:rsidRPr="008F00BE">
        <w:rPr>
          <w:rFonts w:ascii="Arial" w:hAnsi="Arial"/>
        </w:rPr>
        <w:t xml:space="preserve"> ethical judgement be employed in ensuring protection of rights, professionalism, and accountable legal practice.</w:t>
      </w:r>
    </w:p>
    <w:p w14:paraId="74CB3E5E" w14:textId="0DCA9266" w:rsidR="00E03C6A" w:rsidRPr="008F00BE" w:rsidRDefault="00E03C6A" w:rsidP="00E03C6A">
      <w:pPr>
        <w:jc w:val="both"/>
        <w:rPr>
          <w:rFonts w:ascii="Arial" w:hAnsi="Arial"/>
        </w:rPr>
      </w:pPr>
      <w:r w:rsidRPr="008F00BE">
        <w:rPr>
          <w:rFonts w:ascii="Arial" w:hAnsi="Arial"/>
        </w:rPr>
        <w:t>Lack of good analytical skills, communication ability and ethical judgmental knowledge can greatly undermine the forensic psychological practice. The absence of these skills can make the assessment unreliable, or indefensible</w:t>
      </w:r>
      <w:r>
        <w:rPr>
          <w:rFonts w:ascii="Arial" w:hAnsi="Arial"/>
        </w:rPr>
        <w:t>.</w:t>
      </w:r>
      <w:r w:rsidRPr="008F00BE">
        <w:rPr>
          <w:rFonts w:ascii="Arial" w:hAnsi="Arial"/>
        </w:rPr>
        <w:t xml:space="preserve"> According to </w:t>
      </w:r>
      <w:r w:rsidRPr="0040087F">
        <w:rPr>
          <w:rFonts w:ascii="Arial" w:hAnsi="Arial"/>
        </w:rPr>
        <w:t>Morgan (2023)</w:t>
      </w:r>
      <w:r>
        <w:rPr>
          <w:rFonts w:ascii="Arial" w:hAnsi="Arial"/>
        </w:rPr>
        <w:t>,</w:t>
      </w:r>
      <w:r w:rsidRPr="008F00BE">
        <w:rPr>
          <w:rFonts w:ascii="Arial" w:hAnsi="Arial"/>
        </w:rPr>
        <w:t xml:space="preserve"> the low level of forensic competence </w:t>
      </w:r>
      <w:r>
        <w:rPr>
          <w:rFonts w:ascii="Arial" w:hAnsi="Arial"/>
        </w:rPr>
        <w:t>increases</w:t>
      </w:r>
      <w:r w:rsidRPr="008F00BE">
        <w:rPr>
          <w:rFonts w:ascii="Arial" w:hAnsi="Arial"/>
        </w:rPr>
        <w:t xml:space="preserve"> the chances of a wrong conviction</w:t>
      </w:r>
      <w:r>
        <w:rPr>
          <w:rFonts w:ascii="Arial" w:hAnsi="Arial"/>
        </w:rPr>
        <w:t xml:space="preserve"> or</w:t>
      </w:r>
      <w:r w:rsidRPr="008F00BE">
        <w:rPr>
          <w:rFonts w:ascii="Arial" w:hAnsi="Arial"/>
        </w:rPr>
        <w:t xml:space="preserve"> ineffective risk management</w:t>
      </w:r>
      <w:r>
        <w:rPr>
          <w:rFonts w:ascii="Arial" w:hAnsi="Arial"/>
        </w:rPr>
        <w:t>. T</w:t>
      </w:r>
      <w:r w:rsidR="005E5D60">
        <w:rPr>
          <w:rFonts w:ascii="Arial" w:hAnsi="Arial"/>
        </w:rPr>
        <w:t>herefore</w:t>
      </w:r>
      <w:r w:rsidRPr="008F00BE">
        <w:rPr>
          <w:rFonts w:ascii="Arial" w:hAnsi="Arial"/>
        </w:rPr>
        <w:t>, a</w:t>
      </w:r>
      <w:r>
        <w:rPr>
          <w:rFonts w:ascii="Arial" w:hAnsi="Arial"/>
        </w:rPr>
        <w:t>n</w:t>
      </w:r>
      <w:r w:rsidRPr="008F00BE">
        <w:rPr>
          <w:rFonts w:ascii="Arial" w:hAnsi="Arial"/>
        </w:rPr>
        <w:t xml:space="preserve"> ambiguous risk assessment report can lead to wrong sentencing. The absence of these essential skills </w:t>
      </w:r>
      <w:r>
        <w:rPr>
          <w:rFonts w:ascii="Arial" w:hAnsi="Arial"/>
        </w:rPr>
        <w:t>affects</w:t>
      </w:r>
      <w:r w:rsidRPr="008F00BE">
        <w:rPr>
          <w:rFonts w:ascii="Arial" w:hAnsi="Arial"/>
        </w:rPr>
        <w:t xml:space="preserve"> clinical integrity and the safety of the population.</w:t>
      </w:r>
      <w:r>
        <w:rPr>
          <w:rFonts w:ascii="Arial" w:hAnsi="Arial"/>
        </w:rPr>
        <w:t xml:space="preserve"> </w:t>
      </w:r>
    </w:p>
    <w:p w14:paraId="34248533" w14:textId="563A90AC" w:rsidR="00E03C6A" w:rsidRDefault="00E03C6A" w:rsidP="00E03C6A">
      <w:pPr>
        <w:pStyle w:val="Heading1"/>
      </w:pPr>
      <w:bookmarkStart w:id="4" w:name="_Toc216507284"/>
      <w:r w:rsidRPr="0040087F">
        <w:t>3 Strategies to Enhance Skills in Forensic Psychologists.</w:t>
      </w:r>
      <w:bookmarkEnd w:id="4"/>
    </w:p>
    <w:p w14:paraId="18682112" w14:textId="07CE1716" w:rsidR="00F44CD8" w:rsidRPr="00F44CD8" w:rsidRDefault="00F44CD8" w:rsidP="00F44CD8">
      <w:pPr>
        <w:pStyle w:val="Heading1"/>
      </w:pPr>
      <w:bookmarkStart w:id="5" w:name="_Toc216507285"/>
      <w:r w:rsidRPr="00F44CD8">
        <w:t>3.1 Three Strategies to Improve the Skills for Forensic Psychologist</w:t>
      </w:r>
      <w:bookmarkEnd w:id="5"/>
    </w:p>
    <w:p w14:paraId="7816C27A" w14:textId="0875C9A9" w:rsidR="00E03C6A" w:rsidRPr="008F00BE" w:rsidRDefault="00E03C6A" w:rsidP="00E03C6A">
      <w:pPr>
        <w:jc w:val="both"/>
        <w:rPr>
          <w:rFonts w:ascii="Arial" w:hAnsi="Arial"/>
        </w:rPr>
      </w:pPr>
      <w:r w:rsidRPr="008F00BE">
        <w:rPr>
          <w:rFonts w:ascii="Arial" w:hAnsi="Arial"/>
        </w:rPr>
        <w:t>Another strategy that can help to strengthen the analytical and critical thinking is the participation in the advanced training of forensic assessment. These programmes improve the skills of practitioners to assess evidence, compare assessment models, and use structured professional judgement tools, including the HCR-20 or the PCL-R</w:t>
      </w:r>
      <w:r>
        <w:rPr>
          <w:rFonts w:ascii="Arial" w:hAnsi="Arial"/>
        </w:rPr>
        <w:t>.</w:t>
      </w:r>
      <w:r w:rsidRPr="008F00BE">
        <w:rPr>
          <w:rFonts w:ascii="Arial" w:hAnsi="Arial"/>
        </w:rPr>
        <w:t xml:space="preserve"> </w:t>
      </w:r>
      <w:r w:rsidR="005E5D60">
        <w:rPr>
          <w:rFonts w:ascii="Arial" w:hAnsi="Arial"/>
        </w:rPr>
        <w:t>So,</w:t>
      </w:r>
      <w:r w:rsidRPr="008F00BE">
        <w:rPr>
          <w:rFonts w:ascii="Arial" w:hAnsi="Arial"/>
        </w:rPr>
        <w:t xml:space="preserve"> advanced risk-assessment training leads to a substantial improvement in accuracy and consistency in forensic assessments</w:t>
      </w:r>
      <w:r>
        <w:rPr>
          <w:rFonts w:ascii="Arial" w:hAnsi="Arial"/>
        </w:rPr>
        <w:t xml:space="preserve"> </w:t>
      </w:r>
      <w:r w:rsidRPr="0040087F">
        <w:rPr>
          <w:rFonts w:ascii="Arial" w:hAnsi="Arial"/>
        </w:rPr>
        <w:t>(</w:t>
      </w:r>
      <w:proofErr w:type="spellStart"/>
      <w:r w:rsidRPr="0040087F">
        <w:rPr>
          <w:rFonts w:ascii="Arial" w:hAnsi="Arial"/>
        </w:rPr>
        <w:t>Kamorowski</w:t>
      </w:r>
      <w:proofErr w:type="spellEnd"/>
      <w:r w:rsidRPr="0040087F">
        <w:rPr>
          <w:rFonts w:ascii="Arial" w:hAnsi="Arial"/>
        </w:rPr>
        <w:t xml:space="preserve"> et al., 2021)</w:t>
      </w:r>
      <w:r w:rsidRPr="008F00BE">
        <w:rPr>
          <w:rFonts w:ascii="Arial" w:hAnsi="Arial"/>
        </w:rPr>
        <w:t>. In fact, simulated casework in which conflicting bits of evidence are involved trains psychologists to test hypotheses and provide justification of their argument. Further training on forensic assessment assists th</w:t>
      </w:r>
      <w:r w:rsidR="005E5D60">
        <w:rPr>
          <w:rFonts w:ascii="Arial" w:hAnsi="Arial"/>
        </w:rPr>
        <w:t>is</w:t>
      </w:r>
      <w:r w:rsidRPr="008F00BE">
        <w:rPr>
          <w:rFonts w:ascii="Arial" w:hAnsi="Arial"/>
        </w:rPr>
        <w:t xml:space="preserve"> in the acquisition of strong evidence-based analytical skills.</w:t>
      </w:r>
    </w:p>
    <w:p w14:paraId="1C2FB111" w14:textId="6AAA2B2A" w:rsidR="00E03C6A" w:rsidRPr="008F00BE" w:rsidRDefault="00E03C6A" w:rsidP="00E03C6A">
      <w:pPr>
        <w:jc w:val="both"/>
        <w:rPr>
          <w:rFonts w:ascii="Arial" w:hAnsi="Arial"/>
        </w:rPr>
      </w:pPr>
      <w:r w:rsidRPr="008F00BE">
        <w:rPr>
          <w:rFonts w:ascii="Arial" w:hAnsi="Arial"/>
        </w:rPr>
        <w:t xml:space="preserve">The </w:t>
      </w:r>
      <w:r w:rsidR="005E5D60">
        <w:rPr>
          <w:rFonts w:ascii="Arial" w:hAnsi="Arial"/>
        </w:rPr>
        <w:t>s</w:t>
      </w:r>
      <w:r w:rsidRPr="008F00BE">
        <w:rPr>
          <w:rFonts w:ascii="Arial" w:hAnsi="Arial"/>
        </w:rPr>
        <w:t xml:space="preserve">pecialist communications and report-writing workshops offer a positive solution on how to enhance expert communication in forensic environments. These trainings offer </w:t>
      </w:r>
      <w:r>
        <w:rPr>
          <w:rFonts w:ascii="Arial" w:hAnsi="Arial"/>
        </w:rPr>
        <w:t>clarity</w:t>
      </w:r>
      <w:r w:rsidRPr="008F00BE">
        <w:rPr>
          <w:rFonts w:ascii="Arial" w:hAnsi="Arial"/>
        </w:rPr>
        <w:t xml:space="preserve">, </w:t>
      </w:r>
      <w:r>
        <w:rPr>
          <w:rFonts w:ascii="Arial" w:hAnsi="Arial"/>
        </w:rPr>
        <w:t xml:space="preserve">and the </w:t>
      </w:r>
      <w:r w:rsidRPr="008F00BE">
        <w:rPr>
          <w:rFonts w:ascii="Arial" w:hAnsi="Arial"/>
        </w:rPr>
        <w:t xml:space="preserve">law surrounding giving psychological information to non-psychologists. </w:t>
      </w:r>
      <w:r w:rsidRPr="00ED06F0">
        <w:rPr>
          <w:rFonts w:ascii="Arial" w:hAnsi="Arial"/>
        </w:rPr>
        <w:t>Black (2019)</w:t>
      </w:r>
      <w:r w:rsidRPr="008F00BE">
        <w:rPr>
          <w:rFonts w:ascii="Arial" w:hAnsi="Arial"/>
        </w:rPr>
        <w:t xml:space="preserve"> also discovered that training in report-writing</w:t>
      </w:r>
      <w:r>
        <w:rPr>
          <w:rFonts w:ascii="Arial" w:hAnsi="Arial"/>
        </w:rPr>
        <w:t xml:space="preserve"> structured </w:t>
      </w:r>
      <w:r w:rsidRPr="008F00BE">
        <w:rPr>
          <w:rFonts w:ascii="Arial" w:hAnsi="Arial"/>
        </w:rPr>
        <w:t xml:space="preserve">by a trainer, results in </w:t>
      </w:r>
      <w:r>
        <w:rPr>
          <w:rFonts w:ascii="Arial" w:hAnsi="Arial"/>
        </w:rPr>
        <w:t>a</w:t>
      </w:r>
      <w:r w:rsidRPr="008F00BE">
        <w:rPr>
          <w:rFonts w:ascii="Arial" w:hAnsi="Arial"/>
        </w:rPr>
        <w:t xml:space="preserve"> coherent and legally defensible reports. An example is mock court exercise because practitioners have a chance to exercise a fine command of the articulation of complex psychological findings when they are under duress. Consequently, communication training increases the precision, </w:t>
      </w:r>
      <w:r>
        <w:rPr>
          <w:rFonts w:ascii="Arial" w:hAnsi="Arial"/>
        </w:rPr>
        <w:t xml:space="preserve">and confidence </w:t>
      </w:r>
      <w:r w:rsidRPr="008F00BE">
        <w:rPr>
          <w:rFonts w:ascii="Arial" w:hAnsi="Arial"/>
        </w:rPr>
        <w:t xml:space="preserve">of </w:t>
      </w:r>
      <w:r>
        <w:rPr>
          <w:rFonts w:ascii="Arial" w:hAnsi="Arial"/>
        </w:rPr>
        <w:t xml:space="preserve">a </w:t>
      </w:r>
      <w:r w:rsidR="00F44CD8" w:rsidRPr="008F00BE">
        <w:rPr>
          <w:rFonts w:ascii="Arial" w:hAnsi="Arial"/>
        </w:rPr>
        <w:t xml:space="preserve">Forensic </w:t>
      </w:r>
      <w:r w:rsidR="00F44CD8">
        <w:rPr>
          <w:rFonts w:ascii="Arial" w:hAnsi="Arial"/>
        </w:rPr>
        <w:t>Psychologist</w:t>
      </w:r>
      <w:r w:rsidR="00F44CD8" w:rsidRPr="008F00BE">
        <w:rPr>
          <w:rFonts w:ascii="Arial" w:hAnsi="Arial"/>
        </w:rPr>
        <w:t xml:space="preserve"> </w:t>
      </w:r>
      <w:r w:rsidRPr="008F00BE">
        <w:rPr>
          <w:rFonts w:ascii="Arial" w:hAnsi="Arial"/>
        </w:rPr>
        <w:t>contribution.</w:t>
      </w:r>
    </w:p>
    <w:p w14:paraId="6CA89EA2" w14:textId="578F7358" w:rsidR="00E03C6A" w:rsidRPr="008F00BE" w:rsidRDefault="00E03C6A" w:rsidP="00E03C6A">
      <w:pPr>
        <w:jc w:val="both"/>
        <w:rPr>
          <w:rFonts w:ascii="Arial" w:hAnsi="Arial"/>
        </w:rPr>
      </w:pPr>
      <w:r w:rsidRPr="008F00BE">
        <w:rPr>
          <w:rFonts w:ascii="Arial" w:hAnsi="Arial"/>
        </w:rPr>
        <w:t xml:space="preserve">One of the strategies that develop high levels of ethical judgement in </w:t>
      </w:r>
      <w:r w:rsidR="00F44CD8" w:rsidRPr="008F00BE">
        <w:rPr>
          <w:rFonts w:ascii="Arial" w:hAnsi="Arial"/>
        </w:rPr>
        <w:t xml:space="preserve">Forensic Psychologists </w:t>
      </w:r>
      <w:r w:rsidRPr="008F00BE">
        <w:rPr>
          <w:rFonts w:ascii="Arial" w:hAnsi="Arial"/>
        </w:rPr>
        <w:t xml:space="preserve">is ethics and professional decision-making programmes. These programmes offer systematic patterns of dealing with dilemma of confidentiality, consent, and risk management. </w:t>
      </w:r>
      <w:proofErr w:type="spellStart"/>
      <w:r w:rsidRPr="00ED06F0">
        <w:rPr>
          <w:rFonts w:ascii="Arial" w:hAnsi="Arial"/>
        </w:rPr>
        <w:t>D’Anjou</w:t>
      </w:r>
      <w:proofErr w:type="spellEnd"/>
      <w:r w:rsidRPr="00ED06F0">
        <w:rPr>
          <w:rFonts w:ascii="Arial" w:hAnsi="Arial"/>
        </w:rPr>
        <w:t xml:space="preserve"> et al. (2025)</w:t>
      </w:r>
      <w:r>
        <w:rPr>
          <w:rFonts w:ascii="Arial" w:hAnsi="Arial"/>
        </w:rPr>
        <w:t xml:space="preserve"> </w:t>
      </w:r>
      <w:r w:rsidRPr="008F00BE">
        <w:rPr>
          <w:rFonts w:ascii="Arial" w:hAnsi="Arial"/>
        </w:rPr>
        <w:t xml:space="preserve">demonstrate that ethics-oriented </w:t>
      </w:r>
      <w:r>
        <w:rPr>
          <w:rFonts w:ascii="Arial" w:hAnsi="Arial"/>
        </w:rPr>
        <w:t xml:space="preserve">training </w:t>
      </w:r>
      <w:r w:rsidRPr="008F00BE">
        <w:rPr>
          <w:rFonts w:ascii="Arial" w:hAnsi="Arial"/>
        </w:rPr>
        <w:t>reinforces the capacity of practitioners to juggle legal obligations, human rights</w:t>
      </w:r>
      <w:r>
        <w:rPr>
          <w:rFonts w:ascii="Arial" w:hAnsi="Arial"/>
        </w:rPr>
        <w:t xml:space="preserve"> </w:t>
      </w:r>
      <w:r w:rsidRPr="008F00BE">
        <w:rPr>
          <w:rFonts w:ascii="Arial" w:hAnsi="Arial"/>
        </w:rPr>
        <w:t xml:space="preserve">consideration, and therapeutic roles. As an illustration, when there is risk of harming a person, applying ethical decision-making models, a </w:t>
      </w:r>
      <w:r w:rsidR="00F44CD8" w:rsidRPr="008F00BE">
        <w:rPr>
          <w:rFonts w:ascii="Arial" w:hAnsi="Arial"/>
        </w:rPr>
        <w:t xml:space="preserve">Forensic Psychologist </w:t>
      </w:r>
      <w:r w:rsidRPr="008F00BE">
        <w:rPr>
          <w:rFonts w:ascii="Arial" w:hAnsi="Arial"/>
        </w:rPr>
        <w:t>can consider the appropriateness of confidentiality violation. The training in ethics is, necessary to enhance safe and ethical forensic practice.</w:t>
      </w:r>
    </w:p>
    <w:p w14:paraId="1BDA954E" w14:textId="77777777" w:rsidR="00E03C6A" w:rsidRPr="008F00BE" w:rsidRDefault="00E03C6A" w:rsidP="00E03C6A">
      <w:pPr>
        <w:pStyle w:val="Heading1"/>
      </w:pPr>
      <w:bookmarkStart w:id="6" w:name="_Toc216507286"/>
      <w:r w:rsidRPr="008F00BE">
        <w:lastRenderedPageBreak/>
        <w:t>4 Conclusion</w:t>
      </w:r>
      <w:bookmarkEnd w:id="6"/>
    </w:p>
    <w:p w14:paraId="2B9E8CE8" w14:textId="01D08E9D" w:rsidR="00E03C6A" w:rsidRPr="008F00BE" w:rsidRDefault="00E03C6A" w:rsidP="00E03C6A">
      <w:pPr>
        <w:spacing w:after="0" w:line="276" w:lineRule="auto"/>
        <w:jc w:val="both"/>
        <w:rPr>
          <w:rFonts w:ascii="Arial" w:hAnsi="Arial"/>
        </w:rPr>
      </w:pPr>
      <w:r w:rsidRPr="008F00BE">
        <w:rPr>
          <w:rFonts w:ascii="Arial" w:hAnsi="Arial"/>
        </w:rPr>
        <w:t xml:space="preserve">The Forensic Psychologist is a key figure in protecting the people and the entire community in the health and social care field. The profession requires outstanding level of competency in psychological formulation, communication and ethical governance which has direct impacts on the quality of risk assessment, integrity of court evidence and the safety of decision making. The suggested strategies Structured Supervised Practice, Simulated Courtroom Training offer evidence-based schemes of continuous professional growth. </w:t>
      </w:r>
    </w:p>
    <w:p w14:paraId="7C906344" w14:textId="77777777" w:rsidR="00E03C6A" w:rsidRDefault="00E03C6A" w:rsidP="00E03C6A"/>
    <w:p w14:paraId="3A011034" w14:textId="77777777" w:rsidR="008F00BE" w:rsidRPr="008F00BE" w:rsidRDefault="008F00BE">
      <w:pPr>
        <w:rPr>
          <w:rFonts w:ascii="Arial" w:hAnsi="Arial"/>
        </w:rPr>
      </w:pPr>
      <w:r w:rsidRPr="008F00BE">
        <w:rPr>
          <w:rFonts w:ascii="Arial" w:hAnsi="Arial"/>
        </w:rPr>
        <w:br w:type="page"/>
      </w:r>
    </w:p>
    <w:p w14:paraId="0C7C6438" w14:textId="77777777" w:rsidR="00194ADD" w:rsidRDefault="00194ADD" w:rsidP="00194ADD">
      <w:pPr>
        <w:pStyle w:val="Heading1"/>
      </w:pPr>
      <w:bookmarkStart w:id="7" w:name="_Toc216507287"/>
      <w:r w:rsidRPr="008F00BE">
        <w:lastRenderedPageBreak/>
        <w:t>REFERENCE LIST</w:t>
      </w:r>
      <w:bookmarkEnd w:id="7"/>
    </w:p>
    <w:p w14:paraId="140C4F72" w14:textId="2AB97528" w:rsidR="00CE5EE2" w:rsidRPr="00CE5EE2" w:rsidRDefault="00CE5EE2" w:rsidP="00CE5EE2">
      <w:pPr>
        <w:jc w:val="both"/>
        <w:rPr>
          <w:rFonts w:ascii="Arial" w:hAnsi="Arial"/>
        </w:rPr>
      </w:pPr>
      <w:r w:rsidRPr="00CE5EE2">
        <w:rPr>
          <w:rFonts w:ascii="Arial" w:hAnsi="Arial"/>
        </w:rPr>
        <w:t xml:space="preserve">Acklin, M.W. and Velasquez, J.P. (2021) ‘Improving criminal responsibility determinations using structured professional judgment’, </w:t>
      </w:r>
      <w:r w:rsidRPr="00CE5EE2">
        <w:rPr>
          <w:rFonts w:ascii="Arial" w:hAnsi="Arial"/>
          <w:i/>
          <w:iCs/>
        </w:rPr>
        <w:t>Frontiers in Psychology</w:t>
      </w:r>
      <w:r w:rsidRPr="00CE5EE2">
        <w:rPr>
          <w:rFonts w:ascii="Arial" w:hAnsi="Arial"/>
        </w:rPr>
        <w:t xml:space="preserve">, 12. </w:t>
      </w:r>
      <w:hyperlink r:id="rId8" w:tgtFrame="_new" w:history="1">
        <w:r w:rsidRPr="00CE5EE2">
          <w:rPr>
            <w:rStyle w:val="Hyperlink"/>
            <w:rFonts w:ascii="Arial" w:hAnsi="Arial"/>
          </w:rPr>
          <w:t>https://doi.org/10.3389/fpsyg.2021.700991</w:t>
        </w:r>
      </w:hyperlink>
    </w:p>
    <w:p w14:paraId="375080D6" w14:textId="77777777" w:rsidR="00CE5EE2" w:rsidRPr="00CE5EE2" w:rsidRDefault="00CE5EE2" w:rsidP="00CE5EE2">
      <w:pPr>
        <w:jc w:val="both"/>
        <w:rPr>
          <w:rFonts w:ascii="Arial" w:hAnsi="Arial"/>
        </w:rPr>
      </w:pPr>
      <w:r w:rsidRPr="00CE5EE2">
        <w:rPr>
          <w:rFonts w:ascii="Arial" w:hAnsi="Arial"/>
        </w:rPr>
        <w:t xml:space="preserve">Black, A. (2019) ‘Cultural expertise in Australia: Colonial laws, customs, and emergent legal pluralism’, </w:t>
      </w:r>
      <w:r w:rsidRPr="00CE5EE2">
        <w:rPr>
          <w:rFonts w:ascii="Arial" w:hAnsi="Arial"/>
          <w:i/>
          <w:iCs/>
        </w:rPr>
        <w:t>Cultural Expertise and Socio-Legal Studies</w:t>
      </w:r>
      <w:r w:rsidRPr="00CE5EE2">
        <w:rPr>
          <w:rFonts w:ascii="Arial" w:hAnsi="Arial"/>
        </w:rPr>
        <w:t xml:space="preserve">, 78, pp. 133–155. </w:t>
      </w:r>
      <w:hyperlink r:id="rId9" w:tgtFrame="_new" w:history="1">
        <w:r w:rsidRPr="00CE5EE2">
          <w:rPr>
            <w:rStyle w:val="Hyperlink"/>
            <w:rFonts w:ascii="Arial" w:hAnsi="Arial"/>
          </w:rPr>
          <w:t>https://doi.org/10.1108/s1059-433720190000078008</w:t>
        </w:r>
      </w:hyperlink>
    </w:p>
    <w:p w14:paraId="48557E26" w14:textId="77777777" w:rsidR="00CE5EE2" w:rsidRPr="00CE5EE2" w:rsidRDefault="00CE5EE2" w:rsidP="00CE5EE2">
      <w:pPr>
        <w:jc w:val="both"/>
        <w:rPr>
          <w:rFonts w:ascii="Arial" w:hAnsi="Arial"/>
        </w:rPr>
      </w:pPr>
      <w:r w:rsidRPr="00CE5EE2">
        <w:rPr>
          <w:rFonts w:ascii="Arial" w:hAnsi="Arial"/>
        </w:rPr>
        <w:t xml:space="preserve">British Psychological Society (2023) </w:t>
      </w:r>
      <w:r w:rsidRPr="00CE5EE2">
        <w:rPr>
          <w:rFonts w:ascii="Arial" w:hAnsi="Arial"/>
          <w:i/>
          <w:iCs/>
        </w:rPr>
        <w:t>Standards for the accreditation of forensic psychology programmes</w:t>
      </w:r>
      <w:r w:rsidRPr="00CE5EE2">
        <w:rPr>
          <w:rFonts w:ascii="Arial" w:hAnsi="Arial"/>
        </w:rPr>
        <w:t>. Leicester: British Psychological Society.</w:t>
      </w:r>
    </w:p>
    <w:p w14:paraId="266B62F7" w14:textId="0FA4441E" w:rsidR="00CE5EE2" w:rsidRPr="00CE5EE2" w:rsidRDefault="00CE5EE2" w:rsidP="00CE5EE2">
      <w:pPr>
        <w:jc w:val="both"/>
        <w:rPr>
          <w:rFonts w:ascii="Arial" w:hAnsi="Arial"/>
        </w:rPr>
      </w:pPr>
      <w:r w:rsidRPr="00CE5EE2">
        <w:rPr>
          <w:rFonts w:ascii="Arial" w:hAnsi="Arial"/>
        </w:rPr>
        <w:t xml:space="preserve">D’Anjou, B., Desjardins, K., </w:t>
      </w:r>
      <w:proofErr w:type="spellStart"/>
      <w:r w:rsidRPr="00CE5EE2">
        <w:rPr>
          <w:rFonts w:ascii="Arial" w:hAnsi="Arial"/>
        </w:rPr>
        <w:t>Ianniruberto</w:t>
      </w:r>
      <w:proofErr w:type="spellEnd"/>
      <w:r w:rsidRPr="00CE5EE2">
        <w:rPr>
          <w:rFonts w:ascii="Arial" w:hAnsi="Arial"/>
        </w:rPr>
        <w:t xml:space="preserve">, J., </w:t>
      </w:r>
      <w:proofErr w:type="spellStart"/>
      <w:r w:rsidRPr="00CE5EE2">
        <w:rPr>
          <w:rFonts w:ascii="Arial" w:hAnsi="Arial"/>
        </w:rPr>
        <w:t>Méthot</w:t>
      </w:r>
      <w:proofErr w:type="spellEnd"/>
      <w:r w:rsidRPr="00CE5EE2">
        <w:rPr>
          <w:rFonts w:ascii="Arial" w:hAnsi="Arial"/>
        </w:rPr>
        <w:t>, D., Poulin, V., Rabasa-</w:t>
      </w:r>
      <w:proofErr w:type="spellStart"/>
      <w:r w:rsidRPr="00CE5EE2">
        <w:rPr>
          <w:rFonts w:ascii="Arial" w:hAnsi="Arial"/>
        </w:rPr>
        <w:t>Lhoret</w:t>
      </w:r>
      <w:proofErr w:type="spellEnd"/>
      <w:r w:rsidRPr="00CE5EE2">
        <w:rPr>
          <w:rFonts w:ascii="Arial" w:hAnsi="Arial"/>
        </w:rPr>
        <w:t xml:space="preserve">, R. and Racine, E. (2025) ‘Launching a living ethics initiative to explore patients’ psychological distress in a highly specialized interdisciplinary care clinic’, </w:t>
      </w:r>
      <w:r w:rsidRPr="00CE5EE2">
        <w:rPr>
          <w:rFonts w:ascii="Arial" w:hAnsi="Arial"/>
          <w:i/>
          <w:iCs/>
        </w:rPr>
        <w:t>Qualitative Health Research</w:t>
      </w:r>
      <w:r w:rsidRPr="00CE5EE2">
        <w:rPr>
          <w:rFonts w:ascii="Arial" w:hAnsi="Arial"/>
        </w:rPr>
        <w:t xml:space="preserve">. </w:t>
      </w:r>
      <w:hyperlink r:id="rId10" w:tgtFrame="_new" w:history="1">
        <w:r w:rsidRPr="00CE5EE2">
          <w:rPr>
            <w:rStyle w:val="Hyperlink"/>
            <w:rFonts w:ascii="Arial" w:hAnsi="Arial"/>
          </w:rPr>
          <w:t>https://doi.org/10.1177/10497323251353435</w:t>
        </w:r>
      </w:hyperlink>
    </w:p>
    <w:p w14:paraId="00C073AD" w14:textId="77777777" w:rsidR="00CE5EE2" w:rsidRPr="00CE5EE2" w:rsidRDefault="00CE5EE2" w:rsidP="00CE5EE2">
      <w:pPr>
        <w:jc w:val="both"/>
        <w:rPr>
          <w:rFonts w:ascii="Arial" w:hAnsi="Arial"/>
        </w:rPr>
      </w:pPr>
      <w:r w:rsidRPr="00CE5EE2">
        <w:rPr>
          <w:rFonts w:ascii="Arial" w:hAnsi="Arial"/>
        </w:rPr>
        <w:t xml:space="preserve">Franqueira, V.N.L. and Horsman, G. (2020) ‘Towards sound forensic arguments: Structured argumentation applied to digital forensics practice’, </w:t>
      </w:r>
      <w:r w:rsidRPr="00CE5EE2">
        <w:rPr>
          <w:rFonts w:ascii="Arial" w:hAnsi="Arial"/>
          <w:i/>
          <w:iCs/>
        </w:rPr>
        <w:t>Forensic Science International: Digital Investigation</w:t>
      </w:r>
      <w:r w:rsidRPr="00CE5EE2">
        <w:rPr>
          <w:rFonts w:ascii="Arial" w:hAnsi="Arial"/>
        </w:rPr>
        <w:t xml:space="preserve">, 32, 300923. </w:t>
      </w:r>
      <w:hyperlink r:id="rId11" w:tgtFrame="_new" w:history="1">
        <w:r w:rsidRPr="00CE5EE2">
          <w:rPr>
            <w:rStyle w:val="Hyperlink"/>
            <w:rFonts w:ascii="Arial" w:hAnsi="Arial"/>
          </w:rPr>
          <w:t>https://doi.org/10.1016/j.fsidi.2020.300923</w:t>
        </w:r>
      </w:hyperlink>
    </w:p>
    <w:p w14:paraId="7222746F" w14:textId="77777777" w:rsidR="00CE5EE2" w:rsidRPr="00CE5EE2" w:rsidRDefault="00CE5EE2" w:rsidP="00CE5EE2">
      <w:pPr>
        <w:jc w:val="both"/>
        <w:rPr>
          <w:rFonts w:ascii="Arial" w:hAnsi="Arial"/>
        </w:rPr>
      </w:pPr>
      <w:r w:rsidRPr="00CE5EE2">
        <w:rPr>
          <w:rFonts w:ascii="Arial" w:hAnsi="Arial"/>
        </w:rPr>
        <w:t xml:space="preserve">Kamorowski, J., de Ruiter, C., Schreuder, M., Ask, K. and </w:t>
      </w:r>
      <w:proofErr w:type="spellStart"/>
      <w:r w:rsidRPr="00CE5EE2">
        <w:rPr>
          <w:rFonts w:ascii="Arial" w:hAnsi="Arial"/>
        </w:rPr>
        <w:t>Jelícic</w:t>
      </w:r>
      <w:proofErr w:type="spellEnd"/>
      <w:r w:rsidRPr="00CE5EE2">
        <w:rPr>
          <w:rFonts w:ascii="Arial" w:hAnsi="Arial"/>
        </w:rPr>
        <w:t xml:space="preserve">, M. (2021) ‘Forensic mental health practitioners’ use of structured risk assessment instruments, views about bias in risk evaluations, and strategies to counteract it’, </w:t>
      </w:r>
      <w:r w:rsidRPr="00CE5EE2">
        <w:rPr>
          <w:rFonts w:ascii="Arial" w:hAnsi="Arial"/>
          <w:i/>
          <w:iCs/>
        </w:rPr>
        <w:t>International Journal of Forensic Mental Health</w:t>
      </w:r>
      <w:r w:rsidRPr="00CE5EE2">
        <w:rPr>
          <w:rFonts w:ascii="Arial" w:hAnsi="Arial"/>
        </w:rPr>
        <w:t xml:space="preserve">, 21(1), pp. 1–19. </w:t>
      </w:r>
      <w:hyperlink r:id="rId12" w:tgtFrame="_new" w:history="1">
        <w:r w:rsidRPr="00CE5EE2">
          <w:rPr>
            <w:rStyle w:val="Hyperlink"/>
            <w:rFonts w:ascii="Arial" w:hAnsi="Arial"/>
          </w:rPr>
          <w:t>https://doi.org/10.1080/14999013.2021.1895377</w:t>
        </w:r>
      </w:hyperlink>
    </w:p>
    <w:p w14:paraId="2ED9B632" w14:textId="77777777" w:rsidR="00CE5EE2" w:rsidRPr="00CE5EE2" w:rsidRDefault="00CE5EE2" w:rsidP="00CE5EE2">
      <w:pPr>
        <w:jc w:val="both"/>
        <w:rPr>
          <w:rFonts w:ascii="Arial" w:hAnsi="Arial"/>
        </w:rPr>
      </w:pPr>
      <w:r w:rsidRPr="00CE5EE2">
        <w:rPr>
          <w:rFonts w:ascii="Arial" w:hAnsi="Arial"/>
        </w:rPr>
        <w:t xml:space="preserve">Morgan, J. (2023) ‘Wrongful convictions and claims of false or misleading forensic evidence’, </w:t>
      </w:r>
      <w:r w:rsidRPr="00CE5EE2">
        <w:rPr>
          <w:rFonts w:ascii="Arial" w:hAnsi="Arial"/>
          <w:i/>
          <w:iCs/>
        </w:rPr>
        <w:t>Journal of Forensic Sciences</w:t>
      </w:r>
      <w:r w:rsidRPr="00CE5EE2">
        <w:rPr>
          <w:rFonts w:ascii="Arial" w:hAnsi="Arial"/>
        </w:rPr>
        <w:t xml:space="preserve">, 68(3), pp. 908–961. </w:t>
      </w:r>
      <w:hyperlink r:id="rId13" w:tgtFrame="_new" w:history="1">
        <w:r w:rsidRPr="00CE5EE2">
          <w:rPr>
            <w:rStyle w:val="Hyperlink"/>
            <w:rFonts w:ascii="Arial" w:hAnsi="Arial"/>
          </w:rPr>
          <w:t>https://doi.org/10.1111/1556-4029.15233</w:t>
        </w:r>
      </w:hyperlink>
    </w:p>
    <w:p w14:paraId="712F6285" w14:textId="77777777" w:rsidR="00CE5EE2" w:rsidRPr="00CE5EE2" w:rsidRDefault="00CE5EE2" w:rsidP="00CE5EE2">
      <w:pPr>
        <w:jc w:val="both"/>
        <w:rPr>
          <w:rFonts w:ascii="Arial" w:hAnsi="Arial"/>
        </w:rPr>
      </w:pPr>
      <w:r w:rsidRPr="00CE5EE2">
        <w:rPr>
          <w:rFonts w:ascii="Arial" w:hAnsi="Arial"/>
        </w:rPr>
        <w:t xml:space="preserve">Musikanski, L., Rakova, B., Bradbury, J., Phillips, R. and Manson, M. (2020) ‘Artificial intelligence and community well-being: A proposal for an emerging area of research’, </w:t>
      </w:r>
      <w:r w:rsidRPr="00CE5EE2">
        <w:rPr>
          <w:rFonts w:ascii="Arial" w:hAnsi="Arial"/>
          <w:i/>
          <w:iCs/>
        </w:rPr>
        <w:t>International Journal of Community Well-Being</w:t>
      </w:r>
      <w:r w:rsidRPr="00CE5EE2">
        <w:rPr>
          <w:rFonts w:ascii="Arial" w:hAnsi="Arial"/>
        </w:rPr>
        <w:t xml:space="preserve">, 3(1), pp. 39–55. </w:t>
      </w:r>
      <w:hyperlink r:id="rId14" w:tgtFrame="_new" w:history="1">
        <w:r w:rsidRPr="00CE5EE2">
          <w:rPr>
            <w:rStyle w:val="Hyperlink"/>
            <w:rFonts w:ascii="Arial" w:hAnsi="Arial"/>
          </w:rPr>
          <w:t>https://doi.org/10.1007/s42413-019-00054-6</w:t>
        </w:r>
      </w:hyperlink>
    </w:p>
    <w:p w14:paraId="41E377A9" w14:textId="77777777" w:rsidR="00CE5EE2" w:rsidRPr="00CE5EE2" w:rsidRDefault="00CE5EE2" w:rsidP="00CE5EE2">
      <w:pPr>
        <w:jc w:val="both"/>
        <w:rPr>
          <w:rFonts w:ascii="Arial" w:hAnsi="Arial"/>
        </w:rPr>
      </w:pPr>
      <w:r w:rsidRPr="00CE5EE2">
        <w:rPr>
          <w:rFonts w:ascii="Arial" w:hAnsi="Arial"/>
        </w:rPr>
        <w:t xml:space="preserve">Neal, T.M.S., Martire, K.A., Johan, J.L., Mathers, E.M. and Otto, R.K. (2022) ‘The law meets psychological expertise: Eight best practices to improve forensic psychological assessment’, </w:t>
      </w:r>
      <w:r w:rsidRPr="00CE5EE2">
        <w:rPr>
          <w:rFonts w:ascii="Arial" w:hAnsi="Arial"/>
          <w:i/>
          <w:iCs/>
        </w:rPr>
        <w:t>Annual Review of Law and Social Science</w:t>
      </w:r>
      <w:r w:rsidRPr="00CE5EE2">
        <w:rPr>
          <w:rFonts w:ascii="Arial" w:hAnsi="Arial"/>
        </w:rPr>
        <w:t xml:space="preserve">, 18(1). </w:t>
      </w:r>
      <w:hyperlink r:id="rId15" w:tgtFrame="_new" w:history="1">
        <w:r w:rsidRPr="00CE5EE2">
          <w:rPr>
            <w:rStyle w:val="Hyperlink"/>
            <w:rFonts w:ascii="Arial" w:hAnsi="Arial"/>
          </w:rPr>
          <w:t>https://doi.org/10.1146/annurev-lawsocsci-050420-010148</w:t>
        </w:r>
      </w:hyperlink>
    </w:p>
    <w:p w14:paraId="4E72653C" w14:textId="77777777" w:rsidR="00CE5EE2" w:rsidRPr="00CE5EE2" w:rsidRDefault="00CE5EE2" w:rsidP="00CE5EE2">
      <w:pPr>
        <w:jc w:val="both"/>
        <w:rPr>
          <w:rFonts w:ascii="Arial" w:hAnsi="Arial"/>
        </w:rPr>
      </w:pPr>
      <w:r w:rsidRPr="00CE5EE2">
        <w:rPr>
          <w:rFonts w:ascii="Arial" w:hAnsi="Arial"/>
        </w:rPr>
        <w:t xml:space="preserve">Reid, C.A. and Howes, L.M. (2020) ‘Communicating forensic scientific expertise: An analysis of expert reports and corresponding testimony in Tasmanian courts’, </w:t>
      </w:r>
      <w:r w:rsidRPr="00CE5EE2">
        <w:rPr>
          <w:rFonts w:ascii="Arial" w:hAnsi="Arial"/>
          <w:i/>
          <w:iCs/>
        </w:rPr>
        <w:t>Science &amp; Justice</w:t>
      </w:r>
      <w:r w:rsidRPr="00CE5EE2">
        <w:rPr>
          <w:rFonts w:ascii="Arial" w:hAnsi="Arial"/>
        </w:rPr>
        <w:t xml:space="preserve">, 60(2), pp. 108–119. </w:t>
      </w:r>
      <w:hyperlink r:id="rId16" w:tgtFrame="_new" w:history="1">
        <w:r w:rsidRPr="00CE5EE2">
          <w:rPr>
            <w:rStyle w:val="Hyperlink"/>
            <w:rFonts w:ascii="Arial" w:hAnsi="Arial"/>
          </w:rPr>
          <w:t>https://doi.org/10.1016/j.scijus.2019.09.007</w:t>
        </w:r>
      </w:hyperlink>
    </w:p>
    <w:p w14:paraId="15A29CA5" w14:textId="77777777" w:rsidR="00CE5EE2" w:rsidRPr="00CE5EE2" w:rsidRDefault="00CE5EE2" w:rsidP="00CE5EE2">
      <w:pPr>
        <w:jc w:val="both"/>
        <w:rPr>
          <w:rFonts w:ascii="Arial" w:hAnsi="Arial"/>
        </w:rPr>
      </w:pPr>
      <w:r w:rsidRPr="00CE5EE2">
        <w:rPr>
          <w:rFonts w:ascii="Arial" w:hAnsi="Arial"/>
        </w:rPr>
        <w:t xml:space="preserve">Rogers, B. and Schill, A.L. (2021) ‘Ethics and total worker health®: Constructs for ethical decision-making and competencies for professional practice’, </w:t>
      </w:r>
      <w:r w:rsidRPr="00CE5EE2">
        <w:rPr>
          <w:rFonts w:ascii="Arial" w:hAnsi="Arial"/>
          <w:i/>
          <w:iCs/>
        </w:rPr>
        <w:t>International Journal of Environmental Research and Public Health</w:t>
      </w:r>
      <w:r w:rsidRPr="00CE5EE2">
        <w:rPr>
          <w:rFonts w:ascii="Arial" w:hAnsi="Arial"/>
        </w:rPr>
        <w:t xml:space="preserve">, 18(19), 10030. </w:t>
      </w:r>
      <w:hyperlink r:id="rId17" w:tgtFrame="_new" w:history="1">
        <w:r w:rsidRPr="00CE5EE2">
          <w:rPr>
            <w:rStyle w:val="Hyperlink"/>
            <w:rFonts w:ascii="Arial" w:hAnsi="Arial"/>
          </w:rPr>
          <w:t>https://doi.org/10.3390/ijerph181910030</w:t>
        </w:r>
      </w:hyperlink>
    </w:p>
    <w:p w14:paraId="1A60245C" w14:textId="77777777" w:rsidR="00CE5EE2" w:rsidRPr="00CE5EE2" w:rsidRDefault="00CE5EE2" w:rsidP="00CE5EE2">
      <w:pPr>
        <w:jc w:val="both"/>
        <w:rPr>
          <w:rFonts w:ascii="Arial" w:hAnsi="Arial"/>
        </w:rPr>
      </w:pPr>
      <w:r w:rsidRPr="00CE5EE2">
        <w:rPr>
          <w:rFonts w:ascii="Arial" w:hAnsi="Arial"/>
        </w:rPr>
        <w:t xml:space="preserve">Schofield, G., Dittborn, M., Huxtable, R., Brangan, E. and Selman, L.E. (2020) ‘Real-world ethics in palliative care: A systematic review of the ethical challenges reported by specialist palliative care practitioners’, </w:t>
      </w:r>
      <w:r w:rsidRPr="00CE5EE2">
        <w:rPr>
          <w:rFonts w:ascii="Arial" w:hAnsi="Arial"/>
          <w:i/>
          <w:iCs/>
        </w:rPr>
        <w:t>Palliative Medicine</w:t>
      </w:r>
      <w:r w:rsidRPr="00CE5EE2">
        <w:rPr>
          <w:rFonts w:ascii="Arial" w:hAnsi="Arial"/>
        </w:rPr>
        <w:t>, 35(2), pp. 315–334.</w:t>
      </w:r>
    </w:p>
    <w:p w14:paraId="7E9C43DA" w14:textId="77777777" w:rsidR="00CE5EE2" w:rsidRPr="00CE5EE2" w:rsidRDefault="00CE5EE2" w:rsidP="00CE5EE2">
      <w:pPr>
        <w:jc w:val="both"/>
        <w:rPr>
          <w:rFonts w:ascii="Arial" w:hAnsi="Arial"/>
        </w:rPr>
      </w:pPr>
    </w:p>
    <w:sectPr w:rsidR="00CE5EE2" w:rsidRPr="00CE5EE2" w:rsidSect="00A546A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549DB4" w14:textId="77777777" w:rsidR="004A4444" w:rsidRDefault="004A4444" w:rsidP="00194ADD">
      <w:pPr>
        <w:spacing w:after="0" w:line="240" w:lineRule="auto"/>
      </w:pPr>
      <w:r>
        <w:separator/>
      </w:r>
    </w:p>
  </w:endnote>
  <w:endnote w:type="continuationSeparator" w:id="0">
    <w:p w14:paraId="104956DD" w14:textId="77777777" w:rsidR="004A4444" w:rsidRDefault="004A4444" w:rsidP="00194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5406626"/>
      <w:docPartObj>
        <w:docPartGallery w:val="Page Numbers (Bottom of Page)"/>
        <w:docPartUnique/>
      </w:docPartObj>
    </w:sdtPr>
    <w:sdtEndPr>
      <w:rPr>
        <w:noProof/>
      </w:rPr>
    </w:sdtEndPr>
    <w:sdtContent>
      <w:p w14:paraId="4A3D1061" w14:textId="77777777" w:rsidR="00E03C6A" w:rsidRDefault="00E03C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AA29A3" w14:textId="77777777" w:rsidR="00E03C6A" w:rsidRDefault="00E03C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1509622"/>
      <w:docPartObj>
        <w:docPartGallery w:val="Page Numbers (Bottom of Page)"/>
        <w:docPartUnique/>
      </w:docPartObj>
    </w:sdtPr>
    <w:sdtEndPr>
      <w:rPr>
        <w:noProof/>
      </w:rPr>
    </w:sdtEndPr>
    <w:sdtContent>
      <w:p w14:paraId="47B430F9" w14:textId="1348FDD8" w:rsidR="00A546AC" w:rsidRDefault="00A546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78C66" w14:textId="77777777" w:rsidR="00A546AC" w:rsidRDefault="00A546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AF224" w14:textId="77777777" w:rsidR="004A4444" w:rsidRDefault="004A4444" w:rsidP="00194ADD">
      <w:pPr>
        <w:spacing w:after="0" w:line="240" w:lineRule="auto"/>
      </w:pPr>
      <w:r>
        <w:separator/>
      </w:r>
    </w:p>
  </w:footnote>
  <w:footnote w:type="continuationSeparator" w:id="0">
    <w:p w14:paraId="225AD13F" w14:textId="77777777" w:rsidR="004A4444" w:rsidRDefault="004A4444" w:rsidP="00194A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110"/>
    <w:rsid w:val="000179B7"/>
    <w:rsid w:val="0009305E"/>
    <w:rsid w:val="000C6704"/>
    <w:rsid w:val="000D5832"/>
    <w:rsid w:val="00167110"/>
    <w:rsid w:val="00194ADD"/>
    <w:rsid w:val="00270A6F"/>
    <w:rsid w:val="002E6B63"/>
    <w:rsid w:val="00300DA7"/>
    <w:rsid w:val="0040087F"/>
    <w:rsid w:val="004520E4"/>
    <w:rsid w:val="004A4444"/>
    <w:rsid w:val="004C1C1A"/>
    <w:rsid w:val="00521185"/>
    <w:rsid w:val="00584572"/>
    <w:rsid w:val="005D593C"/>
    <w:rsid w:val="005E5D60"/>
    <w:rsid w:val="00687B95"/>
    <w:rsid w:val="006964B8"/>
    <w:rsid w:val="006B6C1A"/>
    <w:rsid w:val="0076418C"/>
    <w:rsid w:val="00791420"/>
    <w:rsid w:val="007A48AB"/>
    <w:rsid w:val="008F00BE"/>
    <w:rsid w:val="009A61C3"/>
    <w:rsid w:val="00A02F5C"/>
    <w:rsid w:val="00A546AC"/>
    <w:rsid w:val="00A72790"/>
    <w:rsid w:val="00A95E36"/>
    <w:rsid w:val="00B47343"/>
    <w:rsid w:val="00BB02AE"/>
    <w:rsid w:val="00C30F12"/>
    <w:rsid w:val="00CE5EE2"/>
    <w:rsid w:val="00CF0AEC"/>
    <w:rsid w:val="00D60A2A"/>
    <w:rsid w:val="00D8458B"/>
    <w:rsid w:val="00D95DA6"/>
    <w:rsid w:val="00E03C6A"/>
    <w:rsid w:val="00E36848"/>
    <w:rsid w:val="00E72ED6"/>
    <w:rsid w:val="00EB1706"/>
    <w:rsid w:val="00ED06F0"/>
    <w:rsid w:val="00F4177D"/>
    <w:rsid w:val="00F44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B7530"/>
  <w15:chartTrackingRefBased/>
  <w15:docId w15:val="{D8A4082B-EA56-4753-91FC-CE7BB19B7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94ADD"/>
    <w:pPr>
      <w:keepNext/>
      <w:keepLines/>
      <w:spacing w:before="240" w:after="0"/>
      <w:outlineLvl w:val="0"/>
    </w:pPr>
    <w:rPr>
      <w:rFonts w:ascii="Arial" w:eastAsiaTheme="majorEastAsia" w:hAnsi="Arial" w:cstheme="majorBidi"/>
      <w:b/>
      <w:bCs/>
      <w:color w:val="000000" w:themeColor="text1"/>
      <w:szCs w:val="32"/>
    </w:rPr>
  </w:style>
  <w:style w:type="paragraph" w:styleId="Heading2">
    <w:name w:val="heading 2"/>
    <w:basedOn w:val="Normal"/>
    <w:next w:val="Normal"/>
    <w:link w:val="Heading2Char"/>
    <w:uiPriority w:val="9"/>
    <w:semiHidden/>
    <w:unhideWhenUsed/>
    <w:qFormat/>
    <w:rsid w:val="0016711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16711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16711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16711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1671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1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1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1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ADD"/>
    <w:rPr>
      <w:rFonts w:ascii="Arial" w:eastAsiaTheme="majorEastAsia" w:hAnsi="Arial" w:cstheme="majorBidi"/>
      <w:b/>
      <w:bCs/>
      <w:color w:val="000000" w:themeColor="text1"/>
      <w:szCs w:val="32"/>
    </w:rPr>
  </w:style>
  <w:style w:type="character" w:customStyle="1" w:styleId="Heading2Char">
    <w:name w:val="Heading 2 Char"/>
    <w:basedOn w:val="DefaultParagraphFont"/>
    <w:link w:val="Heading2"/>
    <w:uiPriority w:val="9"/>
    <w:semiHidden/>
    <w:rsid w:val="0016711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16711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16711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16711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1671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1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1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110"/>
    <w:rPr>
      <w:rFonts w:eastAsiaTheme="majorEastAsia" w:cstheme="majorBidi"/>
      <w:color w:val="272727" w:themeColor="text1" w:themeTint="D8"/>
    </w:rPr>
  </w:style>
  <w:style w:type="paragraph" w:styleId="Title">
    <w:name w:val="Title"/>
    <w:basedOn w:val="Normal"/>
    <w:next w:val="Normal"/>
    <w:link w:val="TitleChar"/>
    <w:uiPriority w:val="10"/>
    <w:qFormat/>
    <w:rsid w:val="001671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1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1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1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110"/>
    <w:pPr>
      <w:spacing w:before="160"/>
      <w:jc w:val="center"/>
    </w:pPr>
    <w:rPr>
      <w:i/>
      <w:iCs/>
      <w:color w:val="404040" w:themeColor="text1" w:themeTint="BF"/>
    </w:rPr>
  </w:style>
  <w:style w:type="character" w:customStyle="1" w:styleId="QuoteChar">
    <w:name w:val="Quote Char"/>
    <w:basedOn w:val="DefaultParagraphFont"/>
    <w:link w:val="Quote"/>
    <w:uiPriority w:val="29"/>
    <w:rsid w:val="00167110"/>
    <w:rPr>
      <w:i/>
      <w:iCs/>
      <w:color w:val="404040" w:themeColor="text1" w:themeTint="BF"/>
    </w:rPr>
  </w:style>
  <w:style w:type="paragraph" w:styleId="ListParagraph">
    <w:name w:val="List Paragraph"/>
    <w:basedOn w:val="Normal"/>
    <w:uiPriority w:val="34"/>
    <w:qFormat/>
    <w:rsid w:val="00167110"/>
    <w:pPr>
      <w:ind w:left="720"/>
      <w:contextualSpacing/>
    </w:pPr>
  </w:style>
  <w:style w:type="character" w:styleId="IntenseEmphasis">
    <w:name w:val="Intense Emphasis"/>
    <w:basedOn w:val="DefaultParagraphFont"/>
    <w:uiPriority w:val="21"/>
    <w:qFormat/>
    <w:rsid w:val="00167110"/>
    <w:rPr>
      <w:i/>
      <w:iCs/>
      <w:color w:val="2E74B5" w:themeColor="accent1" w:themeShade="BF"/>
    </w:rPr>
  </w:style>
  <w:style w:type="paragraph" w:styleId="IntenseQuote">
    <w:name w:val="Intense Quote"/>
    <w:basedOn w:val="Normal"/>
    <w:next w:val="Normal"/>
    <w:link w:val="IntenseQuoteChar"/>
    <w:uiPriority w:val="30"/>
    <w:qFormat/>
    <w:rsid w:val="0016711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67110"/>
    <w:rPr>
      <w:i/>
      <w:iCs/>
      <w:color w:val="2E74B5" w:themeColor="accent1" w:themeShade="BF"/>
    </w:rPr>
  </w:style>
  <w:style w:type="character" w:styleId="IntenseReference">
    <w:name w:val="Intense Reference"/>
    <w:basedOn w:val="DefaultParagraphFont"/>
    <w:uiPriority w:val="32"/>
    <w:qFormat/>
    <w:rsid w:val="00167110"/>
    <w:rPr>
      <w:b/>
      <w:bCs/>
      <w:smallCaps/>
      <w:color w:val="2E74B5" w:themeColor="accent1" w:themeShade="BF"/>
      <w:spacing w:val="5"/>
    </w:rPr>
  </w:style>
  <w:style w:type="paragraph" w:styleId="TOCHeading">
    <w:name w:val="TOC Heading"/>
    <w:basedOn w:val="Heading1"/>
    <w:next w:val="Normal"/>
    <w:uiPriority w:val="39"/>
    <w:unhideWhenUsed/>
    <w:qFormat/>
    <w:rsid w:val="00194ADD"/>
    <w:pPr>
      <w:outlineLvl w:val="9"/>
    </w:pPr>
    <w:rPr>
      <w:rFonts w:asciiTheme="majorHAnsi" w:hAnsiTheme="majorHAnsi"/>
      <w:b w:val="0"/>
      <w:bCs w:val="0"/>
      <w:color w:val="2E74B5" w:themeColor="accent1" w:themeShade="BF"/>
      <w:sz w:val="32"/>
      <w:lang w:val="en-US"/>
    </w:rPr>
  </w:style>
  <w:style w:type="paragraph" w:styleId="TOC1">
    <w:name w:val="toc 1"/>
    <w:basedOn w:val="Normal"/>
    <w:next w:val="Normal"/>
    <w:autoRedefine/>
    <w:uiPriority w:val="39"/>
    <w:unhideWhenUsed/>
    <w:rsid w:val="00194ADD"/>
    <w:pPr>
      <w:spacing w:after="100"/>
    </w:pPr>
  </w:style>
  <w:style w:type="character" w:styleId="Hyperlink">
    <w:name w:val="Hyperlink"/>
    <w:basedOn w:val="DefaultParagraphFont"/>
    <w:uiPriority w:val="99"/>
    <w:unhideWhenUsed/>
    <w:rsid w:val="00194ADD"/>
    <w:rPr>
      <w:color w:val="0563C1" w:themeColor="hyperlink"/>
      <w:u w:val="single"/>
    </w:rPr>
  </w:style>
  <w:style w:type="paragraph" w:styleId="Header">
    <w:name w:val="header"/>
    <w:basedOn w:val="Normal"/>
    <w:link w:val="HeaderChar"/>
    <w:uiPriority w:val="99"/>
    <w:unhideWhenUsed/>
    <w:rsid w:val="00194A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ADD"/>
  </w:style>
  <w:style w:type="paragraph" w:styleId="Footer">
    <w:name w:val="footer"/>
    <w:basedOn w:val="Normal"/>
    <w:link w:val="FooterChar"/>
    <w:uiPriority w:val="99"/>
    <w:unhideWhenUsed/>
    <w:rsid w:val="00194A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ADD"/>
  </w:style>
  <w:style w:type="character" w:styleId="UnresolvedMention">
    <w:name w:val="Unresolved Mention"/>
    <w:basedOn w:val="DefaultParagraphFont"/>
    <w:uiPriority w:val="99"/>
    <w:semiHidden/>
    <w:unhideWhenUsed/>
    <w:rsid w:val="00CE5E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00991" TargetMode="External"/><Relationship Id="rId13" Type="http://schemas.openxmlformats.org/officeDocument/2006/relationships/hyperlink" Target="https://doi.org/10.1111/1556-4029.15233"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doi.org/10.1080/14999013.2021.1895377" TargetMode="External"/><Relationship Id="rId17" Type="http://schemas.openxmlformats.org/officeDocument/2006/relationships/hyperlink" Target="https://doi.org/10.3390/ijerph181910030" TargetMode="External"/><Relationship Id="rId2" Type="http://schemas.openxmlformats.org/officeDocument/2006/relationships/settings" Target="settings.xml"/><Relationship Id="rId16" Type="http://schemas.openxmlformats.org/officeDocument/2006/relationships/hyperlink" Target="https://doi.org/10.1016/j.scijus.2019.09.007"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doi.org/10.1016/j.fsidi.2020.300923" TargetMode="External"/><Relationship Id="rId5" Type="http://schemas.openxmlformats.org/officeDocument/2006/relationships/endnotes" Target="endnotes.xml"/><Relationship Id="rId15" Type="http://schemas.openxmlformats.org/officeDocument/2006/relationships/hyperlink" Target="https://doi.org/10.1146/annurev-lawsocsci-050420-010148" TargetMode="External"/><Relationship Id="rId10" Type="http://schemas.openxmlformats.org/officeDocument/2006/relationships/hyperlink" Target="https://doi.org/10.1177/1049732325135343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108/s1059-433720190000078008" TargetMode="External"/><Relationship Id="rId14" Type="http://schemas.openxmlformats.org/officeDocument/2006/relationships/hyperlink" Target="https://doi.org/10.1007/s42413-019-0005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1985</Words>
  <Characters>11321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OluwaTomi David</dc:creator>
  <cp:keywords/>
  <dc:description/>
  <cp:lastModifiedBy>Elizabeth Adesaogun (2515702)</cp:lastModifiedBy>
  <cp:revision>3</cp:revision>
  <dcterms:created xsi:type="dcterms:W3CDTF">2025-12-14T10:03:00Z</dcterms:created>
  <dcterms:modified xsi:type="dcterms:W3CDTF">2025-12-14T10:21:00Z</dcterms:modified>
</cp:coreProperties>
</file>