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05F050" w14:textId="7884AA35" w:rsidR="00855243" w:rsidRDefault="00705FEE" w:rsidP="00855243">
      <w:pPr>
        <w:rPr>
          <w:rFonts w:ascii="Times New Roman" w:hAnsi="Times New Roman" w:cs="Times New Roman"/>
        </w:rPr>
      </w:pPr>
      <w:r w:rsidRPr="0004651D">
        <w:rPr>
          <w:rFonts w:ascii="Times New Roman" w:hAnsi="Times New Roman" w:cs="Times New Roman"/>
        </w:rPr>
        <w:t>MA Thesis: Ancient Civilisations</w:t>
      </w:r>
      <w:r w:rsidR="00855243">
        <w:rPr>
          <w:rFonts w:ascii="Times New Roman" w:hAnsi="Times New Roman" w:cs="Times New Roman"/>
        </w:rPr>
        <w:tab/>
      </w:r>
      <w:r w:rsidR="00855243">
        <w:rPr>
          <w:rFonts w:ascii="Times New Roman" w:hAnsi="Times New Roman" w:cs="Times New Roman"/>
        </w:rPr>
        <w:tab/>
      </w:r>
      <w:r w:rsidR="00855243">
        <w:rPr>
          <w:rFonts w:ascii="Times New Roman" w:hAnsi="Times New Roman" w:cs="Times New Roman"/>
        </w:rPr>
        <w:tab/>
      </w:r>
      <w:r w:rsidR="00855243">
        <w:rPr>
          <w:rFonts w:ascii="Times New Roman" w:hAnsi="Times New Roman" w:cs="Times New Roman"/>
        </w:rPr>
        <w:tab/>
      </w:r>
      <w:r w:rsidR="00855243" w:rsidRPr="0004651D">
        <w:rPr>
          <w:rFonts w:ascii="Times New Roman" w:hAnsi="Times New Roman" w:cs="Times New Roman"/>
        </w:rPr>
        <w:t>Rosie Davey</w:t>
      </w:r>
      <w:r w:rsidR="00855243">
        <w:rPr>
          <w:rFonts w:ascii="Times New Roman" w:hAnsi="Times New Roman" w:cs="Times New Roman"/>
        </w:rPr>
        <w:t xml:space="preserve"> 2524055</w:t>
      </w:r>
    </w:p>
    <w:p w14:paraId="75EED874" w14:textId="77777777" w:rsidR="00855243" w:rsidRPr="0004651D" w:rsidRDefault="00855243" w:rsidP="00855243">
      <w:pPr>
        <w:rPr>
          <w:rFonts w:ascii="Times New Roman" w:hAnsi="Times New Roman" w:cs="Times New Roman"/>
        </w:rPr>
      </w:pPr>
    </w:p>
    <w:p w14:paraId="148A771F" w14:textId="38412769" w:rsidR="00705FEE" w:rsidRDefault="00705FEE" w:rsidP="00855243">
      <w:pPr>
        <w:jc w:val="center"/>
        <w:rPr>
          <w:rFonts w:ascii="Times New Roman" w:hAnsi="Times New Roman" w:cs="Times New Roman"/>
          <w:u w:val="single"/>
        </w:rPr>
      </w:pPr>
      <w:r w:rsidRPr="0004651D">
        <w:rPr>
          <w:rFonts w:ascii="Times New Roman" w:hAnsi="Times New Roman" w:cs="Times New Roman"/>
          <w:u w:val="single"/>
        </w:rPr>
        <w:t>Beyond the Temple: Social</w:t>
      </w:r>
      <w:r w:rsidR="00F171E6" w:rsidRPr="0004651D">
        <w:rPr>
          <w:rFonts w:ascii="Times New Roman" w:hAnsi="Times New Roman" w:cs="Times New Roman"/>
          <w:u w:val="single"/>
        </w:rPr>
        <w:t xml:space="preserve"> Hierarchy and </w:t>
      </w:r>
      <w:r w:rsidRPr="0004651D">
        <w:rPr>
          <w:rFonts w:ascii="Times New Roman" w:hAnsi="Times New Roman" w:cs="Times New Roman"/>
          <w:u w:val="single"/>
        </w:rPr>
        <w:t>Women’s Religious Experience in Ancient Egypt</w:t>
      </w:r>
    </w:p>
    <w:p w14:paraId="0CE8DCB8" w14:textId="77777777" w:rsidR="00855243" w:rsidRPr="0004651D" w:rsidRDefault="00855243" w:rsidP="00855243">
      <w:pPr>
        <w:jc w:val="center"/>
        <w:rPr>
          <w:rFonts w:ascii="Times New Roman" w:hAnsi="Times New Roman" w:cs="Times New Roman"/>
          <w:u w:val="single"/>
        </w:rPr>
      </w:pPr>
    </w:p>
    <w:p w14:paraId="2B6270CB" w14:textId="1F795E59" w:rsidR="001D54B7" w:rsidRDefault="00305EC6" w:rsidP="00855243">
      <w:pPr>
        <w:rPr>
          <w:rFonts w:ascii="Times New Roman" w:hAnsi="Times New Roman" w:cs="Times New Roman"/>
        </w:rPr>
      </w:pPr>
      <w:r>
        <w:rPr>
          <w:rFonts w:ascii="Times New Roman" w:hAnsi="Times New Roman" w:cs="Times New Roman"/>
        </w:rPr>
        <w:t>“</w:t>
      </w:r>
      <w:r w:rsidR="001D54B7" w:rsidRPr="0004651D">
        <w:rPr>
          <w:rFonts w:ascii="Times New Roman" w:hAnsi="Times New Roman" w:cs="Times New Roman"/>
        </w:rPr>
        <w:t>The king and his priestly deputies were the main beneficiaries of the sweetness and light they presented as pervading the cosmos</w:t>
      </w:r>
      <w:r>
        <w:rPr>
          <w:rFonts w:ascii="Times New Roman" w:hAnsi="Times New Roman" w:cs="Times New Roman"/>
        </w:rPr>
        <w:t>.”</w:t>
      </w:r>
      <w:r w:rsidR="001D54B7" w:rsidRPr="0004651D">
        <w:rPr>
          <w:rFonts w:ascii="Times New Roman" w:hAnsi="Times New Roman" w:cs="Times New Roman"/>
        </w:rPr>
        <w:t xml:space="preserve"> </w:t>
      </w:r>
      <w:r w:rsidR="00D3586D" w:rsidRPr="0004651D">
        <w:rPr>
          <w:rFonts w:ascii="Times New Roman" w:hAnsi="Times New Roman" w:cs="Times New Roman"/>
        </w:rPr>
        <w:t>(Baines, 1991</w:t>
      </w:r>
      <w:r w:rsidR="002B6C57">
        <w:rPr>
          <w:rFonts w:ascii="Times New Roman" w:hAnsi="Times New Roman" w:cs="Times New Roman"/>
        </w:rPr>
        <w:t>, p.126</w:t>
      </w:r>
      <w:r w:rsidR="00D3586D" w:rsidRPr="0004651D">
        <w:rPr>
          <w:rFonts w:ascii="Times New Roman" w:hAnsi="Times New Roman" w:cs="Times New Roman"/>
        </w:rPr>
        <w:t>).</w:t>
      </w:r>
    </w:p>
    <w:p w14:paraId="2303751D" w14:textId="77777777" w:rsidR="00855243" w:rsidRPr="0004651D" w:rsidRDefault="00855243" w:rsidP="00855243">
      <w:pPr>
        <w:rPr>
          <w:rFonts w:ascii="Times New Roman" w:hAnsi="Times New Roman" w:cs="Times New Roman"/>
        </w:rPr>
      </w:pPr>
    </w:p>
    <w:p w14:paraId="0BB1ED56" w14:textId="044A0913" w:rsidR="00705FEE" w:rsidRPr="0004651D" w:rsidRDefault="00705FEE" w:rsidP="000F3CAE">
      <w:pPr>
        <w:rPr>
          <w:rFonts w:ascii="Times New Roman" w:hAnsi="Times New Roman" w:cs="Times New Roman"/>
          <w:b/>
          <w:bCs/>
          <w:u w:val="single"/>
        </w:rPr>
      </w:pPr>
      <w:r w:rsidRPr="0004651D">
        <w:rPr>
          <w:rFonts w:ascii="Times New Roman" w:hAnsi="Times New Roman" w:cs="Times New Roman"/>
          <w:b/>
          <w:bCs/>
          <w:u w:val="single"/>
        </w:rPr>
        <w:t>Introduction</w:t>
      </w:r>
      <w:r w:rsidR="00E95614" w:rsidRPr="0004651D">
        <w:rPr>
          <w:rFonts w:ascii="Times New Roman" w:hAnsi="Times New Roman" w:cs="Times New Roman"/>
          <w:b/>
          <w:bCs/>
          <w:u w:val="single"/>
        </w:rPr>
        <w:t>: Reconsidering Women’s Religious Experience in Ancient Egypt</w:t>
      </w:r>
      <w:r w:rsidR="007779EF" w:rsidRPr="0004651D">
        <w:rPr>
          <w:rFonts w:ascii="Times New Roman" w:hAnsi="Times New Roman" w:cs="Times New Roman"/>
          <w:b/>
          <w:bCs/>
          <w:u w:val="single"/>
        </w:rPr>
        <w:t xml:space="preserve"> </w:t>
      </w:r>
    </w:p>
    <w:p w14:paraId="1F7E9E3E" w14:textId="74F1BFEC" w:rsidR="008C308E" w:rsidRPr="0004651D" w:rsidRDefault="008C308E" w:rsidP="008C308E">
      <w:pPr>
        <w:rPr>
          <w:rFonts w:ascii="Times New Roman" w:hAnsi="Times New Roman" w:cs="Times New Roman"/>
        </w:rPr>
      </w:pPr>
      <w:r w:rsidRPr="0004651D">
        <w:rPr>
          <w:rFonts w:ascii="Times New Roman" w:hAnsi="Times New Roman" w:cs="Times New Roman"/>
        </w:rPr>
        <w:t>In ancient Egypt, religion permeated daily life and structured relationships between the human and divine realms through the principle of Ma’at</w:t>
      </w:r>
      <w:r w:rsidR="0033439E">
        <w:rPr>
          <w:rFonts w:ascii="Times New Roman" w:hAnsi="Times New Roman" w:cs="Times New Roman"/>
        </w:rPr>
        <w:t xml:space="preserve"> (</w:t>
      </w:r>
      <w:r w:rsidRPr="0004651D">
        <w:rPr>
          <w:rFonts w:ascii="Times New Roman" w:hAnsi="Times New Roman" w:cs="Times New Roman"/>
        </w:rPr>
        <w:t>cosmic order</w:t>
      </w:r>
      <w:r w:rsidR="0033439E">
        <w:rPr>
          <w:rFonts w:ascii="Times New Roman" w:hAnsi="Times New Roman" w:cs="Times New Roman"/>
        </w:rPr>
        <w:t>)</w:t>
      </w:r>
      <w:r w:rsidRPr="0004651D">
        <w:rPr>
          <w:rFonts w:ascii="Times New Roman" w:hAnsi="Times New Roman" w:cs="Times New Roman"/>
        </w:rPr>
        <w:t xml:space="preserve"> (Zhou, 2024). However, modern understandings of Egyptian religion are shaped by an uneven body of evidence, much of which was produced by elite men in institutional contexts such as temples and tombs (Robins, 1993). Consequently, women’s religious experiences are often underrepresented and mediated through male perspectives (Meskell, 2002).</w:t>
      </w:r>
    </w:p>
    <w:p w14:paraId="57897BAD" w14:textId="60AE6B00" w:rsidR="008C308E" w:rsidRPr="0004651D" w:rsidRDefault="008C308E" w:rsidP="008C308E">
      <w:pPr>
        <w:rPr>
          <w:rFonts w:ascii="Times New Roman" w:hAnsi="Times New Roman" w:cs="Times New Roman"/>
        </w:rPr>
      </w:pPr>
      <w:r w:rsidRPr="0004651D">
        <w:rPr>
          <w:rFonts w:ascii="Times New Roman" w:hAnsi="Times New Roman" w:cs="Times New Roman"/>
        </w:rPr>
        <w:t>Scholars have increasingly examined women’s participation in Egyptian religion, often emphasising the visibility and relative autonomy of women within society (Tyldesley, 199</w:t>
      </w:r>
      <w:r w:rsidR="000348E2">
        <w:rPr>
          <w:rFonts w:ascii="Times New Roman" w:hAnsi="Times New Roman" w:cs="Times New Roman"/>
        </w:rPr>
        <w:t>5</w:t>
      </w:r>
      <w:r w:rsidRPr="0004651D">
        <w:rPr>
          <w:rFonts w:ascii="Times New Roman" w:hAnsi="Times New Roman" w:cs="Times New Roman"/>
        </w:rPr>
        <w:t>; Watterson, 1991). Women could hold religious titles, participate in ritual life, and engage in domestic devotion. Yet such interpretations can obscure the extent to which religious experience was shaped by social hierarchy. Access to ritual authority, sacred spaces, and institutional religious roles was not equally available to all women, but depended heavily on wealth, status, and family connections (El-</w:t>
      </w:r>
      <w:proofErr w:type="spellStart"/>
      <w:r w:rsidRPr="0004651D">
        <w:rPr>
          <w:rFonts w:ascii="Times New Roman" w:hAnsi="Times New Roman" w:cs="Times New Roman"/>
        </w:rPr>
        <w:t>Kilany</w:t>
      </w:r>
      <w:proofErr w:type="spellEnd"/>
      <w:r w:rsidR="000348E2">
        <w:rPr>
          <w:rFonts w:ascii="Times New Roman" w:hAnsi="Times New Roman" w:cs="Times New Roman"/>
        </w:rPr>
        <w:t xml:space="preserve"> &amp; Kamal</w:t>
      </w:r>
      <w:r w:rsidRPr="0004651D">
        <w:rPr>
          <w:rFonts w:ascii="Times New Roman" w:hAnsi="Times New Roman" w:cs="Times New Roman"/>
        </w:rPr>
        <w:t>, 2020).</w:t>
      </w:r>
    </w:p>
    <w:p w14:paraId="505A7CCE" w14:textId="1554673F" w:rsidR="008C308E" w:rsidRPr="0004651D" w:rsidRDefault="008C308E" w:rsidP="008C308E">
      <w:pPr>
        <w:rPr>
          <w:rFonts w:ascii="Times New Roman" w:hAnsi="Times New Roman" w:cs="Times New Roman"/>
        </w:rPr>
      </w:pPr>
      <w:r w:rsidRPr="0004651D">
        <w:rPr>
          <w:rFonts w:ascii="Times New Roman" w:hAnsi="Times New Roman" w:cs="Times New Roman"/>
        </w:rPr>
        <w:t>This thesis argues that social status fundamentally shaped women’s religious experiences in ancient Egypt. Although women across society participated in religious practice, elite women — particularly those with priestly roles — possessed forms of institutional authority and ritual access unavailable to most others</w:t>
      </w:r>
      <w:r w:rsidR="00305EC6">
        <w:rPr>
          <w:rFonts w:ascii="Times New Roman" w:hAnsi="Times New Roman" w:cs="Times New Roman"/>
        </w:rPr>
        <w:t xml:space="preserve"> (</w:t>
      </w:r>
      <w:r w:rsidR="00305EC6" w:rsidRPr="0004651D">
        <w:rPr>
          <w:rFonts w:ascii="Times New Roman" w:hAnsi="Times New Roman" w:cs="Times New Roman"/>
        </w:rPr>
        <w:t>Lesko, 1994</w:t>
      </w:r>
      <w:r w:rsidR="00305EC6">
        <w:rPr>
          <w:rFonts w:ascii="Times New Roman" w:hAnsi="Times New Roman" w:cs="Times New Roman"/>
        </w:rPr>
        <w:t>)</w:t>
      </w:r>
      <w:r w:rsidRPr="0004651D">
        <w:rPr>
          <w:rFonts w:ascii="Times New Roman" w:hAnsi="Times New Roman" w:cs="Times New Roman"/>
        </w:rPr>
        <w:t xml:space="preserve">. Their engagement with religion </w:t>
      </w:r>
      <w:r w:rsidR="00C85F1B">
        <w:rPr>
          <w:rFonts w:ascii="Times New Roman" w:hAnsi="Times New Roman" w:cs="Times New Roman"/>
        </w:rPr>
        <w:t xml:space="preserve">was therefore </w:t>
      </w:r>
      <w:r w:rsidRPr="0004651D">
        <w:rPr>
          <w:rFonts w:ascii="Times New Roman" w:hAnsi="Times New Roman" w:cs="Times New Roman"/>
        </w:rPr>
        <w:t>materially privileged and symbolically closer to the divine.</w:t>
      </w:r>
    </w:p>
    <w:p w14:paraId="3A72C653" w14:textId="442CF2C1" w:rsidR="008C308E" w:rsidRPr="0004651D" w:rsidRDefault="008C308E" w:rsidP="008C308E">
      <w:pPr>
        <w:rPr>
          <w:rFonts w:ascii="Times New Roman" w:hAnsi="Times New Roman" w:cs="Times New Roman"/>
        </w:rPr>
      </w:pPr>
      <w:r w:rsidRPr="0004651D">
        <w:rPr>
          <w:rFonts w:ascii="Times New Roman" w:hAnsi="Times New Roman" w:cs="Times New Roman"/>
        </w:rPr>
        <w:t xml:space="preserve">To explore this argument, this study compares two women from different social and historical contexts: Hetepet, a Fifth Dynasty high priestess of Hathor, and Merit, an Eighteenth Dynasty noblewoman buried alongside her husband Kha at Deir el-Medina. Hetepet’s tomb near Giza reflects elite religious status and probable access to temple-based ritual authority (Woods, 2012). In contrast, Merit’s burial provides insight into the devotional practices of a wealthy but non-priestly woman, likely centred on household and local worship (Bianucci et al., 2015). </w:t>
      </w:r>
      <w:r w:rsidR="00305EC6">
        <w:rPr>
          <w:rFonts w:ascii="Times New Roman" w:hAnsi="Times New Roman" w:cs="Times New Roman"/>
        </w:rPr>
        <w:t xml:space="preserve">Taken together, the evidence indicates that while Merit belonged to a prosperous household, her access to institutional religious power was significantly more limited than that of </w:t>
      </w:r>
      <w:proofErr w:type="spellStart"/>
      <w:r w:rsidR="00305EC6">
        <w:rPr>
          <w:rFonts w:ascii="Times New Roman" w:hAnsi="Times New Roman" w:cs="Times New Roman"/>
        </w:rPr>
        <w:t>Hetepet</w:t>
      </w:r>
      <w:proofErr w:type="spellEnd"/>
      <w:r w:rsidR="00305EC6">
        <w:rPr>
          <w:rFonts w:ascii="Times New Roman" w:hAnsi="Times New Roman" w:cs="Times New Roman"/>
        </w:rPr>
        <w:t xml:space="preserve">. </w:t>
      </w:r>
    </w:p>
    <w:p w14:paraId="602F2FAC" w14:textId="77777777" w:rsidR="008C308E" w:rsidRPr="0004651D" w:rsidRDefault="008C308E" w:rsidP="008C308E">
      <w:pPr>
        <w:rPr>
          <w:rFonts w:ascii="Times New Roman" w:hAnsi="Times New Roman" w:cs="Times New Roman"/>
        </w:rPr>
      </w:pPr>
      <w:r w:rsidRPr="0004651D">
        <w:rPr>
          <w:rFonts w:ascii="Times New Roman" w:hAnsi="Times New Roman" w:cs="Times New Roman"/>
        </w:rPr>
        <w:t xml:space="preserve">By comparing these figures, this thesis examines how social status shaped women’s access to sacred spaces, religious authority, and forms of devotion across different periods of Egyptian </w:t>
      </w:r>
      <w:r w:rsidRPr="0004651D">
        <w:rPr>
          <w:rFonts w:ascii="Times New Roman" w:hAnsi="Times New Roman" w:cs="Times New Roman"/>
        </w:rPr>
        <w:lastRenderedPageBreak/>
        <w:t>history. In doing so, it argues that while women throughout society engaged with the divine, the nature and depth of these interactions were fundamentally structured by social hierarchy.</w:t>
      </w:r>
    </w:p>
    <w:p w14:paraId="6DC83078" w14:textId="701125F8" w:rsidR="00705FEE" w:rsidRPr="0004651D" w:rsidRDefault="00705FEE" w:rsidP="0010137C">
      <w:pPr>
        <w:rPr>
          <w:rFonts w:ascii="Times New Roman" w:hAnsi="Times New Roman" w:cs="Times New Roman"/>
          <w:b/>
          <w:bCs/>
          <w:u w:val="single"/>
        </w:rPr>
      </w:pPr>
      <w:r w:rsidRPr="0004651D">
        <w:rPr>
          <w:rFonts w:ascii="Times New Roman" w:hAnsi="Times New Roman" w:cs="Times New Roman"/>
          <w:b/>
          <w:bCs/>
          <w:u w:val="single"/>
        </w:rPr>
        <w:t>Methodolog</w:t>
      </w:r>
      <w:r w:rsidR="00E95614" w:rsidRPr="0004651D">
        <w:rPr>
          <w:rFonts w:ascii="Times New Roman" w:hAnsi="Times New Roman" w:cs="Times New Roman"/>
          <w:b/>
          <w:bCs/>
          <w:u w:val="single"/>
        </w:rPr>
        <w:t>ical Approaches and Source Criticism</w:t>
      </w:r>
      <w:r w:rsidR="007779EF" w:rsidRPr="0004651D">
        <w:rPr>
          <w:rFonts w:ascii="Times New Roman" w:hAnsi="Times New Roman" w:cs="Times New Roman"/>
          <w:b/>
          <w:bCs/>
          <w:u w:val="single"/>
        </w:rPr>
        <w:t xml:space="preserve"> </w:t>
      </w:r>
    </w:p>
    <w:p w14:paraId="32AE76CE" w14:textId="7C3C1FDF" w:rsidR="005E177E" w:rsidRPr="0004651D" w:rsidRDefault="005E177E" w:rsidP="005E177E">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This </w:t>
      </w:r>
      <w:r w:rsidR="005559D6" w:rsidRPr="0004651D">
        <w:rPr>
          <w:rFonts w:ascii="Times New Roman" w:hAnsi="Times New Roman" w:cs="Times New Roman"/>
          <w:color w:val="000000" w:themeColor="text1"/>
        </w:rPr>
        <w:t>thesis</w:t>
      </w:r>
      <w:r w:rsidRPr="0004651D">
        <w:rPr>
          <w:rFonts w:ascii="Times New Roman" w:hAnsi="Times New Roman" w:cs="Times New Roman"/>
          <w:color w:val="000000" w:themeColor="text1"/>
        </w:rPr>
        <w:t xml:space="preserve"> adopts a comparative case study approach </w:t>
      </w:r>
      <w:r w:rsidR="006D50D6" w:rsidRPr="0004651D">
        <w:rPr>
          <w:rFonts w:ascii="Times New Roman" w:hAnsi="Times New Roman" w:cs="Times New Roman"/>
          <w:color w:val="000000" w:themeColor="text1"/>
        </w:rPr>
        <w:t>to</w:t>
      </w:r>
      <w:r w:rsidRPr="0004651D">
        <w:rPr>
          <w:rFonts w:ascii="Times New Roman" w:hAnsi="Times New Roman" w:cs="Times New Roman"/>
          <w:color w:val="000000" w:themeColor="text1"/>
        </w:rPr>
        <w:t xml:space="preserve"> examine how women’s religious roles and experiences can be reconstructed across different social contexts in ancient Egypt. By focusing on the elite tomb owner </w:t>
      </w:r>
      <w:proofErr w:type="spellStart"/>
      <w:r w:rsidRPr="0004651D">
        <w:rPr>
          <w:rFonts w:ascii="Times New Roman" w:hAnsi="Times New Roman" w:cs="Times New Roman"/>
          <w:color w:val="000000" w:themeColor="text1"/>
        </w:rPr>
        <w:t>Hetepet</w:t>
      </w:r>
      <w:proofErr w:type="spellEnd"/>
      <w:r w:rsidRPr="0004651D">
        <w:rPr>
          <w:rFonts w:ascii="Times New Roman" w:hAnsi="Times New Roman" w:cs="Times New Roman"/>
          <w:color w:val="000000" w:themeColor="text1"/>
        </w:rPr>
        <w:t xml:space="preserve"> and the </w:t>
      </w:r>
      <w:r w:rsidR="00ED381C">
        <w:rPr>
          <w:rFonts w:ascii="Times New Roman" w:hAnsi="Times New Roman" w:cs="Times New Roman"/>
          <w:color w:val="000000" w:themeColor="text1"/>
        </w:rPr>
        <w:t>non-institutional elite</w:t>
      </w:r>
      <w:r w:rsidRPr="0004651D">
        <w:rPr>
          <w:rFonts w:ascii="Times New Roman" w:hAnsi="Times New Roman" w:cs="Times New Roman"/>
          <w:color w:val="000000" w:themeColor="text1"/>
        </w:rPr>
        <w:t xml:space="preserve"> woman Merit from Deir el-Medina, the analysis explores both differences and continuities in access to religious practice. This comparative framework allows for a more nuanced understanding of how status shaped representation and experience, while also highlighting the methodological challenges inherent in working across different categories of evidence.</w:t>
      </w:r>
    </w:p>
    <w:p w14:paraId="6A109999" w14:textId="6CEAD6AA" w:rsidR="005E177E" w:rsidRPr="0004651D" w:rsidRDefault="005E177E" w:rsidP="005E177E">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The study is informed by a </w:t>
      </w:r>
      <w:r w:rsidR="00305EC6">
        <w:rPr>
          <w:rFonts w:ascii="Times New Roman" w:hAnsi="Times New Roman" w:cs="Times New Roman"/>
          <w:color w:val="000000" w:themeColor="text1"/>
        </w:rPr>
        <w:t>‘</w:t>
      </w:r>
      <w:r w:rsidRPr="0004651D">
        <w:rPr>
          <w:rFonts w:ascii="Times New Roman" w:hAnsi="Times New Roman" w:cs="Times New Roman"/>
          <w:color w:val="000000" w:themeColor="text1"/>
        </w:rPr>
        <w:t>lived religion</w:t>
      </w:r>
      <w:r w:rsidR="00305EC6">
        <w:rPr>
          <w:rFonts w:ascii="Times New Roman" w:hAnsi="Times New Roman" w:cs="Times New Roman"/>
          <w:color w:val="000000" w:themeColor="text1"/>
        </w:rPr>
        <w:t>’</w:t>
      </w:r>
      <w:r w:rsidRPr="0004651D">
        <w:rPr>
          <w:rFonts w:ascii="Times New Roman" w:hAnsi="Times New Roman" w:cs="Times New Roman"/>
          <w:color w:val="000000" w:themeColor="text1"/>
        </w:rPr>
        <w:t xml:space="preserve"> framework, which shifts focus away from formal religious doctrine toward everyday practices and interactions with the divine. Rather than privileging temple-based or state-sponsored religion, this approach considers how individuals engaged with religious ideas through domestic space, material culture, and embodied ritual. This is particularly important for the study of women, whose religious roles are often less visible in formal inscriptions but may be inferred through patterns of practice and representation</w:t>
      </w:r>
      <w:r w:rsidR="006D50D6" w:rsidRPr="0004651D">
        <w:rPr>
          <w:rFonts w:ascii="Times New Roman" w:hAnsi="Times New Roman" w:cs="Times New Roman"/>
          <w:color w:val="000000" w:themeColor="text1"/>
        </w:rPr>
        <w:t xml:space="preserve"> (</w:t>
      </w:r>
      <w:r w:rsidR="00E95614" w:rsidRPr="0004651D">
        <w:rPr>
          <w:rFonts w:ascii="Times New Roman" w:hAnsi="Times New Roman" w:cs="Times New Roman"/>
          <w:color w:val="000000" w:themeColor="text1"/>
        </w:rPr>
        <w:t>Meskell</w:t>
      </w:r>
      <w:r w:rsidR="00823069" w:rsidRPr="0004651D">
        <w:rPr>
          <w:rFonts w:ascii="Times New Roman" w:hAnsi="Times New Roman" w:cs="Times New Roman"/>
          <w:color w:val="000000" w:themeColor="text1"/>
        </w:rPr>
        <w:t>, 2002</w:t>
      </w:r>
      <w:r w:rsidR="006D50D6"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w:t>
      </w:r>
    </w:p>
    <w:p w14:paraId="19E162FB" w14:textId="50D1CBF2" w:rsidR="005E177E" w:rsidRPr="0004651D" w:rsidRDefault="005E177E" w:rsidP="005E177E">
      <w:pPr>
        <w:rPr>
          <w:rFonts w:ascii="Times New Roman" w:hAnsi="Times New Roman" w:cs="Times New Roman"/>
          <w:color w:val="000000" w:themeColor="text1"/>
        </w:rPr>
      </w:pPr>
      <w:r w:rsidRPr="0004651D">
        <w:rPr>
          <w:rFonts w:ascii="Times New Roman" w:hAnsi="Times New Roman" w:cs="Times New Roman"/>
          <w:color w:val="000000" w:themeColor="text1"/>
        </w:rPr>
        <w:t xml:space="preserve">The analysis draws on both material and textual evidence, though each presents significant limitations. For </w:t>
      </w:r>
      <w:r w:rsidR="00985488">
        <w:rPr>
          <w:rFonts w:ascii="Times New Roman" w:hAnsi="Times New Roman" w:cs="Times New Roman"/>
          <w:color w:val="000000" w:themeColor="text1"/>
        </w:rPr>
        <w:t>less</w:t>
      </w:r>
      <w:r w:rsidRPr="0004651D">
        <w:rPr>
          <w:rFonts w:ascii="Times New Roman" w:hAnsi="Times New Roman" w:cs="Times New Roman"/>
          <w:color w:val="000000" w:themeColor="text1"/>
        </w:rPr>
        <w:t xml:space="preserve">-elite contexts such as </w:t>
      </w:r>
      <w:r w:rsidR="00985488">
        <w:rPr>
          <w:rFonts w:ascii="Times New Roman" w:hAnsi="Times New Roman" w:cs="Times New Roman"/>
          <w:color w:val="000000" w:themeColor="text1"/>
        </w:rPr>
        <w:t xml:space="preserve">the workmen’s villages of </w:t>
      </w:r>
      <w:r w:rsidRPr="0004651D">
        <w:rPr>
          <w:rFonts w:ascii="Times New Roman" w:hAnsi="Times New Roman" w:cs="Times New Roman"/>
          <w:color w:val="000000" w:themeColor="text1"/>
        </w:rPr>
        <w:t xml:space="preserve">Deir </w:t>
      </w:r>
      <w:proofErr w:type="spellStart"/>
      <w:r w:rsidRPr="0004651D">
        <w:rPr>
          <w:rFonts w:ascii="Times New Roman" w:hAnsi="Times New Roman" w:cs="Times New Roman"/>
          <w:color w:val="000000" w:themeColor="text1"/>
        </w:rPr>
        <w:t>el</w:t>
      </w:r>
      <w:proofErr w:type="spellEnd"/>
      <w:r w:rsidRPr="0004651D">
        <w:rPr>
          <w:rFonts w:ascii="Times New Roman" w:hAnsi="Times New Roman" w:cs="Times New Roman"/>
          <w:color w:val="000000" w:themeColor="text1"/>
        </w:rPr>
        <w:t>-Medina</w:t>
      </w:r>
      <w:r w:rsidR="00985488">
        <w:rPr>
          <w:rFonts w:ascii="Times New Roman" w:hAnsi="Times New Roman" w:cs="Times New Roman"/>
          <w:color w:val="000000" w:themeColor="text1"/>
        </w:rPr>
        <w:t xml:space="preserve"> and Amarna</w:t>
      </w:r>
      <w:r w:rsidRPr="0004651D">
        <w:rPr>
          <w:rFonts w:ascii="Times New Roman" w:hAnsi="Times New Roman" w:cs="Times New Roman"/>
          <w:color w:val="000000" w:themeColor="text1"/>
        </w:rPr>
        <w:t>, the archaeological record is comparatively rich, preserving houses, objects, and informal texts that provide insight into daily life</w:t>
      </w:r>
      <w:r w:rsidR="006D50D6" w:rsidRPr="0004651D">
        <w:rPr>
          <w:rFonts w:ascii="Times New Roman" w:hAnsi="Times New Roman" w:cs="Times New Roman"/>
          <w:color w:val="000000" w:themeColor="text1"/>
        </w:rPr>
        <w:t xml:space="preserve"> (</w:t>
      </w:r>
      <w:r w:rsidR="00FE4245" w:rsidRPr="0004651D">
        <w:rPr>
          <w:rFonts w:ascii="Times New Roman" w:hAnsi="Times New Roman" w:cs="Times New Roman"/>
          <w:color w:val="000000" w:themeColor="text1"/>
        </w:rPr>
        <w:t>Kemp,</w:t>
      </w:r>
      <w:r w:rsidR="00585C3C" w:rsidRPr="0004651D">
        <w:rPr>
          <w:rFonts w:ascii="Times New Roman" w:hAnsi="Times New Roman" w:cs="Times New Roman"/>
          <w:color w:val="000000" w:themeColor="text1"/>
        </w:rPr>
        <w:t xml:space="preserve"> 200</w:t>
      </w:r>
      <w:r w:rsidR="001A7E77">
        <w:rPr>
          <w:rFonts w:ascii="Times New Roman" w:hAnsi="Times New Roman" w:cs="Times New Roman"/>
          <w:color w:val="000000" w:themeColor="text1"/>
        </w:rPr>
        <w:t>6;</w:t>
      </w:r>
      <w:r w:rsidR="00FE4245" w:rsidRPr="0004651D">
        <w:rPr>
          <w:rFonts w:ascii="Times New Roman" w:hAnsi="Times New Roman" w:cs="Times New Roman"/>
          <w:color w:val="000000" w:themeColor="text1"/>
        </w:rPr>
        <w:t xml:space="preserve"> Pinch</w:t>
      </w:r>
      <w:r w:rsidR="00006849" w:rsidRPr="0004651D">
        <w:rPr>
          <w:rFonts w:ascii="Times New Roman" w:hAnsi="Times New Roman" w:cs="Times New Roman"/>
          <w:color w:val="000000" w:themeColor="text1"/>
        </w:rPr>
        <w:t>, 1993</w:t>
      </w:r>
      <w:r w:rsidR="006D50D6"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 However, even here, interpretation is constrained by preservation biases and the difficulty of linking material remains directly to specific individuals such as Merit</w:t>
      </w:r>
      <w:r w:rsidR="006D50D6" w:rsidRPr="0004651D">
        <w:rPr>
          <w:rFonts w:ascii="Times New Roman" w:hAnsi="Times New Roman" w:cs="Times New Roman"/>
          <w:color w:val="000000" w:themeColor="text1"/>
        </w:rPr>
        <w:t xml:space="preserve"> (</w:t>
      </w:r>
      <w:r w:rsidR="00E95614" w:rsidRPr="0004651D">
        <w:rPr>
          <w:rFonts w:ascii="Times New Roman" w:hAnsi="Times New Roman" w:cs="Times New Roman"/>
          <w:color w:val="000000" w:themeColor="text1"/>
        </w:rPr>
        <w:t>Weiss</w:t>
      </w:r>
      <w:r w:rsidR="00006849" w:rsidRPr="0004651D">
        <w:rPr>
          <w:rFonts w:ascii="Times New Roman" w:hAnsi="Times New Roman" w:cs="Times New Roman"/>
          <w:color w:val="000000" w:themeColor="text1"/>
        </w:rPr>
        <w:t>, 2009</w:t>
      </w:r>
      <w:r w:rsidR="00E95614"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w:t>
      </w:r>
      <w:r w:rsidR="00E95614" w:rsidRPr="0004651D">
        <w:rPr>
          <w:rFonts w:ascii="Times New Roman" w:hAnsi="Times New Roman" w:cs="Times New Roman"/>
          <w:color w:val="000000" w:themeColor="text1"/>
        </w:rPr>
        <w:t xml:space="preserve"> </w:t>
      </w:r>
      <w:r w:rsidRPr="0004651D">
        <w:rPr>
          <w:rFonts w:ascii="Times New Roman" w:hAnsi="Times New Roman" w:cs="Times New Roman"/>
          <w:color w:val="000000" w:themeColor="text1"/>
        </w:rPr>
        <w:t>At the same time, while Deir el-Medina offers unusually detailed evidence,</w:t>
      </w:r>
      <w:r w:rsidR="00E95614" w:rsidRPr="0004651D">
        <w:rPr>
          <w:rFonts w:ascii="Times New Roman" w:hAnsi="Times New Roman" w:cs="Times New Roman"/>
          <w:color w:val="000000" w:themeColor="text1"/>
        </w:rPr>
        <w:t xml:space="preserve"> and </w:t>
      </w:r>
      <w:r w:rsidR="00985488">
        <w:rPr>
          <w:rFonts w:ascii="Times New Roman" w:hAnsi="Times New Roman" w:cs="Times New Roman"/>
          <w:color w:val="000000" w:themeColor="text1"/>
        </w:rPr>
        <w:t>settlements like this and Amarna, both rich in archaeology, are</w:t>
      </w:r>
      <w:r w:rsidR="00E95614" w:rsidRPr="0004651D">
        <w:rPr>
          <w:rFonts w:ascii="Times New Roman" w:hAnsi="Times New Roman" w:cs="Times New Roman"/>
          <w:color w:val="000000" w:themeColor="text1"/>
        </w:rPr>
        <w:t xml:space="preserve"> </w:t>
      </w:r>
      <w:r w:rsidR="00F37D59">
        <w:rPr>
          <w:rFonts w:ascii="Times New Roman" w:hAnsi="Times New Roman" w:cs="Times New Roman"/>
          <w:color w:val="000000" w:themeColor="text1"/>
        </w:rPr>
        <w:t>sometimes</w:t>
      </w:r>
      <w:r w:rsidR="00E95614" w:rsidRPr="0004651D">
        <w:rPr>
          <w:rFonts w:ascii="Times New Roman" w:hAnsi="Times New Roman" w:cs="Times New Roman"/>
          <w:color w:val="000000" w:themeColor="text1"/>
        </w:rPr>
        <w:t xml:space="preserve"> </w:t>
      </w:r>
      <w:r w:rsidR="00985488" w:rsidRPr="0004651D">
        <w:rPr>
          <w:rFonts w:ascii="Times New Roman" w:hAnsi="Times New Roman" w:cs="Times New Roman"/>
          <w:color w:val="000000" w:themeColor="text1"/>
        </w:rPr>
        <w:t>considered</w:t>
      </w:r>
      <w:r w:rsidR="00985488">
        <w:rPr>
          <w:rFonts w:ascii="Times New Roman" w:hAnsi="Times New Roman" w:cs="Times New Roman"/>
          <w:color w:val="000000" w:themeColor="text1"/>
        </w:rPr>
        <w:t xml:space="preserve"> </w:t>
      </w:r>
      <w:r w:rsidR="00985488" w:rsidRPr="0004651D">
        <w:rPr>
          <w:rFonts w:ascii="Times New Roman" w:hAnsi="Times New Roman" w:cs="Times New Roman"/>
          <w:color w:val="000000" w:themeColor="text1"/>
        </w:rPr>
        <w:t>‘</w:t>
      </w:r>
      <w:r w:rsidR="00985488">
        <w:rPr>
          <w:rFonts w:ascii="Times New Roman" w:hAnsi="Times New Roman" w:cs="Times New Roman"/>
          <w:color w:val="000000" w:themeColor="text1"/>
        </w:rPr>
        <w:t>Egypt in microcosm’</w:t>
      </w:r>
      <w:r w:rsidR="00E95614" w:rsidRPr="0004651D">
        <w:rPr>
          <w:rFonts w:ascii="Times New Roman" w:hAnsi="Times New Roman" w:cs="Times New Roman"/>
          <w:color w:val="000000" w:themeColor="text1"/>
        </w:rPr>
        <w:t xml:space="preserve"> (Kemp</w:t>
      </w:r>
      <w:r w:rsidR="00585C3C" w:rsidRPr="0004651D">
        <w:rPr>
          <w:rFonts w:ascii="Times New Roman" w:hAnsi="Times New Roman" w:cs="Times New Roman"/>
          <w:color w:val="000000" w:themeColor="text1"/>
        </w:rPr>
        <w:t>, 20</w:t>
      </w:r>
      <w:r w:rsidR="00EF2118">
        <w:rPr>
          <w:rFonts w:ascii="Times New Roman" w:hAnsi="Times New Roman" w:cs="Times New Roman"/>
          <w:color w:val="000000" w:themeColor="text1"/>
        </w:rPr>
        <w:t>0</w:t>
      </w:r>
      <w:r w:rsidR="00585C3C" w:rsidRPr="0004651D">
        <w:rPr>
          <w:rFonts w:ascii="Times New Roman" w:hAnsi="Times New Roman" w:cs="Times New Roman"/>
          <w:color w:val="000000" w:themeColor="text1"/>
        </w:rPr>
        <w:t>6</w:t>
      </w:r>
      <w:r w:rsidR="001B09E4">
        <w:rPr>
          <w:rFonts w:ascii="Times New Roman" w:hAnsi="Times New Roman" w:cs="Times New Roman"/>
          <w:color w:val="000000" w:themeColor="text1"/>
        </w:rPr>
        <w:t>, p.320</w:t>
      </w:r>
      <w:r w:rsidR="00E95614" w:rsidRPr="0004651D">
        <w:rPr>
          <w:rFonts w:ascii="Times New Roman" w:hAnsi="Times New Roman" w:cs="Times New Roman"/>
          <w:color w:val="000000" w:themeColor="text1"/>
        </w:rPr>
        <w:t xml:space="preserve">) </w:t>
      </w:r>
      <w:r w:rsidR="00855243">
        <w:rPr>
          <w:rFonts w:ascii="Times New Roman" w:hAnsi="Times New Roman" w:cs="Times New Roman"/>
          <w:color w:val="000000" w:themeColor="text1"/>
        </w:rPr>
        <w:t>they</w:t>
      </w:r>
      <w:r w:rsidRPr="0004651D">
        <w:rPr>
          <w:rFonts w:ascii="Times New Roman" w:hAnsi="Times New Roman" w:cs="Times New Roman"/>
          <w:color w:val="000000" w:themeColor="text1"/>
        </w:rPr>
        <w:t xml:space="preserve"> may not be representative of wider Egyptian society. </w:t>
      </w:r>
    </w:p>
    <w:p w14:paraId="769EF1A0" w14:textId="367971FA" w:rsidR="005E177E" w:rsidRPr="0004651D" w:rsidRDefault="005E177E" w:rsidP="005E177E">
      <w:pPr>
        <w:rPr>
          <w:rFonts w:ascii="Times New Roman" w:hAnsi="Times New Roman" w:cs="Times New Roman"/>
          <w:color w:val="000000" w:themeColor="text1"/>
        </w:rPr>
      </w:pPr>
      <w:r w:rsidRPr="0004651D">
        <w:rPr>
          <w:rFonts w:ascii="Times New Roman" w:hAnsi="Times New Roman" w:cs="Times New Roman"/>
          <w:color w:val="000000" w:themeColor="text1"/>
        </w:rPr>
        <w:t>In contrast, evidence for elite women such as Hetepet is dominated by tomb decoration and formal inscriptions, which introduce different interpretive challenges</w:t>
      </w:r>
      <w:r w:rsidR="006D50D6" w:rsidRPr="0004651D">
        <w:rPr>
          <w:rFonts w:ascii="Times New Roman" w:hAnsi="Times New Roman" w:cs="Times New Roman"/>
          <w:color w:val="000000" w:themeColor="text1"/>
        </w:rPr>
        <w:t xml:space="preserve"> (</w:t>
      </w:r>
      <w:r w:rsidR="00EC3A2E" w:rsidRPr="0004651D">
        <w:rPr>
          <w:rFonts w:ascii="Times New Roman" w:hAnsi="Times New Roman" w:cs="Times New Roman"/>
          <w:color w:val="000000" w:themeColor="text1"/>
        </w:rPr>
        <w:t>Meskell, 2002</w:t>
      </w:r>
      <w:r w:rsidR="006D50D6"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 Tomb scenes are highly representational, structured according to artistic and symbolic conventions rather than intended as documentary records</w:t>
      </w:r>
      <w:r w:rsidR="0007614C">
        <w:rPr>
          <w:rFonts w:ascii="Times New Roman" w:hAnsi="Times New Roman" w:cs="Times New Roman"/>
          <w:color w:val="000000" w:themeColor="text1"/>
        </w:rPr>
        <w:t>. A</w:t>
      </w:r>
      <w:r w:rsidRPr="0004651D">
        <w:rPr>
          <w:rFonts w:ascii="Times New Roman" w:hAnsi="Times New Roman" w:cs="Times New Roman"/>
          <w:color w:val="000000" w:themeColor="text1"/>
        </w:rPr>
        <w:t>s Robins</w:t>
      </w:r>
      <w:r w:rsidR="006D50D6" w:rsidRPr="0004651D">
        <w:rPr>
          <w:rFonts w:ascii="Times New Roman" w:hAnsi="Times New Roman" w:cs="Times New Roman"/>
          <w:color w:val="000000" w:themeColor="text1"/>
        </w:rPr>
        <w:t xml:space="preserve"> (</w:t>
      </w:r>
      <w:r w:rsidR="00056369" w:rsidRPr="0004651D">
        <w:rPr>
          <w:rFonts w:ascii="Times New Roman" w:hAnsi="Times New Roman" w:cs="Times New Roman"/>
          <w:color w:val="000000" w:themeColor="text1"/>
        </w:rPr>
        <w:t>1993</w:t>
      </w:r>
      <w:r w:rsidR="006D50D6"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 xml:space="preserve"> argues, Egyptian self-representation was concerned less with recording lived reality than with expressing ideal identities in accordance with social norms and the principle of Ma’at. As a result, depictions of Hetepet must be read as </w:t>
      </w:r>
      <w:r w:rsidR="006D50D6" w:rsidRPr="0004651D">
        <w:rPr>
          <w:rFonts w:ascii="Times New Roman" w:hAnsi="Times New Roman" w:cs="Times New Roman"/>
          <w:color w:val="000000" w:themeColor="text1"/>
        </w:rPr>
        <w:t xml:space="preserve">elite </w:t>
      </w:r>
      <w:r w:rsidRPr="0004651D">
        <w:rPr>
          <w:rFonts w:ascii="Times New Roman" w:hAnsi="Times New Roman" w:cs="Times New Roman"/>
          <w:color w:val="000000" w:themeColor="text1"/>
        </w:rPr>
        <w:t xml:space="preserve">constructions of status, piety, and </w:t>
      </w:r>
      <w:r w:rsidR="006D50D6" w:rsidRPr="0004651D">
        <w:rPr>
          <w:rFonts w:ascii="Times New Roman" w:hAnsi="Times New Roman" w:cs="Times New Roman"/>
          <w:color w:val="000000" w:themeColor="text1"/>
        </w:rPr>
        <w:t xml:space="preserve">idealised </w:t>
      </w:r>
      <w:r w:rsidRPr="0004651D">
        <w:rPr>
          <w:rFonts w:ascii="Times New Roman" w:hAnsi="Times New Roman" w:cs="Times New Roman"/>
          <w:color w:val="000000" w:themeColor="text1"/>
        </w:rPr>
        <w:t>gender</w:t>
      </w:r>
      <w:r w:rsidR="0007614C">
        <w:rPr>
          <w:rFonts w:ascii="Times New Roman" w:hAnsi="Times New Roman" w:cs="Times New Roman"/>
          <w:color w:val="000000" w:themeColor="text1"/>
        </w:rPr>
        <w:t xml:space="preserve"> roles</w:t>
      </w:r>
      <w:r w:rsidRPr="0004651D">
        <w:rPr>
          <w:rFonts w:ascii="Times New Roman" w:hAnsi="Times New Roman" w:cs="Times New Roman"/>
          <w:color w:val="000000" w:themeColor="text1"/>
        </w:rPr>
        <w:t>, rather than transparent reflections of her everyday experience.</w:t>
      </w:r>
    </w:p>
    <w:p w14:paraId="4F41C5D1" w14:textId="6C165138" w:rsidR="00E76583" w:rsidRPr="0004651D" w:rsidRDefault="005E177E" w:rsidP="005E177E">
      <w:pPr>
        <w:rPr>
          <w:rFonts w:ascii="Times New Roman" w:hAnsi="Times New Roman" w:cs="Times New Roman"/>
          <w:color w:val="000000" w:themeColor="text1"/>
        </w:rPr>
      </w:pPr>
      <w:r w:rsidRPr="0004651D">
        <w:rPr>
          <w:rFonts w:ascii="Times New Roman" w:hAnsi="Times New Roman" w:cs="Times New Roman"/>
          <w:color w:val="000000" w:themeColor="text1"/>
        </w:rPr>
        <w:t>Textual evidence further reinforces this imbalance. Autobiographical inscriptions are overwhelmingly male-authored, and women’s voices are largely absent from the written record</w:t>
      </w:r>
      <w:r w:rsidR="006D50D6" w:rsidRPr="0004651D">
        <w:rPr>
          <w:rFonts w:ascii="Times New Roman" w:hAnsi="Times New Roman" w:cs="Times New Roman"/>
          <w:color w:val="000000" w:themeColor="text1"/>
        </w:rPr>
        <w:t xml:space="preserve"> (Robins</w:t>
      </w:r>
      <w:r w:rsidR="00056369" w:rsidRPr="0004651D">
        <w:rPr>
          <w:rFonts w:ascii="Times New Roman" w:hAnsi="Times New Roman" w:cs="Times New Roman"/>
          <w:color w:val="000000" w:themeColor="text1"/>
        </w:rPr>
        <w:t>, 1993</w:t>
      </w:r>
      <w:r w:rsidR="006D50D6" w:rsidRPr="0004651D">
        <w:rPr>
          <w:rFonts w:ascii="Times New Roman" w:hAnsi="Times New Roman" w:cs="Times New Roman"/>
          <w:color w:val="000000" w:themeColor="text1"/>
        </w:rPr>
        <w:t>)</w:t>
      </w:r>
      <w:r w:rsidRPr="0004651D">
        <w:rPr>
          <w:rFonts w:ascii="Times New Roman" w:hAnsi="Times New Roman" w:cs="Times New Roman"/>
          <w:color w:val="000000" w:themeColor="text1"/>
        </w:rPr>
        <w:t xml:space="preserve">. This creates a structural bias in which male perspectives dominate our understanding of religious life. </w:t>
      </w:r>
      <w:r w:rsidR="00FE4245" w:rsidRPr="0004651D">
        <w:rPr>
          <w:rFonts w:ascii="Times New Roman" w:hAnsi="Times New Roman" w:cs="Times New Roman"/>
          <w:color w:val="000000" w:themeColor="text1"/>
        </w:rPr>
        <w:t xml:space="preserve">However, this does not mean that </w:t>
      </w:r>
      <w:r w:rsidR="00FA227E" w:rsidRPr="0004651D">
        <w:rPr>
          <w:rFonts w:ascii="Times New Roman" w:hAnsi="Times New Roman" w:cs="Times New Roman"/>
          <w:color w:val="000000" w:themeColor="text1"/>
        </w:rPr>
        <w:t xml:space="preserve">all </w:t>
      </w:r>
      <w:r w:rsidR="00FE4245" w:rsidRPr="0004651D">
        <w:rPr>
          <w:rFonts w:ascii="Times New Roman" w:hAnsi="Times New Roman" w:cs="Times New Roman"/>
          <w:color w:val="000000" w:themeColor="text1"/>
        </w:rPr>
        <w:t>women were illiterate</w:t>
      </w:r>
      <w:r w:rsidR="00FA227E" w:rsidRPr="0004651D">
        <w:rPr>
          <w:rFonts w:ascii="Times New Roman" w:hAnsi="Times New Roman" w:cs="Times New Roman"/>
          <w:color w:val="000000" w:themeColor="text1"/>
        </w:rPr>
        <w:t xml:space="preserve">, but that </w:t>
      </w:r>
      <w:r w:rsidR="00006DC3">
        <w:rPr>
          <w:rFonts w:ascii="Times New Roman" w:hAnsi="Times New Roman" w:cs="Times New Roman"/>
          <w:color w:val="000000" w:themeColor="text1"/>
        </w:rPr>
        <w:t>women appear to have had limited access to higher administrative roles within temple institutions</w:t>
      </w:r>
      <w:r w:rsidR="00FA227E" w:rsidRPr="0004651D">
        <w:rPr>
          <w:rFonts w:ascii="Times New Roman" w:hAnsi="Times New Roman" w:cs="Times New Roman"/>
          <w:color w:val="000000" w:themeColor="text1"/>
        </w:rPr>
        <w:t xml:space="preserve"> (</w:t>
      </w:r>
      <w:proofErr w:type="spellStart"/>
      <w:r w:rsidR="00FA227E" w:rsidRPr="0004651D">
        <w:rPr>
          <w:rFonts w:ascii="Times New Roman" w:hAnsi="Times New Roman" w:cs="Times New Roman"/>
          <w:color w:val="000000" w:themeColor="text1"/>
        </w:rPr>
        <w:t>Onstine</w:t>
      </w:r>
      <w:proofErr w:type="spellEnd"/>
      <w:r w:rsidR="00FA227E" w:rsidRPr="0004651D">
        <w:rPr>
          <w:rFonts w:ascii="Times New Roman" w:hAnsi="Times New Roman" w:cs="Times New Roman"/>
          <w:color w:val="000000" w:themeColor="text1"/>
        </w:rPr>
        <w:t xml:space="preserve">, 2010). </w:t>
      </w:r>
      <w:r w:rsidR="00E76583" w:rsidRPr="0004651D">
        <w:rPr>
          <w:rFonts w:ascii="Times New Roman" w:hAnsi="Times New Roman" w:cs="Times New Roman"/>
          <w:color w:val="000000" w:themeColor="text1"/>
        </w:rPr>
        <w:t xml:space="preserve">Not only is there a male bias in the evidence but also an </w:t>
      </w:r>
      <w:r w:rsidR="00E76583" w:rsidRPr="0004651D">
        <w:rPr>
          <w:rFonts w:ascii="Times New Roman" w:hAnsi="Times New Roman" w:cs="Times New Roman"/>
          <w:color w:val="000000" w:themeColor="text1"/>
        </w:rPr>
        <w:lastRenderedPageBreak/>
        <w:t xml:space="preserve">elite one. As Baines (1991) points out, the lack of evidence of ‘ordinary’ people’s official religious roles is significant. </w:t>
      </w:r>
    </w:p>
    <w:p w14:paraId="3C850879" w14:textId="1B89F196" w:rsidR="005E177E" w:rsidRPr="0004651D" w:rsidRDefault="004A3DBC" w:rsidP="005E177E">
      <w:pPr>
        <w:rPr>
          <w:rFonts w:ascii="Times New Roman" w:hAnsi="Times New Roman" w:cs="Times New Roman"/>
          <w:color w:val="000000" w:themeColor="text1"/>
        </w:rPr>
      </w:pPr>
      <w:r>
        <w:rPr>
          <w:rFonts w:ascii="Times New Roman" w:hAnsi="Times New Roman" w:cs="Times New Roman"/>
          <w:color w:val="000000" w:themeColor="text1"/>
        </w:rPr>
        <w:t xml:space="preserve">Finally, this study stays mindful that modern ideas about gender, social position and power can easily shape how ancient evidence is read, particularly when viewed through modern Western assumptions. </w:t>
      </w:r>
    </w:p>
    <w:p w14:paraId="7CAA3816" w14:textId="2BED8E6F" w:rsidR="00705FEE" w:rsidRPr="0004651D" w:rsidRDefault="00E95614" w:rsidP="00E26BDB">
      <w:pPr>
        <w:rPr>
          <w:rFonts w:ascii="Times New Roman" w:hAnsi="Times New Roman" w:cs="Times New Roman"/>
          <w:b/>
          <w:bCs/>
          <w:u w:val="single"/>
        </w:rPr>
      </w:pPr>
      <w:r w:rsidRPr="0004651D">
        <w:rPr>
          <w:rFonts w:ascii="Times New Roman" w:hAnsi="Times New Roman" w:cs="Times New Roman"/>
          <w:b/>
          <w:bCs/>
          <w:u w:val="single"/>
        </w:rPr>
        <w:t>Women and Sacred Space in Institutional Religion</w:t>
      </w:r>
      <w:r w:rsidR="007779EF" w:rsidRPr="0004651D">
        <w:rPr>
          <w:rFonts w:ascii="Times New Roman" w:hAnsi="Times New Roman" w:cs="Times New Roman"/>
          <w:b/>
          <w:bCs/>
          <w:u w:val="single"/>
        </w:rPr>
        <w:t xml:space="preserve"> </w:t>
      </w:r>
    </w:p>
    <w:p w14:paraId="3E72434B" w14:textId="4D3F13B9" w:rsidR="00C37B81" w:rsidRPr="0004651D" w:rsidRDefault="00C37B81" w:rsidP="00C37B81">
      <w:pPr>
        <w:rPr>
          <w:rFonts w:ascii="Times New Roman" w:hAnsi="Times New Roman" w:cs="Times New Roman"/>
        </w:rPr>
      </w:pPr>
      <w:r w:rsidRPr="0004651D">
        <w:rPr>
          <w:rFonts w:ascii="Times New Roman" w:hAnsi="Times New Roman" w:cs="Times New Roman"/>
        </w:rPr>
        <w:t xml:space="preserve">Access to formal religious structures in ancient Egypt was </w:t>
      </w:r>
      <w:r w:rsidR="00FE4245" w:rsidRPr="0004651D">
        <w:rPr>
          <w:rFonts w:ascii="Times New Roman" w:hAnsi="Times New Roman" w:cs="Times New Roman"/>
        </w:rPr>
        <w:t xml:space="preserve">not </w:t>
      </w:r>
      <w:r w:rsidRPr="0004651D">
        <w:rPr>
          <w:rFonts w:ascii="Times New Roman" w:hAnsi="Times New Roman" w:cs="Times New Roman"/>
        </w:rPr>
        <w:t xml:space="preserve">universally available, but instead carefully structured through hierarchies of gender, status, and institutional control. A comparison between the elite priestess Hetepet and the </w:t>
      </w:r>
      <w:r w:rsidR="00ED381C">
        <w:rPr>
          <w:rFonts w:ascii="Times New Roman" w:hAnsi="Times New Roman" w:cs="Times New Roman"/>
        </w:rPr>
        <w:t>wealthy non-priestly</w:t>
      </w:r>
      <w:r w:rsidRPr="0004651D">
        <w:rPr>
          <w:rFonts w:ascii="Times New Roman" w:hAnsi="Times New Roman" w:cs="Times New Roman"/>
        </w:rPr>
        <w:t xml:space="preserve"> </w:t>
      </w:r>
      <w:r w:rsidR="00FE4245" w:rsidRPr="0004651D">
        <w:rPr>
          <w:rFonts w:ascii="Times New Roman" w:hAnsi="Times New Roman" w:cs="Times New Roman"/>
        </w:rPr>
        <w:t>wife</w:t>
      </w:r>
      <w:r w:rsidRPr="0004651D">
        <w:rPr>
          <w:rFonts w:ascii="Times New Roman" w:hAnsi="Times New Roman" w:cs="Times New Roman"/>
        </w:rPr>
        <w:t xml:space="preserve"> Merit reveals that while both could participate in religious life, the nature, quality, and intensity of that participation differed significantly. These differences were not simply a matter of greater or lesser </w:t>
      </w:r>
      <w:r w:rsidR="006D50D6" w:rsidRPr="0004651D">
        <w:rPr>
          <w:rFonts w:ascii="Times New Roman" w:hAnsi="Times New Roman" w:cs="Times New Roman"/>
        </w:rPr>
        <w:t>access but</w:t>
      </w:r>
      <w:r w:rsidRPr="0004651D">
        <w:rPr>
          <w:rFonts w:ascii="Times New Roman" w:hAnsi="Times New Roman" w:cs="Times New Roman"/>
        </w:rPr>
        <w:t xml:space="preserve"> reflect fundamentally distinct modes of engagement with the divine.</w:t>
      </w:r>
    </w:p>
    <w:p w14:paraId="408C628C" w14:textId="7350E74E" w:rsidR="00C37B81" w:rsidRPr="0004651D" w:rsidRDefault="00C37B81" w:rsidP="00C37B81">
      <w:pPr>
        <w:rPr>
          <w:rFonts w:ascii="Times New Roman" w:hAnsi="Times New Roman" w:cs="Times New Roman"/>
        </w:rPr>
      </w:pPr>
      <w:r w:rsidRPr="0004651D">
        <w:rPr>
          <w:rFonts w:ascii="Times New Roman" w:hAnsi="Times New Roman" w:cs="Times New Roman"/>
        </w:rPr>
        <w:t xml:space="preserve">Hetepet’s role as </w:t>
      </w:r>
      <w:r w:rsidR="00A14E1E" w:rsidRPr="0004651D">
        <w:rPr>
          <w:rFonts w:ascii="Times New Roman" w:hAnsi="Times New Roman" w:cs="Times New Roman"/>
          <w:i/>
          <w:iCs/>
        </w:rPr>
        <w:t>Hemet Netjer</w:t>
      </w:r>
      <w:r w:rsidR="00A14E1E" w:rsidRPr="0004651D">
        <w:rPr>
          <w:rFonts w:ascii="Times New Roman" w:hAnsi="Times New Roman" w:cs="Times New Roman"/>
        </w:rPr>
        <w:t xml:space="preserve">, servant to the gods, </w:t>
      </w:r>
      <w:r w:rsidRPr="0004651D">
        <w:rPr>
          <w:rFonts w:ascii="Times New Roman" w:hAnsi="Times New Roman" w:cs="Times New Roman"/>
        </w:rPr>
        <w:t>positioned her within the formal structures of temple religion, granting her direct and institutionalised access to ritual practice</w:t>
      </w:r>
      <w:r w:rsidR="006D50D6" w:rsidRPr="0004651D">
        <w:rPr>
          <w:rFonts w:ascii="Times New Roman" w:hAnsi="Times New Roman" w:cs="Times New Roman"/>
        </w:rPr>
        <w:t xml:space="preserve"> (</w:t>
      </w:r>
      <w:r w:rsidR="00DF3785" w:rsidRPr="0004651D">
        <w:rPr>
          <w:rFonts w:ascii="Times New Roman" w:hAnsi="Times New Roman" w:cs="Times New Roman"/>
        </w:rPr>
        <w:t>Gillam</w:t>
      </w:r>
      <w:r w:rsidR="00D11E90" w:rsidRPr="0004651D">
        <w:rPr>
          <w:rFonts w:ascii="Times New Roman" w:hAnsi="Times New Roman" w:cs="Times New Roman"/>
        </w:rPr>
        <w:t>, 1995</w:t>
      </w:r>
      <w:r w:rsidR="006D50D6" w:rsidRPr="0004651D">
        <w:rPr>
          <w:rFonts w:ascii="Times New Roman" w:hAnsi="Times New Roman" w:cs="Times New Roman"/>
        </w:rPr>
        <w:t>)</w:t>
      </w:r>
      <w:r w:rsidRPr="0004651D">
        <w:rPr>
          <w:rFonts w:ascii="Times New Roman" w:hAnsi="Times New Roman" w:cs="Times New Roman"/>
        </w:rPr>
        <w:t>. Although the precise duties of female priestesses remain debated, such roles likely included participation in offering rituals, involvement in cultic performances, and possibly the recitation of hymns or the handling of sacred objects</w:t>
      </w:r>
      <w:r w:rsidR="009B465D" w:rsidRPr="0004651D">
        <w:rPr>
          <w:rFonts w:ascii="Times New Roman" w:hAnsi="Times New Roman" w:cs="Times New Roman"/>
        </w:rPr>
        <w:t xml:space="preserve"> (</w:t>
      </w:r>
      <w:r w:rsidR="002D32B2" w:rsidRPr="0004651D">
        <w:rPr>
          <w:rFonts w:ascii="Times New Roman" w:hAnsi="Times New Roman" w:cs="Times New Roman"/>
        </w:rPr>
        <w:t>Zhou</w:t>
      </w:r>
      <w:r w:rsidR="00930FBE" w:rsidRPr="0004651D">
        <w:rPr>
          <w:rFonts w:ascii="Times New Roman" w:hAnsi="Times New Roman" w:cs="Times New Roman"/>
        </w:rPr>
        <w:t>, 2024</w:t>
      </w:r>
      <w:r w:rsidR="009B465D" w:rsidRPr="0004651D">
        <w:rPr>
          <w:rFonts w:ascii="Times New Roman" w:hAnsi="Times New Roman" w:cs="Times New Roman"/>
        </w:rPr>
        <w:t>)</w:t>
      </w:r>
      <w:r w:rsidRPr="0004651D">
        <w:rPr>
          <w:rFonts w:ascii="Times New Roman" w:hAnsi="Times New Roman" w:cs="Times New Roman"/>
        </w:rPr>
        <w:t>. Crucially, this participation took place within the temple itself, a highly restricted and controlled environment that functioned as the central locus of divine presence. Entry into such spaces was limited to those with authorised roles, meaning that Hetepet’s position afforded her a degree of proximity to the god that was inaccessible to most individuals</w:t>
      </w:r>
      <w:r w:rsidR="00DB6FEF" w:rsidRPr="0004651D">
        <w:rPr>
          <w:rFonts w:ascii="Times New Roman" w:hAnsi="Times New Roman" w:cs="Times New Roman"/>
        </w:rPr>
        <w:t xml:space="preserve"> (</w:t>
      </w:r>
      <w:r w:rsidR="00DF3785" w:rsidRPr="0004651D">
        <w:rPr>
          <w:rFonts w:ascii="Times New Roman" w:hAnsi="Times New Roman" w:cs="Times New Roman"/>
        </w:rPr>
        <w:t>Onstine</w:t>
      </w:r>
      <w:r w:rsidR="00006849" w:rsidRPr="0004651D">
        <w:rPr>
          <w:rFonts w:ascii="Times New Roman" w:hAnsi="Times New Roman" w:cs="Times New Roman"/>
        </w:rPr>
        <w:t>, 2010</w:t>
      </w:r>
      <w:r w:rsidR="00DB6FEF" w:rsidRPr="0004651D">
        <w:rPr>
          <w:rFonts w:ascii="Times New Roman" w:hAnsi="Times New Roman" w:cs="Times New Roman"/>
        </w:rPr>
        <w:t>)</w:t>
      </w:r>
      <w:r w:rsidRPr="0004651D">
        <w:rPr>
          <w:rFonts w:ascii="Times New Roman" w:hAnsi="Times New Roman" w:cs="Times New Roman"/>
        </w:rPr>
        <w:t>.</w:t>
      </w:r>
      <w:r w:rsidR="00DB6FEF" w:rsidRPr="0004651D">
        <w:rPr>
          <w:rFonts w:ascii="Times New Roman" w:hAnsi="Times New Roman" w:cs="Times New Roman"/>
        </w:rPr>
        <w:t xml:space="preserve"> </w:t>
      </w:r>
      <w:r w:rsidR="009863F5">
        <w:rPr>
          <w:rFonts w:ascii="Times New Roman" w:hAnsi="Times New Roman" w:cs="Times New Roman"/>
        </w:rPr>
        <w:t xml:space="preserve">Physical proximity to the divine did not necessarily translate into autonomous religious authority. Although priestesses such as </w:t>
      </w:r>
      <w:proofErr w:type="spellStart"/>
      <w:r w:rsidR="009863F5">
        <w:rPr>
          <w:rFonts w:ascii="Times New Roman" w:hAnsi="Times New Roman" w:cs="Times New Roman"/>
        </w:rPr>
        <w:t>Hetepet</w:t>
      </w:r>
      <w:proofErr w:type="spellEnd"/>
      <w:r w:rsidR="009863F5">
        <w:rPr>
          <w:rFonts w:ascii="Times New Roman" w:hAnsi="Times New Roman" w:cs="Times New Roman"/>
        </w:rPr>
        <w:t xml:space="preserve"> occupied privileged ritual positions within temple space</w:t>
      </w:r>
      <w:r w:rsidR="00DF3785" w:rsidRPr="0004651D">
        <w:rPr>
          <w:rFonts w:ascii="Times New Roman" w:hAnsi="Times New Roman" w:cs="Times New Roman"/>
        </w:rPr>
        <w:t>,</w:t>
      </w:r>
      <w:r w:rsidR="009863F5">
        <w:rPr>
          <w:rFonts w:ascii="Times New Roman" w:hAnsi="Times New Roman" w:cs="Times New Roman"/>
        </w:rPr>
        <w:t xml:space="preserve"> their authority remained mediated through institutional structures controlled largely by men. </w:t>
      </w:r>
      <w:r w:rsidR="00DB6FEF" w:rsidRPr="0004651D">
        <w:rPr>
          <w:rFonts w:ascii="Times New Roman" w:hAnsi="Times New Roman" w:cs="Times New Roman"/>
        </w:rPr>
        <w:t xml:space="preserve">Zhou </w:t>
      </w:r>
      <w:r w:rsidR="00930FBE" w:rsidRPr="0004651D">
        <w:rPr>
          <w:rFonts w:ascii="Times New Roman" w:hAnsi="Times New Roman" w:cs="Times New Roman"/>
        </w:rPr>
        <w:t xml:space="preserve">(2024) </w:t>
      </w:r>
      <w:r w:rsidR="009863F5">
        <w:rPr>
          <w:rFonts w:ascii="Times New Roman" w:hAnsi="Times New Roman" w:cs="Times New Roman"/>
        </w:rPr>
        <w:t>argues</w:t>
      </w:r>
      <w:r w:rsidR="004A3DBC">
        <w:rPr>
          <w:rFonts w:ascii="Times New Roman" w:hAnsi="Times New Roman" w:cs="Times New Roman"/>
        </w:rPr>
        <w:t xml:space="preserve"> that</w:t>
      </w:r>
      <w:r w:rsidR="00DB6FEF" w:rsidRPr="0004651D">
        <w:rPr>
          <w:rFonts w:ascii="Times New Roman" w:hAnsi="Times New Roman" w:cs="Times New Roman"/>
        </w:rPr>
        <w:t xml:space="preserve"> rather than having ‘divine authority’, most priestesses would have been simply employees of the temple. </w:t>
      </w:r>
    </w:p>
    <w:p w14:paraId="64AD6794" w14:textId="5C87A2C0" w:rsidR="00C37B81" w:rsidRPr="0004651D" w:rsidRDefault="00DF3785" w:rsidP="00C37B81">
      <w:pPr>
        <w:rPr>
          <w:rFonts w:ascii="Times New Roman" w:hAnsi="Times New Roman" w:cs="Times New Roman"/>
        </w:rPr>
      </w:pPr>
      <w:r w:rsidRPr="0004651D">
        <w:rPr>
          <w:rFonts w:ascii="Times New Roman" w:hAnsi="Times New Roman" w:cs="Times New Roman"/>
        </w:rPr>
        <w:t>To critically assess this proximity further, it is helpful to examine t</w:t>
      </w:r>
      <w:r w:rsidR="00C37B81" w:rsidRPr="0004651D">
        <w:rPr>
          <w:rFonts w:ascii="Times New Roman" w:hAnsi="Times New Roman" w:cs="Times New Roman"/>
        </w:rPr>
        <w:t>he evidence for Hetepet’s role</w:t>
      </w:r>
      <w:r w:rsidRPr="0004651D">
        <w:rPr>
          <w:rFonts w:ascii="Times New Roman" w:hAnsi="Times New Roman" w:cs="Times New Roman"/>
        </w:rPr>
        <w:t>, which</w:t>
      </w:r>
      <w:r w:rsidR="00C37B81" w:rsidRPr="0004651D">
        <w:rPr>
          <w:rFonts w:ascii="Times New Roman" w:hAnsi="Times New Roman" w:cs="Times New Roman"/>
        </w:rPr>
        <w:t xml:space="preserve"> derives primarily from </w:t>
      </w:r>
      <w:r w:rsidRPr="0004651D">
        <w:rPr>
          <w:rFonts w:ascii="Times New Roman" w:hAnsi="Times New Roman" w:cs="Times New Roman"/>
        </w:rPr>
        <w:t xml:space="preserve">her </w:t>
      </w:r>
      <w:r w:rsidR="00C37B81" w:rsidRPr="0004651D">
        <w:rPr>
          <w:rFonts w:ascii="Times New Roman" w:hAnsi="Times New Roman" w:cs="Times New Roman"/>
        </w:rPr>
        <w:t>tomb decoration</w:t>
      </w:r>
      <w:r w:rsidRPr="0004651D">
        <w:rPr>
          <w:rFonts w:ascii="Times New Roman" w:hAnsi="Times New Roman" w:cs="Times New Roman"/>
        </w:rPr>
        <w:t>.</w:t>
      </w:r>
      <w:r w:rsidR="00C37B81" w:rsidRPr="0004651D">
        <w:rPr>
          <w:rFonts w:ascii="Times New Roman" w:hAnsi="Times New Roman" w:cs="Times New Roman"/>
        </w:rPr>
        <w:t xml:space="preserve"> </w:t>
      </w:r>
      <w:r w:rsidRPr="0004651D">
        <w:rPr>
          <w:rFonts w:ascii="Times New Roman" w:hAnsi="Times New Roman" w:cs="Times New Roman"/>
        </w:rPr>
        <w:t>Thi</w:t>
      </w:r>
      <w:r w:rsidR="00C37B81" w:rsidRPr="0004651D">
        <w:rPr>
          <w:rFonts w:ascii="Times New Roman" w:hAnsi="Times New Roman" w:cs="Times New Roman"/>
        </w:rPr>
        <w:t>s</w:t>
      </w:r>
      <w:r w:rsidRPr="0004651D">
        <w:rPr>
          <w:rFonts w:ascii="Times New Roman" w:hAnsi="Times New Roman" w:cs="Times New Roman"/>
        </w:rPr>
        <w:t xml:space="preserve"> is</w:t>
      </w:r>
      <w:r w:rsidR="00C37B81" w:rsidRPr="0004651D">
        <w:rPr>
          <w:rFonts w:ascii="Times New Roman" w:hAnsi="Times New Roman" w:cs="Times New Roman"/>
        </w:rPr>
        <w:t xml:space="preserve"> inherently idealised and shaped by conventions of elite self-representation. </w:t>
      </w:r>
      <w:r w:rsidR="000E3877" w:rsidRPr="0004651D">
        <w:rPr>
          <w:rFonts w:ascii="Times New Roman" w:hAnsi="Times New Roman" w:cs="Times New Roman"/>
        </w:rPr>
        <w:t xml:space="preserve">Hetepet is portrayed alone in all the imagery in her tomb and is one of only a few female burials to do this (Woods </w:t>
      </w:r>
      <w:r w:rsidR="000348E2">
        <w:rPr>
          <w:rFonts w:ascii="Times New Roman" w:hAnsi="Times New Roman" w:cs="Times New Roman"/>
        </w:rPr>
        <w:t>&amp;</w:t>
      </w:r>
      <w:r w:rsidR="000E3877" w:rsidRPr="0004651D">
        <w:rPr>
          <w:rFonts w:ascii="Times New Roman" w:hAnsi="Times New Roman" w:cs="Times New Roman"/>
        </w:rPr>
        <w:t xml:space="preserve"> Swinton, 2013). This tells us that she was of very high status, despite not being royal, and suggests high ranking connections (Woods </w:t>
      </w:r>
      <w:r w:rsidR="000348E2">
        <w:rPr>
          <w:rFonts w:ascii="Times New Roman" w:hAnsi="Times New Roman" w:cs="Times New Roman"/>
        </w:rPr>
        <w:t>&amp;</w:t>
      </w:r>
      <w:r w:rsidR="000E3877" w:rsidRPr="0004651D">
        <w:rPr>
          <w:rFonts w:ascii="Times New Roman" w:hAnsi="Times New Roman" w:cs="Times New Roman"/>
        </w:rPr>
        <w:t xml:space="preserve"> Swinton, 2013). However, a</w:t>
      </w:r>
      <w:r w:rsidR="00C37B81" w:rsidRPr="0004651D">
        <w:rPr>
          <w:rFonts w:ascii="Times New Roman" w:hAnsi="Times New Roman" w:cs="Times New Roman"/>
        </w:rPr>
        <w:t>s Robins</w:t>
      </w:r>
      <w:r w:rsidR="0084150A" w:rsidRPr="0004651D">
        <w:rPr>
          <w:rFonts w:ascii="Times New Roman" w:hAnsi="Times New Roman" w:cs="Times New Roman"/>
        </w:rPr>
        <w:t xml:space="preserve"> (</w:t>
      </w:r>
      <w:r w:rsidR="00930FBE" w:rsidRPr="0004651D">
        <w:rPr>
          <w:rFonts w:ascii="Times New Roman" w:hAnsi="Times New Roman" w:cs="Times New Roman"/>
        </w:rPr>
        <w:t>1993</w:t>
      </w:r>
      <w:r w:rsidR="0084150A" w:rsidRPr="0004651D">
        <w:rPr>
          <w:rFonts w:ascii="Times New Roman" w:hAnsi="Times New Roman" w:cs="Times New Roman"/>
        </w:rPr>
        <w:t>)</w:t>
      </w:r>
      <w:r w:rsidR="00C37B81" w:rsidRPr="0004651D">
        <w:rPr>
          <w:rFonts w:ascii="Times New Roman" w:hAnsi="Times New Roman" w:cs="Times New Roman"/>
        </w:rPr>
        <w:t xml:space="preserve"> argues, such representations are less concerned with documenting lived reality than with expressing conformity to social norms and the maintenance of Ma’at.</w:t>
      </w:r>
      <w:r w:rsidR="00EA33DC" w:rsidRPr="0004651D">
        <w:rPr>
          <w:rFonts w:ascii="Times New Roman" w:hAnsi="Times New Roman" w:cs="Times New Roman"/>
        </w:rPr>
        <w:t xml:space="preserve"> Baines (1991) supports this view, arguing that if the Egyptians would have allowed less fortunate people’s lives to be portrayed in art, this would have allowed disorder to disrupt the order o</w:t>
      </w:r>
      <w:r w:rsidR="00C85F1B">
        <w:rPr>
          <w:rFonts w:ascii="Times New Roman" w:hAnsi="Times New Roman" w:cs="Times New Roman"/>
        </w:rPr>
        <w:t>f</w:t>
      </w:r>
      <w:r w:rsidR="00EA33DC" w:rsidRPr="0004651D">
        <w:rPr>
          <w:rFonts w:ascii="Times New Roman" w:hAnsi="Times New Roman" w:cs="Times New Roman"/>
        </w:rPr>
        <w:t xml:space="preserve"> Ma’at.</w:t>
      </w:r>
      <w:r w:rsidR="00C37B81" w:rsidRPr="0004651D">
        <w:rPr>
          <w:rFonts w:ascii="Times New Roman" w:hAnsi="Times New Roman" w:cs="Times New Roman"/>
        </w:rPr>
        <w:t xml:space="preserve"> Hetepet’s depiction as a priestess therefore communicates status, piety, and legitimacy, but does not necessarily reflect the full scope or nature of her daily activities. Furthermore, it remains unclear whether such roles were experienced as acts of personal devotion, institutional obligation, or a combination of both. </w:t>
      </w:r>
    </w:p>
    <w:p w14:paraId="6B6B86FC" w14:textId="09C04F06" w:rsidR="00C37B81" w:rsidRPr="0004651D" w:rsidRDefault="00C37B81" w:rsidP="00C37B81">
      <w:pPr>
        <w:rPr>
          <w:rFonts w:ascii="Times New Roman" w:hAnsi="Times New Roman" w:cs="Times New Roman"/>
        </w:rPr>
      </w:pPr>
      <w:r w:rsidRPr="0004651D">
        <w:rPr>
          <w:rFonts w:ascii="Times New Roman" w:hAnsi="Times New Roman" w:cs="Times New Roman"/>
        </w:rPr>
        <w:lastRenderedPageBreak/>
        <w:t xml:space="preserve">In contrast, Merit’s </w:t>
      </w:r>
      <w:r w:rsidR="00DF3785" w:rsidRPr="0004651D">
        <w:rPr>
          <w:rFonts w:ascii="Times New Roman" w:hAnsi="Times New Roman" w:cs="Times New Roman"/>
        </w:rPr>
        <w:t xml:space="preserve">social </w:t>
      </w:r>
      <w:r w:rsidRPr="0004651D">
        <w:rPr>
          <w:rFonts w:ascii="Times New Roman" w:hAnsi="Times New Roman" w:cs="Times New Roman"/>
        </w:rPr>
        <w:t xml:space="preserve">position illustrates the limitations placed on </w:t>
      </w:r>
      <w:r w:rsidR="00ED381C">
        <w:rPr>
          <w:rFonts w:ascii="Times New Roman" w:hAnsi="Times New Roman" w:cs="Times New Roman"/>
        </w:rPr>
        <w:t>non-institutional elite</w:t>
      </w:r>
      <w:r w:rsidRPr="0004651D">
        <w:rPr>
          <w:rFonts w:ascii="Times New Roman" w:hAnsi="Times New Roman" w:cs="Times New Roman"/>
        </w:rPr>
        <w:t xml:space="preserve"> women within formal religious hierarchies. By the </w:t>
      </w:r>
      <w:r w:rsidR="00690FE8">
        <w:rPr>
          <w:rFonts w:ascii="Times New Roman" w:hAnsi="Times New Roman" w:cs="Times New Roman"/>
        </w:rPr>
        <w:t>Eighteen</w:t>
      </w:r>
      <w:r w:rsidRPr="0004651D">
        <w:rPr>
          <w:rFonts w:ascii="Times New Roman" w:hAnsi="Times New Roman" w:cs="Times New Roman"/>
        </w:rPr>
        <w:t xml:space="preserve">th Dynasty, women </w:t>
      </w:r>
      <w:r w:rsidR="00690FE8">
        <w:rPr>
          <w:rFonts w:ascii="Times New Roman" w:hAnsi="Times New Roman" w:cs="Times New Roman"/>
        </w:rPr>
        <w:t>appear to have been</w:t>
      </w:r>
      <w:r w:rsidRPr="0004651D">
        <w:rPr>
          <w:rFonts w:ascii="Times New Roman" w:hAnsi="Times New Roman" w:cs="Times New Roman"/>
        </w:rPr>
        <w:t xml:space="preserve"> largely excluded from priestly roles, reflecting a broader shift toward increasing restriction within temple institutions. As a result, Merit would not have had direct access to the inner spaces of the temple or the authority associated with priesthood</w:t>
      </w:r>
      <w:r w:rsidR="0084150A" w:rsidRPr="0004651D">
        <w:rPr>
          <w:rFonts w:ascii="Times New Roman" w:hAnsi="Times New Roman" w:cs="Times New Roman"/>
        </w:rPr>
        <w:t xml:space="preserve"> (</w:t>
      </w:r>
      <w:r w:rsidR="00930FBE" w:rsidRPr="0004651D">
        <w:rPr>
          <w:rFonts w:ascii="Times New Roman" w:hAnsi="Times New Roman" w:cs="Times New Roman"/>
        </w:rPr>
        <w:t>Gillam</w:t>
      </w:r>
      <w:r w:rsidR="00D11E90" w:rsidRPr="0004651D">
        <w:rPr>
          <w:rFonts w:ascii="Times New Roman" w:hAnsi="Times New Roman" w:cs="Times New Roman"/>
        </w:rPr>
        <w:t>, 1995</w:t>
      </w:r>
      <w:r w:rsidR="0084150A" w:rsidRPr="0004651D">
        <w:rPr>
          <w:rFonts w:ascii="Times New Roman" w:hAnsi="Times New Roman" w:cs="Times New Roman"/>
        </w:rPr>
        <w:t>)</w:t>
      </w:r>
      <w:r w:rsidRPr="0004651D">
        <w:rPr>
          <w:rFonts w:ascii="Times New Roman" w:hAnsi="Times New Roman" w:cs="Times New Roman"/>
        </w:rPr>
        <w:t>. This exclusion highlights the extent to which formal religious structures were not only gendered but also stratified by status, restricting the most direct forms of divine engagement to a relatively small segment of the population.</w:t>
      </w:r>
    </w:p>
    <w:p w14:paraId="172652CE" w14:textId="0B0A76C0" w:rsidR="00C37B81" w:rsidRPr="0004651D" w:rsidRDefault="00C37B81" w:rsidP="00C37B81">
      <w:pPr>
        <w:rPr>
          <w:rFonts w:ascii="Times New Roman" w:hAnsi="Times New Roman" w:cs="Times New Roman"/>
        </w:rPr>
      </w:pPr>
      <w:r w:rsidRPr="0004651D">
        <w:rPr>
          <w:rFonts w:ascii="Times New Roman" w:hAnsi="Times New Roman" w:cs="Times New Roman"/>
        </w:rPr>
        <w:t xml:space="preserve">Despite this exclusion, women like Merit were not entirely absent from formal religious contexts. Instead, their participation often took alternative forms, most notably as musicians in ritual and festival settings. Tomb scenes from the </w:t>
      </w:r>
      <w:r w:rsidR="00690FE8">
        <w:rPr>
          <w:rFonts w:ascii="Times New Roman" w:hAnsi="Times New Roman" w:cs="Times New Roman"/>
        </w:rPr>
        <w:t>Eighteen</w:t>
      </w:r>
      <w:r w:rsidRPr="0004651D">
        <w:rPr>
          <w:rFonts w:ascii="Times New Roman" w:hAnsi="Times New Roman" w:cs="Times New Roman"/>
        </w:rPr>
        <w:t xml:space="preserve">th Dynasty, depict women playing instruments such as the sistrum and wearing the </w:t>
      </w:r>
      <w:proofErr w:type="spellStart"/>
      <w:r w:rsidRPr="0004651D">
        <w:rPr>
          <w:rFonts w:ascii="Times New Roman" w:hAnsi="Times New Roman" w:cs="Times New Roman"/>
        </w:rPr>
        <w:t>men</w:t>
      </w:r>
      <w:r w:rsidR="0007614C">
        <w:rPr>
          <w:rFonts w:ascii="Times New Roman" w:hAnsi="Times New Roman" w:cs="Times New Roman"/>
        </w:rPr>
        <w:t>a</w:t>
      </w:r>
      <w:r w:rsidRPr="0004651D">
        <w:rPr>
          <w:rFonts w:ascii="Times New Roman" w:hAnsi="Times New Roman" w:cs="Times New Roman"/>
        </w:rPr>
        <w:t>t</w:t>
      </w:r>
      <w:proofErr w:type="spellEnd"/>
      <w:r w:rsidRPr="0004651D">
        <w:rPr>
          <w:rFonts w:ascii="Times New Roman" w:hAnsi="Times New Roman" w:cs="Times New Roman"/>
        </w:rPr>
        <w:t xml:space="preserve"> necklace, both closely associated with the goddess Hathor. These objects were not merely decorative but held significant ritual meaning: the sound of the sistrum was believed to appease the gods and ward off chaos, while the rhythmic movement of performance contributed to the maintenance of cosmic order</w:t>
      </w:r>
      <w:r w:rsidR="0084150A" w:rsidRPr="0004651D">
        <w:rPr>
          <w:rFonts w:ascii="Times New Roman" w:hAnsi="Times New Roman" w:cs="Times New Roman"/>
        </w:rPr>
        <w:t xml:space="preserve"> (</w:t>
      </w:r>
      <w:r w:rsidR="00CF55B4" w:rsidRPr="0004651D">
        <w:rPr>
          <w:rFonts w:ascii="Times New Roman" w:hAnsi="Times New Roman" w:cs="Times New Roman"/>
        </w:rPr>
        <w:t>Graves-Brown, 2010</w:t>
      </w:r>
      <w:r w:rsidR="0084150A" w:rsidRPr="0004651D">
        <w:rPr>
          <w:rFonts w:ascii="Times New Roman" w:hAnsi="Times New Roman" w:cs="Times New Roman"/>
        </w:rPr>
        <w:t>)</w:t>
      </w:r>
      <w:r w:rsidRPr="0004651D">
        <w:rPr>
          <w:rFonts w:ascii="Times New Roman" w:hAnsi="Times New Roman" w:cs="Times New Roman"/>
        </w:rPr>
        <w:t>.</w:t>
      </w:r>
      <w:r w:rsidR="00F20926" w:rsidRPr="0004651D">
        <w:rPr>
          <w:rFonts w:ascii="Times New Roman" w:hAnsi="Times New Roman" w:cs="Times New Roman"/>
        </w:rPr>
        <w:t xml:space="preserve"> Robins (1993) interprets these scenes as evidence of women’s ritual participation, while Gillam (1995) argues that such roles remained ancillary to the male-controlled structures of temple authority.</w:t>
      </w:r>
      <w:r w:rsidR="00E96FF4">
        <w:rPr>
          <w:rFonts w:ascii="Times New Roman" w:hAnsi="Times New Roman" w:cs="Times New Roman"/>
        </w:rPr>
        <w:t xml:space="preserve"> </w:t>
      </w:r>
      <w:r w:rsidR="00A13785">
        <w:rPr>
          <w:rFonts w:ascii="Times New Roman" w:hAnsi="Times New Roman" w:cs="Times New Roman"/>
        </w:rPr>
        <w:t>Both</w:t>
      </w:r>
      <w:r w:rsidR="00E96FF4">
        <w:rPr>
          <w:rFonts w:ascii="Times New Roman" w:hAnsi="Times New Roman" w:cs="Times New Roman"/>
        </w:rPr>
        <w:t xml:space="preserve"> scholars reinforce the view that while women’s ritual experience was significant, it was still structurally limited.</w:t>
      </w:r>
    </w:p>
    <w:p w14:paraId="344379FC" w14:textId="2CE60153" w:rsidR="00C37B81" w:rsidRPr="0004651D" w:rsidRDefault="00C37B81" w:rsidP="00C37B81">
      <w:pPr>
        <w:rPr>
          <w:rFonts w:ascii="Times New Roman" w:hAnsi="Times New Roman" w:cs="Times New Roman"/>
        </w:rPr>
      </w:pPr>
      <w:r w:rsidRPr="0004651D">
        <w:rPr>
          <w:rFonts w:ascii="Times New Roman" w:hAnsi="Times New Roman" w:cs="Times New Roman"/>
        </w:rPr>
        <w:t xml:space="preserve">Although there is no direct evidence identifying Merit specifically as a musician, the presence of such objects in burials at Deir el-Medina suggests that this was a plausible and culturally significant role for </w:t>
      </w:r>
      <w:r w:rsidR="00F37D59">
        <w:rPr>
          <w:rFonts w:ascii="Times New Roman" w:hAnsi="Times New Roman" w:cs="Times New Roman"/>
        </w:rPr>
        <w:t>less</w:t>
      </w:r>
      <w:r w:rsidRPr="0004651D">
        <w:rPr>
          <w:rFonts w:ascii="Times New Roman" w:hAnsi="Times New Roman" w:cs="Times New Roman"/>
        </w:rPr>
        <w:t>-elite women</w:t>
      </w:r>
      <w:r w:rsidR="00CF55B4" w:rsidRPr="0004651D">
        <w:rPr>
          <w:rFonts w:ascii="Times New Roman" w:hAnsi="Times New Roman" w:cs="Times New Roman"/>
        </w:rPr>
        <w:t xml:space="preserve"> (Weiss</w:t>
      </w:r>
      <w:r w:rsidR="00006849" w:rsidRPr="0004651D">
        <w:rPr>
          <w:rFonts w:ascii="Times New Roman" w:hAnsi="Times New Roman" w:cs="Times New Roman"/>
        </w:rPr>
        <w:t>, 2009</w:t>
      </w:r>
      <w:r w:rsidR="00CF55B4" w:rsidRPr="0004651D">
        <w:rPr>
          <w:rFonts w:ascii="Times New Roman" w:hAnsi="Times New Roman" w:cs="Times New Roman"/>
        </w:rPr>
        <w:t>)</w:t>
      </w:r>
      <w:r w:rsidRPr="0004651D">
        <w:rPr>
          <w:rFonts w:ascii="Times New Roman" w:hAnsi="Times New Roman" w:cs="Times New Roman"/>
        </w:rPr>
        <w:t xml:space="preserve">. More importantly, this form of participation challenges any simplistic distinction between </w:t>
      </w:r>
      <w:r w:rsidR="00E96FF4">
        <w:rPr>
          <w:rFonts w:ascii="Times New Roman" w:hAnsi="Times New Roman" w:cs="Times New Roman"/>
        </w:rPr>
        <w:t>‘</w:t>
      </w:r>
      <w:r w:rsidRPr="0004651D">
        <w:rPr>
          <w:rFonts w:ascii="Times New Roman" w:hAnsi="Times New Roman" w:cs="Times New Roman"/>
        </w:rPr>
        <w:t>active</w:t>
      </w:r>
      <w:r w:rsidR="00E96FF4">
        <w:rPr>
          <w:rFonts w:ascii="Times New Roman" w:hAnsi="Times New Roman" w:cs="Times New Roman"/>
        </w:rPr>
        <w:t>’</w:t>
      </w:r>
      <w:r w:rsidRPr="0004651D">
        <w:rPr>
          <w:rFonts w:ascii="Times New Roman" w:hAnsi="Times New Roman" w:cs="Times New Roman"/>
        </w:rPr>
        <w:t xml:space="preserve"> and </w:t>
      </w:r>
      <w:r w:rsidR="00E96FF4">
        <w:rPr>
          <w:rFonts w:ascii="Times New Roman" w:hAnsi="Times New Roman" w:cs="Times New Roman"/>
        </w:rPr>
        <w:t>‘</w:t>
      </w:r>
      <w:r w:rsidRPr="0004651D">
        <w:rPr>
          <w:rFonts w:ascii="Times New Roman" w:hAnsi="Times New Roman" w:cs="Times New Roman"/>
        </w:rPr>
        <w:t>passive</w:t>
      </w:r>
      <w:r w:rsidR="00E96FF4">
        <w:rPr>
          <w:rFonts w:ascii="Times New Roman" w:hAnsi="Times New Roman" w:cs="Times New Roman"/>
        </w:rPr>
        <w:t>’</w:t>
      </w:r>
      <w:r w:rsidRPr="0004651D">
        <w:rPr>
          <w:rFonts w:ascii="Times New Roman" w:hAnsi="Times New Roman" w:cs="Times New Roman"/>
        </w:rPr>
        <w:t xml:space="preserve"> religious roles. Musical performance was an embodied and sensory practice that required physical engagement and contributed directly to the ritual environment. In </w:t>
      </w:r>
      <w:r w:rsidR="00CF55B4" w:rsidRPr="0004651D">
        <w:rPr>
          <w:rFonts w:ascii="Times New Roman" w:hAnsi="Times New Roman" w:cs="Times New Roman"/>
        </w:rPr>
        <w:t xml:space="preserve">festival </w:t>
      </w:r>
      <w:r w:rsidRPr="0004651D">
        <w:rPr>
          <w:rFonts w:ascii="Times New Roman" w:hAnsi="Times New Roman" w:cs="Times New Roman"/>
        </w:rPr>
        <w:t>processions, musicians were not peripheral figures but integral participants, producing sound, rhythm, and atmosphere that shaped the collective experience of the divine</w:t>
      </w:r>
      <w:r w:rsidR="0084150A" w:rsidRPr="0004651D">
        <w:rPr>
          <w:rFonts w:ascii="Times New Roman" w:hAnsi="Times New Roman" w:cs="Times New Roman"/>
        </w:rPr>
        <w:t xml:space="preserve"> (Hornung</w:t>
      </w:r>
      <w:r w:rsidR="00585C3C" w:rsidRPr="0004651D">
        <w:rPr>
          <w:rFonts w:ascii="Times New Roman" w:hAnsi="Times New Roman" w:cs="Times New Roman"/>
        </w:rPr>
        <w:t>, 1982</w:t>
      </w:r>
      <w:r w:rsidR="0084150A" w:rsidRPr="0004651D">
        <w:rPr>
          <w:rFonts w:ascii="Times New Roman" w:hAnsi="Times New Roman" w:cs="Times New Roman"/>
        </w:rPr>
        <w:t>)</w:t>
      </w:r>
      <w:r w:rsidRPr="0004651D">
        <w:rPr>
          <w:rFonts w:ascii="Times New Roman" w:hAnsi="Times New Roman" w:cs="Times New Roman"/>
        </w:rPr>
        <w:t>.</w:t>
      </w:r>
    </w:p>
    <w:p w14:paraId="1BAB8786" w14:textId="69C46A07" w:rsidR="00C37B81" w:rsidRPr="0004651D" w:rsidRDefault="00C37B81" w:rsidP="00C37B81">
      <w:pPr>
        <w:rPr>
          <w:rFonts w:ascii="Times New Roman" w:hAnsi="Times New Roman" w:cs="Times New Roman"/>
        </w:rPr>
      </w:pPr>
      <w:r w:rsidRPr="0004651D">
        <w:rPr>
          <w:rFonts w:ascii="Times New Roman" w:hAnsi="Times New Roman" w:cs="Times New Roman"/>
        </w:rPr>
        <w:t>This raises an important point of comparison. While Hetepet’s access was spatially closer to the god, being situated within temple structures, Merit’s participation may in some respects have been more experientially immediate. The act of shaking the sistrum</w:t>
      </w:r>
      <w:r w:rsidR="00ED381C">
        <w:rPr>
          <w:rFonts w:ascii="Times New Roman" w:hAnsi="Times New Roman" w:cs="Times New Roman"/>
        </w:rPr>
        <w:t xml:space="preserve"> c</w:t>
      </w:r>
      <w:r w:rsidRPr="0004651D">
        <w:rPr>
          <w:rFonts w:ascii="Times New Roman" w:hAnsi="Times New Roman" w:cs="Times New Roman"/>
        </w:rPr>
        <w:t xml:space="preserve">reated a </w:t>
      </w:r>
      <w:r w:rsidR="00ED381C">
        <w:rPr>
          <w:rFonts w:ascii="Times New Roman" w:hAnsi="Times New Roman" w:cs="Times New Roman"/>
        </w:rPr>
        <w:t xml:space="preserve">sensory interaction </w:t>
      </w:r>
      <w:r w:rsidRPr="0004651D">
        <w:rPr>
          <w:rFonts w:ascii="Times New Roman" w:hAnsi="Times New Roman" w:cs="Times New Roman"/>
        </w:rPr>
        <w:t>with the divine that differed from the formalised routi</w:t>
      </w:r>
      <w:r w:rsidR="00ED381C">
        <w:rPr>
          <w:rFonts w:ascii="Times New Roman" w:hAnsi="Times New Roman" w:cs="Times New Roman"/>
        </w:rPr>
        <w:t>nes</w:t>
      </w:r>
      <w:r w:rsidRPr="0004651D">
        <w:rPr>
          <w:rFonts w:ascii="Times New Roman" w:hAnsi="Times New Roman" w:cs="Times New Roman"/>
        </w:rPr>
        <w:t xml:space="preserve"> of temple ritual</w:t>
      </w:r>
      <w:r w:rsidR="00844401" w:rsidRPr="0004651D">
        <w:rPr>
          <w:rFonts w:ascii="Times New Roman" w:hAnsi="Times New Roman" w:cs="Times New Roman"/>
        </w:rPr>
        <w:t>, and Gillam (</w:t>
      </w:r>
      <w:r w:rsidR="00D11E90" w:rsidRPr="0004651D">
        <w:rPr>
          <w:rFonts w:ascii="Times New Roman" w:hAnsi="Times New Roman" w:cs="Times New Roman"/>
        </w:rPr>
        <w:t>1995</w:t>
      </w:r>
      <w:r w:rsidR="00844401" w:rsidRPr="0004651D">
        <w:rPr>
          <w:rFonts w:ascii="Times New Roman" w:hAnsi="Times New Roman" w:cs="Times New Roman"/>
        </w:rPr>
        <w:t xml:space="preserve">) argues that very few </w:t>
      </w:r>
      <w:r w:rsidR="00006DC3">
        <w:rPr>
          <w:rFonts w:ascii="Times New Roman" w:hAnsi="Times New Roman" w:cs="Times New Roman"/>
        </w:rPr>
        <w:t>p</w:t>
      </w:r>
      <w:r w:rsidR="00844401" w:rsidRPr="0004651D">
        <w:rPr>
          <w:rFonts w:ascii="Times New Roman" w:hAnsi="Times New Roman" w:cs="Times New Roman"/>
        </w:rPr>
        <w:t>riestesses of Hathor would have likely played musical instruments</w:t>
      </w:r>
      <w:r w:rsidRPr="0004651D">
        <w:rPr>
          <w:rFonts w:ascii="Times New Roman" w:hAnsi="Times New Roman" w:cs="Times New Roman"/>
        </w:rPr>
        <w:t xml:space="preserve">. In this sense, non-elite participation was not necessarily less </w:t>
      </w:r>
      <w:r w:rsidR="00DE426E" w:rsidRPr="0004651D">
        <w:rPr>
          <w:rFonts w:ascii="Times New Roman" w:hAnsi="Times New Roman" w:cs="Times New Roman"/>
        </w:rPr>
        <w:t>meaningful but</w:t>
      </w:r>
      <w:r w:rsidRPr="0004651D">
        <w:rPr>
          <w:rFonts w:ascii="Times New Roman" w:hAnsi="Times New Roman" w:cs="Times New Roman"/>
        </w:rPr>
        <w:t xml:space="preserve"> differently configured—rooted in embodied practice rather than institutional authority.</w:t>
      </w:r>
      <w:r w:rsidR="00DC1A9D" w:rsidRPr="0004651D">
        <w:rPr>
          <w:rFonts w:ascii="Times New Roman" w:hAnsi="Times New Roman" w:cs="Times New Roman"/>
        </w:rPr>
        <w:t xml:space="preserve"> </w:t>
      </w:r>
    </w:p>
    <w:p w14:paraId="1E7AE464" w14:textId="77777777" w:rsidR="00C37B81" w:rsidRPr="0004651D" w:rsidRDefault="00C37B81" w:rsidP="00C37B81">
      <w:pPr>
        <w:rPr>
          <w:rFonts w:ascii="Times New Roman" w:hAnsi="Times New Roman" w:cs="Times New Roman"/>
        </w:rPr>
      </w:pPr>
      <w:r w:rsidRPr="0004651D">
        <w:rPr>
          <w:rFonts w:ascii="Times New Roman" w:hAnsi="Times New Roman" w:cs="Times New Roman"/>
        </w:rPr>
        <w:t>Nevertheless, these differences ultimately reinforce the hierarchical organisation of religious access. Temple spaces remained restricted, and exclusion from priesthood roles limited women like Merit from engaging with the divine at its most controlled and symbolically potent point. Hetepet’s position, by contrast, granted her repeated, structured, and socially recognised access within these central religious institutions. Her role carried not only religious significance but also institutional authority, embedding her participation within broader systems of power and control.</w:t>
      </w:r>
    </w:p>
    <w:p w14:paraId="0800C2C4" w14:textId="1FE097E4" w:rsidR="00DB6FEF" w:rsidRPr="0004651D" w:rsidRDefault="00CF55B4" w:rsidP="00C37B81">
      <w:pPr>
        <w:rPr>
          <w:rFonts w:ascii="Times New Roman" w:hAnsi="Times New Roman" w:cs="Times New Roman"/>
        </w:rPr>
      </w:pPr>
      <w:r w:rsidRPr="0004651D">
        <w:rPr>
          <w:rFonts w:ascii="Times New Roman" w:hAnsi="Times New Roman" w:cs="Times New Roman"/>
        </w:rPr>
        <w:lastRenderedPageBreak/>
        <w:t xml:space="preserve">Hetepet’s religious role appears to have aligned more closely with traditionally male forms of religious authority. She occupied a priestly office that, in later periods, became exclusively associated with men. Furthermore, archaeological and textual evidence suggests that she lived independently, with no indication that she was married or had children (Woods, 2012). In contrast, Merit’s religious participation reflects what may be considered a more conventional female role within ancient Egyptian society, characterised by forms of domestic and supportive religious activity. As Zhou (2024) </w:t>
      </w:r>
      <w:r w:rsidR="00E96FF4">
        <w:rPr>
          <w:rFonts w:ascii="Times New Roman" w:hAnsi="Times New Roman" w:cs="Times New Roman"/>
        </w:rPr>
        <w:t>suggests</w:t>
      </w:r>
      <w:r w:rsidRPr="0004651D">
        <w:rPr>
          <w:rFonts w:ascii="Times New Roman" w:hAnsi="Times New Roman" w:cs="Times New Roman"/>
        </w:rPr>
        <w:t xml:space="preserve">, women’s participation in religious life was often expressed through ancillary and household-based practices rather than formal institutional authority. </w:t>
      </w:r>
    </w:p>
    <w:p w14:paraId="508F6CAE" w14:textId="0DE550C6" w:rsidR="00063E63" w:rsidRPr="0004651D" w:rsidRDefault="00C37B81" w:rsidP="00063E63">
      <w:pPr>
        <w:rPr>
          <w:rFonts w:ascii="Times New Roman" w:hAnsi="Times New Roman" w:cs="Times New Roman"/>
        </w:rPr>
      </w:pPr>
      <w:r w:rsidRPr="0004651D">
        <w:rPr>
          <w:rFonts w:ascii="Times New Roman" w:hAnsi="Times New Roman" w:cs="Times New Roman"/>
        </w:rPr>
        <w:t xml:space="preserve">It is therefore insufficient to describe elite women’s access as simply greater in degree. Rather, </w:t>
      </w:r>
      <w:r w:rsidR="00187D75">
        <w:rPr>
          <w:rFonts w:ascii="Times New Roman" w:hAnsi="Times New Roman" w:cs="Times New Roman"/>
        </w:rPr>
        <w:t>the quality differed</w:t>
      </w:r>
      <w:r w:rsidRPr="0004651D">
        <w:rPr>
          <w:rFonts w:ascii="Times New Roman" w:hAnsi="Times New Roman" w:cs="Times New Roman"/>
        </w:rPr>
        <w:t>:</w:t>
      </w:r>
      <w:r w:rsidR="00187D75">
        <w:rPr>
          <w:rFonts w:ascii="Times New Roman" w:hAnsi="Times New Roman" w:cs="Times New Roman"/>
        </w:rPr>
        <w:t xml:space="preserve"> it was</w:t>
      </w:r>
      <w:r w:rsidRPr="0004651D">
        <w:rPr>
          <w:rFonts w:ascii="Times New Roman" w:hAnsi="Times New Roman" w:cs="Times New Roman"/>
        </w:rPr>
        <w:t xml:space="preserve"> more regular, more authoritative, and more closely aligned with the central </w:t>
      </w:r>
      <w:r w:rsidR="00187D75">
        <w:rPr>
          <w:rFonts w:ascii="Times New Roman" w:hAnsi="Times New Roman" w:cs="Times New Roman"/>
        </w:rPr>
        <w:t>state systems</w:t>
      </w:r>
      <w:r w:rsidRPr="0004651D">
        <w:rPr>
          <w:rFonts w:ascii="Times New Roman" w:hAnsi="Times New Roman" w:cs="Times New Roman"/>
        </w:rPr>
        <w:t xml:space="preserve"> through which divine presence was regulated and reproduced. Merit’s participation, while active and meaningful, remained </w:t>
      </w:r>
      <w:r w:rsidR="00187D75">
        <w:rPr>
          <w:rFonts w:ascii="Times New Roman" w:hAnsi="Times New Roman" w:cs="Times New Roman"/>
        </w:rPr>
        <w:t>conditional</w:t>
      </w:r>
      <w:r w:rsidRPr="0004651D">
        <w:rPr>
          <w:rFonts w:ascii="Times New Roman" w:hAnsi="Times New Roman" w:cs="Times New Roman"/>
        </w:rPr>
        <w:t xml:space="preserve"> and indirect, shaped by the boundaries imposed by both gender and status. </w:t>
      </w:r>
    </w:p>
    <w:p w14:paraId="11F48B2F" w14:textId="7F7BBBBA" w:rsidR="00B918DC" w:rsidRPr="0004651D" w:rsidRDefault="00C31DD7" w:rsidP="00C31DD7">
      <w:pPr>
        <w:rPr>
          <w:rFonts w:ascii="Times New Roman" w:hAnsi="Times New Roman" w:cs="Times New Roman"/>
          <w:b/>
          <w:bCs/>
          <w:u w:val="single"/>
        </w:rPr>
      </w:pPr>
      <w:r w:rsidRPr="0004651D">
        <w:rPr>
          <w:rFonts w:ascii="Times New Roman" w:hAnsi="Times New Roman" w:cs="Times New Roman"/>
          <w:b/>
          <w:bCs/>
          <w:u w:val="single"/>
        </w:rPr>
        <w:t>D</w:t>
      </w:r>
      <w:r w:rsidR="00B918DC" w:rsidRPr="0004651D">
        <w:rPr>
          <w:rFonts w:ascii="Times New Roman" w:hAnsi="Times New Roman" w:cs="Times New Roman"/>
          <w:b/>
          <w:bCs/>
          <w:u w:val="single"/>
        </w:rPr>
        <w:t xml:space="preserve">omestic </w:t>
      </w:r>
      <w:r w:rsidR="00E95614" w:rsidRPr="0004651D">
        <w:rPr>
          <w:rFonts w:ascii="Times New Roman" w:hAnsi="Times New Roman" w:cs="Times New Roman"/>
          <w:b/>
          <w:bCs/>
          <w:u w:val="single"/>
        </w:rPr>
        <w:t>Religion and Expressions of</w:t>
      </w:r>
      <w:r w:rsidR="00B918DC" w:rsidRPr="0004651D">
        <w:rPr>
          <w:rFonts w:ascii="Times New Roman" w:hAnsi="Times New Roman" w:cs="Times New Roman"/>
          <w:b/>
          <w:bCs/>
          <w:u w:val="single"/>
        </w:rPr>
        <w:t xml:space="preserve"> Personal Piety </w:t>
      </w:r>
    </w:p>
    <w:p w14:paraId="324F94F1" w14:textId="6A103D77" w:rsidR="00E016F0" w:rsidRDefault="00E016F0" w:rsidP="00E016F0">
      <w:pPr>
        <w:rPr>
          <w:rFonts w:ascii="Times New Roman" w:hAnsi="Times New Roman" w:cs="Times New Roman"/>
        </w:rPr>
      </w:pPr>
      <w:r w:rsidRPr="0004651D">
        <w:rPr>
          <w:rFonts w:ascii="Times New Roman" w:hAnsi="Times New Roman" w:cs="Times New Roman"/>
        </w:rPr>
        <w:t xml:space="preserve">While access to formal religious structures in ancient Egypt was shaped by hierarchy and restriction, significant aspects of religious life took place outside the temple within the domestic sphere. At Deir el-Medina, extensive evidence for domestic worship suggests that the household functioned as a primary site of religious engagement for </w:t>
      </w:r>
      <w:r w:rsidR="00006DC3">
        <w:rPr>
          <w:rFonts w:ascii="Times New Roman" w:hAnsi="Times New Roman" w:cs="Times New Roman"/>
        </w:rPr>
        <w:t>non-priestly</w:t>
      </w:r>
      <w:r w:rsidRPr="0004651D">
        <w:rPr>
          <w:rFonts w:ascii="Times New Roman" w:hAnsi="Times New Roman" w:cs="Times New Roman"/>
        </w:rPr>
        <w:t xml:space="preserve"> individuals such as Merit (Pinch</w:t>
      </w:r>
      <w:r w:rsidR="00006849" w:rsidRPr="0004651D">
        <w:rPr>
          <w:rFonts w:ascii="Times New Roman" w:hAnsi="Times New Roman" w:cs="Times New Roman"/>
        </w:rPr>
        <w:t>, 1993</w:t>
      </w:r>
      <w:r w:rsidRPr="0004651D">
        <w:rPr>
          <w:rFonts w:ascii="Times New Roman" w:hAnsi="Times New Roman" w:cs="Times New Roman"/>
        </w:rPr>
        <w:t>; Weiss</w:t>
      </w:r>
      <w:r w:rsidR="00006849" w:rsidRPr="0004651D">
        <w:rPr>
          <w:rFonts w:ascii="Times New Roman" w:hAnsi="Times New Roman" w:cs="Times New Roman"/>
        </w:rPr>
        <w:t>, 2009</w:t>
      </w:r>
      <w:r w:rsidRPr="0004651D">
        <w:rPr>
          <w:rFonts w:ascii="Times New Roman" w:hAnsi="Times New Roman" w:cs="Times New Roman"/>
        </w:rPr>
        <w:t>). Excavations reveal domestic shrines integrated into houses, typically comprising niches, offering tables, and wall decoration depicting deities or protective figures (</w:t>
      </w:r>
      <w:r w:rsidR="002B6C57">
        <w:rPr>
          <w:rFonts w:ascii="Times New Roman" w:hAnsi="Times New Roman" w:cs="Times New Roman"/>
        </w:rPr>
        <w:t>Weiss, 2009</w:t>
      </w:r>
      <w:r w:rsidRPr="0004651D">
        <w:rPr>
          <w:rFonts w:ascii="Times New Roman" w:hAnsi="Times New Roman" w:cs="Times New Roman"/>
        </w:rPr>
        <w:t xml:space="preserve">). </w:t>
      </w:r>
      <w:r w:rsidR="00AE5C1D">
        <w:rPr>
          <w:rFonts w:ascii="Times New Roman" w:hAnsi="Times New Roman" w:cs="Times New Roman"/>
        </w:rPr>
        <w:t xml:space="preserve">For example, Tawaret, goddess of protection, fertility and childbirth was often worshipped alongside Bes, who had similar associations, to protect the household (Lesko, 1991) and evidence has been found to support this in the form of statuettes and amulets (See Figure 1). </w:t>
      </w:r>
      <w:r w:rsidRPr="0004651D">
        <w:rPr>
          <w:rFonts w:ascii="Times New Roman" w:hAnsi="Times New Roman" w:cs="Times New Roman"/>
        </w:rPr>
        <w:t>However, this material must be interpreted carefully, as many objects were displaced when the village was abandoned and may not reflect their original ritual contexts.</w:t>
      </w:r>
    </w:p>
    <w:p w14:paraId="10777979" w14:textId="77777777" w:rsidR="00BB7A0F" w:rsidRDefault="00BB7A0F" w:rsidP="00E016F0">
      <w:pPr>
        <w:rPr>
          <w:rFonts w:ascii="Times New Roman" w:hAnsi="Times New Roman" w:cs="Times New Roman"/>
        </w:rPr>
      </w:pPr>
    </w:p>
    <w:p w14:paraId="10A7F358" w14:textId="4E52A141" w:rsidR="001B09E4" w:rsidRDefault="00BB7A0F" w:rsidP="00E016F0">
      <w:pPr>
        <w:rPr>
          <w:rFonts w:ascii="Times New Roman" w:hAnsi="Times New Roman" w:cs="Times New Roman"/>
        </w:rPr>
      </w:pPr>
      <w:r w:rsidRPr="00BB7A0F">
        <w:rPr>
          <w:rFonts w:ascii="Times New Roman" w:hAnsi="Times New Roman" w:cs="Times New Roman"/>
        </w:rPr>
        <w:lastRenderedPageBreak/>
        <w:drawing>
          <wp:inline distT="0" distB="0" distL="0" distR="0" wp14:anchorId="530118A6" wp14:editId="1B1B1B49">
            <wp:extent cx="4892634" cy="3237182"/>
            <wp:effectExtent l="0" t="0" r="3810" b="1905"/>
            <wp:docPr id="1407707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707902" name=""/>
                    <pic:cNvPicPr/>
                  </pic:nvPicPr>
                  <pic:blipFill>
                    <a:blip r:embed="rId7"/>
                    <a:stretch>
                      <a:fillRect/>
                    </a:stretch>
                  </pic:blipFill>
                  <pic:spPr>
                    <a:xfrm>
                      <a:off x="0" y="0"/>
                      <a:ext cx="4898321" cy="3240945"/>
                    </a:xfrm>
                    <a:prstGeom prst="rect">
                      <a:avLst/>
                    </a:prstGeom>
                  </pic:spPr>
                </pic:pic>
              </a:graphicData>
            </a:graphic>
          </wp:inline>
        </w:drawing>
      </w:r>
    </w:p>
    <w:p w14:paraId="420BCD5F" w14:textId="5A7B795D" w:rsidR="00855243" w:rsidRPr="00187D75" w:rsidRDefault="00BB7A0F" w:rsidP="00855243">
      <w:pPr>
        <w:rPr>
          <w:rFonts w:ascii="Times New Roman" w:hAnsi="Times New Roman" w:cs="Times New Roman"/>
          <w:sz w:val="22"/>
          <w:szCs w:val="22"/>
        </w:rPr>
      </w:pPr>
      <w:r w:rsidRPr="00187D75">
        <w:rPr>
          <w:rFonts w:ascii="Times New Roman" w:hAnsi="Times New Roman" w:cs="Times New Roman"/>
          <w:b/>
          <w:bCs/>
          <w:sz w:val="22"/>
          <w:szCs w:val="22"/>
        </w:rPr>
        <w:t xml:space="preserve">Figure </w:t>
      </w:r>
      <w:r w:rsidRPr="00187D75">
        <w:rPr>
          <w:rFonts w:ascii="Times New Roman" w:hAnsi="Times New Roman" w:cs="Times New Roman"/>
          <w:b/>
          <w:bCs/>
          <w:sz w:val="22"/>
          <w:szCs w:val="22"/>
        </w:rPr>
        <w:t>1</w:t>
      </w:r>
      <w:r w:rsidRPr="00187D75">
        <w:rPr>
          <w:rFonts w:ascii="Times New Roman" w:hAnsi="Times New Roman" w:cs="Times New Roman"/>
          <w:b/>
          <w:bCs/>
          <w:sz w:val="22"/>
          <w:szCs w:val="22"/>
        </w:rPr>
        <w:t>.</w:t>
      </w:r>
      <w:r w:rsidRPr="00187D75">
        <w:rPr>
          <w:rFonts w:ascii="Times New Roman" w:hAnsi="Times New Roman" w:cs="Times New Roman"/>
          <w:sz w:val="22"/>
          <w:szCs w:val="22"/>
        </w:rPr>
        <w:t xml:space="preserve"> </w:t>
      </w:r>
      <w:r w:rsidR="00855243" w:rsidRPr="00187D75">
        <w:rPr>
          <w:rFonts w:ascii="Times New Roman" w:hAnsi="Times New Roman" w:cs="Times New Roman"/>
          <w:i/>
          <w:iCs/>
          <w:sz w:val="22"/>
          <w:szCs w:val="22"/>
        </w:rPr>
        <w:t>Faience statuette of Taweret and faience amulets from the Glencairn Museum Egyptian collection.</w:t>
      </w:r>
      <w:r w:rsidR="00855243" w:rsidRPr="00187D75">
        <w:rPr>
          <w:rFonts w:ascii="Times New Roman" w:hAnsi="Times New Roman" w:cs="Times New Roman"/>
          <w:i/>
          <w:iCs/>
          <w:sz w:val="22"/>
          <w:szCs w:val="22"/>
        </w:rPr>
        <w:t xml:space="preserve"> </w:t>
      </w:r>
      <w:r w:rsidR="00855243" w:rsidRPr="00187D75">
        <w:rPr>
          <w:rFonts w:ascii="Times New Roman" w:hAnsi="Times New Roman" w:cs="Times New Roman"/>
          <w:sz w:val="22"/>
          <w:szCs w:val="22"/>
        </w:rPr>
        <w:t>Note. Faience statuette of Taweret and faience amulets depicting Taweret. Reproduced from “The Goddess Taweret: Protector of Mothers and Children,” by Glencairn Museum, 2014</w:t>
      </w:r>
      <w:r w:rsidR="00855243" w:rsidRPr="00187D75">
        <w:rPr>
          <w:rFonts w:ascii="Times New Roman" w:hAnsi="Times New Roman" w:cs="Times New Roman"/>
          <w:sz w:val="22"/>
          <w:szCs w:val="22"/>
        </w:rPr>
        <w:t xml:space="preserve">. </w:t>
      </w:r>
    </w:p>
    <w:p w14:paraId="3211B9BE" w14:textId="646C518E" w:rsidR="00E016F0" w:rsidRPr="0004651D" w:rsidRDefault="00E016F0" w:rsidP="00E016F0">
      <w:pPr>
        <w:rPr>
          <w:rFonts w:ascii="Times New Roman" w:hAnsi="Times New Roman" w:cs="Times New Roman"/>
        </w:rPr>
      </w:pPr>
      <w:r w:rsidRPr="0004651D">
        <w:rPr>
          <w:rFonts w:ascii="Times New Roman" w:hAnsi="Times New Roman" w:cs="Times New Roman"/>
        </w:rPr>
        <w:t>Despite these limitations, the evidence indicates that domestic space facilitated sustained interaction with the divine. In addition to the worship of deities, ancestors were also venerated within household shrines (Meskell, 2002). In contrast to temples, which were spatially and socially restricted, domestic shrines were accessible and personalised, embedding religious practice within everyday life rather than formal ritual settings (Stevens, 2003).</w:t>
      </w:r>
    </w:p>
    <w:p w14:paraId="6D0F7FD8" w14:textId="50065946"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This pattern can be contextualised through the differing social positions of Merit and Hetepet. Merit, as a mother of three children, is likely to have experienced religion primarily through the household, whereas Hetepet, who appears not to have married or had children, held a formal role as a priestess of Hathor. </w:t>
      </w:r>
      <w:r w:rsidR="00ED7E47">
        <w:rPr>
          <w:rFonts w:ascii="Times New Roman" w:hAnsi="Times New Roman" w:cs="Times New Roman"/>
        </w:rPr>
        <w:t xml:space="preserve">The goddess Hathor was one of ancient Egypt’s most important deities, associated with love, music, fertility and joy, while also serving as a powerful protective goddess linked to kingship and the afterlife.  </w:t>
      </w:r>
    </w:p>
    <w:p w14:paraId="06A868CC" w14:textId="29F20B6E"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Both </w:t>
      </w:r>
      <w:r w:rsidR="00ED7E47">
        <w:rPr>
          <w:rFonts w:ascii="Times New Roman" w:hAnsi="Times New Roman" w:cs="Times New Roman"/>
        </w:rPr>
        <w:t xml:space="preserve">women </w:t>
      </w:r>
      <w:r w:rsidRPr="0004651D">
        <w:rPr>
          <w:rFonts w:ascii="Times New Roman" w:hAnsi="Times New Roman" w:cs="Times New Roman"/>
        </w:rPr>
        <w:t xml:space="preserve">are associated with Hathor, though in distinct ways. Hetepet’s role placed her within formal cult practice, while Hathor’s prominence in domestic religion at Deir el-Medina suggests that Merit would also have engaged with the goddess in a household context. </w:t>
      </w:r>
      <w:r w:rsidR="00ED7E47">
        <w:rPr>
          <w:rFonts w:ascii="Times New Roman" w:hAnsi="Times New Roman" w:cs="Times New Roman"/>
        </w:rPr>
        <w:t>Hathor’s multiple functions reflect this accessibility</w:t>
      </w:r>
      <w:r w:rsidR="0033439E">
        <w:rPr>
          <w:rFonts w:ascii="Times New Roman" w:hAnsi="Times New Roman" w:cs="Times New Roman"/>
        </w:rPr>
        <w:t>;</w:t>
      </w:r>
      <w:r w:rsidR="00ED7E47">
        <w:rPr>
          <w:rFonts w:ascii="Times New Roman" w:hAnsi="Times New Roman" w:cs="Times New Roman"/>
        </w:rPr>
        <w:t xml:space="preserve"> </w:t>
      </w:r>
      <w:r w:rsidR="0033439E">
        <w:rPr>
          <w:rFonts w:ascii="Times New Roman" w:hAnsi="Times New Roman" w:cs="Times New Roman"/>
        </w:rPr>
        <w:t>her</w:t>
      </w:r>
      <w:r w:rsidRPr="0004651D">
        <w:rPr>
          <w:rFonts w:ascii="Times New Roman" w:hAnsi="Times New Roman" w:cs="Times New Roman"/>
        </w:rPr>
        <w:t xml:space="preserve"> royal and cosmic associations, reflected in the title </w:t>
      </w:r>
      <w:r w:rsidR="00ED7E47">
        <w:rPr>
          <w:rFonts w:ascii="Times New Roman" w:hAnsi="Times New Roman" w:cs="Times New Roman"/>
        </w:rPr>
        <w:t>‘</w:t>
      </w:r>
      <w:r w:rsidRPr="0004651D">
        <w:rPr>
          <w:rFonts w:ascii="Times New Roman" w:hAnsi="Times New Roman" w:cs="Times New Roman"/>
        </w:rPr>
        <w:t>House of Horus,</w:t>
      </w:r>
      <w:r w:rsidR="00ED7E47">
        <w:rPr>
          <w:rFonts w:ascii="Times New Roman" w:hAnsi="Times New Roman" w:cs="Times New Roman"/>
        </w:rPr>
        <w:t>’</w:t>
      </w:r>
      <w:r w:rsidRPr="0004651D">
        <w:rPr>
          <w:rFonts w:ascii="Times New Roman" w:hAnsi="Times New Roman" w:cs="Times New Roman"/>
        </w:rPr>
        <w:t xml:space="preserve"> linked her to kingship and sacred authority, while her assimilation of fertility and childbirth deities made her accessible in domestic settings (</w:t>
      </w:r>
      <w:r w:rsidR="00ED7E47">
        <w:rPr>
          <w:rFonts w:ascii="Times New Roman" w:hAnsi="Times New Roman" w:cs="Times New Roman"/>
        </w:rPr>
        <w:t xml:space="preserve">Gillam 1995; </w:t>
      </w:r>
      <w:r w:rsidRPr="0004651D">
        <w:rPr>
          <w:rFonts w:ascii="Times New Roman" w:hAnsi="Times New Roman" w:cs="Times New Roman"/>
        </w:rPr>
        <w:t>Wilkinson</w:t>
      </w:r>
      <w:r w:rsidR="00006849" w:rsidRPr="0004651D">
        <w:rPr>
          <w:rFonts w:ascii="Times New Roman" w:hAnsi="Times New Roman" w:cs="Times New Roman"/>
        </w:rPr>
        <w:t>, 2003</w:t>
      </w:r>
      <w:r w:rsidRPr="0004651D">
        <w:rPr>
          <w:rFonts w:ascii="Times New Roman" w:hAnsi="Times New Roman" w:cs="Times New Roman"/>
        </w:rPr>
        <w:t>).</w:t>
      </w:r>
    </w:p>
    <w:p w14:paraId="05C9202C" w14:textId="59D36013"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This domestic dimension is particularly evident </w:t>
      </w:r>
      <w:r w:rsidR="00985488">
        <w:rPr>
          <w:rFonts w:ascii="Times New Roman" w:hAnsi="Times New Roman" w:cs="Times New Roman"/>
        </w:rPr>
        <w:t>in the workmen’s villages of</w:t>
      </w:r>
      <w:r w:rsidRPr="0004651D">
        <w:rPr>
          <w:rFonts w:ascii="Times New Roman" w:hAnsi="Times New Roman" w:cs="Times New Roman"/>
        </w:rPr>
        <w:t xml:space="preserve"> Deir </w:t>
      </w:r>
      <w:proofErr w:type="spellStart"/>
      <w:r w:rsidRPr="0004651D">
        <w:rPr>
          <w:rFonts w:ascii="Times New Roman" w:hAnsi="Times New Roman" w:cs="Times New Roman"/>
        </w:rPr>
        <w:t>el</w:t>
      </w:r>
      <w:proofErr w:type="spellEnd"/>
      <w:r w:rsidRPr="0004651D">
        <w:rPr>
          <w:rFonts w:ascii="Times New Roman" w:hAnsi="Times New Roman" w:cs="Times New Roman"/>
        </w:rPr>
        <w:t>-Medina</w:t>
      </w:r>
      <w:r w:rsidR="00985488">
        <w:rPr>
          <w:rFonts w:ascii="Times New Roman" w:hAnsi="Times New Roman" w:cs="Times New Roman"/>
        </w:rPr>
        <w:t xml:space="preserve"> and Amarna</w:t>
      </w:r>
      <w:r w:rsidRPr="0004651D">
        <w:rPr>
          <w:rFonts w:ascii="Times New Roman" w:hAnsi="Times New Roman" w:cs="Times New Roman"/>
        </w:rPr>
        <w:t>, where childbirth-related imagery and votive material are well attested (Friedman</w:t>
      </w:r>
      <w:r w:rsidR="00D11E90" w:rsidRPr="0004651D">
        <w:rPr>
          <w:rFonts w:ascii="Times New Roman" w:hAnsi="Times New Roman" w:cs="Times New Roman"/>
        </w:rPr>
        <w:t>, 1994</w:t>
      </w:r>
      <w:r w:rsidRPr="0004651D">
        <w:rPr>
          <w:rFonts w:ascii="Times New Roman" w:hAnsi="Times New Roman" w:cs="Times New Roman"/>
        </w:rPr>
        <w:t>). Kemp</w:t>
      </w:r>
      <w:r w:rsidR="00585C3C" w:rsidRPr="0004651D">
        <w:rPr>
          <w:rFonts w:ascii="Times New Roman" w:hAnsi="Times New Roman" w:cs="Times New Roman"/>
        </w:rPr>
        <w:t xml:space="preserve"> (2006</w:t>
      </w:r>
      <w:r w:rsidR="00E56FCB" w:rsidRPr="0004651D">
        <w:rPr>
          <w:rFonts w:ascii="Times New Roman" w:hAnsi="Times New Roman" w:cs="Times New Roman"/>
        </w:rPr>
        <w:t>)</w:t>
      </w:r>
      <w:r w:rsidRPr="0004651D">
        <w:rPr>
          <w:rFonts w:ascii="Times New Roman" w:hAnsi="Times New Roman" w:cs="Times New Roman"/>
        </w:rPr>
        <w:t xml:space="preserve"> identifies</w:t>
      </w:r>
      <w:r w:rsidR="00985488">
        <w:rPr>
          <w:rFonts w:ascii="Times New Roman" w:hAnsi="Times New Roman" w:cs="Times New Roman"/>
        </w:rPr>
        <w:t xml:space="preserve"> at Amarna,</w:t>
      </w:r>
      <w:r w:rsidRPr="0004651D">
        <w:rPr>
          <w:rFonts w:ascii="Times New Roman" w:hAnsi="Times New Roman" w:cs="Times New Roman"/>
        </w:rPr>
        <w:t xml:space="preserve"> scenes of women dancing and </w:t>
      </w:r>
      <w:r w:rsidRPr="0004651D">
        <w:rPr>
          <w:rFonts w:ascii="Times New Roman" w:hAnsi="Times New Roman" w:cs="Times New Roman"/>
        </w:rPr>
        <w:lastRenderedPageBreak/>
        <w:t>performing music in celebration of childbirth, practices associated with Hathor’s protective role in fertility and family life. As a mother, Merit is therefore more likely to have engaged with these aspects of Hathor’s cult than Hetepet, whose religious role was primarily institutional.</w:t>
      </w:r>
    </w:p>
    <w:p w14:paraId="0FE3E518" w14:textId="0683CD1E"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Material culture further demonstrates the embedded nature of domestic religion. Amulets, votive offerings, and protective figurines were widely used in household contexts, serving both devotional and apotropaic functions (Pinch, 1993). Their significance lay in their continual presence within daily life, mediating relationships between individuals and the divine. Archaeological evidence from Deir </w:t>
      </w:r>
      <w:proofErr w:type="spellStart"/>
      <w:r w:rsidRPr="0004651D">
        <w:rPr>
          <w:rFonts w:ascii="Times New Roman" w:hAnsi="Times New Roman" w:cs="Times New Roman"/>
        </w:rPr>
        <w:t>el</w:t>
      </w:r>
      <w:proofErr w:type="spellEnd"/>
      <w:r w:rsidRPr="0004651D">
        <w:rPr>
          <w:rFonts w:ascii="Times New Roman" w:hAnsi="Times New Roman" w:cs="Times New Roman"/>
        </w:rPr>
        <w:t>-Medina</w:t>
      </w:r>
      <w:r w:rsidR="00985488">
        <w:rPr>
          <w:rFonts w:ascii="Times New Roman" w:hAnsi="Times New Roman" w:cs="Times New Roman"/>
        </w:rPr>
        <w:t xml:space="preserve"> and Amarna</w:t>
      </w:r>
      <w:r w:rsidRPr="0004651D">
        <w:rPr>
          <w:rFonts w:ascii="Times New Roman" w:hAnsi="Times New Roman" w:cs="Times New Roman"/>
        </w:rPr>
        <w:t>, including traces of incense, plants, and ritual deposits, further supports the integration of ritual activity into domestic space (Stevens</w:t>
      </w:r>
      <w:r w:rsidR="00006849" w:rsidRPr="0004651D">
        <w:rPr>
          <w:rFonts w:ascii="Times New Roman" w:hAnsi="Times New Roman" w:cs="Times New Roman"/>
        </w:rPr>
        <w:t>, 2003</w:t>
      </w:r>
      <w:r w:rsidRPr="0004651D">
        <w:rPr>
          <w:rFonts w:ascii="Times New Roman" w:hAnsi="Times New Roman" w:cs="Times New Roman"/>
        </w:rPr>
        <w:t>).</w:t>
      </w:r>
      <w:r w:rsidR="00E56FCB" w:rsidRPr="0004651D">
        <w:rPr>
          <w:rFonts w:ascii="Times New Roman" w:hAnsi="Times New Roman" w:cs="Times New Roman"/>
        </w:rPr>
        <w:t xml:space="preserve"> Such practices suggest a form of religiosity grounded in personal need rather than institutional obligation, although they are less visible in formal sources. Household religion also appears to have been more directly tied to immediate concerns such as health, fertility, protection, and family wellbeing.</w:t>
      </w:r>
    </w:p>
    <w:p w14:paraId="378063AC" w14:textId="639B1033" w:rsidR="00E016F0" w:rsidRPr="0004651D" w:rsidRDefault="00E56FCB" w:rsidP="00E016F0">
      <w:pPr>
        <w:rPr>
          <w:rFonts w:ascii="Times New Roman" w:hAnsi="Times New Roman" w:cs="Times New Roman"/>
        </w:rPr>
      </w:pPr>
      <w:r w:rsidRPr="0004651D">
        <w:rPr>
          <w:rFonts w:ascii="Times New Roman" w:hAnsi="Times New Roman" w:cs="Times New Roman"/>
        </w:rPr>
        <w:t xml:space="preserve">By contrast, </w:t>
      </w:r>
      <w:r w:rsidR="00E016F0" w:rsidRPr="0004651D">
        <w:rPr>
          <w:rFonts w:ascii="Times New Roman" w:hAnsi="Times New Roman" w:cs="Times New Roman"/>
        </w:rPr>
        <w:t>Hetepet’s priestly role would have involved formal temple rituals such as purification, offerings, hymn recitation, and the use of ritual instruments including the sistrum.</w:t>
      </w:r>
      <w:r w:rsidRPr="0004651D">
        <w:rPr>
          <w:rFonts w:ascii="Times New Roman" w:hAnsi="Times New Roman" w:cs="Times New Roman"/>
        </w:rPr>
        <w:t xml:space="preserve"> E</w:t>
      </w:r>
      <w:r w:rsidR="00E016F0" w:rsidRPr="0004651D">
        <w:rPr>
          <w:rFonts w:ascii="Times New Roman" w:hAnsi="Times New Roman" w:cs="Times New Roman"/>
        </w:rPr>
        <w:t>vidence for domestic religious practice among elite women such as Hetepet is limited. This reflects both preservation bias and the representational priorities of elite culture, which emphasised formal identity and institutional roles over private devotional practice. As Robins (</w:t>
      </w:r>
      <w:r w:rsidR="00006849" w:rsidRPr="0004651D">
        <w:rPr>
          <w:rFonts w:ascii="Times New Roman" w:hAnsi="Times New Roman" w:cs="Times New Roman"/>
        </w:rPr>
        <w:t>1993</w:t>
      </w:r>
      <w:r w:rsidR="00E016F0" w:rsidRPr="0004651D">
        <w:rPr>
          <w:rFonts w:ascii="Times New Roman" w:hAnsi="Times New Roman" w:cs="Times New Roman"/>
        </w:rPr>
        <w:t>) argues, elite self-representation in ancient Egypt was shaped by idealised status rather than lived experience, meaning that domestic religious activity was rarely recorded or monumentalised.</w:t>
      </w:r>
    </w:p>
    <w:p w14:paraId="537C81BE" w14:textId="77777777" w:rsidR="00E016F0" w:rsidRPr="0004651D" w:rsidRDefault="00E016F0" w:rsidP="00E016F0">
      <w:pPr>
        <w:rPr>
          <w:rFonts w:ascii="Times New Roman" w:hAnsi="Times New Roman" w:cs="Times New Roman"/>
        </w:rPr>
      </w:pPr>
      <w:r w:rsidRPr="0004651D">
        <w:rPr>
          <w:rFonts w:ascii="Times New Roman" w:hAnsi="Times New Roman" w:cs="Times New Roman"/>
        </w:rPr>
        <w:t>This absence does not indicate that elite women were excluded from domestic religion, but rather that such practices are underrepresented in the archaeological record. Consequently, visibility in surviving evidence does not equate to importance in lived experience.</w:t>
      </w:r>
    </w:p>
    <w:p w14:paraId="6A8A4211" w14:textId="77777777" w:rsidR="00E016F0" w:rsidRPr="0004651D" w:rsidRDefault="00E016F0" w:rsidP="00E016F0">
      <w:pPr>
        <w:rPr>
          <w:rFonts w:ascii="Times New Roman" w:hAnsi="Times New Roman" w:cs="Times New Roman"/>
        </w:rPr>
      </w:pPr>
      <w:r w:rsidRPr="0004651D">
        <w:rPr>
          <w:rFonts w:ascii="Times New Roman" w:hAnsi="Times New Roman" w:cs="Times New Roman"/>
        </w:rPr>
        <w:t>The contrast between Merit and Hetepet therefore reveals not a divide between religious and non-religious lives, but different modes of engagement within the same religious system. Hetepet’s religious identity is institutionally visible, structured through formal roles and public ritual. Merit’s religious experience, by contrast, is less formally documented but likely more continuous and embedded in daily life, shaped by household practice, material culture, and personal devotion.</w:t>
      </w:r>
    </w:p>
    <w:p w14:paraId="55158388" w14:textId="4B51B939"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This comparison supports a broader argument that ancient Egyptian religion cannot be understood solely through temple institutions or elite representation. While formal structures articulated theological and political order, they coexisted with domestic and personal forms of practice that were equally significant in shaping lived religious experience. </w:t>
      </w:r>
      <w:r w:rsidR="00006DC3">
        <w:rPr>
          <w:rFonts w:ascii="Times New Roman" w:hAnsi="Times New Roman" w:cs="Times New Roman"/>
        </w:rPr>
        <w:t>Household</w:t>
      </w:r>
      <w:r w:rsidRPr="0004651D">
        <w:rPr>
          <w:rFonts w:ascii="Times New Roman" w:hAnsi="Times New Roman" w:cs="Times New Roman"/>
        </w:rPr>
        <w:t xml:space="preserve"> religion, though less visible, may therefore have been more immediate and pervasive.</w:t>
      </w:r>
    </w:p>
    <w:p w14:paraId="3563CDD3" w14:textId="3BC352C3" w:rsidR="00E016F0" w:rsidRPr="0004651D" w:rsidRDefault="00E016F0" w:rsidP="00E016F0">
      <w:pPr>
        <w:rPr>
          <w:rFonts w:ascii="Times New Roman" w:hAnsi="Times New Roman" w:cs="Times New Roman"/>
        </w:rPr>
      </w:pPr>
      <w:r w:rsidRPr="0004651D">
        <w:rPr>
          <w:rFonts w:ascii="Times New Roman" w:hAnsi="Times New Roman" w:cs="Times New Roman"/>
        </w:rPr>
        <w:t xml:space="preserve">Ultimately, the study of domestic religion complicates hierarchical models of access by showing that exclusion from formal structures did not equate to exclusion from religious life. Instead, religious experience operated across multiple levels, producing different but </w:t>
      </w:r>
      <w:r w:rsidRPr="0004651D">
        <w:rPr>
          <w:rFonts w:ascii="Times New Roman" w:hAnsi="Times New Roman" w:cs="Times New Roman"/>
        </w:rPr>
        <w:lastRenderedPageBreak/>
        <w:t xml:space="preserve">overlapping forms of engagement. </w:t>
      </w:r>
      <w:r w:rsidR="00C85F1B">
        <w:rPr>
          <w:rFonts w:ascii="Times New Roman" w:hAnsi="Times New Roman" w:cs="Times New Roman"/>
        </w:rPr>
        <w:t>Therefore</w:t>
      </w:r>
      <w:r w:rsidRPr="0004651D">
        <w:rPr>
          <w:rFonts w:ascii="Times New Roman" w:hAnsi="Times New Roman" w:cs="Times New Roman"/>
        </w:rPr>
        <w:t>, Merit’s religious world, though less monumentalised, may have been more continuous and embedded in everyday life.</w:t>
      </w:r>
    </w:p>
    <w:p w14:paraId="2FE7ECA6" w14:textId="3B2CDF42" w:rsidR="00B918DC" w:rsidRPr="0004651D" w:rsidRDefault="00E95614" w:rsidP="000A5411">
      <w:pPr>
        <w:rPr>
          <w:rFonts w:ascii="Times New Roman" w:hAnsi="Times New Roman" w:cs="Times New Roman"/>
          <w:b/>
          <w:bCs/>
          <w:u w:val="single"/>
        </w:rPr>
      </w:pPr>
      <w:r w:rsidRPr="0004651D">
        <w:rPr>
          <w:rFonts w:ascii="Times New Roman" w:hAnsi="Times New Roman" w:cs="Times New Roman"/>
          <w:b/>
          <w:bCs/>
          <w:u w:val="single"/>
        </w:rPr>
        <w:t>Funerary Ritual and Female Religious Identity</w:t>
      </w:r>
    </w:p>
    <w:p w14:paraId="65175087" w14:textId="55D1A4B8" w:rsidR="001A3452" w:rsidRPr="001A3452" w:rsidRDefault="001A3452" w:rsidP="001A3452">
      <w:pPr>
        <w:rPr>
          <w:rFonts w:ascii="Times New Roman" w:hAnsi="Times New Roman" w:cs="Times New Roman"/>
        </w:rPr>
      </w:pPr>
      <w:r w:rsidRPr="001A3452">
        <w:rPr>
          <w:rFonts w:ascii="Times New Roman" w:hAnsi="Times New Roman" w:cs="Times New Roman"/>
        </w:rPr>
        <w:t xml:space="preserve">Funerary practice reveals notable differences in how </w:t>
      </w:r>
      <w:proofErr w:type="spellStart"/>
      <w:r w:rsidRPr="001A3452">
        <w:rPr>
          <w:rFonts w:ascii="Times New Roman" w:hAnsi="Times New Roman" w:cs="Times New Roman"/>
        </w:rPr>
        <w:t>Hetepet</w:t>
      </w:r>
      <w:proofErr w:type="spellEnd"/>
      <w:r w:rsidRPr="001A3452">
        <w:rPr>
          <w:rFonts w:ascii="Times New Roman" w:hAnsi="Times New Roman" w:cs="Times New Roman"/>
        </w:rPr>
        <w:t xml:space="preserve"> and Merit’s religious beliefs were expressed in their burials, as well as the degree of control they may have had over their planning. While there was broad consistency in underlying religious aims – particularly protection, continuity, and a successful transition to the afterlife – the ways in which these were pursued differed in material form and scale. </w:t>
      </w:r>
    </w:p>
    <w:p w14:paraId="5C798955" w14:textId="61005705" w:rsidR="000B25A9" w:rsidRPr="0004651D" w:rsidRDefault="000B25A9" w:rsidP="00E016F0">
      <w:pPr>
        <w:pStyle w:val="NormalWeb"/>
        <w:rPr>
          <w:rFonts w:eastAsiaTheme="minorHAnsi"/>
          <w:kern w:val="2"/>
          <w:lang w:eastAsia="en-US"/>
          <w14:ligatures w14:val="standardContextual"/>
        </w:rPr>
      </w:pPr>
      <w:r w:rsidRPr="0004651D">
        <w:rPr>
          <w:noProof/>
        </w:rPr>
        <w:drawing>
          <wp:inline distT="0" distB="0" distL="0" distR="0" wp14:anchorId="1A2BB34D" wp14:editId="198A42F4">
            <wp:extent cx="4483330" cy="2400423"/>
            <wp:effectExtent l="0" t="0" r="0" b="0"/>
            <wp:docPr id="531584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584723" name=""/>
                    <pic:cNvPicPr/>
                  </pic:nvPicPr>
                  <pic:blipFill>
                    <a:blip r:embed="rId8"/>
                    <a:stretch>
                      <a:fillRect/>
                    </a:stretch>
                  </pic:blipFill>
                  <pic:spPr>
                    <a:xfrm>
                      <a:off x="0" y="0"/>
                      <a:ext cx="4483330" cy="2400423"/>
                    </a:xfrm>
                    <a:prstGeom prst="rect">
                      <a:avLst/>
                    </a:prstGeom>
                  </pic:spPr>
                </pic:pic>
              </a:graphicData>
            </a:graphic>
          </wp:inline>
        </w:drawing>
      </w:r>
    </w:p>
    <w:p w14:paraId="236787AE" w14:textId="3BDF8D7F" w:rsidR="00B73440" w:rsidRPr="00187D75" w:rsidRDefault="00B73440" w:rsidP="00C621CE">
      <w:pPr>
        <w:rPr>
          <w:rFonts w:ascii="Times New Roman" w:hAnsi="Times New Roman" w:cs="Times New Roman"/>
          <w:b/>
          <w:bCs/>
          <w:sz w:val="22"/>
          <w:szCs w:val="22"/>
        </w:rPr>
      </w:pPr>
      <w:r w:rsidRPr="00187D75">
        <w:rPr>
          <w:rFonts w:ascii="Times New Roman" w:hAnsi="Times New Roman" w:cs="Times New Roman"/>
          <w:b/>
          <w:bCs/>
          <w:sz w:val="22"/>
          <w:szCs w:val="22"/>
        </w:rPr>
        <w:t xml:space="preserve">Figure </w:t>
      </w:r>
      <w:r w:rsidR="00BB7A0F" w:rsidRPr="00187D75">
        <w:rPr>
          <w:rFonts w:ascii="Times New Roman" w:hAnsi="Times New Roman" w:cs="Times New Roman"/>
          <w:b/>
          <w:bCs/>
          <w:sz w:val="22"/>
          <w:szCs w:val="22"/>
        </w:rPr>
        <w:t>2</w:t>
      </w:r>
      <w:r w:rsidR="00187D75">
        <w:rPr>
          <w:rFonts w:ascii="Times New Roman" w:hAnsi="Times New Roman" w:cs="Times New Roman"/>
          <w:b/>
          <w:bCs/>
          <w:sz w:val="22"/>
          <w:szCs w:val="22"/>
        </w:rPr>
        <w:t xml:space="preserve">. </w:t>
      </w:r>
      <w:r w:rsidRPr="00187D75">
        <w:rPr>
          <w:rFonts w:ascii="Times New Roman" w:hAnsi="Times New Roman" w:cs="Times New Roman"/>
          <w:i/>
          <w:iCs/>
          <w:sz w:val="22"/>
          <w:szCs w:val="22"/>
        </w:rPr>
        <w:t xml:space="preserve">Relief from the tomb of </w:t>
      </w:r>
      <w:proofErr w:type="spellStart"/>
      <w:r w:rsidRPr="00187D75">
        <w:rPr>
          <w:rFonts w:ascii="Times New Roman" w:hAnsi="Times New Roman" w:cs="Times New Roman"/>
          <w:i/>
          <w:iCs/>
          <w:sz w:val="22"/>
          <w:szCs w:val="22"/>
        </w:rPr>
        <w:t>Hetepet</w:t>
      </w:r>
      <w:proofErr w:type="spellEnd"/>
      <w:r w:rsidRPr="00187D75">
        <w:rPr>
          <w:rFonts w:ascii="Times New Roman" w:hAnsi="Times New Roman" w:cs="Times New Roman"/>
          <w:i/>
          <w:iCs/>
          <w:sz w:val="22"/>
          <w:szCs w:val="22"/>
        </w:rPr>
        <w:t>: Boat ride on the lotus pond.</w:t>
      </w:r>
      <w:r w:rsidRPr="00187D75">
        <w:rPr>
          <w:rFonts w:ascii="Times New Roman" w:hAnsi="Times New Roman" w:cs="Times New Roman"/>
          <w:sz w:val="22"/>
          <w:szCs w:val="22"/>
        </w:rPr>
        <w:br/>
        <w:t xml:space="preserve">Note. Limestone relief, c. 2300 BCE, from the collection of the </w:t>
      </w:r>
      <w:r w:rsidR="001A3452" w:rsidRPr="00187D75">
        <w:rPr>
          <w:rFonts w:ascii="Times New Roman" w:hAnsi="Times New Roman" w:cs="Times New Roman"/>
          <w:sz w:val="22"/>
          <w:szCs w:val="22"/>
        </w:rPr>
        <w:t>Egyptian</w:t>
      </w:r>
      <w:r w:rsidRPr="00187D75">
        <w:rPr>
          <w:rFonts w:ascii="Times New Roman" w:hAnsi="Times New Roman" w:cs="Times New Roman"/>
          <w:sz w:val="22"/>
          <w:szCs w:val="22"/>
        </w:rPr>
        <w:t xml:space="preserve"> Museum </w:t>
      </w:r>
      <w:r w:rsidR="001A3452" w:rsidRPr="00187D75">
        <w:rPr>
          <w:rFonts w:ascii="Times New Roman" w:hAnsi="Times New Roman" w:cs="Times New Roman"/>
          <w:sz w:val="22"/>
          <w:szCs w:val="22"/>
        </w:rPr>
        <w:t>and</w:t>
      </w:r>
      <w:r w:rsidRPr="00187D75">
        <w:rPr>
          <w:rFonts w:ascii="Times New Roman" w:hAnsi="Times New Roman" w:cs="Times New Roman"/>
          <w:sz w:val="22"/>
          <w:szCs w:val="22"/>
        </w:rPr>
        <w:t xml:space="preserve"> </w:t>
      </w:r>
      <w:r w:rsidR="001A3452" w:rsidRPr="00187D75">
        <w:rPr>
          <w:rFonts w:ascii="Times New Roman" w:hAnsi="Times New Roman" w:cs="Times New Roman"/>
          <w:sz w:val="22"/>
          <w:szCs w:val="22"/>
        </w:rPr>
        <w:t>Papyrus Collection</w:t>
      </w:r>
      <w:r w:rsidRPr="00187D75">
        <w:rPr>
          <w:rFonts w:ascii="Times New Roman" w:hAnsi="Times New Roman" w:cs="Times New Roman"/>
          <w:sz w:val="22"/>
          <w:szCs w:val="22"/>
        </w:rPr>
        <w:t xml:space="preserve">, </w:t>
      </w:r>
      <w:r w:rsidR="001A3452" w:rsidRPr="00187D75">
        <w:rPr>
          <w:rFonts w:ascii="Times New Roman" w:hAnsi="Times New Roman" w:cs="Times New Roman"/>
          <w:sz w:val="22"/>
          <w:szCs w:val="22"/>
        </w:rPr>
        <w:t xml:space="preserve">National Museum in </w:t>
      </w:r>
      <w:r w:rsidRPr="00187D75">
        <w:rPr>
          <w:rFonts w:ascii="Times New Roman" w:hAnsi="Times New Roman" w:cs="Times New Roman"/>
          <w:sz w:val="22"/>
          <w:szCs w:val="22"/>
        </w:rPr>
        <w:t>Berlin.</w:t>
      </w:r>
      <w:r w:rsidRPr="00187D75">
        <w:rPr>
          <w:rFonts w:ascii="Times New Roman" w:hAnsi="Times New Roman" w:cs="Times New Roman"/>
          <w:b/>
          <w:bCs/>
          <w:sz w:val="22"/>
          <w:szCs w:val="22"/>
        </w:rPr>
        <w:t xml:space="preserve"> </w:t>
      </w:r>
    </w:p>
    <w:p w14:paraId="0812036F" w14:textId="3C6FC713" w:rsidR="00F01CE6" w:rsidRPr="0004651D" w:rsidRDefault="00F01CE6" w:rsidP="00C621CE">
      <w:pPr>
        <w:rPr>
          <w:rFonts w:ascii="Times New Roman" w:hAnsi="Times New Roman" w:cs="Times New Roman"/>
        </w:rPr>
      </w:pPr>
      <w:proofErr w:type="spellStart"/>
      <w:r w:rsidRPr="0004651D">
        <w:rPr>
          <w:rFonts w:ascii="Times New Roman" w:hAnsi="Times New Roman" w:cs="Times New Roman"/>
        </w:rPr>
        <w:t>Hetepet’s</w:t>
      </w:r>
      <w:proofErr w:type="spellEnd"/>
      <w:r w:rsidRPr="0004651D">
        <w:rPr>
          <w:rFonts w:ascii="Times New Roman" w:hAnsi="Times New Roman" w:cs="Times New Roman"/>
        </w:rPr>
        <w:t xml:space="preserve"> tomb</w:t>
      </w:r>
      <w:r w:rsidR="0004287D">
        <w:rPr>
          <w:rFonts w:ascii="Times New Roman" w:hAnsi="Times New Roman" w:cs="Times New Roman"/>
        </w:rPr>
        <w:t xml:space="preserve">, whilst containing well-preserved artwork, did not include any funerary items. However, the images </w:t>
      </w:r>
      <w:r w:rsidRPr="0004651D">
        <w:rPr>
          <w:rFonts w:ascii="Times New Roman" w:hAnsi="Times New Roman" w:cs="Times New Roman"/>
        </w:rPr>
        <w:t xml:space="preserve">demonstrate how elite status shaped women’s access to religious expression and preparation for the afterlife. </w:t>
      </w:r>
      <w:r w:rsidR="0004287D">
        <w:rPr>
          <w:rFonts w:ascii="Times New Roman" w:hAnsi="Times New Roman" w:cs="Times New Roman"/>
        </w:rPr>
        <w:t>The tomb’s</w:t>
      </w:r>
      <w:r w:rsidRPr="0004651D">
        <w:rPr>
          <w:rFonts w:ascii="Times New Roman" w:hAnsi="Times New Roman" w:cs="Times New Roman"/>
        </w:rPr>
        <w:t xml:space="preserve"> extensive decoration and ritual imagery suggest that elite women could materially construct their eternal identity in ways unavailable to most Egyptians. The repeated depictions of Hetepet alone</w:t>
      </w:r>
      <w:r w:rsidR="00F20926" w:rsidRPr="0004651D">
        <w:rPr>
          <w:rFonts w:ascii="Times New Roman" w:hAnsi="Times New Roman" w:cs="Times New Roman"/>
        </w:rPr>
        <w:t xml:space="preserve">, </w:t>
      </w:r>
      <w:r w:rsidRPr="0004651D">
        <w:rPr>
          <w:rFonts w:ascii="Times New Roman" w:hAnsi="Times New Roman" w:cs="Times New Roman"/>
        </w:rPr>
        <w:t>further emphasise her religious importance and individual status</w:t>
      </w:r>
      <w:r w:rsidR="0004287D">
        <w:rPr>
          <w:rFonts w:ascii="Times New Roman" w:hAnsi="Times New Roman" w:cs="Times New Roman"/>
        </w:rPr>
        <w:t xml:space="preserve"> (</w:t>
      </w:r>
      <w:r w:rsidR="0004287D" w:rsidRPr="0004651D">
        <w:rPr>
          <w:rFonts w:ascii="Times New Roman" w:hAnsi="Times New Roman" w:cs="Times New Roman"/>
        </w:rPr>
        <w:t>Woods, 201</w:t>
      </w:r>
      <w:r w:rsidR="00006DC3">
        <w:rPr>
          <w:rFonts w:ascii="Times New Roman" w:hAnsi="Times New Roman" w:cs="Times New Roman"/>
        </w:rPr>
        <w:t>2</w:t>
      </w:r>
      <w:r w:rsidR="0004287D">
        <w:rPr>
          <w:rFonts w:ascii="Times New Roman" w:hAnsi="Times New Roman" w:cs="Times New Roman"/>
        </w:rPr>
        <w:t>)</w:t>
      </w:r>
      <w:r w:rsidRPr="0004651D">
        <w:rPr>
          <w:rFonts w:ascii="Times New Roman" w:hAnsi="Times New Roman" w:cs="Times New Roman"/>
        </w:rPr>
        <w:t xml:space="preserve">. </w:t>
      </w:r>
      <w:r w:rsidR="00306C45">
        <w:rPr>
          <w:rFonts w:ascii="Times New Roman" w:hAnsi="Times New Roman" w:cs="Times New Roman"/>
        </w:rPr>
        <w:t>Images</w:t>
      </w:r>
      <w:r w:rsidRPr="0004651D">
        <w:rPr>
          <w:rFonts w:ascii="Times New Roman" w:hAnsi="Times New Roman" w:cs="Times New Roman"/>
        </w:rPr>
        <w:t xml:space="preserve"> such as the lotus flower</w:t>
      </w:r>
      <w:r w:rsidR="003468C5">
        <w:rPr>
          <w:rFonts w:ascii="Times New Roman" w:hAnsi="Times New Roman" w:cs="Times New Roman"/>
        </w:rPr>
        <w:t xml:space="preserve"> (see Figure </w:t>
      </w:r>
      <w:r w:rsidR="00BB7A0F">
        <w:rPr>
          <w:rFonts w:ascii="Times New Roman" w:hAnsi="Times New Roman" w:cs="Times New Roman"/>
        </w:rPr>
        <w:t>2</w:t>
      </w:r>
      <w:r w:rsidR="003468C5">
        <w:rPr>
          <w:rFonts w:ascii="Times New Roman" w:hAnsi="Times New Roman" w:cs="Times New Roman"/>
        </w:rPr>
        <w:t>)</w:t>
      </w:r>
      <w:r w:rsidRPr="0004651D">
        <w:rPr>
          <w:rFonts w:ascii="Times New Roman" w:hAnsi="Times New Roman" w:cs="Times New Roman"/>
        </w:rPr>
        <w:t>, symbolising rebirth, reinforced ideas of regeneration and divine favour. Rather than serving a purely decorative purpose, these scenes functioned as a means of securing continuity, status, and spiritual protection in the afterlife (Assmann, 2001; Taylor, 2001).</w:t>
      </w:r>
    </w:p>
    <w:p w14:paraId="0EE5957B" w14:textId="7A031DEE" w:rsidR="00077001" w:rsidRPr="0004651D" w:rsidRDefault="00077001" w:rsidP="00E016F0">
      <w:pPr>
        <w:pStyle w:val="NormalWeb"/>
        <w:rPr>
          <w:rFonts w:eastAsiaTheme="minorHAnsi"/>
          <w:kern w:val="2"/>
          <w:lang w:eastAsia="en-US"/>
          <w14:ligatures w14:val="standardContextual"/>
        </w:rPr>
      </w:pPr>
      <w:r w:rsidRPr="0004651D">
        <w:rPr>
          <w:rFonts w:eastAsiaTheme="minorHAnsi"/>
          <w:noProof/>
          <w:kern w:val="2"/>
          <w:lang w:eastAsia="en-US"/>
          <w14:ligatures w14:val="standardContextual"/>
        </w:rPr>
        <w:lastRenderedPageBreak/>
        <w:drawing>
          <wp:inline distT="0" distB="0" distL="0" distR="0" wp14:anchorId="64A02906" wp14:editId="6DF2F20F">
            <wp:extent cx="2604977" cy="3538426"/>
            <wp:effectExtent l="0" t="0" r="5080" b="5080"/>
            <wp:docPr id="1651054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054497" name=""/>
                    <pic:cNvPicPr/>
                  </pic:nvPicPr>
                  <pic:blipFill>
                    <a:blip r:embed="rId9"/>
                    <a:stretch>
                      <a:fillRect/>
                    </a:stretch>
                  </pic:blipFill>
                  <pic:spPr>
                    <a:xfrm>
                      <a:off x="0" y="0"/>
                      <a:ext cx="2608277" cy="3542909"/>
                    </a:xfrm>
                    <a:prstGeom prst="rect">
                      <a:avLst/>
                    </a:prstGeom>
                  </pic:spPr>
                </pic:pic>
              </a:graphicData>
            </a:graphic>
          </wp:inline>
        </w:drawing>
      </w:r>
    </w:p>
    <w:p w14:paraId="3279701C" w14:textId="1A42073B" w:rsidR="003468C5" w:rsidRPr="00187D75" w:rsidRDefault="00077001" w:rsidP="003468C5">
      <w:pPr>
        <w:pStyle w:val="NormalWeb"/>
        <w:rPr>
          <w:sz w:val="22"/>
          <w:szCs w:val="22"/>
        </w:rPr>
      </w:pPr>
      <w:r w:rsidRPr="00187D75">
        <w:rPr>
          <w:rFonts w:eastAsiaTheme="minorHAnsi"/>
          <w:b/>
          <w:bCs/>
          <w:kern w:val="2"/>
          <w:sz w:val="22"/>
          <w:szCs w:val="22"/>
          <w:lang w:eastAsia="en-US"/>
          <w14:ligatures w14:val="standardContextual"/>
        </w:rPr>
        <w:t>Fig</w:t>
      </w:r>
      <w:r w:rsidR="003468C5" w:rsidRPr="00187D75">
        <w:rPr>
          <w:rFonts w:eastAsiaTheme="minorHAnsi"/>
          <w:b/>
          <w:bCs/>
          <w:kern w:val="2"/>
          <w:sz w:val="22"/>
          <w:szCs w:val="22"/>
          <w:lang w:eastAsia="en-US"/>
          <w14:ligatures w14:val="standardContextual"/>
        </w:rPr>
        <w:t>ure</w:t>
      </w:r>
      <w:r w:rsidRPr="00187D75">
        <w:rPr>
          <w:rFonts w:eastAsiaTheme="minorHAnsi"/>
          <w:b/>
          <w:bCs/>
          <w:kern w:val="2"/>
          <w:sz w:val="22"/>
          <w:szCs w:val="22"/>
          <w:lang w:eastAsia="en-US"/>
          <w14:ligatures w14:val="standardContextual"/>
        </w:rPr>
        <w:t xml:space="preserve"> </w:t>
      </w:r>
      <w:r w:rsidR="00BB7A0F" w:rsidRPr="00187D75">
        <w:rPr>
          <w:rFonts w:eastAsiaTheme="minorHAnsi"/>
          <w:b/>
          <w:bCs/>
          <w:kern w:val="2"/>
          <w:sz w:val="22"/>
          <w:szCs w:val="22"/>
          <w:lang w:eastAsia="en-US"/>
          <w14:ligatures w14:val="standardContextual"/>
        </w:rPr>
        <w:t>3</w:t>
      </w:r>
      <w:r w:rsidRPr="00187D75">
        <w:rPr>
          <w:rFonts w:eastAsiaTheme="minorHAnsi"/>
          <w:kern w:val="2"/>
          <w:sz w:val="22"/>
          <w:szCs w:val="22"/>
          <w:lang w:eastAsia="en-US"/>
          <w14:ligatures w14:val="standardContextual"/>
        </w:rPr>
        <w:t xml:space="preserve">. </w:t>
      </w:r>
      <w:r w:rsidRPr="00187D75">
        <w:rPr>
          <w:rFonts w:eastAsiaTheme="minorHAnsi"/>
          <w:i/>
          <w:iCs/>
          <w:kern w:val="2"/>
          <w:sz w:val="22"/>
          <w:szCs w:val="22"/>
          <w:lang w:eastAsia="en-US"/>
          <w14:ligatures w14:val="standardContextual"/>
        </w:rPr>
        <w:t xml:space="preserve">Funerary </w:t>
      </w:r>
      <w:r w:rsidR="003468C5" w:rsidRPr="00187D75">
        <w:rPr>
          <w:rFonts w:eastAsiaTheme="minorHAnsi"/>
          <w:i/>
          <w:iCs/>
          <w:kern w:val="2"/>
          <w:sz w:val="22"/>
          <w:szCs w:val="22"/>
          <w:lang w:eastAsia="en-US"/>
          <w14:ligatures w14:val="standardContextual"/>
        </w:rPr>
        <w:t>m</w:t>
      </w:r>
      <w:r w:rsidRPr="00187D75">
        <w:rPr>
          <w:rFonts w:eastAsiaTheme="minorHAnsi"/>
          <w:i/>
          <w:iCs/>
          <w:kern w:val="2"/>
          <w:sz w:val="22"/>
          <w:szCs w:val="22"/>
          <w:lang w:eastAsia="en-US"/>
          <w14:ligatures w14:val="standardContextual"/>
        </w:rPr>
        <w:t>ask of Merit (S.8473)</w:t>
      </w:r>
      <w:r w:rsidR="003468C5" w:rsidRPr="00187D75">
        <w:rPr>
          <w:rFonts w:eastAsiaTheme="minorHAnsi"/>
          <w:i/>
          <w:iCs/>
          <w:kern w:val="2"/>
          <w:sz w:val="22"/>
          <w:szCs w:val="22"/>
          <w:lang w:eastAsia="en-US"/>
          <w14:ligatures w14:val="standardContextual"/>
        </w:rPr>
        <w:t xml:space="preserve">. </w:t>
      </w:r>
      <w:r w:rsidR="003468C5" w:rsidRPr="00187D75">
        <w:rPr>
          <w:rFonts w:eastAsiaTheme="minorHAnsi"/>
          <w:kern w:val="2"/>
          <w:sz w:val="22"/>
          <w:szCs w:val="22"/>
          <w:lang w:eastAsia="en-US"/>
          <w14:ligatures w14:val="standardContextual"/>
        </w:rPr>
        <w:t xml:space="preserve">Note. From </w:t>
      </w:r>
      <w:r w:rsidR="003468C5" w:rsidRPr="00187D75">
        <w:rPr>
          <w:i/>
          <w:iCs/>
          <w:sz w:val="22"/>
          <w:szCs w:val="22"/>
        </w:rPr>
        <w:t xml:space="preserve">Gilded Flesh: Coffins and Afterlife in Ancient Egypt. </w:t>
      </w:r>
      <w:r w:rsidR="003468C5" w:rsidRPr="00187D75">
        <w:rPr>
          <w:sz w:val="22"/>
          <w:szCs w:val="22"/>
        </w:rPr>
        <w:t>(p.82</w:t>
      </w:r>
      <w:r w:rsidR="003468C5" w:rsidRPr="00187D75">
        <w:rPr>
          <w:i/>
          <w:iCs/>
          <w:sz w:val="22"/>
          <w:szCs w:val="22"/>
        </w:rPr>
        <w:t xml:space="preserve">), </w:t>
      </w:r>
      <w:r w:rsidR="003468C5" w:rsidRPr="00187D75">
        <w:rPr>
          <w:sz w:val="22"/>
          <w:szCs w:val="22"/>
        </w:rPr>
        <w:t>by R. Sousa, 2019,</w:t>
      </w:r>
      <w:r w:rsidR="003468C5" w:rsidRPr="00187D75">
        <w:rPr>
          <w:i/>
          <w:iCs/>
          <w:sz w:val="22"/>
          <w:szCs w:val="22"/>
        </w:rPr>
        <w:t xml:space="preserve"> </w:t>
      </w:r>
      <w:r w:rsidR="003468C5" w:rsidRPr="00187D75">
        <w:rPr>
          <w:sz w:val="22"/>
          <w:szCs w:val="22"/>
        </w:rPr>
        <w:t>Oxford: Oxbow Books</w:t>
      </w:r>
    </w:p>
    <w:p w14:paraId="57CBFF89" w14:textId="1E1063A5" w:rsidR="00F4017E" w:rsidRPr="0004651D" w:rsidRDefault="00F4017E" w:rsidP="00C621CE">
      <w:pPr>
        <w:rPr>
          <w:rFonts w:ascii="Times New Roman" w:hAnsi="Times New Roman" w:cs="Times New Roman"/>
        </w:rPr>
      </w:pPr>
      <w:r w:rsidRPr="0004651D">
        <w:rPr>
          <w:rFonts w:ascii="Times New Roman" w:hAnsi="Times New Roman" w:cs="Times New Roman"/>
        </w:rPr>
        <w:t xml:space="preserve">In contrast, </w:t>
      </w:r>
      <w:r w:rsidR="00306C45">
        <w:rPr>
          <w:rFonts w:ascii="Times New Roman" w:hAnsi="Times New Roman" w:cs="Times New Roman"/>
        </w:rPr>
        <w:t xml:space="preserve">although Merit and Kha’s burial reflected their wealthy status, </w:t>
      </w:r>
      <w:r w:rsidRPr="0004651D">
        <w:rPr>
          <w:rFonts w:ascii="Times New Roman" w:hAnsi="Times New Roman" w:cs="Times New Roman"/>
        </w:rPr>
        <w:t>Merit’s funerary practices were more modest and reflect the limitations placed on non-priestly women’s religious expression. Unlike Hetepet’s tomb, which centred solely on her status and identity, Merit was buried alongside her husband, whose burial goods were more elaborate and visually dominant</w:t>
      </w:r>
      <w:r w:rsidR="0004287D">
        <w:rPr>
          <w:rFonts w:ascii="Times New Roman" w:hAnsi="Times New Roman" w:cs="Times New Roman"/>
        </w:rPr>
        <w:t xml:space="preserve"> than hers</w:t>
      </w:r>
      <w:r w:rsidRPr="0004651D">
        <w:rPr>
          <w:rFonts w:ascii="Times New Roman" w:hAnsi="Times New Roman" w:cs="Times New Roman"/>
        </w:rPr>
        <w:t xml:space="preserve">, reinforcing his higher social position (Meskell, 1998). </w:t>
      </w:r>
      <w:r w:rsidR="0019456C" w:rsidRPr="0004651D">
        <w:rPr>
          <w:rFonts w:ascii="Times New Roman" w:hAnsi="Times New Roman" w:cs="Times New Roman"/>
        </w:rPr>
        <w:t xml:space="preserve">The joint burial contained many household items, such as food, </w:t>
      </w:r>
      <w:r w:rsidR="0004287D">
        <w:rPr>
          <w:rFonts w:ascii="Times New Roman" w:hAnsi="Times New Roman" w:cs="Times New Roman"/>
        </w:rPr>
        <w:t>cosmetic</w:t>
      </w:r>
      <w:r w:rsidR="0019456C" w:rsidRPr="0004651D">
        <w:rPr>
          <w:rFonts w:ascii="Times New Roman" w:hAnsi="Times New Roman" w:cs="Times New Roman"/>
        </w:rPr>
        <w:t xml:space="preserve"> items, clothing and ornaments</w:t>
      </w:r>
      <w:r w:rsidR="0004287D">
        <w:rPr>
          <w:rFonts w:ascii="Times New Roman" w:hAnsi="Times New Roman" w:cs="Times New Roman"/>
        </w:rPr>
        <w:t>,</w:t>
      </w:r>
      <w:r w:rsidR="0019456C" w:rsidRPr="0004651D">
        <w:rPr>
          <w:rFonts w:ascii="Times New Roman" w:hAnsi="Times New Roman" w:cs="Times New Roman"/>
        </w:rPr>
        <w:t xml:space="preserve"> suggesting that Kha was trying to recreate his home in the afterlife (Sousa, 2019), </w:t>
      </w:r>
      <w:r w:rsidRPr="0004651D">
        <w:rPr>
          <w:rFonts w:ascii="Times New Roman" w:hAnsi="Times New Roman" w:cs="Times New Roman"/>
        </w:rPr>
        <w:t xml:space="preserve">Nevertheless, Merit’s burial demonstrates meaningful engagement with afterlife beliefs. </w:t>
      </w:r>
      <w:r w:rsidR="00646D01" w:rsidRPr="0004651D">
        <w:rPr>
          <w:rFonts w:ascii="Times New Roman" w:hAnsi="Times New Roman" w:cs="Times New Roman"/>
        </w:rPr>
        <w:t xml:space="preserve">Her beautiful funerary mask </w:t>
      </w:r>
      <w:r w:rsidR="003468C5">
        <w:rPr>
          <w:rFonts w:ascii="Times New Roman" w:hAnsi="Times New Roman" w:cs="Times New Roman"/>
        </w:rPr>
        <w:t xml:space="preserve">(see Figure </w:t>
      </w:r>
      <w:r w:rsidR="00BB7A0F">
        <w:rPr>
          <w:rFonts w:ascii="Times New Roman" w:hAnsi="Times New Roman" w:cs="Times New Roman"/>
        </w:rPr>
        <w:t>3</w:t>
      </w:r>
      <w:r w:rsidR="003468C5">
        <w:rPr>
          <w:rFonts w:ascii="Times New Roman" w:hAnsi="Times New Roman" w:cs="Times New Roman"/>
        </w:rPr>
        <w:t xml:space="preserve">) </w:t>
      </w:r>
      <w:r w:rsidR="00646D01" w:rsidRPr="0004651D">
        <w:rPr>
          <w:rFonts w:ascii="Times New Roman" w:hAnsi="Times New Roman" w:cs="Times New Roman"/>
        </w:rPr>
        <w:t>symbolises protection and resurrection of the deceased (Sousa, 2019). Further o</w:t>
      </w:r>
      <w:r w:rsidRPr="0004651D">
        <w:rPr>
          <w:rFonts w:ascii="Times New Roman" w:hAnsi="Times New Roman" w:cs="Times New Roman"/>
        </w:rPr>
        <w:t>bjects such as amulets, jewellery, and her girdle of gold cowrie shells were intended to provide protection and spiritual security in the afterlife (Meskell, 1998; Meskell, 2002). These items acted as smaller-scale expressions of the same religious concerns seen in elite tombs, though without the architectural scale or ritual prominence available to women such as Hetepet (Taylor, 2001).</w:t>
      </w:r>
    </w:p>
    <w:p w14:paraId="57FC964A" w14:textId="4705B8D9" w:rsidR="008C308E" w:rsidRPr="0004651D" w:rsidRDefault="000A5411" w:rsidP="00C621CE">
      <w:pPr>
        <w:rPr>
          <w:rFonts w:ascii="Times New Roman" w:hAnsi="Times New Roman" w:cs="Times New Roman"/>
        </w:rPr>
      </w:pPr>
      <w:r w:rsidRPr="0004651D">
        <w:rPr>
          <w:rFonts w:ascii="Times New Roman" w:hAnsi="Times New Roman" w:cs="Times New Roman"/>
        </w:rPr>
        <w:t>Importantly, these differences should not be understood as reflecting fundamentally different beliefs about the afterlife. Both</w:t>
      </w:r>
      <w:r w:rsidR="00306C45">
        <w:rPr>
          <w:rFonts w:ascii="Times New Roman" w:hAnsi="Times New Roman" w:cs="Times New Roman"/>
        </w:rPr>
        <w:t xml:space="preserve"> women </w:t>
      </w:r>
      <w:r w:rsidRPr="0004651D">
        <w:rPr>
          <w:rFonts w:ascii="Times New Roman" w:hAnsi="Times New Roman" w:cs="Times New Roman"/>
        </w:rPr>
        <w:t xml:space="preserve">appear to have shared a common desire for protection, sustenance, and continuity beyond death. </w:t>
      </w:r>
    </w:p>
    <w:p w14:paraId="0A3ADA58" w14:textId="6C977C2C" w:rsidR="000A5411" w:rsidRPr="0004651D" w:rsidRDefault="00306C45" w:rsidP="00C621CE">
      <w:pPr>
        <w:rPr>
          <w:rFonts w:ascii="Times New Roman" w:hAnsi="Times New Roman" w:cs="Times New Roman"/>
        </w:rPr>
      </w:pPr>
      <w:r>
        <w:rPr>
          <w:rFonts w:ascii="Times New Roman" w:hAnsi="Times New Roman" w:cs="Times New Roman"/>
        </w:rPr>
        <w:t>However</w:t>
      </w:r>
      <w:r w:rsidR="009C3F41">
        <w:rPr>
          <w:rFonts w:ascii="Times New Roman" w:hAnsi="Times New Roman" w:cs="Times New Roman"/>
        </w:rPr>
        <w:t>,</w:t>
      </w:r>
      <w:r>
        <w:rPr>
          <w:rFonts w:ascii="Times New Roman" w:hAnsi="Times New Roman" w:cs="Times New Roman"/>
        </w:rPr>
        <w:t xml:space="preserve"> the </w:t>
      </w:r>
      <w:r w:rsidR="00971123" w:rsidRPr="0004651D">
        <w:rPr>
          <w:rFonts w:ascii="Times New Roman" w:hAnsi="Times New Roman" w:cs="Times New Roman"/>
        </w:rPr>
        <w:t>distincti</w:t>
      </w:r>
      <w:r>
        <w:rPr>
          <w:rFonts w:ascii="Times New Roman" w:hAnsi="Times New Roman" w:cs="Times New Roman"/>
        </w:rPr>
        <w:t>ve differences between the tombs</w:t>
      </w:r>
      <w:r w:rsidR="00971123" w:rsidRPr="0004651D">
        <w:rPr>
          <w:rFonts w:ascii="Times New Roman" w:hAnsi="Times New Roman" w:cs="Times New Roman"/>
        </w:rPr>
        <w:t xml:space="preserve"> </w:t>
      </w:r>
      <w:r w:rsidR="000A5411" w:rsidRPr="0004651D">
        <w:rPr>
          <w:rFonts w:ascii="Times New Roman" w:hAnsi="Times New Roman" w:cs="Times New Roman"/>
        </w:rPr>
        <w:t>highlights the extent to which access to funerary provision was shaped by social and economic factors. Hetepet’s tomb, with its extensive decoration, represents a form of afterlife preparation that was socially visible. Merit’s burial, by contrast, relied on smaller-scale, portable objects that condensed similar religious functions into more accessible forms.</w:t>
      </w:r>
      <w:r w:rsidR="00C85F1B">
        <w:rPr>
          <w:rFonts w:ascii="Times New Roman" w:hAnsi="Times New Roman" w:cs="Times New Roman"/>
        </w:rPr>
        <w:t xml:space="preserve"> Therefore</w:t>
      </w:r>
      <w:r w:rsidR="000A5411" w:rsidRPr="0004651D">
        <w:rPr>
          <w:rFonts w:ascii="Times New Roman" w:hAnsi="Times New Roman" w:cs="Times New Roman"/>
        </w:rPr>
        <w:t xml:space="preserve">, </w:t>
      </w:r>
      <w:r w:rsidR="00006DC3">
        <w:rPr>
          <w:rFonts w:ascii="Times New Roman" w:hAnsi="Times New Roman" w:cs="Times New Roman"/>
        </w:rPr>
        <w:t xml:space="preserve">less </w:t>
      </w:r>
      <w:r w:rsidR="000A5411" w:rsidRPr="0004651D">
        <w:rPr>
          <w:rFonts w:ascii="Times New Roman" w:hAnsi="Times New Roman" w:cs="Times New Roman"/>
        </w:rPr>
        <w:t xml:space="preserve">elite funerary practice can be </w:t>
      </w:r>
      <w:r w:rsidR="000A5411" w:rsidRPr="0004651D">
        <w:rPr>
          <w:rFonts w:ascii="Times New Roman" w:hAnsi="Times New Roman" w:cs="Times New Roman"/>
        </w:rPr>
        <w:lastRenderedPageBreak/>
        <w:t>seen as adaptive rather than deficient, translating shared religious concerns into materially achievable expressions.</w:t>
      </w:r>
    </w:p>
    <w:p w14:paraId="0ED72076" w14:textId="2B7697BD" w:rsidR="000A5411" w:rsidRPr="0004651D" w:rsidRDefault="000A5411" w:rsidP="00C621CE">
      <w:pPr>
        <w:rPr>
          <w:rFonts w:ascii="Times New Roman" w:hAnsi="Times New Roman" w:cs="Times New Roman"/>
        </w:rPr>
      </w:pPr>
      <w:r w:rsidRPr="0004651D">
        <w:rPr>
          <w:rFonts w:ascii="Times New Roman" w:hAnsi="Times New Roman" w:cs="Times New Roman"/>
        </w:rPr>
        <w:t xml:space="preserve">At the same time, the representational nature of elite tombs must be critically considered. As Robins </w:t>
      </w:r>
      <w:r w:rsidR="00FE0CC4" w:rsidRPr="0004651D">
        <w:rPr>
          <w:rFonts w:ascii="Times New Roman" w:hAnsi="Times New Roman" w:cs="Times New Roman"/>
        </w:rPr>
        <w:t>(</w:t>
      </w:r>
      <w:r w:rsidR="00EA5DA6" w:rsidRPr="0004651D">
        <w:rPr>
          <w:rFonts w:ascii="Times New Roman" w:hAnsi="Times New Roman" w:cs="Times New Roman"/>
        </w:rPr>
        <w:t>1993</w:t>
      </w:r>
      <w:r w:rsidR="00FE0CC4" w:rsidRPr="0004651D">
        <w:rPr>
          <w:rFonts w:ascii="Times New Roman" w:hAnsi="Times New Roman" w:cs="Times New Roman"/>
        </w:rPr>
        <w:t xml:space="preserve">) </w:t>
      </w:r>
      <w:r w:rsidR="00126DFA" w:rsidRPr="0004651D">
        <w:rPr>
          <w:rFonts w:ascii="Times New Roman" w:hAnsi="Times New Roman" w:cs="Times New Roman"/>
        </w:rPr>
        <w:t>and Meskell</w:t>
      </w:r>
      <w:r w:rsidR="00FE0CC4" w:rsidRPr="0004651D">
        <w:rPr>
          <w:rFonts w:ascii="Times New Roman" w:hAnsi="Times New Roman" w:cs="Times New Roman"/>
        </w:rPr>
        <w:t xml:space="preserve"> (</w:t>
      </w:r>
      <w:r w:rsidR="00EA5DA6" w:rsidRPr="0004651D">
        <w:rPr>
          <w:rFonts w:ascii="Times New Roman" w:hAnsi="Times New Roman" w:cs="Times New Roman"/>
        </w:rPr>
        <w:t>2002</w:t>
      </w:r>
      <w:r w:rsidR="00FE0CC4" w:rsidRPr="0004651D">
        <w:rPr>
          <w:rFonts w:ascii="Times New Roman" w:hAnsi="Times New Roman" w:cs="Times New Roman"/>
        </w:rPr>
        <w:t xml:space="preserve">) </w:t>
      </w:r>
      <w:r w:rsidRPr="0004651D">
        <w:rPr>
          <w:rFonts w:ascii="Times New Roman" w:hAnsi="Times New Roman" w:cs="Times New Roman"/>
        </w:rPr>
        <w:t>ha</w:t>
      </w:r>
      <w:r w:rsidR="00126DFA" w:rsidRPr="0004651D">
        <w:rPr>
          <w:rFonts w:ascii="Times New Roman" w:hAnsi="Times New Roman" w:cs="Times New Roman"/>
        </w:rPr>
        <w:t>ve</w:t>
      </w:r>
      <w:r w:rsidRPr="0004651D">
        <w:rPr>
          <w:rFonts w:ascii="Times New Roman" w:hAnsi="Times New Roman" w:cs="Times New Roman"/>
        </w:rPr>
        <w:t xml:space="preserve"> argued, such environments reflect idealised identities rather than lived realities, raising questions about how far they correspond to actual expectations or experiences of the afterlife. While elite tombs suggest a high degree of control over post-mortem existence, they also reveal the importance of conforming to established visual and cultural norms.</w:t>
      </w:r>
    </w:p>
    <w:p w14:paraId="3C53F7CD" w14:textId="43A3DA9B" w:rsidR="008F71AD" w:rsidRPr="0004651D" w:rsidRDefault="008F71AD" w:rsidP="00C621CE">
      <w:pPr>
        <w:rPr>
          <w:rFonts w:ascii="Times New Roman" w:hAnsi="Times New Roman" w:cs="Times New Roman"/>
        </w:rPr>
      </w:pPr>
      <w:r w:rsidRPr="0004651D">
        <w:rPr>
          <w:rFonts w:ascii="Times New Roman" w:hAnsi="Times New Roman" w:cs="Times New Roman"/>
        </w:rPr>
        <w:t xml:space="preserve">Ultimately, the comparison between Hetepet and Merit reinforces the argument that religious belief in ancient Egypt was broadly </w:t>
      </w:r>
      <w:r w:rsidR="00971123" w:rsidRPr="0004651D">
        <w:rPr>
          <w:rFonts w:ascii="Times New Roman" w:hAnsi="Times New Roman" w:cs="Times New Roman"/>
        </w:rPr>
        <w:t>shared but</w:t>
      </w:r>
      <w:r w:rsidRPr="0004651D">
        <w:rPr>
          <w:rFonts w:ascii="Times New Roman" w:hAnsi="Times New Roman" w:cs="Times New Roman"/>
        </w:rPr>
        <w:t xml:space="preserve"> expressed</w:t>
      </w:r>
      <w:r w:rsidR="00B34490">
        <w:rPr>
          <w:rFonts w:ascii="Times New Roman" w:hAnsi="Times New Roman" w:cs="Times New Roman"/>
        </w:rPr>
        <w:t xml:space="preserve"> in different ways</w:t>
      </w:r>
      <w:r w:rsidRPr="0004651D">
        <w:rPr>
          <w:rFonts w:ascii="Times New Roman" w:hAnsi="Times New Roman" w:cs="Times New Roman"/>
        </w:rPr>
        <w:t xml:space="preserve">. Both women sought continuity, protection and stability in the afterlife, yet their ability to secure these outcomes was shaped by their access to material and institutional resources. This demonstrates that while the goals of religion may have been universal, the means of achieving them remained structured by hierarchy, reflecting wider inequalities within Egyptian society. </w:t>
      </w:r>
    </w:p>
    <w:p w14:paraId="330984C3" w14:textId="0C696CF0" w:rsidR="00E160FA" w:rsidRPr="0004651D" w:rsidRDefault="00E160FA" w:rsidP="008D304F">
      <w:pPr>
        <w:pStyle w:val="NormalWeb"/>
        <w:rPr>
          <w:rFonts w:eastAsiaTheme="minorHAnsi"/>
          <w:b/>
          <w:bCs/>
          <w:kern w:val="2"/>
          <w:u w:val="single"/>
          <w:lang w:eastAsia="en-US"/>
          <w14:ligatures w14:val="standardContextual"/>
        </w:rPr>
      </w:pPr>
      <w:r w:rsidRPr="0004651D">
        <w:rPr>
          <w:rFonts w:eastAsiaTheme="minorHAnsi"/>
          <w:b/>
          <w:bCs/>
          <w:kern w:val="2"/>
          <w:u w:val="single"/>
          <w:lang w:eastAsia="en-US"/>
          <w14:ligatures w14:val="standardContextual"/>
        </w:rPr>
        <w:t>Conclusion</w:t>
      </w:r>
      <w:r w:rsidR="00E95614" w:rsidRPr="0004651D">
        <w:rPr>
          <w:rFonts w:eastAsiaTheme="minorHAnsi"/>
          <w:b/>
          <w:bCs/>
          <w:kern w:val="2"/>
          <w:u w:val="single"/>
          <w:lang w:eastAsia="en-US"/>
          <w14:ligatures w14:val="standardContextual"/>
        </w:rPr>
        <w:t>: Social Status and the Diversity of Female Religious Experience</w:t>
      </w:r>
    </w:p>
    <w:p w14:paraId="10E5C1AD" w14:textId="77777777" w:rsidR="00971123" w:rsidRPr="0004651D" w:rsidRDefault="00971123" w:rsidP="00C621CE">
      <w:pPr>
        <w:rPr>
          <w:rFonts w:ascii="Times New Roman" w:hAnsi="Times New Roman" w:cs="Times New Roman"/>
        </w:rPr>
      </w:pPr>
      <w:r w:rsidRPr="0004651D">
        <w:rPr>
          <w:rFonts w:ascii="Times New Roman" w:hAnsi="Times New Roman" w:cs="Times New Roman"/>
        </w:rPr>
        <w:t>This study has examined the religious experiences of Hetepet and Merit across formal religious structures, domestic practice, and funerary belief to assess how gender and social status shaped access to the divine in Old and New Kingdom Egypt. Although both women participated in a shared religious system concerned with protection, divine favour, and continuity beyond death, their experiences of religion differed significantly according to social position. These differences reflected not only varying degrees of participation, but fundamentally different modes of religious engagement shaped by institutional access and material resources.</w:t>
      </w:r>
    </w:p>
    <w:p w14:paraId="5943BE4C" w14:textId="51FE2D0D" w:rsidR="00971123" w:rsidRPr="0004651D" w:rsidRDefault="00971123" w:rsidP="00C621CE">
      <w:pPr>
        <w:rPr>
          <w:rFonts w:ascii="Times New Roman" w:hAnsi="Times New Roman" w:cs="Times New Roman"/>
        </w:rPr>
      </w:pPr>
      <w:r w:rsidRPr="0004651D">
        <w:rPr>
          <w:rFonts w:ascii="Times New Roman" w:hAnsi="Times New Roman" w:cs="Times New Roman"/>
        </w:rPr>
        <w:t xml:space="preserve">A key distinction explored throughout this thesis is the contrast between institutional and personal religion. Hetepet’s religious experience was defined by her integration into elite temple structures, which granted access to sacred spaces, ritual authority, and highly </w:t>
      </w:r>
      <w:r w:rsidR="009C3F41">
        <w:rPr>
          <w:rFonts w:ascii="Times New Roman" w:hAnsi="Times New Roman" w:cs="Times New Roman"/>
        </w:rPr>
        <w:t>visible</w:t>
      </w:r>
      <w:r w:rsidRPr="0004651D">
        <w:rPr>
          <w:rFonts w:ascii="Times New Roman" w:hAnsi="Times New Roman" w:cs="Times New Roman"/>
        </w:rPr>
        <w:t xml:space="preserve"> forms of devotion. Merit’s experience, by contrast, was centred within domestic and localised practices, including household worship, music, and amuletic protection. </w:t>
      </w:r>
    </w:p>
    <w:p w14:paraId="16E84925" w14:textId="6D027988" w:rsidR="00971123" w:rsidRDefault="00971123" w:rsidP="0004287D">
      <w:pPr>
        <w:rPr>
          <w:rFonts w:ascii="Times New Roman" w:hAnsi="Times New Roman" w:cs="Times New Roman"/>
        </w:rPr>
      </w:pPr>
      <w:r w:rsidRPr="0004287D">
        <w:rPr>
          <w:rFonts w:ascii="Times New Roman" w:hAnsi="Times New Roman" w:cs="Times New Roman"/>
        </w:rPr>
        <w:t>The comparison between these women demonstrates that religious belief itself was broadly shared across society, but access to the structures through which religion was expressed remained unequal. Elite</w:t>
      </w:r>
      <w:r w:rsidR="009C3F41">
        <w:rPr>
          <w:rFonts w:ascii="Times New Roman" w:hAnsi="Times New Roman" w:cs="Times New Roman"/>
        </w:rPr>
        <w:t xml:space="preserve">, priestly </w:t>
      </w:r>
      <w:r w:rsidRPr="0004287D">
        <w:rPr>
          <w:rFonts w:ascii="Times New Roman" w:hAnsi="Times New Roman" w:cs="Times New Roman"/>
        </w:rPr>
        <w:t xml:space="preserve">women such as Hetepet could engage with religion through institutionally sanctioned and materially privileged forms, whereas women like Merit relied on smaller-scale and domestic expressions of the same beliefs. </w:t>
      </w:r>
      <w:r w:rsidR="00006DC3">
        <w:rPr>
          <w:rFonts w:ascii="Times New Roman" w:hAnsi="Times New Roman" w:cs="Times New Roman"/>
        </w:rPr>
        <w:t xml:space="preserve">Women’s religious experience in ancient Egypt was therefore neither uniform nor universally </w:t>
      </w:r>
      <w:r w:rsidR="00690FE8">
        <w:rPr>
          <w:rFonts w:ascii="Times New Roman" w:hAnsi="Times New Roman" w:cs="Times New Roman"/>
        </w:rPr>
        <w:t>accessible but,</w:t>
      </w:r>
      <w:r w:rsidR="00006DC3">
        <w:rPr>
          <w:rFonts w:ascii="Times New Roman" w:hAnsi="Times New Roman" w:cs="Times New Roman"/>
        </w:rPr>
        <w:t xml:space="preserve"> </w:t>
      </w:r>
      <w:r w:rsidR="00C85F1B">
        <w:rPr>
          <w:rFonts w:ascii="Times New Roman" w:hAnsi="Times New Roman" w:cs="Times New Roman"/>
        </w:rPr>
        <w:t>structured</w:t>
      </w:r>
      <w:r w:rsidR="00006DC3">
        <w:rPr>
          <w:rFonts w:ascii="Times New Roman" w:hAnsi="Times New Roman" w:cs="Times New Roman"/>
        </w:rPr>
        <w:t xml:space="preserve"> through systems of hierarchy that shaped how individuals encountered, performed</w:t>
      </w:r>
      <w:r w:rsidR="00690FE8">
        <w:rPr>
          <w:rFonts w:ascii="Times New Roman" w:hAnsi="Times New Roman" w:cs="Times New Roman"/>
        </w:rPr>
        <w:t>,</w:t>
      </w:r>
      <w:r w:rsidR="00006DC3">
        <w:rPr>
          <w:rFonts w:ascii="Times New Roman" w:hAnsi="Times New Roman" w:cs="Times New Roman"/>
        </w:rPr>
        <w:t xml:space="preserve"> and imagined the divine. </w:t>
      </w:r>
    </w:p>
    <w:p w14:paraId="3A159364" w14:textId="77777777" w:rsidR="009C3F41" w:rsidRDefault="009C3F41" w:rsidP="0004287D">
      <w:pPr>
        <w:rPr>
          <w:rFonts w:ascii="Times New Roman" w:hAnsi="Times New Roman" w:cs="Times New Roman"/>
        </w:rPr>
      </w:pPr>
    </w:p>
    <w:p w14:paraId="48355148" w14:textId="77777777" w:rsidR="009C3F41" w:rsidRPr="0004287D" w:rsidRDefault="009C3F41" w:rsidP="0004287D">
      <w:pPr>
        <w:rPr>
          <w:rFonts w:ascii="Times New Roman" w:hAnsi="Times New Roman" w:cs="Times New Roman"/>
        </w:rPr>
      </w:pPr>
    </w:p>
    <w:p w14:paraId="1F2CD79D" w14:textId="01125F6C" w:rsidR="006A6F5F" w:rsidRPr="0004651D" w:rsidRDefault="006A6F5F">
      <w:pPr>
        <w:rPr>
          <w:rFonts w:ascii="Times New Roman" w:hAnsi="Times New Roman" w:cs="Times New Roman"/>
          <w:color w:val="000000" w:themeColor="text1"/>
          <w:u w:val="single"/>
        </w:rPr>
      </w:pPr>
      <w:r w:rsidRPr="0004651D">
        <w:rPr>
          <w:rFonts w:ascii="Times New Roman" w:hAnsi="Times New Roman" w:cs="Times New Roman"/>
          <w:color w:val="000000" w:themeColor="text1"/>
          <w:u w:val="single"/>
        </w:rPr>
        <w:lastRenderedPageBreak/>
        <w:t>Bibliography</w:t>
      </w:r>
    </w:p>
    <w:p w14:paraId="5BF84F51" w14:textId="06A19699" w:rsidR="00BB54C8" w:rsidRPr="0004651D" w:rsidRDefault="00BB54C8" w:rsidP="00BB54C8">
      <w:pPr>
        <w:pStyle w:val="NormalWeb"/>
        <w:numPr>
          <w:ilvl w:val="0"/>
          <w:numId w:val="9"/>
        </w:numPr>
      </w:pPr>
      <w:r w:rsidRPr="0004651D">
        <w:t xml:space="preserve">Assmann, J. (2001). </w:t>
      </w:r>
      <w:r w:rsidRPr="0004651D">
        <w:rPr>
          <w:rStyle w:val="Emphasis"/>
          <w:rFonts w:eastAsiaTheme="majorEastAsia"/>
        </w:rPr>
        <w:t>The search for God in ancient Egypt</w:t>
      </w:r>
      <w:r w:rsidRPr="0004651D">
        <w:t>. Cornell University Press.</w:t>
      </w:r>
    </w:p>
    <w:p w14:paraId="0B2A101D" w14:textId="77777777" w:rsidR="00D3586D" w:rsidRPr="0004651D" w:rsidRDefault="00D3586D" w:rsidP="008D304F">
      <w:pPr>
        <w:pStyle w:val="NormalWeb"/>
        <w:numPr>
          <w:ilvl w:val="0"/>
          <w:numId w:val="9"/>
        </w:numPr>
      </w:pPr>
      <w:r w:rsidRPr="0004651D">
        <w:t xml:space="preserve">Baines, J. (1991). Society, morality, and religious practice. In D. P. Silverman (Ed.), </w:t>
      </w:r>
      <w:r w:rsidRPr="0004651D">
        <w:rPr>
          <w:i/>
          <w:iCs/>
        </w:rPr>
        <w:t>Religion in ancient Egypt: Gods, myths, and personal practice</w:t>
      </w:r>
      <w:r w:rsidRPr="0004651D">
        <w:t xml:space="preserve"> (pp. 123–200). Cornell University Press.</w:t>
      </w:r>
    </w:p>
    <w:p w14:paraId="1168029E" w14:textId="080BC889" w:rsidR="00D11E90" w:rsidRPr="0004651D" w:rsidRDefault="00D11E90" w:rsidP="008D304F">
      <w:pPr>
        <w:pStyle w:val="NormalWeb"/>
        <w:numPr>
          <w:ilvl w:val="0"/>
          <w:numId w:val="9"/>
        </w:numPr>
      </w:pPr>
      <w:r w:rsidRPr="0004651D">
        <w:t xml:space="preserve">Bianucci, R., Habicht, M. E., Buckley, S., Fletcher, J., Seiler, R., Öhrström, L. M., Vassilika, E., Böni, T., &amp; Rühli, F. J. (2015). Shedding new light on the 18th Dynasty mummies of the royal architect Kha and his spouse Merit. </w:t>
      </w:r>
      <w:r w:rsidRPr="0004651D">
        <w:rPr>
          <w:i/>
          <w:iCs/>
        </w:rPr>
        <w:t>PLOS ONE, 10</w:t>
      </w:r>
      <w:r w:rsidRPr="0004651D">
        <w:t xml:space="preserve">(7), e0131916. </w:t>
      </w:r>
      <w:hyperlink r:id="rId10" w:history="1">
        <w:r w:rsidRPr="0004651D">
          <w:rPr>
            <w:rStyle w:val="Hyperlink"/>
          </w:rPr>
          <w:t>https://doi.org/10.1371/journal.pone.0131916</w:t>
        </w:r>
      </w:hyperlink>
    </w:p>
    <w:p w14:paraId="1BA58FAB" w14:textId="7F78CD54" w:rsidR="009352FD" w:rsidRPr="0004651D" w:rsidRDefault="009352FD" w:rsidP="00D11E90">
      <w:pPr>
        <w:pStyle w:val="NormalWeb"/>
        <w:numPr>
          <w:ilvl w:val="0"/>
          <w:numId w:val="9"/>
        </w:numPr>
      </w:pPr>
      <w:r w:rsidRPr="0004651D">
        <w:t xml:space="preserve">El-Kilany, </w:t>
      </w:r>
      <w:r w:rsidR="00D11E90" w:rsidRPr="0004651D">
        <w:t xml:space="preserve">E </w:t>
      </w:r>
      <w:r w:rsidRPr="0004651D">
        <w:t xml:space="preserve">&amp; Kamal, </w:t>
      </w:r>
      <w:r w:rsidR="00D11E90" w:rsidRPr="0004651D">
        <w:t>S</w:t>
      </w:r>
      <w:r w:rsidRPr="0004651D">
        <w:t xml:space="preserve">. (2020). Social Status of Non-Royal Women through Their Non-Religious Occupations in Ancient Egypt. </w:t>
      </w:r>
      <w:r w:rsidRPr="0004651D">
        <w:rPr>
          <w:i/>
          <w:iCs/>
        </w:rPr>
        <w:t>International Journal of Tourism and Hospitality Management</w:t>
      </w:r>
      <w:r w:rsidRPr="0004651D">
        <w:t xml:space="preserve">. </w:t>
      </w:r>
      <w:r w:rsidRPr="0004651D">
        <w:rPr>
          <w:i/>
          <w:iCs/>
        </w:rPr>
        <w:t>3</w:t>
      </w:r>
      <w:r w:rsidRPr="0004651D">
        <w:t xml:space="preserve">. 40-62. </w:t>
      </w:r>
      <w:hyperlink r:id="rId11" w:history="1">
        <w:r w:rsidR="00D11E90" w:rsidRPr="0004651D">
          <w:rPr>
            <w:rStyle w:val="Hyperlink"/>
          </w:rPr>
          <w:t>https://doi.org/10.21608/ijthm.2020.103383</w:t>
        </w:r>
      </w:hyperlink>
      <w:r w:rsidR="00D11E90" w:rsidRPr="0004651D">
        <w:t xml:space="preserve"> </w:t>
      </w:r>
    </w:p>
    <w:p w14:paraId="0585FBB0" w14:textId="77777777" w:rsidR="00D11E90" w:rsidRPr="0004651D" w:rsidRDefault="00D11E90" w:rsidP="008D304F">
      <w:pPr>
        <w:pStyle w:val="NormalWeb"/>
        <w:numPr>
          <w:ilvl w:val="0"/>
          <w:numId w:val="9"/>
        </w:numPr>
      </w:pPr>
      <w:r w:rsidRPr="0004651D">
        <w:t xml:space="preserve">Friedman, F. D. (1994). Aspects of domestic life and religion. In L. H. Lesko (Ed.), </w:t>
      </w:r>
      <w:r w:rsidRPr="0004651D">
        <w:rPr>
          <w:i/>
          <w:iCs/>
        </w:rPr>
        <w:t>Pharaoh’s workers: The villagers of Deir el-Medina</w:t>
      </w:r>
      <w:r w:rsidRPr="0004651D">
        <w:t xml:space="preserve"> (pp. 95–118). Cornell University Press.</w:t>
      </w:r>
    </w:p>
    <w:p w14:paraId="3BF26C31" w14:textId="221EF4A4" w:rsidR="00BB54C8" w:rsidRDefault="00BB54C8" w:rsidP="00D11E90">
      <w:pPr>
        <w:pStyle w:val="NormalWeb"/>
        <w:numPr>
          <w:ilvl w:val="0"/>
          <w:numId w:val="9"/>
        </w:numPr>
      </w:pPr>
      <w:r w:rsidRPr="0004651D">
        <w:t xml:space="preserve">Gillam, R. A. </w:t>
      </w:r>
      <w:r w:rsidR="00D11E90" w:rsidRPr="0004651D">
        <w:t xml:space="preserve">(1995). </w:t>
      </w:r>
      <w:r w:rsidRPr="0004651D">
        <w:t>Priestesses of Hathor: Their Function, Decline and Disappearance</w:t>
      </w:r>
      <w:r w:rsidR="00D11E90" w:rsidRPr="0004651D">
        <w:t xml:space="preserve">. </w:t>
      </w:r>
      <w:hyperlink r:id="rId12" w:history="1">
        <w:r w:rsidRPr="0004651D">
          <w:rPr>
            <w:i/>
            <w:iCs/>
          </w:rPr>
          <w:t>Journal of the American Research Center in Egypt</w:t>
        </w:r>
      </w:hyperlink>
      <w:r w:rsidRPr="0004651D">
        <w:t>, Vol. 32</w:t>
      </w:r>
      <w:r w:rsidR="00D11E90" w:rsidRPr="0004651D">
        <w:t xml:space="preserve">. </w:t>
      </w:r>
      <w:r w:rsidRPr="0004651D">
        <w:t xml:space="preserve">pp. 211-237 </w:t>
      </w:r>
      <w:hyperlink r:id="rId13" w:history="1">
        <w:r w:rsidR="00D11E90" w:rsidRPr="0004651D">
          <w:rPr>
            <w:rStyle w:val="Hyperlink"/>
          </w:rPr>
          <w:t>https://doi.org/10.2307/40000840</w:t>
        </w:r>
      </w:hyperlink>
      <w:r w:rsidRPr="0004651D">
        <w:t xml:space="preserve">. </w:t>
      </w:r>
    </w:p>
    <w:p w14:paraId="06F7EB79" w14:textId="77777777" w:rsidR="00855243" w:rsidRDefault="00855243" w:rsidP="008D304F">
      <w:pPr>
        <w:pStyle w:val="NormalWeb"/>
        <w:numPr>
          <w:ilvl w:val="0"/>
          <w:numId w:val="9"/>
        </w:numPr>
      </w:pPr>
      <w:r w:rsidRPr="00855243">
        <w:t xml:space="preserve">Glencairn Museum. (2014, September). </w:t>
      </w:r>
      <w:r w:rsidRPr="00855243">
        <w:rPr>
          <w:i/>
          <w:iCs/>
        </w:rPr>
        <w:t>The goddess Taweret: Protector of mothers and children</w:t>
      </w:r>
      <w:r w:rsidRPr="00855243">
        <w:t xml:space="preserve">. </w:t>
      </w:r>
      <w:hyperlink r:id="rId14" w:tgtFrame="_new" w:history="1">
        <w:r w:rsidRPr="00855243">
          <w:rPr>
            <w:rStyle w:val="Hyperlink"/>
          </w:rPr>
          <w:t>Glencairn Museum article</w:t>
        </w:r>
      </w:hyperlink>
      <w:r w:rsidRPr="00855243">
        <w:t xml:space="preserve"> </w:t>
      </w:r>
    </w:p>
    <w:p w14:paraId="4C1277CC" w14:textId="5DEDCDAA" w:rsidR="008F4A8E" w:rsidRPr="0004651D" w:rsidRDefault="008F4A8E" w:rsidP="008D304F">
      <w:pPr>
        <w:pStyle w:val="NormalWeb"/>
        <w:numPr>
          <w:ilvl w:val="0"/>
          <w:numId w:val="9"/>
        </w:numPr>
      </w:pPr>
      <w:r w:rsidRPr="0004651D">
        <w:t xml:space="preserve">Graves-Brown, C (2010) </w:t>
      </w:r>
      <w:r w:rsidRPr="0004651D">
        <w:rPr>
          <w:i/>
          <w:iCs/>
        </w:rPr>
        <w:t>Dancing for Hathor: Women of Ancient Egypt</w:t>
      </w:r>
      <w:r w:rsidR="00D11E90" w:rsidRPr="0004651D">
        <w:rPr>
          <w:i/>
          <w:iCs/>
        </w:rPr>
        <w:t xml:space="preserve">. </w:t>
      </w:r>
      <w:r w:rsidR="00D11E90" w:rsidRPr="0004651D">
        <w:t>Continuum.</w:t>
      </w:r>
    </w:p>
    <w:p w14:paraId="0AF4288A" w14:textId="17B8ECED" w:rsidR="00930FBE" w:rsidRPr="0004651D" w:rsidRDefault="00930FBE" w:rsidP="008D304F">
      <w:pPr>
        <w:pStyle w:val="NormalWeb"/>
        <w:numPr>
          <w:ilvl w:val="0"/>
          <w:numId w:val="9"/>
        </w:numPr>
      </w:pPr>
      <w:r w:rsidRPr="0004651D">
        <w:t xml:space="preserve">Hornung, E. (1982). </w:t>
      </w:r>
      <w:r w:rsidRPr="0004651D">
        <w:rPr>
          <w:i/>
          <w:iCs/>
        </w:rPr>
        <w:t>Conceptions of God in ancient Egypt: The one and the many</w:t>
      </w:r>
      <w:r w:rsidRPr="0004651D">
        <w:t>. Cornell University Press.</w:t>
      </w:r>
    </w:p>
    <w:p w14:paraId="60B434C4" w14:textId="77777777" w:rsidR="00063E63" w:rsidRDefault="00063E63" w:rsidP="00063E63">
      <w:pPr>
        <w:pStyle w:val="NormalWeb"/>
        <w:numPr>
          <w:ilvl w:val="0"/>
          <w:numId w:val="9"/>
        </w:numPr>
      </w:pPr>
      <w:r w:rsidRPr="0004651D">
        <w:t xml:space="preserve">Kemp, B. J. (2006). </w:t>
      </w:r>
      <w:r w:rsidRPr="0004651D">
        <w:rPr>
          <w:i/>
          <w:iCs/>
        </w:rPr>
        <w:t>Ancient Egypt: Anatomy of a civilization</w:t>
      </w:r>
      <w:r w:rsidRPr="0004651D">
        <w:t xml:space="preserve"> (2nd ed.). Routledge.</w:t>
      </w:r>
    </w:p>
    <w:p w14:paraId="1EDCFD88" w14:textId="6FEE6159" w:rsidR="00AE5C1D" w:rsidRPr="0004651D" w:rsidRDefault="00AE5C1D" w:rsidP="00063E63">
      <w:pPr>
        <w:pStyle w:val="NormalWeb"/>
        <w:numPr>
          <w:ilvl w:val="0"/>
          <w:numId w:val="9"/>
        </w:numPr>
      </w:pPr>
      <w:r w:rsidRPr="00AE5C1D">
        <w:t xml:space="preserve">Lesko, </w:t>
      </w:r>
      <w:r w:rsidR="000348E2">
        <w:t>B.</w:t>
      </w:r>
      <w:r w:rsidRPr="00AE5C1D">
        <w:t xml:space="preserve"> S. </w:t>
      </w:r>
      <w:r w:rsidR="000348E2">
        <w:t xml:space="preserve">(1991). </w:t>
      </w:r>
      <w:r w:rsidRPr="00AE5C1D">
        <w:t xml:space="preserve">“Household and Domestic Religion in Ancient Egypt.” In </w:t>
      </w:r>
      <w:r w:rsidRPr="00AE5C1D">
        <w:rPr>
          <w:i/>
          <w:iCs/>
        </w:rPr>
        <w:t>Religion and Magic in Ancient Egypt</w:t>
      </w:r>
      <w:r w:rsidRPr="00AE5C1D">
        <w:t>, edited by Byron E. Shafer, 395–419. London: Thames &amp; Hudson.</w:t>
      </w:r>
    </w:p>
    <w:p w14:paraId="6A5B6739" w14:textId="55B55D9C" w:rsidR="00A14E1E" w:rsidRPr="0004651D" w:rsidRDefault="00A14E1E" w:rsidP="008D304F">
      <w:pPr>
        <w:pStyle w:val="NormalWeb"/>
        <w:numPr>
          <w:ilvl w:val="0"/>
          <w:numId w:val="9"/>
        </w:numPr>
      </w:pPr>
      <w:r w:rsidRPr="0004651D">
        <w:t xml:space="preserve">Lesko, L. H. (Ed.). (1994). </w:t>
      </w:r>
      <w:r w:rsidRPr="0004651D">
        <w:rPr>
          <w:i/>
          <w:iCs/>
        </w:rPr>
        <w:t>Pharaoh’s Workers: The Villagers of Deir el Medina</w:t>
      </w:r>
      <w:r w:rsidRPr="0004651D">
        <w:t xml:space="preserve">. Cornell University Press. </w:t>
      </w:r>
    </w:p>
    <w:p w14:paraId="575DCA8C" w14:textId="33FBD046" w:rsidR="00823069" w:rsidRPr="0004651D" w:rsidRDefault="00823069" w:rsidP="008D304F">
      <w:pPr>
        <w:pStyle w:val="NormalWeb"/>
        <w:numPr>
          <w:ilvl w:val="0"/>
          <w:numId w:val="9"/>
        </w:numPr>
      </w:pPr>
      <w:r w:rsidRPr="0004651D">
        <w:t xml:space="preserve">Lohvynenko, I &amp; Lohvynenko, Ye. (2023). Women in ancient Egypt: Determination of legal status and peculiarities of marriage and family relations. </w:t>
      </w:r>
      <w:r w:rsidRPr="0004651D">
        <w:rPr>
          <w:i/>
          <w:iCs/>
        </w:rPr>
        <w:t>Law and Safety, 89</w:t>
      </w:r>
      <w:r w:rsidRPr="0004651D">
        <w:t xml:space="preserve">, 87–97. </w:t>
      </w:r>
      <w:hyperlink r:id="rId15" w:history="1">
        <w:r w:rsidRPr="0004651D">
          <w:rPr>
            <w:rStyle w:val="Hyperlink"/>
          </w:rPr>
          <w:t>https://doi.org/10.32631/pb.2023.2.08</w:t>
        </w:r>
      </w:hyperlink>
    </w:p>
    <w:p w14:paraId="3760E734" w14:textId="77777777" w:rsidR="008C308E" w:rsidRPr="0004651D" w:rsidRDefault="008C308E" w:rsidP="008C308E">
      <w:pPr>
        <w:pStyle w:val="ListParagraph"/>
        <w:numPr>
          <w:ilvl w:val="0"/>
          <w:numId w:val="9"/>
        </w:numPr>
        <w:spacing w:after="0" w:line="240" w:lineRule="auto"/>
        <w:rPr>
          <w:rFonts w:ascii="Times New Roman" w:eastAsia="Times New Roman" w:hAnsi="Times New Roman" w:cs="Times New Roman"/>
          <w:kern w:val="0"/>
          <w:lang w:eastAsia="en-GB"/>
          <w14:ligatures w14:val="none"/>
        </w:rPr>
      </w:pPr>
      <w:r w:rsidRPr="0004651D">
        <w:rPr>
          <w:rFonts w:ascii="Times New Roman" w:eastAsia="Times New Roman" w:hAnsi="Times New Roman" w:cs="Times New Roman"/>
          <w:kern w:val="0"/>
          <w:lang w:eastAsia="en-GB"/>
          <w14:ligatures w14:val="none"/>
        </w:rPr>
        <w:t xml:space="preserve">Meskell, L. (1998). Intimate Archaeologies: The Case of Kha and Merit. </w:t>
      </w:r>
      <w:r w:rsidRPr="0004651D">
        <w:rPr>
          <w:rFonts w:ascii="Times New Roman" w:eastAsia="Times New Roman" w:hAnsi="Times New Roman" w:cs="Times New Roman"/>
          <w:i/>
          <w:iCs/>
          <w:kern w:val="0"/>
          <w:lang w:eastAsia="en-GB"/>
          <w14:ligatures w14:val="none"/>
        </w:rPr>
        <w:t>World Archaeology</w:t>
      </w:r>
      <w:r w:rsidRPr="0004651D">
        <w:rPr>
          <w:rFonts w:ascii="Times New Roman" w:eastAsia="Times New Roman" w:hAnsi="Times New Roman" w:cs="Times New Roman"/>
          <w:kern w:val="0"/>
          <w:lang w:eastAsia="en-GB"/>
          <w14:ligatures w14:val="none"/>
        </w:rPr>
        <w:t xml:space="preserve">, </w:t>
      </w:r>
      <w:r w:rsidRPr="0004651D">
        <w:rPr>
          <w:rFonts w:ascii="Times New Roman" w:eastAsia="Times New Roman" w:hAnsi="Times New Roman" w:cs="Times New Roman"/>
          <w:i/>
          <w:iCs/>
          <w:kern w:val="0"/>
          <w:lang w:eastAsia="en-GB"/>
          <w14:ligatures w14:val="none"/>
        </w:rPr>
        <w:t>29</w:t>
      </w:r>
      <w:r w:rsidRPr="0004651D">
        <w:rPr>
          <w:rFonts w:ascii="Times New Roman" w:eastAsia="Times New Roman" w:hAnsi="Times New Roman" w:cs="Times New Roman"/>
          <w:kern w:val="0"/>
          <w:lang w:eastAsia="en-GB"/>
          <w14:ligatures w14:val="none"/>
        </w:rPr>
        <w:t>(3), 363–379. http://www.jstor.org/stable/125036</w:t>
      </w:r>
    </w:p>
    <w:p w14:paraId="24A2D318" w14:textId="4C486C09" w:rsidR="00BB54C8" w:rsidRPr="0004651D" w:rsidRDefault="00BB54C8" w:rsidP="008D304F">
      <w:pPr>
        <w:pStyle w:val="NormalWeb"/>
        <w:numPr>
          <w:ilvl w:val="0"/>
          <w:numId w:val="9"/>
        </w:numPr>
      </w:pPr>
      <w:r w:rsidRPr="0004651D">
        <w:t>Meskell,</w:t>
      </w:r>
      <w:r w:rsidR="00823069" w:rsidRPr="0004651D">
        <w:t xml:space="preserve"> (2002)</w:t>
      </w:r>
      <w:r w:rsidRPr="0004651D">
        <w:t xml:space="preserve"> </w:t>
      </w:r>
      <w:r w:rsidRPr="0004651D">
        <w:rPr>
          <w:i/>
          <w:iCs/>
        </w:rPr>
        <w:t>Private life in New Kingdom Egypt.</w:t>
      </w:r>
      <w:r w:rsidRPr="0004651D">
        <w:t xml:space="preserve"> </w:t>
      </w:r>
      <w:r w:rsidR="00823069" w:rsidRPr="0004651D">
        <w:t>Princeton University Press.</w:t>
      </w:r>
    </w:p>
    <w:p w14:paraId="15F2F586" w14:textId="18CB5022" w:rsidR="00823069" w:rsidRPr="00BB7A0F" w:rsidRDefault="00823069" w:rsidP="008D304F">
      <w:pPr>
        <w:pStyle w:val="NormalWeb"/>
        <w:numPr>
          <w:ilvl w:val="0"/>
          <w:numId w:val="9"/>
        </w:numPr>
      </w:pPr>
      <w:r w:rsidRPr="0004651D">
        <w:t xml:space="preserve">Onstine, S. (2010). Gender and the religion of ancient Egypt. </w:t>
      </w:r>
      <w:r w:rsidRPr="0004651D">
        <w:rPr>
          <w:i/>
          <w:iCs/>
        </w:rPr>
        <w:t>Religion Compass, 4</w:t>
      </w:r>
      <w:r w:rsidRPr="0004651D">
        <w:t xml:space="preserve">(1). </w:t>
      </w:r>
      <w:hyperlink r:id="rId16" w:history="1">
        <w:r w:rsidRPr="00BB7A0F">
          <w:rPr>
            <w:rStyle w:val="Hyperlink"/>
          </w:rPr>
          <w:t>https://doi.org/10.1111/j.1749-8171.2009.00185.x</w:t>
        </w:r>
      </w:hyperlink>
    </w:p>
    <w:p w14:paraId="76DF18B1" w14:textId="43D9CF4F" w:rsidR="00930FBE" w:rsidRPr="00BB7A0F" w:rsidRDefault="00930FBE" w:rsidP="008D304F">
      <w:pPr>
        <w:pStyle w:val="NormalWeb"/>
        <w:numPr>
          <w:ilvl w:val="0"/>
          <w:numId w:val="9"/>
        </w:numPr>
      </w:pPr>
      <w:r w:rsidRPr="00BB7A0F">
        <w:t xml:space="preserve">Pinch, G. (1993). </w:t>
      </w:r>
      <w:r w:rsidRPr="00BB7A0F">
        <w:rPr>
          <w:i/>
          <w:iCs/>
        </w:rPr>
        <w:t>Votive Offerings to Hathor</w:t>
      </w:r>
      <w:r w:rsidRPr="00BB7A0F">
        <w:t xml:space="preserve">. Oxford: Griffith Institute, Ashmolean Museum. </w:t>
      </w:r>
    </w:p>
    <w:p w14:paraId="0459C28A" w14:textId="77777777" w:rsidR="00063E63" w:rsidRPr="00BB7A0F" w:rsidRDefault="00063E63" w:rsidP="00063E63">
      <w:pPr>
        <w:pStyle w:val="NormalWeb"/>
        <w:numPr>
          <w:ilvl w:val="0"/>
          <w:numId w:val="9"/>
        </w:numPr>
      </w:pPr>
      <w:r w:rsidRPr="00BB7A0F">
        <w:t xml:space="preserve">Quirke, S. (2001). </w:t>
      </w:r>
      <w:r w:rsidRPr="00BB7A0F">
        <w:rPr>
          <w:i/>
          <w:iCs/>
        </w:rPr>
        <w:t>The cult of Ra: Sun-worship in ancient Egypt</w:t>
      </w:r>
      <w:r w:rsidRPr="00BB7A0F">
        <w:t>. Thames &amp; Hudson.</w:t>
      </w:r>
    </w:p>
    <w:p w14:paraId="1D2CE644" w14:textId="6CA27005" w:rsidR="003127C6" w:rsidRDefault="00063E63" w:rsidP="003127C6">
      <w:pPr>
        <w:pStyle w:val="NormalWeb"/>
        <w:numPr>
          <w:ilvl w:val="0"/>
          <w:numId w:val="9"/>
        </w:numPr>
      </w:pPr>
      <w:r w:rsidRPr="00BB7A0F">
        <w:t xml:space="preserve">Robins, G. (1993). </w:t>
      </w:r>
      <w:r w:rsidRPr="00BB7A0F">
        <w:rPr>
          <w:i/>
          <w:iCs/>
        </w:rPr>
        <w:t>Women in ancient Egypt</w:t>
      </w:r>
      <w:r w:rsidRPr="00BB7A0F">
        <w:t>. Harvard University Press.</w:t>
      </w:r>
    </w:p>
    <w:p w14:paraId="05569930" w14:textId="77777777" w:rsidR="009C3F41" w:rsidRPr="0004651D" w:rsidRDefault="009C3F41" w:rsidP="009C3F41">
      <w:pPr>
        <w:pStyle w:val="NormalWeb"/>
        <w:numPr>
          <w:ilvl w:val="0"/>
          <w:numId w:val="9"/>
        </w:numPr>
      </w:pPr>
      <w:r w:rsidRPr="0004651D">
        <w:t xml:space="preserve">Roth, A. M. (2020). Gender roles in ancient Egypt. In D. C. Snell (Ed.), </w:t>
      </w:r>
      <w:r w:rsidRPr="0004651D">
        <w:rPr>
          <w:i/>
          <w:iCs/>
        </w:rPr>
        <w:t>A companion to the ancient Near East</w:t>
      </w:r>
      <w:r w:rsidRPr="0004651D">
        <w:t xml:space="preserve"> (pp. 211–x218). Wiley Blackwell.</w:t>
      </w:r>
    </w:p>
    <w:p w14:paraId="4988285F" w14:textId="0436413E" w:rsidR="0019456C" w:rsidRPr="00BB7A0F" w:rsidRDefault="0019456C" w:rsidP="003127C6">
      <w:pPr>
        <w:pStyle w:val="NormalWeb"/>
        <w:numPr>
          <w:ilvl w:val="0"/>
          <w:numId w:val="9"/>
        </w:numPr>
      </w:pPr>
      <w:r w:rsidRPr="00BB7A0F">
        <w:t xml:space="preserve">Sousa, R. (2019) </w:t>
      </w:r>
      <w:r w:rsidRPr="00BB7A0F">
        <w:rPr>
          <w:i/>
          <w:iCs/>
        </w:rPr>
        <w:t xml:space="preserve">Gilded Flesh : Coffins and Afterlife in Ancient Egypt. </w:t>
      </w:r>
      <w:r w:rsidRPr="00BB7A0F">
        <w:t>Oxford: Oxbow Books</w:t>
      </w:r>
    </w:p>
    <w:p w14:paraId="6A0234B2" w14:textId="6DAC654E" w:rsidR="00BB54C8" w:rsidRPr="00BB7A0F" w:rsidRDefault="00BB54C8" w:rsidP="008D304F">
      <w:pPr>
        <w:pStyle w:val="NormalWeb"/>
        <w:numPr>
          <w:ilvl w:val="0"/>
          <w:numId w:val="9"/>
        </w:numPr>
      </w:pPr>
      <w:r w:rsidRPr="00BB7A0F">
        <w:t>Stevens, A. (2003). The Material Evidence for Domestic Religion at Amarna and Preliminary Remarks on Its Interpretation</w:t>
      </w:r>
      <w:r w:rsidRPr="00BB7A0F">
        <w:rPr>
          <w:i/>
          <w:iCs/>
        </w:rPr>
        <w:t>. Journal of Egyptian Archaeology</w:t>
      </w:r>
      <w:r w:rsidRPr="00BB7A0F">
        <w:t>, </w:t>
      </w:r>
      <w:r w:rsidRPr="00BB7A0F">
        <w:rPr>
          <w:i/>
          <w:iCs/>
        </w:rPr>
        <w:t>89</w:t>
      </w:r>
      <w:r w:rsidRPr="00BB7A0F">
        <w:t xml:space="preserve">(1), 143–168. </w:t>
      </w:r>
      <w:hyperlink r:id="rId17" w:history="1">
        <w:r w:rsidRPr="00BB7A0F">
          <w:t>https://doi.org/10.1177/030751330308900108</w:t>
        </w:r>
      </w:hyperlink>
      <w:r w:rsidR="00006849" w:rsidRPr="00BB7A0F">
        <w:t xml:space="preserve"> </w:t>
      </w:r>
    </w:p>
    <w:p w14:paraId="3949550D" w14:textId="3A1F0D37" w:rsidR="00BB54C8" w:rsidRPr="00BB7A0F" w:rsidRDefault="00063E63" w:rsidP="00BB54C8">
      <w:pPr>
        <w:pStyle w:val="NormalWeb"/>
        <w:numPr>
          <w:ilvl w:val="0"/>
          <w:numId w:val="9"/>
        </w:numPr>
      </w:pPr>
      <w:r w:rsidRPr="00BB7A0F">
        <w:lastRenderedPageBreak/>
        <w:t xml:space="preserve">Taylor, J. H. (2001). </w:t>
      </w:r>
      <w:r w:rsidRPr="00BB7A0F">
        <w:rPr>
          <w:i/>
          <w:iCs/>
        </w:rPr>
        <w:t>Death and the afterlife in ancient Egypt</w:t>
      </w:r>
      <w:r w:rsidRPr="00BB7A0F">
        <w:t>. University of Chicago Press.</w:t>
      </w:r>
    </w:p>
    <w:p w14:paraId="5CFEB26F" w14:textId="392670FB" w:rsidR="008F4A8E" w:rsidRPr="00BB7A0F" w:rsidRDefault="008F4A8E" w:rsidP="00BB54C8">
      <w:pPr>
        <w:pStyle w:val="NormalWeb"/>
        <w:numPr>
          <w:ilvl w:val="0"/>
          <w:numId w:val="9"/>
        </w:numPr>
      </w:pPr>
      <w:r w:rsidRPr="00BB7A0F">
        <w:t xml:space="preserve">Tyldesley, J. A. (1995). </w:t>
      </w:r>
      <w:r w:rsidRPr="00BB7A0F">
        <w:rPr>
          <w:i/>
          <w:iCs/>
        </w:rPr>
        <w:t>Daughters of Isis: Women of ancient Egypt</w:t>
      </w:r>
      <w:r w:rsidRPr="00BB7A0F">
        <w:t>. Penguin Books.</w:t>
      </w:r>
    </w:p>
    <w:p w14:paraId="1CDC85D7" w14:textId="3E50AEEE" w:rsidR="00D62328" w:rsidRPr="0004651D" w:rsidRDefault="00D62328" w:rsidP="00BB54C8">
      <w:pPr>
        <w:pStyle w:val="NormalWeb"/>
        <w:numPr>
          <w:ilvl w:val="0"/>
          <w:numId w:val="9"/>
        </w:numPr>
      </w:pPr>
      <w:r w:rsidRPr="0004651D">
        <w:t xml:space="preserve">Watterson, </w:t>
      </w:r>
      <w:r w:rsidR="00006849" w:rsidRPr="0004651D">
        <w:t xml:space="preserve">B. (1991) </w:t>
      </w:r>
      <w:r w:rsidRPr="0004651D">
        <w:rPr>
          <w:i/>
          <w:iCs/>
        </w:rPr>
        <w:t xml:space="preserve">Women in </w:t>
      </w:r>
      <w:r w:rsidR="00006849" w:rsidRPr="0004651D">
        <w:rPr>
          <w:i/>
          <w:iCs/>
        </w:rPr>
        <w:t>A</w:t>
      </w:r>
      <w:r w:rsidRPr="0004651D">
        <w:rPr>
          <w:i/>
          <w:iCs/>
        </w:rPr>
        <w:t xml:space="preserve">ncient </w:t>
      </w:r>
      <w:r w:rsidR="00006849" w:rsidRPr="0004651D">
        <w:rPr>
          <w:i/>
          <w:iCs/>
        </w:rPr>
        <w:t xml:space="preserve">Egypt. </w:t>
      </w:r>
      <w:r w:rsidR="00006849" w:rsidRPr="0004651D">
        <w:t>St Martin’s Press</w:t>
      </w:r>
    </w:p>
    <w:p w14:paraId="288DA266" w14:textId="5B3B3EBE" w:rsidR="00BB54C8" w:rsidRPr="0004651D" w:rsidRDefault="00BB54C8" w:rsidP="008D304F">
      <w:pPr>
        <w:pStyle w:val="NormalWeb"/>
        <w:numPr>
          <w:ilvl w:val="0"/>
          <w:numId w:val="9"/>
        </w:numPr>
      </w:pPr>
      <w:r w:rsidRPr="0004651D">
        <w:t>W</w:t>
      </w:r>
      <w:r w:rsidR="00006849" w:rsidRPr="0004651D">
        <w:t>eiss</w:t>
      </w:r>
      <w:r w:rsidRPr="0004651D">
        <w:t xml:space="preserve">, L. (2009). </w:t>
      </w:r>
      <w:r w:rsidR="00006849" w:rsidRPr="0004651D">
        <w:t xml:space="preserve">Personal Religious Practice: House Altars at Deir El-Medina. </w:t>
      </w:r>
      <w:r w:rsidRPr="0004651D">
        <w:rPr>
          <w:i/>
          <w:iCs/>
        </w:rPr>
        <w:t>Journal of Egyptian Archaeology,</w:t>
      </w:r>
      <w:r w:rsidRPr="0004651D">
        <w:t> </w:t>
      </w:r>
      <w:r w:rsidRPr="0004651D">
        <w:rPr>
          <w:i/>
          <w:iCs/>
        </w:rPr>
        <w:t>95</w:t>
      </w:r>
      <w:r w:rsidRPr="0004651D">
        <w:t>(1), 193–208.</w:t>
      </w:r>
      <w:r w:rsidR="00006849" w:rsidRPr="0004651D">
        <w:t xml:space="preserve"> </w:t>
      </w:r>
      <w:hyperlink r:id="rId18" w:history="1">
        <w:r w:rsidR="00006849" w:rsidRPr="0004651D">
          <w:rPr>
            <w:rStyle w:val="Hyperlink"/>
          </w:rPr>
          <w:t>https://doi.org/10.1177/030751330909500111</w:t>
        </w:r>
      </w:hyperlink>
    </w:p>
    <w:p w14:paraId="5E093898" w14:textId="77777777" w:rsidR="00063E63" w:rsidRPr="0004651D" w:rsidRDefault="00063E63" w:rsidP="00063E63">
      <w:pPr>
        <w:pStyle w:val="NormalWeb"/>
        <w:numPr>
          <w:ilvl w:val="0"/>
          <w:numId w:val="9"/>
        </w:numPr>
      </w:pPr>
      <w:r w:rsidRPr="0004651D">
        <w:t xml:space="preserve">Wilkinson, R. H. (2003). </w:t>
      </w:r>
      <w:r w:rsidRPr="0004651D">
        <w:rPr>
          <w:i/>
          <w:iCs/>
        </w:rPr>
        <w:t>The complete gods and goddesses of ancient Egypt</w:t>
      </w:r>
      <w:r w:rsidRPr="0004651D">
        <w:t>. Thames &amp; Hudson.</w:t>
      </w:r>
    </w:p>
    <w:p w14:paraId="020FD940" w14:textId="3ED8422E" w:rsidR="006744E5" w:rsidRPr="0004651D" w:rsidRDefault="006744E5" w:rsidP="00063E63">
      <w:pPr>
        <w:pStyle w:val="NormalWeb"/>
        <w:numPr>
          <w:ilvl w:val="0"/>
          <w:numId w:val="9"/>
        </w:numPr>
      </w:pPr>
      <w:r w:rsidRPr="0004651D">
        <w:t xml:space="preserve">Woods, A., &amp; Swinton, J. (2013). Chronological considerations: Fragments from the tomb of Hetepet at Giza. </w:t>
      </w:r>
      <w:r w:rsidRPr="0004651D">
        <w:rPr>
          <w:i/>
          <w:iCs/>
        </w:rPr>
        <w:t>Bulletin of the Australian Centre for Egyptology</w:t>
      </w:r>
      <w:r w:rsidRPr="0004651D">
        <w:t xml:space="preserve">, </w:t>
      </w:r>
      <w:r w:rsidRPr="0004651D">
        <w:rPr>
          <w:i/>
          <w:iCs/>
        </w:rPr>
        <w:t>24</w:t>
      </w:r>
      <w:r w:rsidRPr="0004651D">
        <w:t>, 127–158.</w:t>
      </w:r>
    </w:p>
    <w:p w14:paraId="51607A97" w14:textId="77777777" w:rsidR="006744E5" w:rsidRPr="0004651D" w:rsidRDefault="00CF55B4" w:rsidP="006744E5">
      <w:pPr>
        <w:pStyle w:val="NormalWeb"/>
        <w:numPr>
          <w:ilvl w:val="0"/>
          <w:numId w:val="9"/>
        </w:numPr>
      </w:pPr>
      <w:r w:rsidRPr="0004651D">
        <w:t>Woods, A. (2012). </w:t>
      </w:r>
      <w:r w:rsidR="006744E5" w:rsidRPr="0004651D">
        <w:t xml:space="preserve">Dating the tomb of Hetepet from Giza. In L. Evans (Ed.), </w:t>
      </w:r>
      <w:r w:rsidR="006744E5" w:rsidRPr="0004651D">
        <w:rPr>
          <w:i/>
          <w:iCs/>
        </w:rPr>
        <w:t>Ancient Memphis, “Enduring is the perfection”: Proceedings of the international conference held at Macquarie University, Sydney, on August 14–15, 2008</w:t>
      </w:r>
      <w:r w:rsidR="006744E5" w:rsidRPr="0004651D">
        <w:t xml:space="preserve"> (pp. 7–8). Peeters.</w:t>
      </w:r>
    </w:p>
    <w:p w14:paraId="04FB9D3A" w14:textId="6C59F031" w:rsidR="006A6F5F" w:rsidRPr="0004651D" w:rsidRDefault="006744E5" w:rsidP="006744E5">
      <w:pPr>
        <w:pStyle w:val="NormalWeb"/>
        <w:numPr>
          <w:ilvl w:val="0"/>
          <w:numId w:val="9"/>
        </w:numPr>
      </w:pPr>
      <w:r w:rsidRPr="0004651D">
        <w:t xml:space="preserve">Zhou, J. (2024). The impact of religion on the status of women in ancient Egypt. </w:t>
      </w:r>
      <w:r w:rsidRPr="0004651D">
        <w:rPr>
          <w:i/>
          <w:iCs/>
        </w:rPr>
        <w:t>Communications in Humanities Research, 32</w:t>
      </w:r>
      <w:r w:rsidRPr="0004651D">
        <w:t>, 169–172. https://doi.org/10.54254/2753-7064/32/20240041</w:t>
      </w:r>
    </w:p>
    <w:sectPr w:rsidR="006A6F5F" w:rsidRPr="000465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BE96E0" w14:textId="77777777" w:rsidR="00F6778B" w:rsidRDefault="00F6778B" w:rsidP="007349D6">
      <w:pPr>
        <w:spacing w:after="0" w:line="240" w:lineRule="auto"/>
      </w:pPr>
      <w:r>
        <w:separator/>
      </w:r>
    </w:p>
  </w:endnote>
  <w:endnote w:type="continuationSeparator" w:id="0">
    <w:p w14:paraId="092729CB" w14:textId="77777777" w:rsidR="00F6778B" w:rsidRDefault="00F6778B" w:rsidP="00734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D4BC5" w14:textId="77777777" w:rsidR="00F6778B" w:rsidRDefault="00F6778B" w:rsidP="007349D6">
      <w:pPr>
        <w:spacing w:after="0" w:line="240" w:lineRule="auto"/>
      </w:pPr>
      <w:r>
        <w:separator/>
      </w:r>
    </w:p>
  </w:footnote>
  <w:footnote w:type="continuationSeparator" w:id="0">
    <w:p w14:paraId="37C7CB62" w14:textId="77777777" w:rsidR="00F6778B" w:rsidRDefault="00F6778B" w:rsidP="00734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35558"/>
    <w:multiLevelType w:val="multilevel"/>
    <w:tmpl w:val="A9361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D2555"/>
    <w:multiLevelType w:val="hybridMultilevel"/>
    <w:tmpl w:val="D66C6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3794"/>
    <w:multiLevelType w:val="multilevel"/>
    <w:tmpl w:val="B9708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401E19"/>
    <w:multiLevelType w:val="hybridMultilevel"/>
    <w:tmpl w:val="983A8D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A69D3"/>
    <w:multiLevelType w:val="hybridMultilevel"/>
    <w:tmpl w:val="1AA45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703E1"/>
    <w:multiLevelType w:val="multilevel"/>
    <w:tmpl w:val="EE7C8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4E135B"/>
    <w:multiLevelType w:val="hybridMultilevel"/>
    <w:tmpl w:val="9110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96420A"/>
    <w:multiLevelType w:val="hybridMultilevel"/>
    <w:tmpl w:val="6E0EB0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812499A"/>
    <w:multiLevelType w:val="hybridMultilevel"/>
    <w:tmpl w:val="DF685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657138"/>
    <w:multiLevelType w:val="multilevel"/>
    <w:tmpl w:val="891A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733DBC"/>
    <w:multiLevelType w:val="hybridMultilevel"/>
    <w:tmpl w:val="2048E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6E55FE"/>
    <w:multiLevelType w:val="hybridMultilevel"/>
    <w:tmpl w:val="8CB8DC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445D2B"/>
    <w:multiLevelType w:val="multilevel"/>
    <w:tmpl w:val="FEEEA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FA68B2"/>
    <w:multiLevelType w:val="multilevel"/>
    <w:tmpl w:val="A2C62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4B4D00"/>
    <w:multiLevelType w:val="hybridMultilevel"/>
    <w:tmpl w:val="28547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5E44F8"/>
    <w:multiLevelType w:val="multilevel"/>
    <w:tmpl w:val="26ACE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857E95"/>
    <w:multiLevelType w:val="hybridMultilevel"/>
    <w:tmpl w:val="E8C45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F23353"/>
    <w:multiLevelType w:val="multilevel"/>
    <w:tmpl w:val="51824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664974"/>
    <w:multiLevelType w:val="hybridMultilevel"/>
    <w:tmpl w:val="83D89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C257BED"/>
    <w:multiLevelType w:val="multilevel"/>
    <w:tmpl w:val="170A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105481">
    <w:abstractNumId w:val="3"/>
  </w:num>
  <w:num w:numId="2" w16cid:durableId="1759212359">
    <w:abstractNumId w:val="11"/>
  </w:num>
  <w:num w:numId="3" w16cid:durableId="695231602">
    <w:abstractNumId w:val="4"/>
  </w:num>
  <w:num w:numId="4" w16cid:durableId="371074041">
    <w:abstractNumId w:val="6"/>
  </w:num>
  <w:num w:numId="5" w16cid:durableId="910388890">
    <w:abstractNumId w:val="10"/>
  </w:num>
  <w:num w:numId="6" w16cid:durableId="28452690">
    <w:abstractNumId w:val="8"/>
  </w:num>
  <w:num w:numId="7" w16cid:durableId="719282574">
    <w:abstractNumId w:val="14"/>
  </w:num>
  <w:num w:numId="8" w16cid:durableId="49619547">
    <w:abstractNumId w:val="18"/>
  </w:num>
  <w:num w:numId="9" w16cid:durableId="2040816668">
    <w:abstractNumId w:val="16"/>
  </w:num>
  <w:num w:numId="10" w16cid:durableId="1009715707">
    <w:abstractNumId w:val="12"/>
  </w:num>
  <w:num w:numId="11" w16cid:durableId="63725684">
    <w:abstractNumId w:val="0"/>
  </w:num>
  <w:num w:numId="12" w16cid:durableId="1317149565">
    <w:abstractNumId w:val="2"/>
  </w:num>
  <w:num w:numId="13" w16cid:durableId="2114861922">
    <w:abstractNumId w:val="9"/>
  </w:num>
  <w:num w:numId="14" w16cid:durableId="1819490430">
    <w:abstractNumId w:val="15"/>
  </w:num>
  <w:num w:numId="15" w16cid:durableId="1445151507">
    <w:abstractNumId w:val="5"/>
  </w:num>
  <w:num w:numId="16" w16cid:durableId="1920018403">
    <w:abstractNumId w:val="19"/>
  </w:num>
  <w:num w:numId="17" w16cid:durableId="688874871">
    <w:abstractNumId w:val="13"/>
  </w:num>
  <w:num w:numId="18" w16cid:durableId="40829222">
    <w:abstractNumId w:val="7"/>
  </w:num>
  <w:num w:numId="19" w16cid:durableId="822352383">
    <w:abstractNumId w:val="1"/>
  </w:num>
  <w:num w:numId="20" w16cid:durableId="73748532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FEE"/>
    <w:rsid w:val="00006849"/>
    <w:rsid w:val="00006DC3"/>
    <w:rsid w:val="000130B7"/>
    <w:rsid w:val="000323EF"/>
    <w:rsid w:val="00033FF8"/>
    <w:rsid w:val="000348E2"/>
    <w:rsid w:val="0004287D"/>
    <w:rsid w:val="0004651D"/>
    <w:rsid w:val="00056369"/>
    <w:rsid w:val="00063E63"/>
    <w:rsid w:val="0007144A"/>
    <w:rsid w:val="0007614C"/>
    <w:rsid w:val="00077001"/>
    <w:rsid w:val="00097E7E"/>
    <w:rsid w:val="000A5411"/>
    <w:rsid w:val="000B25A9"/>
    <w:rsid w:val="000D1DE9"/>
    <w:rsid w:val="000E3877"/>
    <w:rsid w:val="000F3CAE"/>
    <w:rsid w:val="0010137C"/>
    <w:rsid w:val="00122CDF"/>
    <w:rsid w:val="00124424"/>
    <w:rsid w:val="00126DFA"/>
    <w:rsid w:val="00187D75"/>
    <w:rsid w:val="0019456C"/>
    <w:rsid w:val="001A214D"/>
    <w:rsid w:val="001A3452"/>
    <w:rsid w:val="001A6444"/>
    <w:rsid w:val="001A7E77"/>
    <w:rsid w:val="001B09E4"/>
    <w:rsid w:val="001D54B7"/>
    <w:rsid w:val="001F3E2A"/>
    <w:rsid w:val="00202F37"/>
    <w:rsid w:val="00236445"/>
    <w:rsid w:val="0025040D"/>
    <w:rsid w:val="00252DF2"/>
    <w:rsid w:val="002B6C57"/>
    <w:rsid w:val="002D304F"/>
    <w:rsid w:val="002D32B2"/>
    <w:rsid w:val="002F17A4"/>
    <w:rsid w:val="002F68DD"/>
    <w:rsid w:val="00305EC6"/>
    <w:rsid w:val="00306C45"/>
    <w:rsid w:val="003127C6"/>
    <w:rsid w:val="0033439E"/>
    <w:rsid w:val="003468C5"/>
    <w:rsid w:val="00350631"/>
    <w:rsid w:val="0035297A"/>
    <w:rsid w:val="00364634"/>
    <w:rsid w:val="0037000B"/>
    <w:rsid w:val="00381012"/>
    <w:rsid w:val="00386A46"/>
    <w:rsid w:val="003D0CB1"/>
    <w:rsid w:val="003E4D76"/>
    <w:rsid w:val="003E6C1F"/>
    <w:rsid w:val="004243D8"/>
    <w:rsid w:val="0044187F"/>
    <w:rsid w:val="00451023"/>
    <w:rsid w:val="00490E0D"/>
    <w:rsid w:val="004A0AC7"/>
    <w:rsid w:val="004A3DBC"/>
    <w:rsid w:val="004D354D"/>
    <w:rsid w:val="005559D6"/>
    <w:rsid w:val="00563AD3"/>
    <w:rsid w:val="00574ED9"/>
    <w:rsid w:val="00585C3C"/>
    <w:rsid w:val="00596DB9"/>
    <w:rsid w:val="005E177E"/>
    <w:rsid w:val="00616DC9"/>
    <w:rsid w:val="00634E20"/>
    <w:rsid w:val="006408C2"/>
    <w:rsid w:val="00645A06"/>
    <w:rsid w:val="00646D01"/>
    <w:rsid w:val="006744E5"/>
    <w:rsid w:val="00690FE8"/>
    <w:rsid w:val="006A6F5F"/>
    <w:rsid w:val="006D50D6"/>
    <w:rsid w:val="00705FEE"/>
    <w:rsid w:val="00713024"/>
    <w:rsid w:val="007220F2"/>
    <w:rsid w:val="007349D6"/>
    <w:rsid w:val="00753278"/>
    <w:rsid w:val="00757B80"/>
    <w:rsid w:val="007779EF"/>
    <w:rsid w:val="0078614A"/>
    <w:rsid w:val="00794133"/>
    <w:rsid w:val="007B015F"/>
    <w:rsid w:val="007C7537"/>
    <w:rsid w:val="007E506D"/>
    <w:rsid w:val="007F34CB"/>
    <w:rsid w:val="00815FFF"/>
    <w:rsid w:val="00823069"/>
    <w:rsid w:val="0084150A"/>
    <w:rsid w:val="00844401"/>
    <w:rsid w:val="00850565"/>
    <w:rsid w:val="00855243"/>
    <w:rsid w:val="00870443"/>
    <w:rsid w:val="00870C76"/>
    <w:rsid w:val="008A31E2"/>
    <w:rsid w:val="008C308E"/>
    <w:rsid w:val="008D304F"/>
    <w:rsid w:val="008F4A8E"/>
    <w:rsid w:val="008F67A8"/>
    <w:rsid w:val="008F71AD"/>
    <w:rsid w:val="009009B5"/>
    <w:rsid w:val="00922BF1"/>
    <w:rsid w:val="00925DA3"/>
    <w:rsid w:val="00930FBE"/>
    <w:rsid w:val="009352FD"/>
    <w:rsid w:val="00971123"/>
    <w:rsid w:val="00985488"/>
    <w:rsid w:val="009863F5"/>
    <w:rsid w:val="009B465D"/>
    <w:rsid w:val="009C3F41"/>
    <w:rsid w:val="009E6AE4"/>
    <w:rsid w:val="00A111AB"/>
    <w:rsid w:val="00A13785"/>
    <w:rsid w:val="00A14E1E"/>
    <w:rsid w:val="00A43C9E"/>
    <w:rsid w:val="00A43F2D"/>
    <w:rsid w:val="00A52B87"/>
    <w:rsid w:val="00A6081A"/>
    <w:rsid w:val="00A8289C"/>
    <w:rsid w:val="00AE5C1D"/>
    <w:rsid w:val="00B27649"/>
    <w:rsid w:val="00B33770"/>
    <w:rsid w:val="00B34490"/>
    <w:rsid w:val="00B43472"/>
    <w:rsid w:val="00B54626"/>
    <w:rsid w:val="00B73440"/>
    <w:rsid w:val="00B918DC"/>
    <w:rsid w:val="00B955A1"/>
    <w:rsid w:val="00B96948"/>
    <w:rsid w:val="00BA61A3"/>
    <w:rsid w:val="00BB54C8"/>
    <w:rsid w:val="00BB7A0F"/>
    <w:rsid w:val="00C31DD7"/>
    <w:rsid w:val="00C37B81"/>
    <w:rsid w:val="00C51B44"/>
    <w:rsid w:val="00C52FCD"/>
    <w:rsid w:val="00C621CE"/>
    <w:rsid w:val="00C641F7"/>
    <w:rsid w:val="00C85F1B"/>
    <w:rsid w:val="00C86419"/>
    <w:rsid w:val="00C87780"/>
    <w:rsid w:val="00CB3FD6"/>
    <w:rsid w:val="00CC06BB"/>
    <w:rsid w:val="00CE619C"/>
    <w:rsid w:val="00CF04AB"/>
    <w:rsid w:val="00CF55B4"/>
    <w:rsid w:val="00D10BB0"/>
    <w:rsid w:val="00D11E90"/>
    <w:rsid w:val="00D3586D"/>
    <w:rsid w:val="00D62328"/>
    <w:rsid w:val="00D64148"/>
    <w:rsid w:val="00D67816"/>
    <w:rsid w:val="00DB6FEF"/>
    <w:rsid w:val="00DC1A9D"/>
    <w:rsid w:val="00DD18BA"/>
    <w:rsid w:val="00DE426E"/>
    <w:rsid w:val="00DF3785"/>
    <w:rsid w:val="00DF67CF"/>
    <w:rsid w:val="00E016F0"/>
    <w:rsid w:val="00E160FA"/>
    <w:rsid w:val="00E26BDB"/>
    <w:rsid w:val="00E46A8A"/>
    <w:rsid w:val="00E521BB"/>
    <w:rsid w:val="00E56FCB"/>
    <w:rsid w:val="00E65B3B"/>
    <w:rsid w:val="00E76583"/>
    <w:rsid w:val="00E95614"/>
    <w:rsid w:val="00E96FF4"/>
    <w:rsid w:val="00EA33DC"/>
    <w:rsid w:val="00EA5DA6"/>
    <w:rsid w:val="00EC340F"/>
    <w:rsid w:val="00EC3A2E"/>
    <w:rsid w:val="00ED381C"/>
    <w:rsid w:val="00ED39F4"/>
    <w:rsid w:val="00ED7E47"/>
    <w:rsid w:val="00EF2118"/>
    <w:rsid w:val="00F01CE6"/>
    <w:rsid w:val="00F171E6"/>
    <w:rsid w:val="00F20926"/>
    <w:rsid w:val="00F2403D"/>
    <w:rsid w:val="00F246BC"/>
    <w:rsid w:val="00F37D59"/>
    <w:rsid w:val="00F4017E"/>
    <w:rsid w:val="00F6778B"/>
    <w:rsid w:val="00FA227E"/>
    <w:rsid w:val="00FB6FE9"/>
    <w:rsid w:val="00FE0A58"/>
    <w:rsid w:val="00FE0CC4"/>
    <w:rsid w:val="00FE42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B59F"/>
  <w15:chartTrackingRefBased/>
  <w15:docId w15:val="{3EBF4396-523B-49F4-9C29-4D6C22B80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F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5F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5F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5F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5F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5F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5F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5F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5F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F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5F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5F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5F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5F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5F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5F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5F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5FEE"/>
    <w:rPr>
      <w:rFonts w:eastAsiaTheme="majorEastAsia" w:cstheme="majorBidi"/>
      <w:color w:val="272727" w:themeColor="text1" w:themeTint="D8"/>
    </w:rPr>
  </w:style>
  <w:style w:type="paragraph" w:styleId="Title">
    <w:name w:val="Title"/>
    <w:basedOn w:val="Normal"/>
    <w:next w:val="Normal"/>
    <w:link w:val="TitleChar"/>
    <w:uiPriority w:val="10"/>
    <w:qFormat/>
    <w:rsid w:val="00705F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F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5F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5F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5FEE"/>
    <w:pPr>
      <w:spacing w:before="160"/>
      <w:jc w:val="center"/>
    </w:pPr>
    <w:rPr>
      <w:i/>
      <w:iCs/>
      <w:color w:val="404040" w:themeColor="text1" w:themeTint="BF"/>
    </w:rPr>
  </w:style>
  <w:style w:type="character" w:customStyle="1" w:styleId="QuoteChar">
    <w:name w:val="Quote Char"/>
    <w:basedOn w:val="DefaultParagraphFont"/>
    <w:link w:val="Quote"/>
    <w:uiPriority w:val="29"/>
    <w:rsid w:val="00705FEE"/>
    <w:rPr>
      <w:i/>
      <w:iCs/>
      <w:color w:val="404040" w:themeColor="text1" w:themeTint="BF"/>
    </w:rPr>
  </w:style>
  <w:style w:type="paragraph" w:styleId="ListParagraph">
    <w:name w:val="List Paragraph"/>
    <w:basedOn w:val="Normal"/>
    <w:uiPriority w:val="34"/>
    <w:qFormat/>
    <w:rsid w:val="00705FEE"/>
    <w:pPr>
      <w:ind w:left="720"/>
      <w:contextualSpacing/>
    </w:pPr>
  </w:style>
  <w:style w:type="character" w:styleId="IntenseEmphasis">
    <w:name w:val="Intense Emphasis"/>
    <w:basedOn w:val="DefaultParagraphFont"/>
    <w:uiPriority w:val="21"/>
    <w:qFormat/>
    <w:rsid w:val="00705FEE"/>
    <w:rPr>
      <w:i/>
      <w:iCs/>
      <w:color w:val="0F4761" w:themeColor="accent1" w:themeShade="BF"/>
    </w:rPr>
  </w:style>
  <w:style w:type="paragraph" w:styleId="IntenseQuote">
    <w:name w:val="Intense Quote"/>
    <w:basedOn w:val="Normal"/>
    <w:next w:val="Normal"/>
    <w:link w:val="IntenseQuoteChar"/>
    <w:uiPriority w:val="30"/>
    <w:qFormat/>
    <w:rsid w:val="00705F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5FEE"/>
    <w:rPr>
      <w:i/>
      <w:iCs/>
      <w:color w:val="0F4761" w:themeColor="accent1" w:themeShade="BF"/>
    </w:rPr>
  </w:style>
  <w:style w:type="character" w:styleId="IntenseReference">
    <w:name w:val="Intense Reference"/>
    <w:basedOn w:val="DefaultParagraphFont"/>
    <w:uiPriority w:val="32"/>
    <w:qFormat/>
    <w:rsid w:val="00705FEE"/>
    <w:rPr>
      <w:b/>
      <w:bCs/>
      <w:smallCaps/>
      <w:color w:val="0F4761" w:themeColor="accent1" w:themeShade="BF"/>
      <w:spacing w:val="5"/>
    </w:rPr>
  </w:style>
  <w:style w:type="character" w:styleId="Hyperlink">
    <w:name w:val="Hyperlink"/>
    <w:basedOn w:val="DefaultParagraphFont"/>
    <w:uiPriority w:val="99"/>
    <w:unhideWhenUsed/>
    <w:rsid w:val="00574ED9"/>
    <w:rPr>
      <w:color w:val="467886" w:themeColor="hyperlink"/>
      <w:u w:val="single"/>
    </w:rPr>
  </w:style>
  <w:style w:type="character" w:styleId="UnresolvedMention">
    <w:name w:val="Unresolved Mention"/>
    <w:basedOn w:val="DefaultParagraphFont"/>
    <w:uiPriority w:val="99"/>
    <w:semiHidden/>
    <w:unhideWhenUsed/>
    <w:rsid w:val="00574ED9"/>
    <w:rPr>
      <w:color w:val="605E5C"/>
      <w:shd w:val="clear" w:color="auto" w:fill="E1DFDD"/>
    </w:rPr>
  </w:style>
  <w:style w:type="paragraph" w:styleId="NormalWeb">
    <w:name w:val="Normal (Web)"/>
    <w:basedOn w:val="Normal"/>
    <w:uiPriority w:val="99"/>
    <w:unhideWhenUsed/>
    <w:rsid w:val="000A541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hitespace-normal">
    <w:name w:val="whitespace-normal"/>
    <w:basedOn w:val="DefaultParagraphFont"/>
    <w:rsid w:val="000A5411"/>
  </w:style>
  <w:style w:type="character" w:styleId="Emphasis">
    <w:name w:val="Emphasis"/>
    <w:basedOn w:val="DefaultParagraphFont"/>
    <w:uiPriority w:val="20"/>
    <w:qFormat/>
    <w:rsid w:val="00063E63"/>
    <w:rPr>
      <w:i/>
      <w:iCs/>
    </w:rPr>
  </w:style>
  <w:style w:type="character" w:styleId="HTMLCite">
    <w:name w:val="HTML Cite"/>
    <w:basedOn w:val="DefaultParagraphFont"/>
    <w:uiPriority w:val="99"/>
    <w:semiHidden/>
    <w:unhideWhenUsed/>
    <w:rsid w:val="00753278"/>
    <w:rPr>
      <w:i/>
      <w:iCs/>
    </w:rPr>
  </w:style>
  <w:style w:type="character" w:customStyle="1" w:styleId="src">
    <w:name w:val="src"/>
    <w:basedOn w:val="DefaultParagraphFont"/>
    <w:rsid w:val="00753278"/>
  </w:style>
  <w:style w:type="character" w:customStyle="1" w:styleId="copy-stable-url">
    <w:name w:val="copy-stable-url"/>
    <w:basedOn w:val="DefaultParagraphFont"/>
    <w:rsid w:val="007532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2307/40000840" TargetMode="External"/><Relationship Id="rId18" Type="http://schemas.openxmlformats.org/officeDocument/2006/relationships/hyperlink" Target="https://doi.org/10.1177/03075133090950011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jstor-org.uwtsd.idm.oclc.org/journal/jamerresecentegy" TargetMode="External"/><Relationship Id="rId17" Type="http://schemas.openxmlformats.org/officeDocument/2006/relationships/hyperlink" Target="https://doi.org/10.1177/030751330308900108" TargetMode="External"/><Relationship Id="rId2" Type="http://schemas.openxmlformats.org/officeDocument/2006/relationships/styles" Target="styles.xml"/><Relationship Id="rId16" Type="http://schemas.openxmlformats.org/officeDocument/2006/relationships/hyperlink" Target="https://doi.org/10.1111/j.1749-8171.2009.00185.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1608/ijthm.2020.103383" TargetMode="External"/><Relationship Id="rId5" Type="http://schemas.openxmlformats.org/officeDocument/2006/relationships/footnotes" Target="footnotes.xml"/><Relationship Id="rId15" Type="http://schemas.openxmlformats.org/officeDocument/2006/relationships/hyperlink" Target="https://doi.org/10.32631/pb.2023.2.08" TargetMode="External"/><Relationship Id="rId10" Type="http://schemas.openxmlformats.org/officeDocument/2006/relationships/hyperlink" Target="https://doi.org/10.1371/journal.pone.013191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lencairnmuseum.org/newsletter/september-2014-the-goddess-taweret-protector-of-mothers-and.html?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2154</TotalTime>
  <Pages>12</Pages>
  <Words>4591</Words>
  <Characters>27962</Characters>
  <Application>Microsoft Office Word</Application>
  <DocSecurity>0</DocSecurity>
  <Lines>411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Davey</dc:creator>
  <cp:keywords/>
  <dc:description/>
  <cp:lastModifiedBy>Rosie Davey</cp:lastModifiedBy>
  <cp:revision>12</cp:revision>
  <dcterms:created xsi:type="dcterms:W3CDTF">2026-05-12T10:51:00Z</dcterms:created>
  <dcterms:modified xsi:type="dcterms:W3CDTF">2026-05-15T13:24:00Z</dcterms:modified>
</cp:coreProperties>
</file>