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Layout"/>
        <w:tblW w:w="0" w:type="auto"/>
        <w:jc w:val="center"/>
        <w:tblLayout w:type="fixed"/>
        <w:tblLook w:val="04A0" w:firstRow="1" w:lastRow="0" w:firstColumn="1" w:lastColumn="0" w:noHBand="0" w:noVBand="1"/>
        <w:tblDescription w:val="Brochure layout table"/>
      </w:tblPr>
      <w:tblGrid>
        <w:gridCol w:w="4565"/>
        <w:gridCol w:w="5285"/>
        <w:gridCol w:w="4565"/>
      </w:tblGrid>
      <w:tr w:rsidR="00307EC9" w:rsidRPr="00760CFF" w14:paraId="6AFF333E" w14:textId="77777777" w:rsidTr="00BC7316">
        <w:trPr>
          <w:trHeight w:val="1145"/>
          <w:jc w:val="center"/>
        </w:trPr>
        <w:tc>
          <w:tcPr>
            <w:tcW w:w="4565" w:type="dxa"/>
            <w:tcMar>
              <w:right w:w="720" w:type="dxa"/>
            </w:tcMar>
          </w:tcPr>
          <w:p w14:paraId="16E5BFC0" w14:textId="267BEADF" w:rsidR="00307EC9" w:rsidRPr="00760CFF" w:rsidRDefault="00CF4E78">
            <w:pPr>
              <w:rPr>
                <w:lang w:val="en-GB"/>
              </w:rPr>
            </w:pPr>
            <w:r>
              <w:rPr>
                <w:noProof/>
              </w:rPr>
              <w:drawing>
                <wp:inline distT="0" distB="0" distL="0" distR="0" wp14:anchorId="0E178377" wp14:editId="20ED58B5">
                  <wp:extent cx="2294890" cy="842140"/>
                  <wp:effectExtent l="0" t="0" r="0" b="0"/>
                  <wp:docPr id="131087844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10878446" name=""/>
                          <pic:cNvPicPr/>
                        </pic:nvPicPr>
                        <pic:blipFill rotWithShape="1">
                          <a:blip r:embed="rId10"/>
                          <a:srcRect t="28471" r="6003" b="10212"/>
                          <a:stretch/>
                        </pic:blipFill>
                        <pic:spPr bwMode="auto">
                          <a:xfrm>
                            <a:off x="0" y="0"/>
                            <a:ext cx="2295023" cy="84218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06F9EB71" w14:textId="2143F9E3" w:rsidR="00307EC9" w:rsidRPr="00760CFF" w:rsidRDefault="00CF4E78">
            <w:pPr>
              <w:pStyle w:val="Caption"/>
              <w:rPr>
                <w:lang w:val="en-GB"/>
              </w:rPr>
            </w:pPr>
            <w:r w:rsidRPr="00CF4E78">
              <w:rPr>
                <w:lang w:val="en-GB"/>
              </w:rPr>
              <w:t>(Dementia Statistics Hub, n.d.)</w:t>
            </w:r>
          </w:p>
          <w:p w14:paraId="3CC9F47D" w14:textId="7B57DE2E" w:rsidR="00307EC9" w:rsidRPr="00760CFF" w:rsidRDefault="00177044">
            <w:pPr>
              <w:pStyle w:val="Heading2"/>
              <w:rPr>
                <w:rStyle w:val="Heading2Char"/>
                <w:b/>
                <w:bCs/>
                <w:lang w:val="en-GB"/>
              </w:rPr>
            </w:pPr>
            <w:r>
              <w:rPr>
                <w:lang w:val="en-GB"/>
              </w:rPr>
              <w:t>What is dementia?</w:t>
            </w:r>
          </w:p>
          <w:p w14:paraId="2AB54038" w14:textId="4A0B4477" w:rsidR="00307EC9" w:rsidRPr="00CF4E78" w:rsidRDefault="008C73D5" w:rsidP="00365EBB">
            <w:pPr>
              <w:rPr>
                <w:sz w:val="20"/>
                <w:szCs w:val="20"/>
                <w:lang w:val="en-GB"/>
              </w:rPr>
            </w:pPr>
            <w:r w:rsidRPr="00CF4E78">
              <w:rPr>
                <w:sz w:val="20"/>
                <w:szCs w:val="20"/>
                <w:lang w:val="en-GB"/>
              </w:rPr>
              <w:t xml:space="preserve">Dementia is when someone’s brain function declines and the ability to live </w:t>
            </w:r>
            <w:r w:rsidR="007E4A25" w:rsidRPr="00CF4E78">
              <w:rPr>
                <w:sz w:val="20"/>
                <w:szCs w:val="20"/>
                <w:lang w:val="en-GB"/>
              </w:rPr>
              <w:t>an</w:t>
            </w:r>
            <w:r w:rsidRPr="00CF4E78">
              <w:rPr>
                <w:sz w:val="20"/>
                <w:szCs w:val="20"/>
                <w:lang w:val="en-GB"/>
              </w:rPr>
              <w:t xml:space="preserve"> independent life slowly reduces. Dementia effects the nerves in the brain which then impacts the brain from </w:t>
            </w:r>
            <w:r w:rsidR="00AA3AE4" w:rsidRPr="00CF4E78">
              <w:rPr>
                <w:sz w:val="20"/>
                <w:szCs w:val="20"/>
                <w:lang w:val="en-GB"/>
              </w:rPr>
              <w:t>working efficiently.</w:t>
            </w:r>
            <w:r w:rsidR="00C12AB2">
              <w:rPr>
                <w:sz w:val="20"/>
                <w:szCs w:val="20"/>
                <w:lang w:val="en-GB"/>
              </w:rPr>
              <w:t xml:space="preserve"> </w:t>
            </w:r>
            <w:r w:rsidR="00C12AB2" w:rsidRPr="00C12AB2">
              <w:rPr>
                <w:sz w:val="16"/>
                <w:szCs w:val="16"/>
                <w:lang w:val="en-GB"/>
              </w:rPr>
              <w:t>(American Speech-Language-Hearing Association, n.d.)</w:t>
            </w:r>
          </w:p>
          <w:p w14:paraId="4806E5C8" w14:textId="197835D4" w:rsidR="00307EC9" w:rsidRPr="00CF4E78" w:rsidRDefault="00AA3AE4" w:rsidP="00AA3AE4">
            <w:pPr>
              <w:pStyle w:val="ListBullet"/>
              <w:rPr>
                <w:sz w:val="20"/>
                <w:szCs w:val="20"/>
                <w:lang w:val="en-GB"/>
              </w:rPr>
            </w:pPr>
            <w:r w:rsidRPr="00CF4E78">
              <w:rPr>
                <w:sz w:val="20"/>
                <w:szCs w:val="20"/>
                <w:lang w:val="en-GB"/>
              </w:rPr>
              <w:t>Dementia is a umbrella phrase for a variety of progressive conditions.</w:t>
            </w:r>
            <w:r w:rsidR="000521FB">
              <w:rPr>
                <w:sz w:val="20"/>
                <w:szCs w:val="20"/>
                <w:lang w:val="en-GB"/>
              </w:rPr>
              <w:t xml:space="preserve"> </w:t>
            </w:r>
            <w:r w:rsidR="000521FB" w:rsidRPr="000521FB">
              <w:rPr>
                <w:sz w:val="16"/>
                <w:szCs w:val="16"/>
                <w:lang w:val="en-GB"/>
              </w:rPr>
              <w:t>(National Institute on Aging, 2023)</w:t>
            </w:r>
          </w:p>
          <w:p w14:paraId="63B21D3C" w14:textId="200AFC8C" w:rsidR="00AA3AE4" w:rsidRPr="00CF4E78" w:rsidRDefault="00AA3AE4" w:rsidP="00AA3AE4">
            <w:pPr>
              <w:pStyle w:val="ListBullet"/>
              <w:rPr>
                <w:sz w:val="20"/>
                <w:szCs w:val="20"/>
                <w:lang w:val="en-GB"/>
              </w:rPr>
            </w:pPr>
            <w:r w:rsidRPr="00CF4E78">
              <w:rPr>
                <w:sz w:val="20"/>
                <w:szCs w:val="20"/>
                <w:lang w:val="en-GB"/>
              </w:rPr>
              <w:t>Dementia has approximately 200 subtypes and causes.</w:t>
            </w:r>
            <w:r w:rsidR="000521FB">
              <w:rPr>
                <w:sz w:val="20"/>
                <w:szCs w:val="20"/>
                <w:lang w:val="en-GB"/>
              </w:rPr>
              <w:t xml:space="preserve"> </w:t>
            </w:r>
            <w:r w:rsidR="000521FB" w:rsidRPr="000521FB">
              <w:rPr>
                <w:sz w:val="12"/>
                <w:szCs w:val="12"/>
                <w:lang w:val="en-GB"/>
              </w:rPr>
              <w:t>(parkin and baker, 2016)</w:t>
            </w:r>
          </w:p>
          <w:p w14:paraId="65A559A7" w14:textId="4CC6F4EE" w:rsidR="00AA3AE4" w:rsidRPr="00CF4E78" w:rsidRDefault="00AA3AE4" w:rsidP="00AA3AE4">
            <w:pPr>
              <w:pStyle w:val="ListBullet"/>
              <w:rPr>
                <w:sz w:val="20"/>
                <w:szCs w:val="20"/>
                <w:lang w:val="en-GB"/>
              </w:rPr>
            </w:pPr>
            <w:r w:rsidRPr="00CF4E78">
              <w:rPr>
                <w:sz w:val="20"/>
                <w:szCs w:val="20"/>
                <w:lang w:val="en-GB"/>
              </w:rPr>
              <w:t xml:space="preserve">The two most common </w:t>
            </w:r>
            <w:r w:rsidR="00CF4E78" w:rsidRPr="00CF4E78">
              <w:rPr>
                <w:sz w:val="20"/>
                <w:szCs w:val="20"/>
                <w:lang w:val="en-GB"/>
              </w:rPr>
              <w:t xml:space="preserve">types of dementia </w:t>
            </w:r>
            <w:r w:rsidR="007E4A25" w:rsidRPr="00CF4E78">
              <w:rPr>
                <w:sz w:val="20"/>
                <w:szCs w:val="20"/>
                <w:lang w:val="en-GB"/>
              </w:rPr>
              <w:t>are</w:t>
            </w:r>
            <w:r w:rsidR="00CF4E78" w:rsidRPr="00CF4E78">
              <w:rPr>
                <w:sz w:val="20"/>
                <w:szCs w:val="20"/>
                <w:lang w:val="en-GB"/>
              </w:rPr>
              <w:t xml:space="preserve"> Alzheimer’s disease and vascular dementia.</w:t>
            </w:r>
            <w:r w:rsidR="00E878A6">
              <w:rPr>
                <w:sz w:val="20"/>
                <w:szCs w:val="20"/>
                <w:lang w:val="en-GB"/>
              </w:rPr>
              <w:t xml:space="preserve"> </w:t>
            </w:r>
            <w:r w:rsidR="00E878A6" w:rsidRPr="00E878A6">
              <w:rPr>
                <w:sz w:val="12"/>
                <w:szCs w:val="12"/>
                <w:lang w:val="en-GB"/>
              </w:rPr>
              <w:t>(Mayo Clinic, 2021)</w:t>
            </w:r>
          </w:p>
          <w:p w14:paraId="22EA7CB6" w14:textId="24045943" w:rsidR="00CF4E78" w:rsidRPr="00760CFF" w:rsidRDefault="000071B7" w:rsidP="00AA3AE4">
            <w:pPr>
              <w:pStyle w:val="ListBullet"/>
              <w:rPr>
                <w:lang w:val="en-GB"/>
              </w:rPr>
            </w:pPr>
            <w:r w:rsidRPr="000071B7">
              <w:rPr>
                <w:noProof/>
                <w:lang w:val="en-GB"/>
              </w:rPr>
              <mc:AlternateContent>
                <mc:Choice Requires="wps">
                  <w:drawing>
                    <wp:anchor distT="45720" distB="45720" distL="114300" distR="114300" simplePos="0" relativeHeight="251659264" behindDoc="0" locked="0" layoutInCell="1" allowOverlap="1" wp14:anchorId="6D57E382" wp14:editId="5DB58453">
                      <wp:simplePos x="0" y="0"/>
                      <wp:positionH relativeFrom="column">
                        <wp:posOffset>226651</wp:posOffset>
                      </wp:positionH>
                      <wp:positionV relativeFrom="paragraph">
                        <wp:posOffset>2160692</wp:posOffset>
                      </wp:positionV>
                      <wp:extent cx="2175510" cy="298450"/>
                      <wp:effectExtent l="0" t="0" r="15240" b="25400"/>
                      <wp:wrapNone/>
                      <wp:docPr id="217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175510" cy="2984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68688C27" w14:textId="76E32158" w:rsidR="000071B7" w:rsidRDefault="000071B7">
                                  <w:r w:rsidRPr="000071B7">
                                    <w:t>(Hui, 2020)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6D57E382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6" type="#_x0000_t202" style="position:absolute;left:0;text-align:left;margin-left:17.85pt;margin-top:170.15pt;width:171.3pt;height:23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">
                      <v:textbox>
                        <w:txbxContent>
                          <w:p w14:paraId="68688C27" w14:textId="76E32158" w:rsidR="000071B7" w:rsidRDefault="000071B7">
                            <w:r w:rsidRPr="000071B7">
                              <w:t>(Hui, 2020)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CF4E78" w:rsidRPr="00CF4E78">
              <w:rPr>
                <w:sz w:val="20"/>
                <w:szCs w:val="20"/>
                <w:lang w:val="en-GB"/>
              </w:rPr>
              <w:t>It is possible to have two different forms of dementia which is classed as mixed dementi</w:t>
            </w:r>
            <w:r w:rsidR="00E878A6">
              <w:rPr>
                <w:sz w:val="20"/>
                <w:szCs w:val="20"/>
                <w:lang w:val="en-GB"/>
              </w:rPr>
              <w:t>a.</w:t>
            </w:r>
            <w:r w:rsidR="00E878A6" w:rsidRPr="00E878A6">
              <w:rPr>
                <w:sz w:val="12"/>
                <w:szCs w:val="12"/>
              </w:rPr>
              <w:t xml:space="preserve"> </w:t>
            </w:r>
            <w:r w:rsidR="00E878A6" w:rsidRPr="00E878A6">
              <w:rPr>
                <w:sz w:val="12"/>
                <w:szCs w:val="12"/>
                <w:lang w:val="en-GB"/>
              </w:rPr>
              <w:t>(Alzheimer Society of Canada, n.d.)</w:t>
            </w:r>
            <w:r w:rsidR="00E878A6" w:rsidRPr="00E878A6">
              <w:rPr>
                <w:sz w:val="20"/>
                <w:szCs w:val="20"/>
                <w:lang w:val="en-GB"/>
              </w:rPr>
              <w:t xml:space="preserve"> </w:t>
            </w:r>
            <w:r w:rsidR="000521FB">
              <w:rPr>
                <w:noProof/>
              </w:rPr>
              <w:drawing>
                <wp:inline distT="0" distB="0" distL="0" distR="0" wp14:anchorId="37858CDC" wp14:editId="197994AA">
                  <wp:extent cx="2339975" cy="1394233"/>
                  <wp:effectExtent l="0" t="0" r="3175" b="0"/>
                  <wp:docPr id="182922132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48426" cy="139926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285" w:type="dxa"/>
            <w:tcMar>
              <w:left w:w="720" w:type="dxa"/>
              <w:right w:w="720" w:type="dxa"/>
            </w:tcMar>
          </w:tcPr>
          <w:tbl>
            <w:tblPr>
              <w:tblStyle w:val="TableLayout"/>
              <w:tblW w:w="4881" w:type="dxa"/>
              <w:tblLayout w:type="fixed"/>
              <w:tblLook w:val="04A0" w:firstRow="1" w:lastRow="0" w:firstColumn="1" w:lastColumn="0" w:noHBand="0" w:noVBand="1"/>
              <w:tblDescription w:val="Layout table"/>
            </w:tblPr>
            <w:tblGrid>
              <w:gridCol w:w="4881"/>
            </w:tblGrid>
            <w:tr w:rsidR="00307EC9" w:rsidRPr="00760CFF" w14:paraId="2BBF6512" w14:textId="77777777" w:rsidTr="004B53DE">
              <w:trPr>
                <w:trHeight w:hRule="exact" w:val="9498"/>
              </w:trPr>
              <w:tc>
                <w:tcPr>
                  <w:tcW w:w="5000" w:type="pct"/>
                </w:tcPr>
                <w:p w14:paraId="00DC22FF" w14:textId="62DF9A60" w:rsidR="00307EC9" w:rsidRPr="001E1EE2" w:rsidRDefault="00177044" w:rsidP="00CF4E78">
                  <w:pPr>
                    <w:pStyle w:val="Heading1"/>
                    <w:rPr>
                      <w:sz w:val="36"/>
                      <w:szCs w:val="36"/>
                      <w:lang w:val="en-GB"/>
                    </w:rPr>
                  </w:pPr>
                  <w:r w:rsidRPr="001E1EE2">
                    <w:rPr>
                      <w:sz w:val="36"/>
                      <w:szCs w:val="36"/>
                      <w:lang w:val="en-GB"/>
                    </w:rPr>
                    <w:t>What to expect</w:t>
                  </w:r>
                </w:p>
                <w:p w14:paraId="76B56886" w14:textId="411295E7" w:rsidR="000B02C3" w:rsidRPr="001E1EE2" w:rsidRDefault="00CF4E78" w:rsidP="000B02C3">
                  <w:pPr>
                    <w:rPr>
                      <w:sz w:val="20"/>
                      <w:szCs w:val="20"/>
                      <w:lang w:val="en-GB"/>
                    </w:rPr>
                  </w:pPr>
                  <w:r w:rsidRPr="001E1EE2">
                    <w:rPr>
                      <w:sz w:val="20"/>
                      <w:szCs w:val="20"/>
                      <w:lang w:val="en-GB"/>
                    </w:rPr>
                    <w:t xml:space="preserve">Someone with dementia may suffer with </w:t>
                  </w:r>
                  <w:r w:rsidR="000B02C3" w:rsidRPr="001E1EE2">
                    <w:rPr>
                      <w:sz w:val="20"/>
                      <w:szCs w:val="20"/>
                      <w:lang w:val="en-GB"/>
                    </w:rPr>
                    <w:t xml:space="preserve">one or more of the following symptoms, some may even suffer with All these </w:t>
                  </w:r>
                  <w:r w:rsidR="007E4A25" w:rsidRPr="001E1EE2">
                    <w:rPr>
                      <w:sz w:val="20"/>
                      <w:szCs w:val="20"/>
                      <w:lang w:val="en-GB"/>
                    </w:rPr>
                    <w:t>symptoms.</w:t>
                  </w:r>
                  <w:r w:rsidR="000B02C3" w:rsidRPr="001E1EE2">
                    <w:rPr>
                      <w:sz w:val="20"/>
                      <w:szCs w:val="20"/>
                      <w:lang w:val="en-GB"/>
                    </w:rPr>
                    <w:t xml:space="preserve"> </w:t>
                  </w:r>
                </w:p>
                <w:p w14:paraId="150D5CF3" w14:textId="5DC351E5" w:rsidR="000B02C3" w:rsidRPr="001E1EE2" w:rsidRDefault="000B02C3" w:rsidP="004B53DE">
                  <w:pPr>
                    <w:pStyle w:val="ListParagraph"/>
                    <w:numPr>
                      <w:ilvl w:val="0"/>
                      <w:numId w:val="22"/>
                    </w:numPr>
                    <w:rPr>
                      <w:sz w:val="20"/>
                      <w:szCs w:val="20"/>
                      <w:lang w:val="en-GB"/>
                    </w:rPr>
                  </w:pPr>
                  <w:r w:rsidRPr="001E1EE2">
                    <w:rPr>
                      <w:sz w:val="20"/>
                      <w:szCs w:val="20"/>
                      <w:lang w:val="en-GB"/>
                    </w:rPr>
                    <w:t>Memory problems</w:t>
                  </w:r>
                </w:p>
                <w:p w14:paraId="3C3B96C2" w14:textId="398BFF65" w:rsidR="000B02C3" w:rsidRPr="001E1EE2" w:rsidRDefault="000B02C3" w:rsidP="004B53DE">
                  <w:pPr>
                    <w:pStyle w:val="ListParagraph"/>
                    <w:numPr>
                      <w:ilvl w:val="0"/>
                      <w:numId w:val="22"/>
                    </w:numPr>
                    <w:rPr>
                      <w:sz w:val="20"/>
                      <w:szCs w:val="20"/>
                      <w:lang w:val="en-GB"/>
                    </w:rPr>
                  </w:pPr>
                  <w:r w:rsidRPr="001E1EE2">
                    <w:rPr>
                      <w:sz w:val="20"/>
                      <w:szCs w:val="20"/>
                      <w:lang w:val="en-GB"/>
                    </w:rPr>
                    <w:t xml:space="preserve">Retaining information </w:t>
                  </w:r>
                </w:p>
                <w:p w14:paraId="70112D95" w14:textId="26953004" w:rsidR="00177044" w:rsidRPr="001E1EE2" w:rsidRDefault="000B02C3" w:rsidP="004B53DE">
                  <w:pPr>
                    <w:pStyle w:val="ListParagraph"/>
                    <w:numPr>
                      <w:ilvl w:val="0"/>
                      <w:numId w:val="22"/>
                    </w:numPr>
                    <w:rPr>
                      <w:sz w:val="20"/>
                      <w:szCs w:val="20"/>
                      <w:lang w:val="en-GB"/>
                    </w:rPr>
                  </w:pPr>
                  <w:r w:rsidRPr="001E1EE2">
                    <w:rPr>
                      <w:sz w:val="20"/>
                      <w:szCs w:val="20"/>
                      <w:lang w:val="en-GB"/>
                    </w:rPr>
                    <w:t xml:space="preserve">Communicating </w:t>
                  </w:r>
                </w:p>
                <w:p w14:paraId="0D32653A" w14:textId="6E293AA3" w:rsidR="00177044" w:rsidRPr="001E1EE2" w:rsidRDefault="003377DD" w:rsidP="00177044">
                  <w:pPr>
                    <w:rPr>
                      <w:sz w:val="12"/>
                      <w:szCs w:val="12"/>
                      <w:lang w:val="en-GB"/>
                    </w:rPr>
                  </w:pPr>
                  <w:r w:rsidRPr="00D82030">
                    <w:rPr>
                      <w:sz w:val="12"/>
                      <w:szCs w:val="12"/>
                      <w:lang w:val="en-GB"/>
                    </w:rPr>
                    <w:t>(Alzheimer's Society, 2021</w:t>
                  </w:r>
                  <w:r w:rsidRPr="00D82030">
                    <w:rPr>
                      <w:sz w:val="12"/>
                      <w:szCs w:val="12"/>
                      <w:lang w:val="en-GB"/>
                    </w:rPr>
                    <w:t xml:space="preserve">; </w:t>
                  </w:r>
                  <w:r w:rsidRPr="00D82030">
                    <w:rPr>
                      <w:sz w:val="12"/>
                      <w:szCs w:val="12"/>
                      <w:lang w:val="en-GB"/>
                    </w:rPr>
                    <w:t>NHS, 2017)</w:t>
                  </w:r>
                </w:p>
                <w:p w14:paraId="0EB4FBD5" w14:textId="174D8FCC" w:rsidR="00177044" w:rsidRPr="000B02C3" w:rsidRDefault="00177044" w:rsidP="00177044">
                  <w:pPr>
                    <w:rPr>
                      <w:b/>
                      <w:bCs/>
                      <w:sz w:val="24"/>
                      <w:szCs w:val="24"/>
                      <w:lang w:val="en-GB"/>
                    </w:rPr>
                  </w:pPr>
                  <w:r w:rsidRPr="000B02C3">
                    <w:rPr>
                      <w:b/>
                      <w:bCs/>
                      <w:sz w:val="24"/>
                      <w:szCs w:val="24"/>
                      <w:lang w:val="en-GB"/>
                    </w:rPr>
                    <w:t>Early stage</w:t>
                  </w:r>
                </w:p>
                <w:p w14:paraId="1131CCF3" w14:textId="154EC3F8" w:rsidR="000B02C3" w:rsidRPr="000B02C3" w:rsidRDefault="000B02C3" w:rsidP="000B02C3">
                  <w:pPr>
                    <w:pStyle w:val="ListParagraph"/>
                    <w:numPr>
                      <w:ilvl w:val="0"/>
                      <w:numId w:val="18"/>
                    </w:numPr>
                    <w:rPr>
                      <w:lang w:val="en-GB"/>
                    </w:rPr>
                  </w:pPr>
                  <w:r w:rsidRPr="000B02C3">
                    <w:rPr>
                      <w:lang w:val="en-GB"/>
                    </w:rPr>
                    <w:t xml:space="preserve">Appear </w:t>
                  </w:r>
                  <w:r w:rsidR="007E4A25">
                    <w:rPr>
                      <w:lang w:val="en-GB"/>
                    </w:rPr>
                    <w:t>disorientated.</w:t>
                  </w:r>
                  <w:r w:rsidRPr="000B02C3">
                    <w:rPr>
                      <w:lang w:val="en-GB"/>
                    </w:rPr>
                    <w:t xml:space="preserve"> </w:t>
                  </w:r>
                </w:p>
                <w:p w14:paraId="34E1904A" w14:textId="3D187E35" w:rsidR="000B02C3" w:rsidRPr="000B02C3" w:rsidRDefault="000B02C3" w:rsidP="000B02C3">
                  <w:pPr>
                    <w:pStyle w:val="ListParagraph"/>
                    <w:numPr>
                      <w:ilvl w:val="0"/>
                      <w:numId w:val="18"/>
                    </w:numPr>
                    <w:rPr>
                      <w:lang w:val="en-GB"/>
                    </w:rPr>
                  </w:pPr>
                  <w:r w:rsidRPr="000B02C3">
                    <w:rPr>
                      <w:lang w:val="en-GB"/>
                    </w:rPr>
                    <w:t xml:space="preserve">Abnormally </w:t>
                  </w:r>
                  <w:r w:rsidR="007E4A25" w:rsidRPr="000B02C3">
                    <w:rPr>
                      <w:lang w:val="en-GB"/>
                    </w:rPr>
                    <w:t>confused.</w:t>
                  </w:r>
                  <w:r w:rsidRPr="000B02C3">
                    <w:rPr>
                      <w:lang w:val="en-GB"/>
                    </w:rPr>
                    <w:t xml:space="preserve"> </w:t>
                  </w:r>
                </w:p>
                <w:p w14:paraId="5E7BCA2E" w14:textId="7D32957A" w:rsidR="000B02C3" w:rsidRDefault="000B02C3" w:rsidP="000B02C3">
                  <w:pPr>
                    <w:pStyle w:val="ListParagraph"/>
                    <w:numPr>
                      <w:ilvl w:val="0"/>
                      <w:numId w:val="18"/>
                    </w:numPr>
                    <w:rPr>
                      <w:lang w:val="en-GB"/>
                    </w:rPr>
                  </w:pPr>
                  <w:r w:rsidRPr="000B02C3">
                    <w:rPr>
                      <w:lang w:val="en-GB"/>
                    </w:rPr>
                    <w:t>Behaviour changes</w:t>
                  </w:r>
                </w:p>
                <w:p w14:paraId="23922D17" w14:textId="794DE166" w:rsidR="00D82030" w:rsidRPr="00D82030" w:rsidRDefault="00D82030" w:rsidP="00D82030">
                  <w:pPr>
                    <w:rPr>
                      <w:sz w:val="12"/>
                      <w:szCs w:val="12"/>
                      <w:lang w:val="en-GB"/>
                    </w:rPr>
                  </w:pPr>
                  <w:r w:rsidRPr="00D82030">
                    <w:rPr>
                      <w:sz w:val="12"/>
                      <w:szCs w:val="12"/>
                      <w:lang w:val="en-GB"/>
                    </w:rPr>
                    <w:t>(www.scie.org.uk, n.d</w:t>
                  </w:r>
                  <w:r w:rsidRPr="00D82030">
                    <w:rPr>
                      <w:sz w:val="12"/>
                      <w:szCs w:val="12"/>
                      <w:lang w:val="en-GB"/>
                    </w:rPr>
                    <w:t xml:space="preserve">; </w:t>
                  </w:r>
                  <w:r w:rsidRPr="00D82030">
                    <w:rPr>
                      <w:sz w:val="12"/>
                      <w:szCs w:val="12"/>
                      <w:lang w:val="en-GB"/>
                    </w:rPr>
                    <w:t>www.progresslifeline.org.uk, n.d.)</w:t>
                  </w:r>
                </w:p>
                <w:p w14:paraId="2E0CDA73" w14:textId="5C404223" w:rsidR="00177044" w:rsidRPr="00F341A6" w:rsidRDefault="00177044" w:rsidP="00177044">
                  <w:pPr>
                    <w:rPr>
                      <w:b/>
                      <w:bCs/>
                      <w:lang w:val="en-GB"/>
                    </w:rPr>
                  </w:pPr>
                  <w:r w:rsidRPr="00F341A6">
                    <w:rPr>
                      <w:b/>
                      <w:bCs/>
                      <w:lang w:val="en-GB"/>
                    </w:rPr>
                    <w:t>Middle stage</w:t>
                  </w:r>
                </w:p>
                <w:p w14:paraId="6018E065" w14:textId="6D21C6F4" w:rsidR="000B02C3" w:rsidRPr="004B53DE" w:rsidRDefault="000B02C3" w:rsidP="004B53DE">
                  <w:pPr>
                    <w:pStyle w:val="ListParagraph"/>
                    <w:numPr>
                      <w:ilvl w:val="0"/>
                      <w:numId w:val="21"/>
                    </w:numPr>
                    <w:rPr>
                      <w:lang w:val="en-GB"/>
                    </w:rPr>
                  </w:pPr>
                  <w:r w:rsidRPr="004B53DE">
                    <w:rPr>
                      <w:lang w:val="en-GB"/>
                    </w:rPr>
                    <w:t xml:space="preserve">May not recognise partner or family </w:t>
                  </w:r>
                  <w:r w:rsidR="007E4A25" w:rsidRPr="004B53DE">
                    <w:rPr>
                      <w:lang w:val="en-GB"/>
                    </w:rPr>
                    <w:t>member.</w:t>
                  </w:r>
                </w:p>
                <w:p w14:paraId="0DECFEE0" w14:textId="2DDA761B" w:rsidR="00F341A6" w:rsidRPr="004B53DE" w:rsidRDefault="00F341A6" w:rsidP="004B53DE">
                  <w:pPr>
                    <w:pStyle w:val="ListParagraph"/>
                    <w:numPr>
                      <w:ilvl w:val="0"/>
                      <w:numId w:val="20"/>
                    </w:numPr>
                    <w:rPr>
                      <w:sz w:val="20"/>
                      <w:szCs w:val="20"/>
                      <w:lang w:val="en-GB"/>
                    </w:rPr>
                  </w:pPr>
                  <w:r w:rsidRPr="004B53DE">
                    <w:rPr>
                      <w:sz w:val="20"/>
                      <w:szCs w:val="20"/>
                      <w:lang w:val="en-GB"/>
                    </w:rPr>
                    <w:t xml:space="preserve">Issues holding a conversation and jumbling </w:t>
                  </w:r>
                  <w:r w:rsidR="007E4A25" w:rsidRPr="004B53DE">
                    <w:rPr>
                      <w:sz w:val="20"/>
                      <w:szCs w:val="20"/>
                      <w:lang w:val="en-GB"/>
                    </w:rPr>
                    <w:t>words.</w:t>
                  </w:r>
                </w:p>
                <w:p w14:paraId="54C434CA" w14:textId="6E3FA51E" w:rsidR="00F341A6" w:rsidRDefault="00F341A6" w:rsidP="004B53DE">
                  <w:pPr>
                    <w:pStyle w:val="ListParagraph"/>
                    <w:numPr>
                      <w:ilvl w:val="0"/>
                      <w:numId w:val="19"/>
                    </w:numPr>
                    <w:rPr>
                      <w:sz w:val="20"/>
                      <w:szCs w:val="20"/>
                      <w:lang w:val="en-GB"/>
                    </w:rPr>
                  </w:pPr>
                  <w:r w:rsidRPr="004B53DE">
                    <w:rPr>
                      <w:sz w:val="20"/>
                      <w:szCs w:val="20"/>
                      <w:lang w:val="en-GB"/>
                    </w:rPr>
                    <w:t xml:space="preserve">May find dressing themselves a </w:t>
                  </w:r>
                  <w:r w:rsidR="007E4A25" w:rsidRPr="004B53DE">
                    <w:rPr>
                      <w:sz w:val="20"/>
                      <w:szCs w:val="20"/>
                      <w:lang w:val="en-GB"/>
                    </w:rPr>
                    <w:t>struggle.</w:t>
                  </w:r>
                </w:p>
                <w:p w14:paraId="13D1FE8D" w14:textId="1F75ACD8" w:rsidR="001E1EE2" w:rsidRPr="001E1EE2" w:rsidRDefault="001E1EE2" w:rsidP="001E1EE2">
                  <w:pPr>
                    <w:rPr>
                      <w:sz w:val="12"/>
                      <w:szCs w:val="12"/>
                      <w:lang w:val="en-GB"/>
                    </w:rPr>
                  </w:pPr>
                  <w:r w:rsidRPr="001E1EE2">
                    <w:rPr>
                      <w:sz w:val="12"/>
                      <w:szCs w:val="12"/>
                      <w:lang w:val="en-GB"/>
                    </w:rPr>
                    <w:t>(NHS Choices, 2021)</w:t>
                  </w:r>
                </w:p>
                <w:p w14:paraId="62FA946E" w14:textId="48502995" w:rsidR="00177044" w:rsidRPr="00FE3B10" w:rsidRDefault="00177044" w:rsidP="00177044">
                  <w:pPr>
                    <w:rPr>
                      <w:b/>
                      <w:bCs/>
                      <w:sz w:val="20"/>
                      <w:szCs w:val="20"/>
                      <w:lang w:val="en-GB"/>
                    </w:rPr>
                  </w:pPr>
                  <w:r w:rsidRPr="00FE3B10">
                    <w:rPr>
                      <w:b/>
                      <w:bCs/>
                      <w:sz w:val="20"/>
                      <w:szCs w:val="20"/>
                      <w:lang w:val="en-GB"/>
                    </w:rPr>
                    <w:t xml:space="preserve">End stage </w:t>
                  </w:r>
                </w:p>
                <w:p w14:paraId="3311C233" w14:textId="001CF551" w:rsidR="00177044" w:rsidRPr="00FE3B10" w:rsidRDefault="004B53DE" w:rsidP="004B53DE">
                  <w:pPr>
                    <w:pStyle w:val="ListParagraph"/>
                    <w:numPr>
                      <w:ilvl w:val="0"/>
                      <w:numId w:val="19"/>
                    </w:numPr>
                    <w:rPr>
                      <w:sz w:val="20"/>
                      <w:szCs w:val="20"/>
                      <w:lang w:val="en-GB"/>
                    </w:rPr>
                  </w:pPr>
                  <w:proofErr w:type="gramStart"/>
                  <w:r w:rsidRPr="00FE3B10">
                    <w:rPr>
                      <w:sz w:val="20"/>
                      <w:szCs w:val="20"/>
                      <w:lang w:val="en-GB"/>
                    </w:rPr>
                    <w:t>Becoming totally</w:t>
                  </w:r>
                  <w:proofErr w:type="gramEnd"/>
                  <w:r w:rsidRPr="00FE3B10">
                    <w:rPr>
                      <w:sz w:val="20"/>
                      <w:szCs w:val="20"/>
                      <w:lang w:val="en-GB"/>
                    </w:rPr>
                    <w:t xml:space="preserve"> dependant </w:t>
                  </w:r>
                </w:p>
                <w:p w14:paraId="2FBED4FB" w14:textId="1E6C4121" w:rsidR="004B53DE" w:rsidRPr="00FE3B10" w:rsidRDefault="004B53DE" w:rsidP="004B53DE">
                  <w:pPr>
                    <w:pStyle w:val="ListParagraph"/>
                    <w:numPr>
                      <w:ilvl w:val="0"/>
                      <w:numId w:val="19"/>
                    </w:numPr>
                    <w:rPr>
                      <w:sz w:val="20"/>
                      <w:szCs w:val="20"/>
                      <w:lang w:val="en-GB"/>
                    </w:rPr>
                  </w:pPr>
                  <w:r w:rsidRPr="00FE3B10">
                    <w:rPr>
                      <w:sz w:val="20"/>
                      <w:szCs w:val="20"/>
                      <w:lang w:val="en-GB"/>
                    </w:rPr>
                    <w:t>Loss of appetite o</w:t>
                  </w:r>
                  <w:r w:rsidR="000E63A4" w:rsidRPr="00FE3B10">
                    <w:rPr>
                      <w:sz w:val="20"/>
                      <w:szCs w:val="20"/>
                      <w:lang w:val="en-GB"/>
                    </w:rPr>
                    <w:t>r</w:t>
                  </w:r>
                  <w:r w:rsidRPr="00FE3B10">
                    <w:rPr>
                      <w:sz w:val="20"/>
                      <w:szCs w:val="20"/>
                      <w:lang w:val="en-GB"/>
                    </w:rPr>
                    <w:t xml:space="preserve"> difficulty swallowing</w:t>
                  </w:r>
                </w:p>
                <w:p w14:paraId="6393A7AF" w14:textId="71651A87" w:rsidR="004B53DE" w:rsidRPr="00FE3B10" w:rsidRDefault="004B53DE" w:rsidP="004B53DE">
                  <w:pPr>
                    <w:pStyle w:val="ListParagraph"/>
                    <w:numPr>
                      <w:ilvl w:val="0"/>
                      <w:numId w:val="19"/>
                    </w:numPr>
                    <w:rPr>
                      <w:sz w:val="20"/>
                      <w:szCs w:val="20"/>
                      <w:lang w:val="en-GB"/>
                    </w:rPr>
                  </w:pPr>
                  <w:r w:rsidRPr="00FE3B10">
                    <w:rPr>
                      <w:sz w:val="20"/>
                      <w:szCs w:val="20"/>
                      <w:lang w:val="en-GB"/>
                    </w:rPr>
                    <w:t>Incontinence</w:t>
                  </w:r>
                </w:p>
                <w:p w14:paraId="7FE02690" w14:textId="77777777" w:rsidR="004B53DE" w:rsidRPr="00FE3B10" w:rsidRDefault="004B53DE" w:rsidP="001E1EE2">
                  <w:pPr>
                    <w:pStyle w:val="ListParagraph"/>
                    <w:numPr>
                      <w:ilvl w:val="0"/>
                      <w:numId w:val="19"/>
                    </w:numPr>
                    <w:rPr>
                      <w:sz w:val="20"/>
                      <w:szCs w:val="20"/>
                      <w:lang w:val="en-GB"/>
                    </w:rPr>
                  </w:pPr>
                  <w:r w:rsidRPr="00FE3B10">
                    <w:rPr>
                      <w:sz w:val="20"/>
                      <w:szCs w:val="20"/>
                      <w:lang w:val="en-GB"/>
                    </w:rPr>
                    <w:t>Becoming immobile</w:t>
                  </w:r>
                  <w:r w:rsidR="001E1EE2" w:rsidRPr="00FE3B10">
                    <w:rPr>
                      <w:sz w:val="20"/>
                      <w:szCs w:val="20"/>
                      <w:lang w:val="en-GB"/>
                    </w:rPr>
                    <w:t xml:space="preserve">/ </w:t>
                  </w:r>
                  <w:r w:rsidRPr="00FE3B10">
                    <w:rPr>
                      <w:sz w:val="20"/>
                      <w:szCs w:val="20"/>
                      <w:lang w:val="en-GB"/>
                    </w:rPr>
                    <w:t>Bed bound</w:t>
                  </w:r>
                </w:p>
                <w:p w14:paraId="3357009D" w14:textId="52F6D341" w:rsidR="00FE3B10" w:rsidRPr="00FE3B10" w:rsidRDefault="00FE3B10" w:rsidP="00FE3B10">
                  <w:pPr>
                    <w:pStyle w:val="ListParagraph"/>
                    <w:rPr>
                      <w:sz w:val="12"/>
                      <w:szCs w:val="12"/>
                      <w:lang w:val="en-GB"/>
                    </w:rPr>
                  </w:pPr>
                  <w:r w:rsidRPr="00FE3B10">
                    <w:rPr>
                      <w:sz w:val="12"/>
                      <w:szCs w:val="12"/>
                      <w:lang w:val="en-GB"/>
                    </w:rPr>
                    <w:t>(Healthline, 2018)</w:t>
                  </w:r>
                </w:p>
              </w:tc>
            </w:tr>
            <w:tr w:rsidR="00307EC9" w:rsidRPr="00760CFF" w14:paraId="312386C5" w14:textId="77777777" w:rsidTr="004B53DE">
              <w:trPr>
                <w:trHeight w:hRule="exact" w:val="1797"/>
              </w:trPr>
              <w:tc>
                <w:tcPr>
                  <w:tcW w:w="5000" w:type="pct"/>
                  <w:vAlign w:val="bottom"/>
                </w:tcPr>
                <w:p w14:paraId="774BC723" w14:textId="035E219B" w:rsidR="00307EC9" w:rsidRPr="00760CFF" w:rsidRDefault="00307EC9">
                  <w:pPr>
                    <w:rPr>
                      <w:lang w:val="en-GB"/>
                    </w:rPr>
                  </w:pPr>
                </w:p>
              </w:tc>
            </w:tr>
          </w:tbl>
          <w:p w14:paraId="3AF6138D" w14:textId="7AE0B55F" w:rsidR="00307EC9" w:rsidRPr="00760CFF" w:rsidRDefault="00307EC9">
            <w:pPr>
              <w:rPr>
                <w:lang w:val="en-GB"/>
              </w:rPr>
            </w:pPr>
          </w:p>
        </w:tc>
        <w:tc>
          <w:tcPr>
            <w:tcW w:w="4565" w:type="dxa"/>
            <w:tcMar>
              <w:left w:w="720" w:type="dxa"/>
            </w:tcMar>
          </w:tcPr>
          <w:tbl>
            <w:tblPr>
              <w:tblStyle w:val="TableLayout"/>
              <w:tblW w:w="4058" w:type="dxa"/>
              <w:tblLayout w:type="fixed"/>
              <w:tblLook w:val="04A0" w:firstRow="1" w:lastRow="0" w:firstColumn="1" w:lastColumn="0" w:noHBand="0" w:noVBand="1"/>
              <w:tblDescription w:val="Layout table"/>
            </w:tblPr>
            <w:tblGrid>
              <w:gridCol w:w="4058"/>
            </w:tblGrid>
            <w:tr w:rsidR="00307EC9" w:rsidRPr="00760CFF" w14:paraId="2410C691" w14:textId="77777777" w:rsidTr="002D478D">
              <w:trPr>
                <w:trHeight w:hRule="exact" w:val="6888"/>
              </w:trPr>
              <w:tc>
                <w:tcPr>
                  <w:tcW w:w="5000" w:type="pct"/>
                </w:tcPr>
                <w:p w14:paraId="18AEF8C9" w14:textId="199AEDD5" w:rsidR="00B90FE1" w:rsidRDefault="008072D7">
                  <w:pPr>
                    <w:rPr>
                      <w:noProof/>
                    </w:rPr>
                  </w:pPr>
                  <w:r w:rsidRPr="008072D7">
                    <w:rPr>
                      <w:noProof/>
                      <w:lang w:val="en-GB"/>
                    </w:rPr>
                    <w:lastRenderedPageBreak/>
                    <mc:AlternateContent>
                      <mc:Choice Requires="wps">
                        <w:drawing>
                          <wp:anchor distT="45720" distB="45720" distL="114300" distR="114300" simplePos="0" relativeHeight="251662336" behindDoc="0" locked="0" layoutInCell="1" allowOverlap="1" wp14:anchorId="0F0A27B9" wp14:editId="2DCEA9AD">
                            <wp:simplePos x="0" y="0"/>
                            <wp:positionH relativeFrom="column">
                              <wp:posOffset>0</wp:posOffset>
                            </wp:positionH>
                            <wp:positionV relativeFrom="paragraph">
                              <wp:posOffset>2161540</wp:posOffset>
                            </wp:positionV>
                            <wp:extent cx="2360930" cy="1739900"/>
                            <wp:effectExtent l="0" t="0" r="20320" b="12700"/>
                            <wp:wrapSquare wrapText="bothSides"/>
                            <wp:docPr id="664518012" name="Text Box 2"/>
                            <wp:cNvGraphicFramePr>
                              <a:graphicFrameLocks xmlns:a="http://schemas.openxmlformats.org/drawingml/2006/main"/>
                            </wp:cNvGraphicFramePr>
                            <a:graphic xmlns:a="http://schemas.openxmlformats.org/drawingml/2006/main">
                              <a:graphicData uri="http://schemas.microsoft.com/office/word/2010/wordprocessingShape">
                                <wps:wsp>
                                  <wps:cNvSpPr txBox="1">
                                    <a:spLocks noChangeArrowheads="1"/>
                                  </wps:cNvSpPr>
                                  <wps:spPr bwMode="auto">
                                    <a:xfrm>
                                      <a:off x="0" y="0"/>
                                      <a:ext cx="2360930" cy="1739900"/>
                                    </a:xfrm>
                                    <a:prstGeom prst="rect">
                                      <a:avLst/>
                                    </a:prstGeom>
                                    <a:solidFill>
                                      <a:srgbClr val="FFFFFF"/>
                                    </a:solidFill>
                                    <a:ln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:ln>
                                  </wps:spPr>
                                  <wps:txbx>
                                    <w:txbxContent>
                                      <w:p w14:paraId="79547ABE" w14:textId="42C81CA3" w:rsidR="008072D7" w:rsidRPr="002D478D" w:rsidRDefault="008072D7">
                                        <w:pPr>
                                          <w:rPr>
                                            <w:sz w:val="18"/>
                                            <w:szCs w:val="18"/>
                                          </w:rPr>
                                        </w:pPr>
                                        <w:r w:rsidRPr="002D478D">
                                          <w:rPr>
                                            <w:sz w:val="18"/>
                                            <w:szCs w:val="18"/>
                                          </w:rPr>
                                          <w:t xml:space="preserve">Know your </w:t>
                                        </w:r>
                                        <w:r w:rsidR="007E4A25" w:rsidRPr="002D478D">
                                          <w:rPr>
                                            <w:sz w:val="18"/>
                                            <w:szCs w:val="18"/>
                                          </w:rPr>
                                          <w:t>rights.</w:t>
                                        </w:r>
                                      </w:p>
                                      <w:p w14:paraId="50CFA963" w14:textId="7B357720" w:rsidR="002D478D" w:rsidRPr="002D478D" w:rsidRDefault="008072D7">
                                        <w:pPr>
                                          <w:rPr>
                                            <w:sz w:val="18"/>
                                            <w:szCs w:val="18"/>
                                          </w:rPr>
                                        </w:pPr>
                                        <w:r w:rsidRPr="002D478D">
                                          <w:rPr>
                                            <w:sz w:val="18"/>
                                            <w:szCs w:val="18"/>
                                          </w:rPr>
                                          <w:t xml:space="preserve">Care Act 2014: social care </w:t>
                                        </w:r>
                                        <w:r w:rsidR="002D478D" w:rsidRPr="002D478D">
                                          <w:rPr>
                                            <w:sz w:val="18"/>
                                            <w:szCs w:val="18"/>
                                          </w:rPr>
                                          <w:t>has</w:t>
                                        </w:r>
                                        <w:r w:rsidRPr="002D478D">
                                          <w:rPr>
                                            <w:sz w:val="18"/>
                                            <w:szCs w:val="18"/>
                                          </w:rPr>
                                          <w:t xml:space="preserve"> a duty of </w:t>
                                        </w:r>
                                        <w:r w:rsidR="002D478D" w:rsidRPr="002D478D">
                                          <w:rPr>
                                            <w:sz w:val="18"/>
                                            <w:szCs w:val="18"/>
                                          </w:rPr>
                                          <w:t>care to provide tailored care.</w:t>
                                        </w:r>
                                        <w:r w:rsidR="002D478D">
                                          <w:rPr>
                                            <w:sz w:val="18"/>
                                            <w:szCs w:val="18"/>
                                          </w:rPr>
                                          <w:t xml:space="preserve"> </w:t>
                                        </w:r>
                                        <w:r w:rsidR="002D478D" w:rsidRPr="002F1210">
                                          <w:rPr>
                                            <w:sz w:val="12"/>
                                            <w:szCs w:val="12"/>
                                          </w:rPr>
                                          <w:t>(NICE, 2018)</w:t>
                                        </w:r>
                                      </w:p>
                                      <w:p w14:paraId="036716CC" w14:textId="4B46E6D2" w:rsidR="002D478D" w:rsidRDefault="002D478D">
                                        <w:pPr>
                                          <w:rPr>
                                            <w:sz w:val="18"/>
                                            <w:szCs w:val="18"/>
                                          </w:rPr>
                                        </w:pPr>
                                        <w:r w:rsidRPr="002D478D">
                                          <w:rPr>
                                            <w:sz w:val="18"/>
                                            <w:szCs w:val="18"/>
                                          </w:rPr>
                                          <w:t>Equality act:</w:t>
                                        </w:r>
                                        <w:r>
                                          <w:rPr>
                                            <w:sz w:val="18"/>
                                            <w:szCs w:val="18"/>
                                          </w:rPr>
                                          <w:t xml:space="preserve"> legal right to </w:t>
                                        </w:r>
                                        <w:proofErr w:type="gramStart"/>
                                        <w:r>
                                          <w:rPr>
                                            <w:sz w:val="18"/>
                                            <w:szCs w:val="18"/>
                                          </w:rPr>
                                          <w:t>be protected</w:t>
                                        </w:r>
                                        <w:proofErr w:type="gramEnd"/>
                                        <w:r>
                                          <w:rPr>
                                            <w:sz w:val="18"/>
                                            <w:szCs w:val="18"/>
                                          </w:rPr>
                                          <w:t xml:space="preserve"> from discrimination. </w:t>
                                        </w:r>
                                        <w:r w:rsidRPr="002F1210">
                                          <w:rPr>
                                            <w:sz w:val="12"/>
                                            <w:szCs w:val="12"/>
                                          </w:rPr>
                                          <w:t>(Age UK, 2018)</w:t>
                                        </w:r>
                                      </w:p>
                                      <w:p w14:paraId="376703E4" w14:textId="59EB8C42" w:rsidR="00FC764B" w:rsidRPr="002D478D" w:rsidRDefault="00FC764B">
                                        <w:pPr>
                                          <w:rPr>
                                            <w:sz w:val="18"/>
                                            <w:szCs w:val="18"/>
                                          </w:rPr>
                                        </w:pPr>
                                        <w:r>
                                          <w:rPr>
                                            <w:sz w:val="18"/>
                                            <w:szCs w:val="18"/>
                                          </w:rPr>
                                          <w:t xml:space="preserve">Human rights act 1998: enables </w:t>
                                        </w:r>
                                        <w:r w:rsidR="007E4A25">
                                          <w:rPr>
                                            <w:sz w:val="18"/>
                                            <w:szCs w:val="18"/>
                                          </w:rPr>
                                          <w:t>someone’s</w:t>
                                        </w:r>
                                        <w:r>
                                          <w:rPr>
                                            <w:sz w:val="18"/>
                                            <w:szCs w:val="18"/>
                                          </w:rPr>
                                          <w:t xml:space="preserve"> Rights </w:t>
                                        </w:r>
                                        <w:proofErr w:type="gramStart"/>
                                        <w:r>
                                          <w:rPr>
                                            <w:sz w:val="18"/>
                                            <w:szCs w:val="18"/>
                                          </w:rPr>
                                          <w:t>are met</w:t>
                                        </w:r>
                                        <w:proofErr w:type="gramEnd"/>
                                        <w:r w:rsidR="00106D48">
                                          <w:rPr>
                                            <w:sz w:val="18"/>
                                            <w:szCs w:val="18"/>
                                          </w:rPr>
                                          <w:t xml:space="preserve"> and voices heard</w:t>
                                        </w:r>
                                        <w:r>
                                          <w:rPr>
                                            <w:sz w:val="18"/>
                                            <w:szCs w:val="18"/>
                                          </w:rPr>
                                          <w:t>.</w:t>
                                        </w:r>
                                        <w:r w:rsidR="002F1210">
                                          <w:rPr>
                                            <w:sz w:val="18"/>
                                            <w:szCs w:val="18"/>
                                          </w:rPr>
                                          <w:t xml:space="preserve"> </w:t>
                                        </w:r>
                                        <w:r w:rsidR="002F1210" w:rsidRPr="002F1210">
                                          <w:rPr>
                                            <w:sz w:val="12"/>
                                            <w:szCs w:val="12"/>
                                          </w:rPr>
                                          <w:t>(The British Institute of Human Rights, 2016</w:t>
                                        </w:r>
                                        <w:r w:rsidR="00106D48">
                                          <w:rPr>
                                            <w:sz w:val="12"/>
                                            <w:szCs w:val="12"/>
                                          </w:rPr>
                                          <w:t xml:space="preserve">; </w:t>
                                        </w:r>
                                        <w:r w:rsidR="00106D48" w:rsidRPr="00106D48">
                                          <w:rPr>
                                            <w:sz w:val="12"/>
                                            <w:szCs w:val="12"/>
                                          </w:rPr>
                                          <w:t>Guy, 2022)</w:t>
                                        </w:r>
                                      </w:p>
                                    </w:txbxContent>
                                  </wps:txbx>
                                  <wps:bodyPr rot="0" vert="horz" wrap="square" lIns="91440" tIns="45720" rIns="91440" bIns="45720" anchor="t" anchorCtr="0">
                                    <a:noAutofit/>
                                  </wps:bodyPr>
                                </wps:wsp>
                              </a:graphicData>
                            </a:graphic>
                            <wp14:sizeRelH relativeFrom="margin">
                              <wp14:pctWidth>0</wp14:pctWidth>
                            </wp14:sizeRelH>
                            <wp14:sizeRelV relativeFrom="margin">
                              <wp14:pctHeight>0</wp14:pctHeight>
                            </wp14:sizeRelV>
                          </wp:anchor>
                        </w:drawing>
                      </mc:Choice>
                      <mc:Fallback>
                        <w:pict>
                          <v:shape w14:anchorId="0F0A27B9" id="_x0000_s1027" type="#_x0000_t202" style="position:absolute;margin-left:0;margin-top:170.2pt;width:185.9pt;height:137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">
                            <v:textbox>
                              <w:txbxContent>
                                <w:p w14:paraId="79547ABE" w14:textId="42C81CA3" w:rsidR="008072D7" w:rsidRPr="002D478D" w:rsidRDefault="008072D7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2D478D">
                                    <w:rPr>
                                      <w:sz w:val="18"/>
                                      <w:szCs w:val="18"/>
                                    </w:rPr>
                                    <w:t xml:space="preserve">Know your </w:t>
                                  </w:r>
                                  <w:r w:rsidR="007E4A25" w:rsidRPr="002D478D">
                                    <w:rPr>
                                      <w:sz w:val="18"/>
                                      <w:szCs w:val="18"/>
                                    </w:rPr>
                                    <w:t>rights.</w:t>
                                  </w:r>
                                </w:p>
                                <w:p w14:paraId="50CFA963" w14:textId="7B357720" w:rsidR="002D478D" w:rsidRPr="002D478D" w:rsidRDefault="008072D7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2D478D">
                                    <w:rPr>
                                      <w:sz w:val="18"/>
                                      <w:szCs w:val="18"/>
                                    </w:rPr>
                                    <w:t xml:space="preserve">Care Act 2014: social care </w:t>
                                  </w:r>
                                  <w:r w:rsidR="002D478D" w:rsidRPr="002D478D">
                                    <w:rPr>
                                      <w:sz w:val="18"/>
                                      <w:szCs w:val="18"/>
                                    </w:rPr>
                                    <w:t>has</w:t>
                                  </w:r>
                                  <w:r w:rsidRPr="002D478D">
                                    <w:rPr>
                                      <w:sz w:val="18"/>
                                      <w:szCs w:val="18"/>
                                    </w:rPr>
                                    <w:t xml:space="preserve"> a duty of </w:t>
                                  </w:r>
                                  <w:r w:rsidR="002D478D" w:rsidRPr="002D478D">
                                    <w:rPr>
                                      <w:sz w:val="18"/>
                                      <w:szCs w:val="18"/>
                                    </w:rPr>
                                    <w:t>care to provide tailored care.</w:t>
                                  </w:r>
                                  <w:r w:rsidR="002D478D">
                                    <w:rPr>
                                      <w:sz w:val="18"/>
                                      <w:szCs w:val="18"/>
                                    </w:rPr>
                                    <w:t xml:space="preserve"> </w:t>
                                  </w:r>
                                  <w:r w:rsidR="002D478D" w:rsidRPr="002F1210">
                                    <w:rPr>
                                      <w:sz w:val="12"/>
                                      <w:szCs w:val="12"/>
                                    </w:rPr>
                                    <w:t>(NICE, 2018)</w:t>
                                  </w:r>
                                </w:p>
                                <w:p w14:paraId="036716CC" w14:textId="4B46E6D2" w:rsidR="002D478D" w:rsidRDefault="002D478D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 w:rsidRPr="002D478D">
                                    <w:rPr>
                                      <w:sz w:val="18"/>
                                      <w:szCs w:val="18"/>
                                    </w:rPr>
                                    <w:t>Equality act:</w:t>
                                  </w:r>
                                  <w:r>
                                    <w:rPr>
                                      <w:sz w:val="18"/>
                                      <w:szCs w:val="18"/>
                                    </w:rPr>
                                    <w:t xml:space="preserve"> legal right to </w:t>
                                  </w:r>
                                  <w:proofErr w:type="gramStart"/>
                                  <w:r>
                                    <w:rPr>
                                      <w:sz w:val="18"/>
                                      <w:szCs w:val="18"/>
                                    </w:rPr>
                                    <w:t>be protected</w:t>
                                  </w:r>
                                  <w:proofErr w:type="gramEnd"/>
                                  <w:r>
                                    <w:rPr>
                                      <w:sz w:val="18"/>
                                      <w:szCs w:val="18"/>
                                    </w:rPr>
                                    <w:t xml:space="preserve"> from discrimination. </w:t>
                                  </w:r>
                                  <w:r w:rsidRPr="002F1210">
                                    <w:rPr>
                                      <w:sz w:val="12"/>
                                      <w:szCs w:val="12"/>
                                    </w:rPr>
                                    <w:t>(Age UK, 2018)</w:t>
                                  </w:r>
                                </w:p>
                                <w:p w14:paraId="376703E4" w14:textId="59EB8C42" w:rsidR="00FC764B" w:rsidRPr="002D478D" w:rsidRDefault="00FC764B">
                                  <w:pPr>
                                    <w:rPr>
                                      <w:sz w:val="18"/>
                                      <w:szCs w:val="18"/>
                                    </w:rPr>
                                  </w:pPr>
                                  <w:r>
                                    <w:rPr>
                                      <w:sz w:val="18"/>
                                      <w:szCs w:val="18"/>
                                    </w:rPr>
                                    <w:t xml:space="preserve">Human rights act 1998: enables </w:t>
                                  </w:r>
                                  <w:r w:rsidR="007E4A25">
                                    <w:rPr>
                                      <w:sz w:val="18"/>
                                      <w:szCs w:val="18"/>
                                    </w:rPr>
                                    <w:t>someone’s</w:t>
                                  </w:r>
                                  <w:r>
                                    <w:rPr>
                                      <w:sz w:val="18"/>
                                      <w:szCs w:val="18"/>
                                    </w:rPr>
                                    <w:t xml:space="preserve"> Rights </w:t>
                                  </w:r>
                                  <w:proofErr w:type="gramStart"/>
                                  <w:r>
                                    <w:rPr>
                                      <w:sz w:val="18"/>
                                      <w:szCs w:val="18"/>
                                    </w:rPr>
                                    <w:t>are met</w:t>
                                  </w:r>
                                  <w:proofErr w:type="gramEnd"/>
                                  <w:r w:rsidR="00106D48">
                                    <w:rPr>
                                      <w:sz w:val="18"/>
                                      <w:szCs w:val="18"/>
                                    </w:rPr>
                                    <w:t xml:space="preserve"> and voices heard</w:t>
                                  </w:r>
                                  <w:r>
                                    <w:rPr>
                                      <w:sz w:val="18"/>
                                      <w:szCs w:val="18"/>
                                    </w:rPr>
                                    <w:t>.</w:t>
                                  </w:r>
                                  <w:r w:rsidR="002F1210">
                                    <w:rPr>
                                      <w:sz w:val="18"/>
                                      <w:szCs w:val="18"/>
                                    </w:rPr>
                                    <w:t xml:space="preserve"> </w:t>
                                  </w:r>
                                  <w:r w:rsidR="002F1210" w:rsidRPr="002F1210">
                                    <w:rPr>
                                      <w:sz w:val="12"/>
                                      <w:szCs w:val="12"/>
                                    </w:rPr>
                                    <w:t>(The British Institute of Human Rights, 2016</w:t>
                                  </w:r>
                                  <w:r w:rsidR="00106D48">
                                    <w:rPr>
                                      <w:sz w:val="12"/>
                                      <w:szCs w:val="12"/>
                                    </w:rPr>
                                    <w:t xml:space="preserve">; </w:t>
                                  </w:r>
                                  <w:r w:rsidR="00106D48" w:rsidRPr="00106D48">
                                    <w:rPr>
                                      <w:sz w:val="12"/>
                                      <w:szCs w:val="12"/>
                                    </w:rPr>
                                    <w:t>Guy, 2022)</w:t>
                                  </w:r>
                                </w:p>
                              </w:txbxContent>
                            </v:textbox>
                            <w10:wrap type="square"/>
                          </v:shape>
                        </w:pict>
                      </mc:Fallback>
                    </mc:AlternateContent>
                  </w:r>
                  <w:r w:rsidR="00B90FE1">
                    <w:rPr>
                      <w:noProof/>
                    </w:rPr>
                    <w:drawing>
                      <wp:anchor distT="0" distB="0" distL="114300" distR="114300" simplePos="0" relativeHeight="251660288" behindDoc="0" locked="0" layoutInCell="1" allowOverlap="1" wp14:anchorId="4D621BFF" wp14:editId="79BF710E">
                        <wp:simplePos x="0" y="0"/>
                        <wp:positionH relativeFrom="column">
                          <wp:posOffset>0</wp:posOffset>
                        </wp:positionH>
                        <wp:positionV relativeFrom="paragraph">
                          <wp:posOffset>41275</wp:posOffset>
                        </wp:positionV>
                        <wp:extent cx="2441575" cy="1647190"/>
                        <wp:effectExtent l="0" t="0" r="0" b="0"/>
                        <wp:wrapThrough wrapText="bothSides">
                          <wp:wrapPolygon edited="0">
                            <wp:start x="0" y="0"/>
                            <wp:lineTo x="0" y="21234"/>
                            <wp:lineTo x="21403" y="21234"/>
                            <wp:lineTo x="21403" y="0"/>
                            <wp:lineTo x="0" y="0"/>
                          </wp:wrapPolygon>
                        </wp:wrapThrough>
                        <wp:docPr id="843007954" name="Picture 2" descr="Focusing on Dementia in Your Professional Practice image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3" descr="Focusing on Dementia in Your Professional Practice image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12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2441575" cy="164719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  <wp14:sizeRelV relativeFrom="margin">
                          <wp14:pctHeight>0</wp14:pctHeight>
                        </wp14:sizeRelV>
                      </wp:anchor>
                    </w:drawing>
                  </w:r>
                  <w:r w:rsidR="00B90FE1" w:rsidRPr="00B90FE1">
                    <w:rPr>
                      <w:lang w:val="en-GB"/>
                    </w:rPr>
                    <w:t>(Public Health England, 2022)</w:t>
                  </w:r>
                </w:p>
                <w:p w14:paraId="0D58D5DA" w14:textId="0977AC29" w:rsidR="00307EC9" w:rsidRPr="00760CFF" w:rsidRDefault="00307EC9">
                  <w:pPr>
                    <w:rPr>
                      <w:lang w:val="en-GB"/>
                    </w:rPr>
                  </w:pPr>
                </w:p>
              </w:tc>
            </w:tr>
            <w:tr w:rsidR="00307EC9" w:rsidRPr="00760CFF" w14:paraId="031F14DE" w14:textId="77777777" w:rsidTr="002D478D">
              <w:trPr>
                <w:trHeight w:hRule="exact" w:val="430"/>
              </w:trPr>
              <w:tc>
                <w:tcPr>
                  <w:tcW w:w="5000" w:type="pct"/>
                </w:tcPr>
                <w:p w14:paraId="329E6F42" w14:textId="65C585D9" w:rsidR="00307EC9" w:rsidRPr="00760CFF" w:rsidRDefault="00307EC9">
                  <w:pPr>
                    <w:rPr>
                      <w:lang w:val="en-GB"/>
                    </w:rPr>
                  </w:pPr>
                </w:p>
              </w:tc>
            </w:tr>
            <w:tr w:rsidR="00307EC9" w:rsidRPr="00760CFF" w14:paraId="1C6C6412" w14:textId="77777777" w:rsidTr="002D478D">
              <w:trPr>
                <w:trHeight w:hRule="exact" w:val="1846"/>
              </w:trPr>
              <w:sdt>
                <w:sdtPr>
                  <w:rPr>
                    <w:lang w:val="en-GB"/>
                  </w:rPr>
                  <w:alias w:val="Enter Company Name:"/>
                  <w:tag w:val="Enter Company Name:"/>
                  <w:id w:val="-2083982577"/>
                  <w:placeholder>
                    <w:docPart w:val="6F2BEDB927C7443BB228267044A6472D"/>
                  </w:placeholder>
                  <w:dataBinding w:prefixMappings="xmlns:ns0='http://purl.org/dc/elements/1.1/' xmlns:ns1='http://schemas.openxmlformats.org/package/2006/metadata/core-properties' " w:xpath="/ns1:coreProperties[1]/ns1:keywords[1]" w:storeItemID="{6C3C8BC8-F283-45AE-878A-BAB7291924A1}"/>
                  <w15:appearance w15:val="hidden"/>
                  <w:text/>
                </w:sdtPr>
                <w:sdtContent>
                  <w:tc>
                    <w:tcPr>
                      <w:tcW w:w="5000" w:type="pct"/>
                      <w:shd w:val="clear" w:color="auto" w:fill="027E6F" w:themeFill="accent1" w:themeFillShade="BF"/>
                    </w:tcPr>
                    <w:p w14:paraId="5A702C9D" w14:textId="3F977033" w:rsidR="00307EC9" w:rsidRPr="00760CFF" w:rsidRDefault="00177044" w:rsidP="00CD1DEA">
                      <w:pPr>
                        <w:pStyle w:val="Title"/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dementia </w:t>
                      </w:r>
                    </w:p>
                  </w:tc>
                </w:sdtContent>
              </w:sdt>
            </w:tr>
            <w:tr w:rsidR="00307EC9" w:rsidRPr="00760CFF" w14:paraId="3075068D" w14:textId="77777777" w:rsidTr="002D478D">
              <w:trPr>
                <w:trHeight w:hRule="exact" w:val="1722"/>
              </w:trPr>
              <w:tc>
                <w:tcPr>
                  <w:tcW w:w="5000" w:type="pct"/>
                  <w:shd w:val="clear" w:color="auto" w:fill="027E6F" w:themeFill="accent1" w:themeFillShade="BF"/>
                  <w:vAlign w:val="bottom"/>
                </w:tcPr>
                <w:p w14:paraId="0547D9A3" w14:textId="2FEE3D3C" w:rsidR="00307EC9" w:rsidRPr="00760CFF" w:rsidRDefault="00177044">
                  <w:pPr>
                    <w:pStyle w:val="Subtitle"/>
                    <w:rPr>
                      <w:lang w:val="en-GB"/>
                    </w:rPr>
                  </w:pPr>
                  <w:r>
                    <w:rPr>
                      <w:lang w:val="en-GB"/>
                    </w:rPr>
                    <w:t>A guide for families and carers</w:t>
                  </w:r>
                </w:p>
              </w:tc>
            </w:tr>
          </w:tbl>
          <w:p w14:paraId="14891BE1" w14:textId="6DCFB376" w:rsidR="00307EC9" w:rsidRPr="00760CFF" w:rsidRDefault="00307EC9">
            <w:pPr>
              <w:rPr>
                <w:lang w:val="en-GB"/>
              </w:rPr>
            </w:pPr>
          </w:p>
        </w:tc>
      </w:tr>
      <w:tr w:rsidR="00307EC9" w:rsidRPr="00760CFF" w14:paraId="1B0DF649" w14:textId="77777777" w:rsidTr="00307EC9">
        <w:trPr>
          <w:jc w:val="center"/>
        </w:trPr>
        <w:tc>
          <w:tcPr>
            <w:tcW w:w="4565" w:type="dxa"/>
            <w:tcMar>
              <w:right w:w="720" w:type="dxa"/>
            </w:tcMar>
          </w:tcPr>
          <w:p w14:paraId="38A8654D" w14:textId="54FD64B0" w:rsidR="00307EC9" w:rsidRPr="00760CFF" w:rsidRDefault="00307EC9" w:rsidP="00F83409">
            <w:pPr>
              <w:pStyle w:val="Caption"/>
              <w:rPr>
                <w:lang w:val="en-GB"/>
              </w:rPr>
            </w:pPr>
          </w:p>
          <w:p w14:paraId="2F4313B0" w14:textId="135E4111" w:rsidR="0043111A" w:rsidRPr="006C6DDB" w:rsidRDefault="004B53DE" w:rsidP="0043111A">
            <w:pPr>
              <w:pStyle w:val="Heading1"/>
              <w:rPr>
                <w:sz w:val="32"/>
                <w:szCs w:val="32"/>
                <w:lang w:val="en-GB"/>
              </w:rPr>
            </w:pPr>
            <w:r w:rsidRPr="006C6DDB">
              <w:rPr>
                <w:sz w:val="32"/>
                <w:szCs w:val="32"/>
                <w:lang w:val="en-GB"/>
              </w:rPr>
              <w:t>What should you expect and prepare for?</w:t>
            </w:r>
          </w:p>
          <w:p w14:paraId="3B57232D" w14:textId="3FF78433" w:rsidR="008F740D" w:rsidRDefault="00F07AB3" w:rsidP="008F740D">
            <w:pPr>
              <w:pStyle w:val="Heading2"/>
              <w:rPr>
                <w:lang w:val="en-GB"/>
              </w:rPr>
            </w:pPr>
            <w:r>
              <w:rPr>
                <w:lang w:val="en-GB"/>
              </w:rPr>
              <w:t>Unfortunately,</w:t>
            </w:r>
            <w:r w:rsidR="004B53DE">
              <w:rPr>
                <w:lang w:val="en-GB"/>
              </w:rPr>
              <w:t xml:space="preserve"> symptoms will get worse with time</w:t>
            </w:r>
            <w:r>
              <w:rPr>
                <w:lang w:val="en-GB"/>
              </w:rPr>
              <w:t xml:space="preserve"> but there are things that you may want to </w:t>
            </w:r>
            <w:r w:rsidR="007E4A25">
              <w:rPr>
                <w:lang w:val="en-GB"/>
              </w:rPr>
              <w:t>consider.</w:t>
            </w:r>
          </w:p>
          <w:p w14:paraId="592B7A16" w14:textId="77777777" w:rsidR="006C6DDB" w:rsidRDefault="006C6DDB" w:rsidP="00F07AB3">
            <w:pPr>
              <w:rPr>
                <w:b/>
                <w:bCs/>
                <w:lang w:val="en-GB"/>
              </w:rPr>
            </w:pPr>
          </w:p>
          <w:p w14:paraId="5E0A15C4" w14:textId="6F44A3B9" w:rsidR="00F07AB3" w:rsidRDefault="00F07AB3" w:rsidP="00F07AB3">
            <w:pPr>
              <w:rPr>
                <w:lang w:val="en-GB"/>
              </w:rPr>
            </w:pPr>
            <w:r w:rsidRPr="00F07AB3">
              <w:rPr>
                <w:b/>
                <w:bCs/>
                <w:lang w:val="en-GB"/>
              </w:rPr>
              <w:t>What are the needs of the person I am caring for?</w:t>
            </w:r>
            <w:r>
              <w:rPr>
                <w:lang w:val="en-GB"/>
              </w:rPr>
              <w:t xml:space="preserve"> They are still the same person and still want to be involved which also keeps </w:t>
            </w:r>
            <w:r w:rsidR="007E4A25">
              <w:rPr>
                <w:lang w:val="en-GB"/>
              </w:rPr>
              <w:t>their</w:t>
            </w:r>
            <w:r>
              <w:rPr>
                <w:lang w:val="en-GB"/>
              </w:rPr>
              <w:t xml:space="preserve"> mind active.</w:t>
            </w:r>
          </w:p>
          <w:p w14:paraId="65365711" w14:textId="5C892E9C" w:rsidR="00F07AB3" w:rsidRPr="00F07AB3" w:rsidRDefault="00F07AB3" w:rsidP="00F07AB3">
            <w:pPr>
              <w:rPr>
                <w:lang w:val="en-GB"/>
              </w:rPr>
            </w:pPr>
            <w:r w:rsidRPr="00F07AB3">
              <w:rPr>
                <w:b/>
                <w:bCs/>
                <w:lang w:val="en-GB"/>
              </w:rPr>
              <w:t xml:space="preserve">How </w:t>
            </w:r>
            <w:r w:rsidR="007E4A25" w:rsidRPr="00F07AB3">
              <w:rPr>
                <w:b/>
                <w:bCs/>
                <w:lang w:val="en-GB"/>
              </w:rPr>
              <w:t>should you</w:t>
            </w:r>
            <w:r w:rsidRPr="00F07AB3">
              <w:rPr>
                <w:b/>
                <w:bCs/>
                <w:lang w:val="en-GB"/>
              </w:rPr>
              <w:t xml:space="preserve"> </w:t>
            </w:r>
            <w:r w:rsidR="00311F9E">
              <w:rPr>
                <w:b/>
                <w:bCs/>
                <w:lang w:val="en-GB"/>
              </w:rPr>
              <w:t>speak to</w:t>
            </w:r>
            <w:r w:rsidRPr="00F07AB3">
              <w:rPr>
                <w:b/>
                <w:bCs/>
                <w:lang w:val="en-GB"/>
              </w:rPr>
              <w:t xml:space="preserve"> your loved ones with dementia? </w:t>
            </w:r>
            <w:r>
              <w:rPr>
                <w:lang w:val="en-GB"/>
              </w:rPr>
              <w:t>Maintain eye contact</w:t>
            </w:r>
            <w:r w:rsidR="00311F9E">
              <w:rPr>
                <w:lang w:val="en-GB"/>
              </w:rPr>
              <w:t>, use simple language</w:t>
            </w:r>
            <w:r w:rsidR="003377DD">
              <w:rPr>
                <w:lang w:val="en-GB"/>
              </w:rPr>
              <w:t xml:space="preserve"> and be Very patient</w:t>
            </w:r>
            <w:r w:rsidR="00311F9E">
              <w:rPr>
                <w:lang w:val="en-GB"/>
              </w:rPr>
              <w:t>.</w:t>
            </w:r>
            <w:r w:rsidR="003377DD">
              <w:rPr>
                <w:lang w:val="en-GB"/>
              </w:rPr>
              <w:t xml:space="preserve"> </w:t>
            </w:r>
            <w:r w:rsidR="003377DD" w:rsidRPr="003377DD">
              <w:rPr>
                <w:sz w:val="12"/>
                <w:szCs w:val="12"/>
                <w:lang w:val="en-GB"/>
              </w:rPr>
              <w:t>(</w:t>
            </w:r>
            <w:r w:rsidR="007E4A25" w:rsidRPr="003377DD">
              <w:rPr>
                <w:sz w:val="12"/>
                <w:szCs w:val="12"/>
                <w:lang w:val="en-GB"/>
              </w:rPr>
              <w:t>NHS,</w:t>
            </w:r>
            <w:r w:rsidR="003377DD" w:rsidRPr="003377DD">
              <w:rPr>
                <w:sz w:val="12"/>
                <w:szCs w:val="12"/>
                <w:lang w:val="en-GB"/>
              </w:rPr>
              <w:t xml:space="preserve"> 2020)</w:t>
            </w:r>
          </w:p>
          <w:p w14:paraId="4E560EB3" w14:textId="77777777" w:rsidR="00307EC9" w:rsidRDefault="006C6DDB" w:rsidP="007014C5">
            <w:pPr>
              <w:rPr>
                <w:b/>
                <w:bCs/>
                <w:lang w:val="en-GB"/>
              </w:rPr>
            </w:pPr>
            <w:r w:rsidRPr="006C6DDB">
              <w:rPr>
                <w:b/>
                <w:bCs/>
                <w:lang w:val="en-GB"/>
              </w:rPr>
              <w:t>What not to do or say to your loved one</w:t>
            </w:r>
          </w:p>
          <w:p w14:paraId="54081B21" w14:textId="6D604033" w:rsidR="006C6DDB" w:rsidRDefault="006C6DDB" w:rsidP="006C6DDB">
            <w:pPr>
              <w:pStyle w:val="ListParagraph"/>
              <w:numPr>
                <w:ilvl w:val="0"/>
                <w:numId w:val="23"/>
              </w:numPr>
              <w:rPr>
                <w:lang w:val="en-GB"/>
              </w:rPr>
            </w:pPr>
            <w:r w:rsidRPr="006C6DDB">
              <w:rPr>
                <w:lang w:val="en-GB"/>
              </w:rPr>
              <w:t xml:space="preserve">Never tell them that a partner or a loved one has </w:t>
            </w:r>
            <w:r w:rsidR="007E4A25" w:rsidRPr="006C6DDB">
              <w:rPr>
                <w:lang w:val="en-GB"/>
              </w:rPr>
              <w:t>passed.</w:t>
            </w:r>
            <w:r w:rsidR="004F3DE1">
              <w:rPr>
                <w:lang w:val="en-GB"/>
              </w:rPr>
              <w:t xml:space="preserve"> </w:t>
            </w:r>
            <w:r w:rsidR="004F3DE1" w:rsidRPr="004F3DE1">
              <w:rPr>
                <w:sz w:val="12"/>
                <w:szCs w:val="12"/>
                <w:lang w:val="en-GB"/>
              </w:rPr>
              <w:t>(</w:t>
            </w:r>
            <w:proofErr w:type="gramStart"/>
            <w:r w:rsidR="004F3DE1" w:rsidRPr="004F3DE1">
              <w:rPr>
                <w:sz w:val="12"/>
                <w:szCs w:val="12"/>
                <w:lang w:val="en-GB"/>
              </w:rPr>
              <w:t>read</w:t>
            </w:r>
            <w:proofErr w:type="gramEnd"/>
            <w:r w:rsidR="004F3DE1" w:rsidRPr="004F3DE1">
              <w:rPr>
                <w:sz w:val="12"/>
                <w:szCs w:val="12"/>
                <w:lang w:val="en-GB"/>
              </w:rPr>
              <w:t>, 2020)</w:t>
            </w:r>
          </w:p>
          <w:p w14:paraId="24ABBDD5" w14:textId="4D36DE96" w:rsidR="006C6DDB" w:rsidRDefault="006C6DDB" w:rsidP="006C6DDB">
            <w:pPr>
              <w:pStyle w:val="ListParagraph"/>
              <w:numPr>
                <w:ilvl w:val="0"/>
                <w:numId w:val="23"/>
              </w:numPr>
              <w:rPr>
                <w:lang w:val="en-GB"/>
              </w:rPr>
            </w:pPr>
            <w:r>
              <w:rPr>
                <w:lang w:val="en-GB"/>
              </w:rPr>
              <w:t xml:space="preserve">Don’t argue with </w:t>
            </w:r>
            <w:r w:rsidR="007E4A25">
              <w:rPr>
                <w:lang w:val="en-GB"/>
              </w:rPr>
              <w:t>them.</w:t>
            </w:r>
          </w:p>
          <w:p w14:paraId="18ED3FD4" w14:textId="638D2E20" w:rsidR="006C6DDB" w:rsidRPr="006C6DDB" w:rsidRDefault="006C6DDB" w:rsidP="006C6DDB">
            <w:pPr>
              <w:pStyle w:val="ListParagraph"/>
              <w:numPr>
                <w:ilvl w:val="0"/>
                <w:numId w:val="23"/>
              </w:numPr>
              <w:rPr>
                <w:lang w:val="en-GB"/>
              </w:rPr>
            </w:pPr>
            <w:r>
              <w:rPr>
                <w:lang w:val="en-GB"/>
              </w:rPr>
              <w:t>Never try and correct them or tell them they are wrong</w:t>
            </w:r>
          </w:p>
        </w:tc>
        <w:tc>
          <w:tcPr>
            <w:tcW w:w="5285" w:type="dxa"/>
            <w:tcMar>
              <w:left w:w="720" w:type="dxa"/>
              <w:right w:w="720" w:type="dxa"/>
            </w:tcMar>
          </w:tcPr>
          <w:p w14:paraId="60B6709F" w14:textId="2B44A870" w:rsidR="00307EC9" w:rsidRPr="002B0760" w:rsidRDefault="006C6DDB" w:rsidP="0063311A">
            <w:pPr>
              <w:pStyle w:val="Heading2"/>
              <w:spacing w:before="200"/>
              <w:rPr>
                <w:rStyle w:val="Heading2Char"/>
                <w:lang w:val="en-GB"/>
              </w:rPr>
            </w:pPr>
            <w:r w:rsidRPr="002B0760">
              <w:rPr>
                <w:b w:val="0"/>
                <w:bCs w:val="0"/>
                <w:lang w:val="en-GB"/>
              </w:rPr>
              <w:t>What support is out there</w:t>
            </w:r>
            <w:r w:rsidR="00183702" w:rsidRPr="002B0760">
              <w:rPr>
                <w:b w:val="0"/>
                <w:bCs w:val="0"/>
                <w:lang w:val="en-GB"/>
              </w:rPr>
              <w:t xml:space="preserve"> for people with dementia</w:t>
            </w:r>
            <w:r w:rsidR="00961A6A">
              <w:rPr>
                <w:b w:val="0"/>
                <w:bCs w:val="0"/>
                <w:lang w:val="en-GB"/>
              </w:rPr>
              <w:t xml:space="preserve"> and the families</w:t>
            </w:r>
            <w:r w:rsidR="008108A5">
              <w:rPr>
                <w:b w:val="0"/>
                <w:bCs w:val="0"/>
                <w:lang w:val="en-GB"/>
              </w:rPr>
              <w:t>?</w:t>
            </w:r>
          </w:p>
          <w:p w14:paraId="0418D78B" w14:textId="77777777" w:rsidR="002B0760" w:rsidRPr="002B0760" w:rsidRDefault="00183702" w:rsidP="00183702">
            <w:pPr>
              <w:rPr>
                <w:b/>
                <w:bCs/>
                <w:sz w:val="24"/>
                <w:szCs w:val="24"/>
              </w:rPr>
            </w:pPr>
            <w:r w:rsidRPr="002B0760">
              <w:rPr>
                <w:b/>
                <w:bCs/>
                <w:sz w:val="24"/>
                <w:szCs w:val="24"/>
              </w:rPr>
              <w:t>GP</w:t>
            </w:r>
          </w:p>
          <w:p w14:paraId="19210DF9" w14:textId="799A5045" w:rsidR="00307EC9" w:rsidRPr="002B0760" w:rsidRDefault="00407062" w:rsidP="002B0760">
            <w:pPr>
              <w:pStyle w:val="ListParagraph"/>
              <w:numPr>
                <w:ilvl w:val="0"/>
                <w:numId w:val="26"/>
              </w:numPr>
            </w:pPr>
            <w:r w:rsidRPr="002B0760">
              <w:t xml:space="preserve"> </w:t>
            </w:r>
            <w:r w:rsidRPr="002B0760">
              <w:t xml:space="preserve">Managing illnesses associated with </w:t>
            </w:r>
            <w:proofErr w:type="gramStart"/>
            <w:r w:rsidRPr="002B0760">
              <w:t>some</w:t>
            </w:r>
            <w:proofErr w:type="gramEnd"/>
            <w:r w:rsidRPr="002B0760">
              <w:t xml:space="preserve"> kinds of dementia, such as high blood pressure, excessive cholesterol, and mental well-being.</w:t>
            </w:r>
          </w:p>
          <w:p w14:paraId="4B45933F" w14:textId="2B516887" w:rsidR="00407062" w:rsidRPr="002B0760" w:rsidRDefault="00407062" w:rsidP="002B0760">
            <w:pPr>
              <w:pStyle w:val="ListParagraph"/>
              <w:numPr>
                <w:ilvl w:val="0"/>
                <w:numId w:val="25"/>
              </w:numPr>
            </w:pPr>
            <w:r w:rsidRPr="002B0760">
              <w:t xml:space="preserve">Refer the individual to adult social care and other relevant </w:t>
            </w:r>
            <w:r w:rsidR="007E4A25" w:rsidRPr="002B0760">
              <w:t>organizations.</w:t>
            </w:r>
          </w:p>
          <w:p w14:paraId="3EAF10C8" w14:textId="06A134F7" w:rsidR="00407062" w:rsidRPr="002B0760" w:rsidRDefault="00407062" w:rsidP="002B0760">
            <w:pPr>
              <w:pStyle w:val="ListParagraph"/>
              <w:numPr>
                <w:ilvl w:val="0"/>
                <w:numId w:val="25"/>
              </w:numPr>
            </w:pPr>
            <w:r w:rsidRPr="002B0760">
              <w:t>Advise how to stay physically active and maintain a healthy lifestyle</w:t>
            </w:r>
            <w:r w:rsidR="002B0760" w:rsidRPr="002B0760">
              <w:t xml:space="preserve"> </w:t>
            </w:r>
            <w:r w:rsidR="002B0760" w:rsidRPr="00FE3B10">
              <w:rPr>
                <w:sz w:val="12"/>
                <w:szCs w:val="12"/>
              </w:rPr>
              <w:t>(nidirect, 2016)</w:t>
            </w:r>
          </w:p>
          <w:p w14:paraId="0DBDC0A2" w14:textId="4AC3C68F" w:rsidR="002B0760" w:rsidRPr="002B0760" w:rsidRDefault="002B0760" w:rsidP="002B0760">
            <w:pPr>
              <w:rPr>
                <w:b/>
                <w:bCs/>
                <w:sz w:val="24"/>
                <w:szCs w:val="24"/>
              </w:rPr>
            </w:pPr>
            <w:r w:rsidRPr="002B0760">
              <w:rPr>
                <w:b/>
                <w:bCs/>
                <w:sz w:val="24"/>
                <w:szCs w:val="24"/>
              </w:rPr>
              <w:t>Adult social care</w:t>
            </w:r>
          </w:p>
          <w:p w14:paraId="700910D9" w14:textId="597856D6" w:rsidR="002B0760" w:rsidRDefault="002B0760" w:rsidP="002B0760">
            <w:pPr>
              <w:rPr>
                <w:sz w:val="24"/>
                <w:szCs w:val="24"/>
              </w:rPr>
            </w:pPr>
            <w:r w:rsidRPr="002B0760">
              <w:rPr>
                <w:sz w:val="24"/>
                <w:szCs w:val="24"/>
              </w:rPr>
              <w:t>Can help with adaptations</w:t>
            </w:r>
            <w:r>
              <w:rPr>
                <w:sz w:val="24"/>
                <w:szCs w:val="24"/>
              </w:rPr>
              <w:t xml:space="preserve"> if required in the </w:t>
            </w:r>
            <w:r w:rsidR="007E4A25">
              <w:rPr>
                <w:sz w:val="24"/>
                <w:szCs w:val="24"/>
              </w:rPr>
              <w:t>home.</w:t>
            </w:r>
          </w:p>
          <w:p w14:paraId="0EB4EA72" w14:textId="48419282" w:rsidR="002B0760" w:rsidRDefault="00E144F3" w:rsidP="002B076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</w:t>
            </w:r>
            <w:r w:rsidR="002B0760">
              <w:rPr>
                <w:sz w:val="24"/>
                <w:szCs w:val="24"/>
              </w:rPr>
              <w:t>espite</w:t>
            </w:r>
            <w:r>
              <w:rPr>
                <w:sz w:val="24"/>
                <w:szCs w:val="24"/>
              </w:rPr>
              <w:t xml:space="preserve"> can </w:t>
            </w:r>
            <w:proofErr w:type="gramStart"/>
            <w:r>
              <w:rPr>
                <w:sz w:val="24"/>
                <w:szCs w:val="24"/>
              </w:rPr>
              <w:t>be arranged</w:t>
            </w:r>
            <w:proofErr w:type="gramEnd"/>
            <w:r>
              <w:rPr>
                <w:sz w:val="24"/>
                <w:szCs w:val="24"/>
              </w:rPr>
              <w:t xml:space="preserve"> to give carers a short break.</w:t>
            </w:r>
          </w:p>
          <w:p w14:paraId="570D85B0" w14:textId="44DE226E" w:rsidR="00E144F3" w:rsidRDefault="00E144F3" w:rsidP="002B076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Home care can </w:t>
            </w:r>
            <w:proofErr w:type="gramStart"/>
            <w:r>
              <w:rPr>
                <w:sz w:val="24"/>
                <w:szCs w:val="24"/>
              </w:rPr>
              <w:t xml:space="preserve">be </w:t>
            </w:r>
            <w:r w:rsidR="007E4A25">
              <w:rPr>
                <w:sz w:val="24"/>
                <w:szCs w:val="24"/>
              </w:rPr>
              <w:t>arranged</w:t>
            </w:r>
            <w:proofErr w:type="gramEnd"/>
            <w:r w:rsidR="007E4A25">
              <w:rPr>
                <w:sz w:val="24"/>
                <w:szCs w:val="24"/>
              </w:rPr>
              <w:t>.</w:t>
            </w:r>
            <w:r>
              <w:rPr>
                <w:sz w:val="24"/>
                <w:szCs w:val="24"/>
              </w:rPr>
              <w:t xml:space="preserve"> </w:t>
            </w:r>
          </w:p>
          <w:p w14:paraId="179226B0" w14:textId="4265CD59" w:rsidR="00E144F3" w:rsidRDefault="00E144F3" w:rsidP="002B076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meals can </w:t>
            </w:r>
            <w:proofErr w:type="gramStart"/>
            <w:r>
              <w:rPr>
                <w:sz w:val="24"/>
                <w:szCs w:val="24"/>
              </w:rPr>
              <w:t>be arranged</w:t>
            </w:r>
            <w:proofErr w:type="gramEnd"/>
            <w:r>
              <w:rPr>
                <w:sz w:val="24"/>
                <w:szCs w:val="24"/>
              </w:rPr>
              <w:t xml:space="preserve"> to be delivered.</w:t>
            </w:r>
          </w:p>
          <w:p w14:paraId="4D4A031B" w14:textId="0913D8CC" w:rsidR="00307EC9" w:rsidRPr="00961A6A" w:rsidRDefault="00024BFF" w:rsidP="0063311A">
            <w:pPr>
              <w:rPr>
                <w:sz w:val="24"/>
                <w:szCs w:val="24"/>
              </w:rPr>
            </w:pPr>
            <w:r w:rsidRPr="00024BFF">
              <w:rPr>
                <w:sz w:val="24"/>
                <w:szCs w:val="24"/>
              </w:rPr>
              <w:t>(NHS Choices, 2019)</w:t>
            </w:r>
          </w:p>
        </w:tc>
        <w:tc>
          <w:tcPr>
            <w:tcW w:w="4565" w:type="dxa"/>
            <w:tcMar>
              <w:left w:w="720" w:type="dxa"/>
            </w:tcMar>
          </w:tcPr>
          <w:p w14:paraId="7840DAE5" w14:textId="77777777" w:rsidR="008072D7" w:rsidRDefault="008108A5" w:rsidP="008072D7">
            <w:pPr>
              <w:rPr>
                <w:b/>
                <w:bCs/>
                <w:lang w:val="en-GB"/>
              </w:rPr>
            </w:pPr>
            <w:r w:rsidRPr="008108A5">
              <w:rPr>
                <w:b/>
                <w:bCs/>
                <w:lang w:val="en-GB"/>
              </w:rPr>
              <w:t>What support is available specifically for carers?</w:t>
            </w:r>
            <w:r w:rsidR="008072D7">
              <w:rPr>
                <w:b/>
                <w:bCs/>
                <w:lang w:val="en-GB"/>
              </w:rPr>
              <w:t xml:space="preserve">  </w:t>
            </w:r>
          </w:p>
          <w:p w14:paraId="48850F44" w14:textId="70A028EC" w:rsidR="00307EC9" w:rsidRPr="008072D7" w:rsidRDefault="008108A5" w:rsidP="008072D7">
            <w:pPr>
              <w:pStyle w:val="ListParagraph"/>
              <w:numPr>
                <w:ilvl w:val="0"/>
                <w:numId w:val="25"/>
              </w:numPr>
              <w:rPr>
                <w:lang w:val="en-GB"/>
              </w:rPr>
            </w:pPr>
            <w:r w:rsidRPr="008072D7">
              <w:rPr>
                <w:lang w:val="en-GB"/>
              </w:rPr>
              <w:t>Carers groups</w:t>
            </w:r>
          </w:p>
          <w:p w14:paraId="4F6CD919" w14:textId="01A69AA4" w:rsidR="008108A5" w:rsidRPr="008108A5" w:rsidRDefault="008108A5" w:rsidP="008108A5">
            <w:pPr>
              <w:pStyle w:val="ListParagraph"/>
              <w:numPr>
                <w:ilvl w:val="0"/>
                <w:numId w:val="25"/>
              </w:numPr>
              <w:rPr>
                <w:lang w:val="en-GB"/>
              </w:rPr>
            </w:pPr>
            <w:r w:rsidRPr="008108A5">
              <w:rPr>
                <w:lang w:val="en-GB"/>
              </w:rPr>
              <w:t xml:space="preserve">Dementia helpline managed by age </w:t>
            </w:r>
            <w:r w:rsidR="007E4A25" w:rsidRPr="008108A5">
              <w:rPr>
                <w:lang w:val="en-GB"/>
              </w:rPr>
              <w:t>UK</w:t>
            </w:r>
            <w:r w:rsidRPr="008108A5">
              <w:rPr>
                <w:lang w:val="en-GB"/>
              </w:rPr>
              <w:t xml:space="preserve"> </w:t>
            </w:r>
            <w:r w:rsidR="00F52017" w:rsidRPr="00F52017">
              <w:rPr>
                <w:sz w:val="12"/>
                <w:szCs w:val="12"/>
                <w:lang w:val="en-GB"/>
              </w:rPr>
              <w:t>(Age UK, 2018a)</w:t>
            </w:r>
          </w:p>
          <w:p w14:paraId="0EDAAD5D" w14:textId="4B405216" w:rsidR="008108A5" w:rsidRPr="008108A5" w:rsidRDefault="008108A5" w:rsidP="008108A5">
            <w:pPr>
              <w:pStyle w:val="ListParagraph"/>
              <w:numPr>
                <w:ilvl w:val="0"/>
                <w:numId w:val="25"/>
              </w:numPr>
              <w:rPr>
                <w:lang w:val="en-GB"/>
              </w:rPr>
            </w:pPr>
            <w:r w:rsidRPr="008108A5">
              <w:rPr>
                <w:lang w:val="en-GB"/>
              </w:rPr>
              <w:t>Online groups</w:t>
            </w:r>
          </w:p>
          <w:p w14:paraId="6B925E3D" w14:textId="430BE77F" w:rsidR="00307EC9" w:rsidRDefault="008108A5" w:rsidP="008108A5">
            <w:pPr>
              <w:pStyle w:val="ListParagraph"/>
              <w:numPr>
                <w:ilvl w:val="0"/>
                <w:numId w:val="25"/>
              </w:numPr>
              <w:rPr>
                <w:lang w:val="en-GB"/>
              </w:rPr>
            </w:pPr>
            <w:r w:rsidRPr="008108A5">
              <w:rPr>
                <w:lang w:val="en-GB"/>
              </w:rPr>
              <w:t>Dementia training</w:t>
            </w:r>
            <w:r w:rsidR="00F52017">
              <w:rPr>
                <w:lang w:val="en-GB"/>
              </w:rPr>
              <w:t xml:space="preserve"> </w:t>
            </w:r>
            <w:r w:rsidR="00F52017" w:rsidRPr="00F52017">
              <w:rPr>
                <w:sz w:val="12"/>
                <w:szCs w:val="12"/>
                <w:lang w:val="en-GB"/>
              </w:rPr>
              <w:t>(QCS, 2020)</w:t>
            </w:r>
          </w:p>
          <w:p w14:paraId="6A8D041D" w14:textId="3ED47E91" w:rsidR="008108A5" w:rsidRDefault="008108A5" w:rsidP="008108A5">
            <w:pPr>
              <w:ind w:left="360"/>
              <w:rPr>
                <w:lang w:val="en-GB"/>
              </w:rPr>
            </w:pPr>
            <w:r>
              <w:rPr>
                <w:lang w:val="en-GB"/>
              </w:rPr>
              <w:t xml:space="preserve">What if caring for your loved one becomes too much, what is </w:t>
            </w:r>
            <w:r w:rsidR="007E4A25">
              <w:rPr>
                <w:lang w:val="en-GB"/>
              </w:rPr>
              <w:t>available?</w:t>
            </w:r>
          </w:p>
          <w:p w14:paraId="46E7D161" w14:textId="1A01E0FA" w:rsidR="008108A5" w:rsidRPr="000855ED" w:rsidRDefault="007E4A25" w:rsidP="000855ED">
            <w:pPr>
              <w:pStyle w:val="ListParagraph"/>
              <w:numPr>
                <w:ilvl w:val="0"/>
                <w:numId w:val="25"/>
              </w:numPr>
              <w:rPr>
                <w:lang w:val="en-GB"/>
              </w:rPr>
            </w:pPr>
            <w:r w:rsidRPr="000855ED">
              <w:rPr>
                <w:lang w:val="en-GB"/>
              </w:rPr>
              <w:t>Palliative</w:t>
            </w:r>
            <w:r w:rsidR="00F94022" w:rsidRPr="000855ED">
              <w:rPr>
                <w:lang w:val="en-GB"/>
              </w:rPr>
              <w:t xml:space="preserve"> care is a plan that helps improves quality of life and helps address what matters most to the individual.</w:t>
            </w:r>
            <w:r w:rsidR="00AC4663">
              <w:rPr>
                <w:lang w:val="en-GB"/>
              </w:rPr>
              <w:t xml:space="preserve"> </w:t>
            </w:r>
            <w:r w:rsidR="00AC4663" w:rsidRPr="00AC4663">
              <w:rPr>
                <w:sz w:val="12"/>
                <w:szCs w:val="12"/>
                <w:lang w:val="en-GB"/>
              </w:rPr>
              <w:t>(Marie Curie, n.d.)</w:t>
            </w:r>
          </w:p>
          <w:p w14:paraId="5F44164B" w14:textId="78F14CEB" w:rsidR="000071B7" w:rsidRPr="00AC4663" w:rsidRDefault="000855ED" w:rsidP="000071B7">
            <w:pPr>
              <w:pStyle w:val="ListParagraph"/>
              <w:numPr>
                <w:ilvl w:val="0"/>
                <w:numId w:val="25"/>
              </w:numPr>
              <w:rPr>
                <w:sz w:val="12"/>
                <w:szCs w:val="12"/>
                <w:lang w:val="en-GB"/>
              </w:rPr>
            </w:pPr>
            <w:r w:rsidRPr="000855ED">
              <w:rPr>
                <w:lang w:val="en-GB"/>
              </w:rPr>
              <w:t>Palliative</w:t>
            </w:r>
            <w:r w:rsidR="00F94022" w:rsidRPr="000855ED">
              <w:rPr>
                <w:lang w:val="en-GB"/>
              </w:rPr>
              <w:t xml:space="preserve"> care can be carried out at </w:t>
            </w:r>
            <w:r w:rsidRPr="000855ED">
              <w:rPr>
                <w:lang w:val="en-GB"/>
              </w:rPr>
              <w:t>someone’s</w:t>
            </w:r>
            <w:r w:rsidR="00F94022" w:rsidRPr="000855ED">
              <w:rPr>
                <w:lang w:val="en-GB"/>
              </w:rPr>
              <w:t xml:space="preserve"> home, a hospital a care home or a hospice. </w:t>
            </w:r>
            <w:r w:rsidR="00AC4663">
              <w:rPr>
                <w:lang w:val="en-GB"/>
              </w:rPr>
              <w:t xml:space="preserve"> </w:t>
            </w:r>
            <w:r w:rsidR="00AC4663" w:rsidRPr="00AC4663">
              <w:rPr>
                <w:sz w:val="12"/>
                <w:szCs w:val="12"/>
                <w:lang w:val="en-GB"/>
              </w:rPr>
              <w:t>(National Health Service, 2018)</w:t>
            </w:r>
          </w:p>
          <w:p w14:paraId="70F55476" w14:textId="1B811DE0" w:rsidR="000071B7" w:rsidRDefault="008072D7" w:rsidP="000071B7">
            <w:pPr>
              <w:rPr>
                <w:lang w:val="en-GB"/>
              </w:rPr>
            </w:pPr>
            <w:r>
              <w:rPr>
                <w:lang w:val="en-GB"/>
              </w:rPr>
              <w:t xml:space="preserve">You may want to consider </w:t>
            </w:r>
            <w:r w:rsidR="000071B7">
              <w:rPr>
                <w:lang w:val="en-GB"/>
              </w:rPr>
              <w:t xml:space="preserve">Assistive </w:t>
            </w:r>
            <w:r w:rsidR="007E4A25">
              <w:rPr>
                <w:lang w:val="en-GB"/>
              </w:rPr>
              <w:t>technology.</w:t>
            </w:r>
            <w:r w:rsidR="000071B7">
              <w:rPr>
                <w:lang w:val="en-GB"/>
              </w:rPr>
              <w:t xml:space="preserve"> </w:t>
            </w:r>
          </w:p>
          <w:p w14:paraId="53DAF0DC" w14:textId="6030B829" w:rsidR="000071B7" w:rsidRPr="008072D7" w:rsidRDefault="000071B7" w:rsidP="000071B7">
            <w:pPr>
              <w:pStyle w:val="ListParagraph"/>
              <w:numPr>
                <w:ilvl w:val="0"/>
                <w:numId w:val="25"/>
              </w:numPr>
              <w:rPr>
                <w:sz w:val="20"/>
                <w:szCs w:val="20"/>
                <w:lang w:val="en-GB"/>
              </w:rPr>
            </w:pPr>
            <w:r w:rsidRPr="008072D7">
              <w:rPr>
                <w:sz w:val="20"/>
                <w:szCs w:val="20"/>
                <w:lang w:val="en-GB"/>
              </w:rPr>
              <w:t xml:space="preserve"> may help with completing daily tasks.</w:t>
            </w:r>
            <w:r w:rsidR="004F3DE1" w:rsidRPr="004F3DE1">
              <w:rPr>
                <w:sz w:val="12"/>
                <w:szCs w:val="12"/>
                <w:lang w:val="en-GB"/>
              </w:rPr>
              <w:t xml:space="preserve"> </w:t>
            </w:r>
            <w:r w:rsidR="004F3DE1" w:rsidRPr="004F3DE1">
              <w:rPr>
                <w:sz w:val="12"/>
                <w:szCs w:val="12"/>
                <w:lang w:val="en-GB"/>
              </w:rPr>
              <w:t>(Social Care Institute for Excellence (SCIE), n.d.)</w:t>
            </w:r>
          </w:p>
          <w:p w14:paraId="5BD56AC2" w14:textId="77777777" w:rsidR="000071B7" w:rsidRPr="008072D7" w:rsidRDefault="000071B7" w:rsidP="000071B7">
            <w:pPr>
              <w:pStyle w:val="ListParagraph"/>
              <w:numPr>
                <w:ilvl w:val="0"/>
                <w:numId w:val="25"/>
              </w:numPr>
              <w:rPr>
                <w:sz w:val="20"/>
                <w:szCs w:val="20"/>
                <w:lang w:val="en-GB"/>
              </w:rPr>
            </w:pPr>
            <w:r w:rsidRPr="008072D7">
              <w:rPr>
                <w:sz w:val="20"/>
                <w:szCs w:val="20"/>
                <w:lang w:val="en-GB"/>
              </w:rPr>
              <w:t xml:space="preserve">Electronic pill boxes </w:t>
            </w:r>
          </w:p>
          <w:p w14:paraId="3E9FFF32" w14:textId="30018320" w:rsidR="000071B7" w:rsidRPr="000071B7" w:rsidRDefault="007E4A25" w:rsidP="000071B7">
            <w:pPr>
              <w:pStyle w:val="ListParagraph"/>
              <w:numPr>
                <w:ilvl w:val="0"/>
                <w:numId w:val="25"/>
              </w:numPr>
              <w:rPr>
                <w:lang w:val="en-GB"/>
              </w:rPr>
            </w:pPr>
            <w:r w:rsidRPr="008072D7">
              <w:rPr>
                <w:sz w:val="20"/>
                <w:szCs w:val="20"/>
                <w:lang w:val="en-GB"/>
              </w:rPr>
              <w:t>Two-way</w:t>
            </w:r>
            <w:r w:rsidR="000071B7" w:rsidRPr="008072D7">
              <w:rPr>
                <w:sz w:val="20"/>
                <w:szCs w:val="20"/>
                <w:lang w:val="en-GB"/>
              </w:rPr>
              <w:t xml:space="preserve"> cameras that enable communication and to also monitor the safety of the loved ones</w:t>
            </w:r>
          </w:p>
        </w:tc>
      </w:tr>
    </w:tbl>
    <w:p w14:paraId="01AE0F30" w14:textId="5A9966C0" w:rsidR="009915C8" w:rsidRDefault="009915C8" w:rsidP="00A769D1">
      <w:pPr>
        <w:pStyle w:val="NoSpacing"/>
        <w:rPr>
          <w:lang w:val="en-GB"/>
        </w:rPr>
      </w:pPr>
    </w:p>
    <w:p w14:paraId="000819E6" w14:textId="0B07593C" w:rsidR="00CF4E78" w:rsidRDefault="00CF4E78" w:rsidP="00A769D1">
      <w:pPr>
        <w:pStyle w:val="NoSpacing"/>
        <w:rPr>
          <w:lang w:val="en-GB"/>
        </w:rPr>
      </w:pPr>
      <w:r>
        <w:rPr>
          <w:lang w:val="en-GB"/>
        </w:rPr>
        <w:t xml:space="preserve">References </w:t>
      </w:r>
    </w:p>
    <w:p w14:paraId="19437583" w14:textId="77777777" w:rsidR="002D478D" w:rsidRDefault="002D478D" w:rsidP="00A769D1">
      <w:pPr>
        <w:pStyle w:val="NoSpacing"/>
        <w:rPr>
          <w:lang w:val="en-GB"/>
        </w:rPr>
      </w:pPr>
    </w:p>
    <w:p w14:paraId="27AACBD5" w14:textId="77777777" w:rsidR="00C32D44" w:rsidRPr="00AC4663" w:rsidRDefault="00F52017" w:rsidP="00C32D44">
      <w:pPr>
        <w:spacing w:after="240" w:line="360" w:lineRule="auto"/>
        <w:rPr>
          <w:rFonts w:ascii="Arial" w:eastAsia="Times New Roman" w:hAnsi="Arial" w:cs="Arial"/>
          <w:color w:val="auto"/>
          <w:lang w:val="en-GB" w:eastAsia="en-GB"/>
        </w:rPr>
      </w:pPr>
      <w:r w:rsidRPr="00F52017">
        <w:rPr>
          <w:rFonts w:ascii="Arial" w:eastAsia="Times New Roman" w:hAnsi="Arial" w:cs="Arial"/>
          <w:color w:val="auto"/>
          <w:lang w:val="en-GB" w:eastAsia="en-GB"/>
        </w:rPr>
        <w:t xml:space="preserve">Age UK (2018a). </w:t>
      </w:r>
      <w:r w:rsidRPr="00F52017">
        <w:rPr>
          <w:rFonts w:ascii="Arial" w:eastAsia="Times New Roman" w:hAnsi="Arial" w:cs="Arial"/>
          <w:i/>
          <w:iCs/>
          <w:color w:val="auto"/>
          <w:lang w:val="en-GB" w:eastAsia="en-GB"/>
        </w:rPr>
        <w:t>Dementia Support</w:t>
      </w:r>
      <w:r w:rsidRPr="00F52017">
        <w:rPr>
          <w:rFonts w:ascii="Arial" w:eastAsia="Times New Roman" w:hAnsi="Arial" w:cs="Arial"/>
          <w:color w:val="auto"/>
          <w:lang w:val="en-GB" w:eastAsia="en-GB"/>
        </w:rPr>
        <w:t xml:space="preserve">. Age UK. Available at: </w:t>
      </w:r>
      <w:hyperlink r:id="rId13" w:history="1">
        <w:r w:rsidR="00A72429" w:rsidRPr="00F52017">
          <w:rPr>
            <w:rStyle w:val="Hyperlink"/>
            <w:rFonts w:ascii="Arial" w:eastAsia="Times New Roman" w:hAnsi="Arial" w:cs="Arial"/>
            <w:lang w:val="en-GB" w:eastAsia="en-GB"/>
          </w:rPr>
          <w:t>https://www.ageuk.org.uk/services/in-your-area/dementia-support/</w:t>
        </w:r>
      </w:hyperlink>
      <w:r w:rsidRPr="00F52017">
        <w:rPr>
          <w:rFonts w:ascii="Arial" w:eastAsia="Times New Roman" w:hAnsi="Arial" w:cs="Arial"/>
          <w:color w:val="auto"/>
          <w:lang w:val="en-GB" w:eastAsia="en-GB"/>
        </w:rPr>
        <w:t>.</w:t>
      </w:r>
      <w:r w:rsidR="00C32D44">
        <w:rPr>
          <w:rFonts w:ascii="Arial" w:eastAsia="Times New Roman" w:hAnsi="Arial" w:cs="Arial"/>
          <w:color w:val="auto"/>
          <w:lang w:val="en-GB" w:eastAsia="en-GB"/>
        </w:rPr>
        <w:t xml:space="preserve"> 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(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 xml:space="preserve">Accessed 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3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 xml:space="preserve"> Aug. 2023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)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>.</w:t>
      </w:r>
    </w:p>
    <w:p w14:paraId="765CF563" w14:textId="77777777" w:rsidR="00C32D44" w:rsidRPr="00AC4663" w:rsidRDefault="00A72429" w:rsidP="00C32D44">
      <w:pPr>
        <w:spacing w:after="240" w:line="360" w:lineRule="auto"/>
        <w:rPr>
          <w:rFonts w:ascii="Arial" w:eastAsia="Times New Roman" w:hAnsi="Arial" w:cs="Arial"/>
          <w:color w:val="auto"/>
          <w:lang w:val="en-GB" w:eastAsia="en-GB"/>
        </w:rPr>
      </w:pPr>
      <w:r w:rsidRPr="00A72429">
        <w:rPr>
          <w:rFonts w:ascii="Arial" w:eastAsia="Times New Roman" w:hAnsi="Arial" w:cs="Arial"/>
          <w:color w:val="auto"/>
          <w:lang w:val="en-GB" w:eastAsia="en-GB"/>
        </w:rPr>
        <w:t xml:space="preserve">Age UK (2018b) </w:t>
      </w:r>
      <w:r w:rsidRPr="00A72429">
        <w:rPr>
          <w:rFonts w:ascii="Arial" w:eastAsia="Times New Roman" w:hAnsi="Arial" w:cs="Arial"/>
          <w:i/>
          <w:iCs/>
          <w:color w:val="auto"/>
          <w:lang w:val="en-GB" w:eastAsia="en-GB"/>
        </w:rPr>
        <w:t>The equality act and age discrimination | Age UK</w:t>
      </w:r>
      <w:r w:rsidRPr="00A72429">
        <w:rPr>
          <w:rFonts w:ascii="Arial" w:eastAsia="Times New Roman" w:hAnsi="Arial" w:cs="Arial"/>
          <w:color w:val="auto"/>
          <w:lang w:val="en-GB" w:eastAsia="en-GB"/>
        </w:rPr>
        <w:t xml:space="preserve">, Available at: </w:t>
      </w:r>
      <w:hyperlink r:id="rId14" w:history="1">
        <w:r w:rsidR="00C32D44" w:rsidRPr="00A72429">
          <w:rPr>
            <w:rStyle w:val="Hyperlink"/>
            <w:rFonts w:ascii="Arial" w:eastAsia="Times New Roman" w:hAnsi="Arial" w:cs="Arial"/>
            <w:lang w:val="en-GB" w:eastAsia="en-GB"/>
          </w:rPr>
          <w:t>https://www.ageuk.org.uk/information-advice/work-learning/discrimination-rights/the-equality-act/</w:t>
        </w:r>
      </w:hyperlink>
      <w:r w:rsidRPr="00A72429">
        <w:rPr>
          <w:rFonts w:ascii="Arial" w:eastAsia="Times New Roman" w:hAnsi="Arial" w:cs="Arial"/>
          <w:color w:val="auto"/>
          <w:lang w:val="en-GB" w:eastAsia="en-GB"/>
        </w:rPr>
        <w:t>.</w:t>
      </w:r>
      <w:r w:rsidR="00C32D44">
        <w:rPr>
          <w:rFonts w:ascii="Arial" w:eastAsia="Times New Roman" w:hAnsi="Arial" w:cs="Arial"/>
          <w:color w:val="auto"/>
          <w:lang w:val="en-GB" w:eastAsia="en-GB"/>
        </w:rPr>
        <w:t xml:space="preserve"> 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(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 xml:space="preserve">Accessed 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3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 xml:space="preserve"> Aug. 2023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)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>.</w:t>
      </w:r>
    </w:p>
    <w:p w14:paraId="03B08732" w14:textId="77777777" w:rsidR="00C32D44" w:rsidRPr="00AC4663" w:rsidRDefault="001C3915" w:rsidP="00C32D44">
      <w:pPr>
        <w:spacing w:after="240" w:line="360" w:lineRule="auto"/>
        <w:rPr>
          <w:rFonts w:ascii="Arial" w:eastAsia="Times New Roman" w:hAnsi="Arial" w:cs="Arial"/>
          <w:color w:val="auto"/>
          <w:lang w:val="en-GB" w:eastAsia="en-GB"/>
        </w:rPr>
      </w:pPr>
      <w:r w:rsidRPr="001C3915">
        <w:rPr>
          <w:rFonts w:ascii="Arial" w:eastAsia="Times New Roman" w:hAnsi="Arial" w:cs="Arial"/>
          <w:i/>
          <w:iCs/>
          <w:color w:val="auto"/>
          <w:lang w:val="en-GB" w:eastAsia="en-GB"/>
        </w:rPr>
        <w:t>Dementia</w:t>
      </w:r>
      <w:r w:rsidRPr="001C3915">
        <w:rPr>
          <w:rFonts w:ascii="Arial" w:eastAsia="Times New Roman" w:hAnsi="Arial" w:cs="Arial"/>
          <w:color w:val="auto"/>
          <w:lang w:val="en-GB" w:eastAsia="en-GB"/>
        </w:rPr>
        <w:t xml:space="preserve"> (no date) </w:t>
      </w:r>
      <w:r w:rsidRPr="001C3915">
        <w:rPr>
          <w:rFonts w:ascii="Arial" w:eastAsia="Times New Roman" w:hAnsi="Arial" w:cs="Arial"/>
          <w:i/>
          <w:iCs/>
          <w:color w:val="auto"/>
          <w:lang w:val="en-GB" w:eastAsia="en-GB"/>
        </w:rPr>
        <w:t>American Speech-Language-Hearing Association</w:t>
      </w:r>
      <w:r w:rsidRPr="001C3915">
        <w:rPr>
          <w:rFonts w:ascii="Arial" w:eastAsia="Times New Roman" w:hAnsi="Arial" w:cs="Arial"/>
          <w:color w:val="auto"/>
          <w:lang w:val="en-GB" w:eastAsia="en-GB"/>
        </w:rPr>
        <w:t xml:space="preserve">. Available at: </w:t>
      </w:r>
      <w:hyperlink r:id="rId15" w:history="1">
        <w:r w:rsidR="00C32D44" w:rsidRPr="001C3915">
          <w:rPr>
            <w:rStyle w:val="Hyperlink"/>
            <w:rFonts w:ascii="Arial" w:eastAsia="Times New Roman" w:hAnsi="Arial" w:cs="Arial"/>
            <w:lang w:val="en-GB" w:eastAsia="en-GB"/>
          </w:rPr>
          <w:t>https://www.asha.org/Practice-Portal/Clinical-Topics/Dementia/#:~:text=Dementia%20is%20a%20syndrome%20resulting%20from%20acquired%20brain</w:t>
        </w:r>
      </w:hyperlink>
      <w:r w:rsidRPr="001C3915">
        <w:rPr>
          <w:rFonts w:ascii="Arial" w:eastAsia="Times New Roman" w:hAnsi="Arial" w:cs="Arial"/>
          <w:color w:val="auto"/>
          <w:lang w:val="en-GB" w:eastAsia="en-GB"/>
        </w:rPr>
        <w:t>.</w:t>
      </w:r>
      <w:r w:rsidR="00C32D44">
        <w:rPr>
          <w:rFonts w:ascii="Arial" w:eastAsia="Times New Roman" w:hAnsi="Arial" w:cs="Arial"/>
          <w:color w:val="auto"/>
          <w:lang w:val="en-GB" w:eastAsia="en-GB"/>
        </w:rPr>
        <w:t xml:space="preserve"> 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(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 xml:space="preserve">Accessed 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3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 xml:space="preserve"> Aug. 2023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)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>.</w:t>
      </w:r>
    </w:p>
    <w:p w14:paraId="0F929D71" w14:textId="1CABC794" w:rsidR="003377DD" w:rsidRPr="00C12AB2" w:rsidRDefault="003377DD" w:rsidP="00C12AB2">
      <w:pPr>
        <w:spacing w:after="240" w:line="360" w:lineRule="auto"/>
        <w:rPr>
          <w:rFonts w:ascii="Arial" w:eastAsia="Times New Roman" w:hAnsi="Arial" w:cs="Arial"/>
          <w:color w:val="auto"/>
          <w:lang w:val="en-GB" w:eastAsia="en-GB"/>
        </w:rPr>
      </w:pPr>
      <w:r w:rsidRPr="003377DD">
        <w:rPr>
          <w:rFonts w:ascii="Arial" w:eastAsia="Times New Roman" w:hAnsi="Arial" w:cs="Arial"/>
          <w:color w:val="auto"/>
          <w:lang w:val="en-GB" w:eastAsia="en-GB"/>
        </w:rPr>
        <w:t xml:space="preserve">Alzheimer's Society (2021). </w:t>
      </w:r>
      <w:r w:rsidRPr="003377DD">
        <w:rPr>
          <w:rFonts w:ascii="Arial" w:eastAsia="Times New Roman" w:hAnsi="Arial" w:cs="Arial"/>
          <w:i/>
          <w:iCs/>
          <w:color w:val="auto"/>
          <w:lang w:val="en-GB" w:eastAsia="en-GB"/>
        </w:rPr>
        <w:t>The early stage of dementia | Alzheimer’s Society</w:t>
      </w:r>
      <w:r w:rsidRPr="003377DD">
        <w:rPr>
          <w:rFonts w:ascii="Arial" w:eastAsia="Times New Roman" w:hAnsi="Arial" w:cs="Arial"/>
          <w:color w:val="auto"/>
          <w:lang w:val="en-GB" w:eastAsia="en-GB"/>
        </w:rPr>
        <w:t xml:space="preserve">. </w:t>
      </w:r>
      <w:r w:rsidR="001C3915" w:rsidRPr="00A72429">
        <w:rPr>
          <w:rFonts w:ascii="Arial" w:eastAsia="Times New Roman" w:hAnsi="Arial" w:cs="Arial"/>
          <w:color w:val="auto"/>
          <w:lang w:val="en-GB" w:eastAsia="en-GB"/>
        </w:rPr>
        <w:t>Available at: https://</w:t>
      </w:r>
      <w:r w:rsidRPr="003377DD">
        <w:rPr>
          <w:rFonts w:ascii="Arial" w:eastAsia="Times New Roman" w:hAnsi="Arial" w:cs="Arial"/>
          <w:color w:val="auto"/>
          <w:lang w:val="en-GB" w:eastAsia="en-GB"/>
        </w:rPr>
        <w:t xml:space="preserve">www.alzheimers.org.uk. Available at: </w:t>
      </w:r>
      <w:hyperlink r:id="rId16" w:history="1">
        <w:r w:rsidR="00C32D44" w:rsidRPr="003377DD">
          <w:rPr>
            <w:rStyle w:val="Hyperlink"/>
            <w:rFonts w:ascii="Arial" w:eastAsia="Times New Roman" w:hAnsi="Arial" w:cs="Arial"/>
            <w:lang w:val="en-GB" w:eastAsia="en-GB"/>
          </w:rPr>
          <w:t>https://www.alzheimers.org.uk/about-dementia/symptoms-and-diagnosis/how-dementia-progresses/early-stages-dementia</w:t>
        </w:r>
      </w:hyperlink>
      <w:r w:rsidRPr="003377DD">
        <w:rPr>
          <w:rFonts w:ascii="Arial" w:eastAsia="Times New Roman" w:hAnsi="Arial" w:cs="Arial"/>
          <w:color w:val="auto"/>
          <w:lang w:val="en-GB" w:eastAsia="en-GB"/>
        </w:rPr>
        <w:t>.</w:t>
      </w:r>
      <w:r w:rsidR="00C32D44">
        <w:rPr>
          <w:rFonts w:ascii="Arial" w:eastAsia="Times New Roman" w:hAnsi="Arial" w:cs="Arial"/>
          <w:color w:val="auto"/>
          <w:lang w:val="en-GB" w:eastAsia="en-GB"/>
        </w:rPr>
        <w:t xml:space="preserve"> 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(</w:t>
      </w:r>
      <w:r w:rsidR="00C32D44" w:rsidRPr="00FE3B10">
        <w:rPr>
          <w:rFonts w:ascii="Arial" w:eastAsia="Times New Roman" w:hAnsi="Arial" w:cs="Arial"/>
          <w:color w:val="auto"/>
          <w:lang w:val="en-GB" w:eastAsia="en-GB"/>
        </w:rPr>
        <w:t>Accessed 6 Aug. 2023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)</w:t>
      </w:r>
      <w:r w:rsidR="00C32D44" w:rsidRPr="00FE3B10">
        <w:rPr>
          <w:rFonts w:ascii="Arial" w:eastAsia="Times New Roman" w:hAnsi="Arial" w:cs="Arial"/>
          <w:color w:val="auto"/>
          <w:lang w:val="en-GB" w:eastAsia="en-GB"/>
        </w:rPr>
        <w:t>.</w:t>
      </w:r>
      <w:r w:rsidR="00C32D44">
        <w:rPr>
          <w:rFonts w:ascii="Arial" w:eastAsia="Times New Roman" w:hAnsi="Arial" w:cs="Arial"/>
          <w:color w:val="auto"/>
          <w:lang w:val="en-GB" w:eastAsia="en-GB"/>
        </w:rPr>
        <w:t xml:space="preserve"> </w:t>
      </w:r>
    </w:p>
    <w:p w14:paraId="715A7FC9" w14:textId="3C2BEB2C" w:rsidR="00E878A6" w:rsidRPr="00E878A6" w:rsidRDefault="00E878A6" w:rsidP="00E878A6">
      <w:pPr>
        <w:spacing w:after="240" w:line="360" w:lineRule="auto"/>
        <w:rPr>
          <w:rFonts w:ascii="Arial" w:eastAsia="Times New Roman" w:hAnsi="Arial" w:cs="Arial"/>
          <w:color w:val="auto"/>
          <w:lang w:val="en-GB" w:eastAsia="en-GB"/>
        </w:rPr>
      </w:pPr>
      <w:r w:rsidRPr="00E878A6">
        <w:rPr>
          <w:rFonts w:ascii="Arial" w:eastAsia="Times New Roman" w:hAnsi="Arial" w:cs="Arial"/>
          <w:color w:val="auto"/>
          <w:lang w:val="en-GB" w:eastAsia="en-GB"/>
        </w:rPr>
        <w:t xml:space="preserve">Alzheimer Society of Canada. </w:t>
      </w:r>
      <w:r w:rsidR="00C32D44" w:rsidRPr="001C3915">
        <w:rPr>
          <w:rFonts w:ascii="Arial" w:eastAsia="Times New Roman" w:hAnsi="Arial" w:cs="Arial"/>
          <w:color w:val="auto"/>
          <w:lang w:val="en-GB" w:eastAsia="en-GB"/>
        </w:rPr>
        <w:t>(</w:t>
      </w:r>
      <w:proofErr w:type="gramStart"/>
      <w:r w:rsidR="00C32D44" w:rsidRPr="001C3915">
        <w:rPr>
          <w:rFonts w:ascii="Arial" w:eastAsia="Times New Roman" w:hAnsi="Arial" w:cs="Arial"/>
          <w:color w:val="auto"/>
          <w:lang w:val="en-GB" w:eastAsia="en-GB"/>
        </w:rPr>
        <w:t>no</w:t>
      </w:r>
      <w:proofErr w:type="gramEnd"/>
      <w:r w:rsidR="00C32D44" w:rsidRPr="001C3915">
        <w:rPr>
          <w:rFonts w:ascii="Arial" w:eastAsia="Times New Roman" w:hAnsi="Arial" w:cs="Arial"/>
          <w:color w:val="auto"/>
          <w:lang w:val="en-GB" w:eastAsia="en-GB"/>
        </w:rPr>
        <w:t xml:space="preserve"> date) </w:t>
      </w:r>
      <w:r w:rsidRPr="00E878A6">
        <w:rPr>
          <w:rFonts w:ascii="Arial" w:eastAsia="Times New Roman" w:hAnsi="Arial" w:cs="Arial"/>
          <w:i/>
          <w:iCs/>
          <w:color w:val="auto"/>
          <w:lang w:val="en-GB" w:eastAsia="en-GB"/>
        </w:rPr>
        <w:t>Mixed dementia</w:t>
      </w:r>
      <w:r w:rsidRPr="00E878A6">
        <w:rPr>
          <w:rFonts w:ascii="Arial" w:eastAsia="Times New Roman" w:hAnsi="Arial" w:cs="Arial"/>
          <w:color w:val="auto"/>
          <w:lang w:val="en-GB" w:eastAsia="en-GB"/>
        </w:rPr>
        <w:t xml:space="preserve">. Available at: </w:t>
      </w:r>
      <w:hyperlink r:id="rId17" w:history="1">
        <w:r w:rsidR="00C32D44" w:rsidRPr="00E878A6">
          <w:rPr>
            <w:rStyle w:val="Hyperlink"/>
            <w:rFonts w:ascii="Arial" w:eastAsia="Times New Roman" w:hAnsi="Arial" w:cs="Arial"/>
            <w:lang w:val="en-GB" w:eastAsia="en-GB"/>
          </w:rPr>
          <w:t>https://alzheimer.ca/en/about-dementia/other-types-dementia/mixed-dementia</w:t>
        </w:r>
      </w:hyperlink>
      <w:r w:rsidRPr="00E878A6">
        <w:rPr>
          <w:rFonts w:ascii="Arial" w:eastAsia="Times New Roman" w:hAnsi="Arial" w:cs="Arial"/>
          <w:color w:val="auto"/>
          <w:lang w:val="en-GB" w:eastAsia="en-GB"/>
        </w:rPr>
        <w:t>.</w:t>
      </w:r>
      <w:r w:rsidR="00C32D44">
        <w:rPr>
          <w:rFonts w:ascii="Arial" w:eastAsia="Times New Roman" w:hAnsi="Arial" w:cs="Arial"/>
          <w:color w:val="auto"/>
          <w:lang w:val="en-GB" w:eastAsia="en-GB"/>
        </w:rPr>
        <w:t xml:space="preserve"> 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(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 xml:space="preserve">Accessed 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3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 xml:space="preserve"> Aug. 2023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)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>.</w:t>
      </w:r>
      <w:r w:rsidR="00C32D44">
        <w:rPr>
          <w:rFonts w:ascii="Arial" w:eastAsia="Times New Roman" w:hAnsi="Arial" w:cs="Arial"/>
          <w:color w:val="auto"/>
          <w:lang w:val="en-GB" w:eastAsia="en-GB"/>
        </w:rPr>
        <w:t xml:space="preserve"> </w:t>
      </w:r>
    </w:p>
    <w:p w14:paraId="7C081BAA" w14:textId="51569ED8" w:rsidR="00CF4E78" w:rsidRDefault="00CF4E78" w:rsidP="00CF4E78">
      <w:pPr>
        <w:spacing w:after="240" w:line="360" w:lineRule="auto"/>
        <w:rPr>
          <w:rFonts w:ascii="Arial" w:eastAsia="Times New Roman" w:hAnsi="Arial" w:cs="Arial"/>
          <w:color w:val="auto"/>
          <w:lang w:val="en-GB" w:eastAsia="en-GB"/>
        </w:rPr>
      </w:pPr>
      <w:r w:rsidRPr="00CF4E78">
        <w:rPr>
          <w:rFonts w:ascii="Arial" w:eastAsia="Times New Roman" w:hAnsi="Arial" w:cs="Arial"/>
          <w:color w:val="auto"/>
          <w:lang w:val="en-GB" w:eastAsia="en-GB"/>
        </w:rPr>
        <w:t xml:space="preserve">Dementia Statistics Hub. </w:t>
      </w:r>
      <w:r w:rsidR="00C32D44" w:rsidRPr="001C3915">
        <w:rPr>
          <w:rFonts w:ascii="Arial" w:eastAsia="Times New Roman" w:hAnsi="Arial" w:cs="Arial"/>
          <w:color w:val="auto"/>
          <w:lang w:val="en-GB" w:eastAsia="en-GB"/>
        </w:rPr>
        <w:t>(</w:t>
      </w:r>
      <w:proofErr w:type="gramStart"/>
      <w:r w:rsidR="00C32D44" w:rsidRPr="001C3915">
        <w:rPr>
          <w:rFonts w:ascii="Arial" w:eastAsia="Times New Roman" w:hAnsi="Arial" w:cs="Arial"/>
          <w:color w:val="auto"/>
          <w:lang w:val="en-GB" w:eastAsia="en-GB"/>
        </w:rPr>
        <w:t>no</w:t>
      </w:r>
      <w:proofErr w:type="gramEnd"/>
      <w:r w:rsidR="00C32D44" w:rsidRPr="001C3915">
        <w:rPr>
          <w:rFonts w:ascii="Arial" w:eastAsia="Times New Roman" w:hAnsi="Arial" w:cs="Arial"/>
          <w:color w:val="auto"/>
          <w:lang w:val="en-GB" w:eastAsia="en-GB"/>
        </w:rPr>
        <w:t xml:space="preserve"> date) </w:t>
      </w:r>
      <w:r w:rsidRPr="00CF4E78">
        <w:rPr>
          <w:rFonts w:ascii="Arial" w:eastAsia="Times New Roman" w:hAnsi="Arial" w:cs="Arial"/>
          <w:i/>
          <w:iCs/>
          <w:color w:val="auto"/>
          <w:lang w:val="en-GB" w:eastAsia="en-GB"/>
        </w:rPr>
        <w:t>Dementia Statistics Hub | Alzheimer’s Research UK</w:t>
      </w:r>
      <w:r w:rsidRPr="00CF4E78">
        <w:rPr>
          <w:rFonts w:ascii="Arial" w:eastAsia="Times New Roman" w:hAnsi="Arial" w:cs="Arial"/>
          <w:color w:val="auto"/>
          <w:lang w:val="en-GB" w:eastAsia="en-GB"/>
        </w:rPr>
        <w:t xml:space="preserve">. Available at: </w:t>
      </w:r>
      <w:hyperlink r:id="rId18" w:history="1">
        <w:r w:rsidR="00C32D44" w:rsidRPr="00CF4E78">
          <w:rPr>
            <w:rStyle w:val="Hyperlink"/>
            <w:rFonts w:ascii="Arial" w:eastAsia="Times New Roman" w:hAnsi="Arial" w:cs="Arial"/>
            <w:lang w:val="en-GB" w:eastAsia="en-GB"/>
          </w:rPr>
          <w:t>https://dementiastatistics.org/#:~:text=There%20ar%20944%2C000%20people%20with%20dementia%20in%20the</w:t>
        </w:r>
      </w:hyperlink>
      <w:r w:rsidRPr="00CF4E78">
        <w:rPr>
          <w:rFonts w:ascii="Arial" w:eastAsia="Times New Roman" w:hAnsi="Arial" w:cs="Arial"/>
          <w:color w:val="auto"/>
          <w:lang w:val="en-GB" w:eastAsia="en-GB"/>
        </w:rPr>
        <w:t>.</w:t>
      </w:r>
      <w:r w:rsidR="00C32D44">
        <w:rPr>
          <w:rFonts w:ascii="Arial" w:eastAsia="Times New Roman" w:hAnsi="Arial" w:cs="Arial"/>
          <w:color w:val="auto"/>
          <w:lang w:val="en-GB" w:eastAsia="en-GB"/>
        </w:rPr>
        <w:t xml:space="preserve"> 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(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 xml:space="preserve">Accessed 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3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 xml:space="preserve"> Aug. 2023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)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>.</w:t>
      </w:r>
    </w:p>
    <w:p w14:paraId="02AC0315" w14:textId="0A73B922" w:rsidR="00106D48" w:rsidRDefault="00106D48" w:rsidP="00106D48">
      <w:pPr>
        <w:spacing w:after="240" w:line="360" w:lineRule="auto"/>
        <w:rPr>
          <w:rFonts w:ascii="Arial" w:eastAsia="Times New Roman" w:hAnsi="Arial" w:cs="Arial"/>
          <w:color w:val="auto"/>
          <w:lang w:val="en-GB" w:eastAsia="en-GB"/>
        </w:rPr>
      </w:pPr>
      <w:r w:rsidRPr="00106D48">
        <w:rPr>
          <w:rFonts w:ascii="Arial" w:eastAsia="Times New Roman" w:hAnsi="Arial" w:cs="Arial"/>
          <w:color w:val="auto"/>
          <w:lang w:val="en-GB" w:eastAsia="en-GB"/>
        </w:rPr>
        <w:t xml:space="preserve">Guy, E. (2022). </w:t>
      </w:r>
      <w:r w:rsidRPr="00106D48">
        <w:rPr>
          <w:rFonts w:ascii="Arial" w:eastAsia="Times New Roman" w:hAnsi="Arial" w:cs="Arial"/>
          <w:i/>
          <w:iCs/>
          <w:color w:val="auto"/>
          <w:lang w:val="en-GB" w:eastAsia="en-GB"/>
        </w:rPr>
        <w:t>Why Our Human Rights Act Matters To People Living With Dementia</w:t>
      </w:r>
      <w:r w:rsidRPr="00106D48">
        <w:rPr>
          <w:rFonts w:ascii="Arial" w:eastAsia="Times New Roman" w:hAnsi="Arial" w:cs="Arial"/>
          <w:color w:val="auto"/>
          <w:lang w:val="en-GB" w:eastAsia="en-GB"/>
        </w:rPr>
        <w:t xml:space="preserve">. EachOther. Available at: </w:t>
      </w:r>
      <w:hyperlink r:id="rId19" w:history="1">
        <w:r w:rsidR="00FE3B10" w:rsidRPr="00106D48">
          <w:rPr>
            <w:rStyle w:val="Hyperlink"/>
            <w:rFonts w:ascii="Arial" w:eastAsia="Times New Roman" w:hAnsi="Arial" w:cs="Arial"/>
            <w:lang w:val="en-GB" w:eastAsia="en-GB"/>
          </w:rPr>
          <w:t>https://eachother.org.uk/why-our-human-rights-act-matters-to-people-living-with-dementia/</w:t>
        </w:r>
      </w:hyperlink>
      <w:r w:rsidRPr="00106D48">
        <w:rPr>
          <w:rFonts w:ascii="Arial" w:eastAsia="Times New Roman" w:hAnsi="Arial" w:cs="Arial"/>
          <w:color w:val="auto"/>
          <w:lang w:val="en-GB" w:eastAsia="en-GB"/>
        </w:rPr>
        <w:t>.</w:t>
      </w:r>
      <w:r w:rsidR="00C32D44">
        <w:rPr>
          <w:rFonts w:ascii="Arial" w:eastAsia="Times New Roman" w:hAnsi="Arial" w:cs="Arial"/>
          <w:color w:val="auto"/>
          <w:lang w:val="en-GB" w:eastAsia="en-GB"/>
        </w:rPr>
        <w:t xml:space="preserve"> 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(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 xml:space="preserve">Accessed 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3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 xml:space="preserve"> Aug. 2023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)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>.</w:t>
      </w:r>
      <w:r w:rsidR="00C32D44">
        <w:rPr>
          <w:rFonts w:ascii="Arial" w:eastAsia="Times New Roman" w:hAnsi="Arial" w:cs="Arial"/>
          <w:color w:val="auto"/>
          <w:lang w:val="en-GB" w:eastAsia="en-GB"/>
        </w:rPr>
        <w:t xml:space="preserve"> </w:t>
      </w:r>
    </w:p>
    <w:p w14:paraId="3FCD694C" w14:textId="15AA0BF5" w:rsidR="00FE3B10" w:rsidRPr="00FE3B10" w:rsidRDefault="00FE3B10" w:rsidP="00FE3B10">
      <w:pPr>
        <w:spacing w:after="240" w:line="360" w:lineRule="auto"/>
        <w:rPr>
          <w:rFonts w:ascii="Arial" w:eastAsia="Times New Roman" w:hAnsi="Arial" w:cs="Arial"/>
          <w:color w:val="auto"/>
          <w:lang w:val="en-GB" w:eastAsia="en-GB"/>
        </w:rPr>
      </w:pPr>
      <w:r w:rsidRPr="00FE3B10">
        <w:rPr>
          <w:rFonts w:ascii="Arial" w:eastAsia="Times New Roman" w:hAnsi="Arial" w:cs="Arial"/>
          <w:color w:val="auto"/>
          <w:lang w:val="en-GB" w:eastAsia="en-GB"/>
        </w:rPr>
        <w:t xml:space="preserve">Healthline. (2018). </w:t>
      </w:r>
      <w:r w:rsidRPr="00FE3B10">
        <w:rPr>
          <w:rFonts w:ascii="Arial" w:eastAsia="Times New Roman" w:hAnsi="Arial" w:cs="Arial"/>
          <w:i/>
          <w:iCs/>
          <w:color w:val="auto"/>
          <w:lang w:val="en-GB" w:eastAsia="en-GB"/>
        </w:rPr>
        <w:t>What Is Dementia: Symptoms, Types, Diagnosis, and More</w:t>
      </w:r>
      <w:r w:rsidRPr="00FE3B10">
        <w:rPr>
          <w:rFonts w:ascii="Arial" w:eastAsia="Times New Roman" w:hAnsi="Arial" w:cs="Arial"/>
          <w:color w:val="auto"/>
          <w:lang w:val="en-GB" w:eastAsia="en-GB"/>
        </w:rPr>
        <w:t xml:space="preserve">. [online] Available at: https://www.healthline.com/health/alzheimers-dementia/dementia-due-to-metabolic-causes#symptoms 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(</w:t>
      </w:r>
      <w:r w:rsidRPr="00FE3B10">
        <w:rPr>
          <w:rFonts w:ascii="Arial" w:eastAsia="Times New Roman" w:hAnsi="Arial" w:cs="Arial"/>
          <w:color w:val="auto"/>
          <w:lang w:val="en-GB" w:eastAsia="en-GB"/>
        </w:rPr>
        <w:t>Accessed 6 Aug. 2023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)</w:t>
      </w:r>
      <w:r w:rsidRPr="00FE3B10">
        <w:rPr>
          <w:rFonts w:ascii="Arial" w:eastAsia="Times New Roman" w:hAnsi="Arial" w:cs="Arial"/>
          <w:color w:val="auto"/>
          <w:lang w:val="en-GB" w:eastAsia="en-GB"/>
        </w:rPr>
        <w:t>.</w:t>
      </w:r>
    </w:p>
    <w:p w14:paraId="2E59BF1F" w14:textId="2C0A357B" w:rsidR="000071B7" w:rsidRDefault="000071B7" w:rsidP="000071B7">
      <w:pPr>
        <w:spacing w:after="240" w:line="360" w:lineRule="auto"/>
        <w:rPr>
          <w:rFonts w:ascii="Arial" w:eastAsia="Times New Roman" w:hAnsi="Arial" w:cs="Arial"/>
          <w:color w:val="auto"/>
          <w:lang w:val="en-GB" w:eastAsia="en-GB"/>
        </w:rPr>
      </w:pPr>
      <w:r w:rsidRPr="000071B7">
        <w:rPr>
          <w:rFonts w:ascii="Arial" w:eastAsia="Times New Roman" w:hAnsi="Arial" w:cs="Arial"/>
          <w:color w:val="auto"/>
          <w:lang w:val="en-GB" w:eastAsia="en-GB"/>
        </w:rPr>
        <w:t xml:space="preserve">Hui, T.J. (2020). </w:t>
      </w:r>
      <w:r w:rsidRPr="000071B7">
        <w:rPr>
          <w:rFonts w:ascii="Arial" w:eastAsia="Times New Roman" w:hAnsi="Arial" w:cs="Arial"/>
          <w:i/>
          <w:iCs/>
          <w:color w:val="auto"/>
          <w:lang w:val="en-GB" w:eastAsia="en-GB"/>
        </w:rPr>
        <w:t>Dementia 101: Symptoms, Types, Stages, Treatment and Prevention</w:t>
      </w:r>
      <w:r w:rsidRPr="000071B7">
        <w:rPr>
          <w:rFonts w:ascii="Arial" w:eastAsia="Times New Roman" w:hAnsi="Arial" w:cs="Arial"/>
          <w:color w:val="auto"/>
          <w:lang w:val="en-GB" w:eastAsia="en-GB"/>
        </w:rPr>
        <w:t xml:space="preserve">.  Homage. Available at: </w:t>
      </w:r>
      <w:hyperlink r:id="rId20" w:history="1">
        <w:r w:rsidR="000521FB" w:rsidRPr="000071B7">
          <w:rPr>
            <w:rStyle w:val="Hyperlink"/>
            <w:rFonts w:ascii="Arial" w:eastAsia="Times New Roman" w:hAnsi="Arial" w:cs="Arial"/>
            <w:lang w:val="en-GB" w:eastAsia="en-GB"/>
          </w:rPr>
          <w:t>https://www.homage.sg/health/dementia/</w:t>
        </w:r>
      </w:hyperlink>
      <w:r w:rsidRPr="000071B7">
        <w:rPr>
          <w:rFonts w:ascii="Arial" w:eastAsia="Times New Roman" w:hAnsi="Arial" w:cs="Arial"/>
          <w:color w:val="auto"/>
          <w:lang w:val="en-GB" w:eastAsia="en-GB"/>
        </w:rPr>
        <w:t>.</w:t>
      </w:r>
      <w:r w:rsidR="00C32D44">
        <w:rPr>
          <w:rFonts w:ascii="Arial" w:eastAsia="Times New Roman" w:hAnsi="Arial" w:cs="Arial"/>
          <w:color w:val="auto"/>
          <w:lang w:val="en-GB" w:eastAsia="en-GB"/>
        </w:rPr>
        <w:t xml:space="preserve"> 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(</w:t>
      </w:r>
      <w:r w:rsidR="00C32D44" w:rsidRPr="00FE3B10">
        <w:rPr>
          <w:rFonts w:ascii="Arial" w:eastAsia="Times New Roman" w:hAnsi="Arial" w:cs="Arial"/>
          <w:color w:val="auto"/>
          <w:lang w:val="en-GB" w:eastAsia="en-GB"/>
        </w:rPr>
        <w:t>Accessed 6 Aug. 2023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)</w:t>
      </w:r>
      <w:r w:rsidR="00C32D44" w:rsidRPr="00FE3B10">
        <w:rPr>
          <w:rFonts w:ascii="Arial" w:eastAsia="Times New Roman" w:hAnsi="Arial" w:cs="Arial"/>
          <w:color w:val="auto"/>
          <w:lang w:val="en-GB" w:eastAsia="en-GB"/>
        </w:rPr>
        <w:t>.</w:t>
      </w:r>
    </w:p>
    <w:p w14:paraId="77819026" w14:textId="5ED10925" w:rsidR="00E878A6" w:rsidRPr="00E878A6" w:rsidRDefault="00E878A6" w:rsidP="00E878A6">
      <w:pPr>
        <w:spacing w:after="240" w:line="360" w:lineRule="auto"/>
        <w:rPr>
          <w:rFonts w:ascii="Arial" w:eastAsia="Times New Roman" w:hAnsi="Arial" w:cs="Arial"/>
          <w:color w:val="auto"/>
          <w:lang w:val="en-GB" w:eastAsia="en-GB"/>
        </w:rPr>
      </w:pPr>
      <w:r w:rsidRPr="00E878A6">
        <w:rPr>
          <w:rFonts w:ascii="Arial" w:eastAsia="Times New Roman" w:hAnsi="Arial" w:cs="Arial"/>
          <w:color w:val="auto"/>
          <w:lang w:val="en-GB" w:eastAsia="en-GB"/>
        </w:rPr>
        <w:t xml:space="preserve">Mayo Clinic (2021). </w:t>
      </w:r>
      <w:r w:rsidRPr="00E878A6">
        <w:rPr>
          <w:rFonts w:ascii="Arial" w:eastAsia="Times New Roman" w:hAnsi="Arial" w:cs="Arial"/>
          <w:i/>
          <w:iCs/>
          <w:color w:val="auto"/>
          <w:lang w:val="en-GB" w:eastAsia="en-GB"/>
        </w:rPr>
        <w:t>Dementia - Symptoms and Causes</w:t>
      </w:r>
      <w:r w:rsidRPr="00E878A6">
        <w:rPr>
          <w:rFonts w:ascii="Arial" w:eastAsia="Times New Roman" w:hAnsi="Arial" w:cs="Arial"/>
          <w:color w:val="auto"/>
          <w:lang w:val="en-GB" w:eastAsia="en-GB"/>
        </w:rPr>
        <w:t xml:space="preserve">. [online] Mayo Clinic. Available at: </w:t>
      </w:r>
      <w:hyperlink r:id="rId21" w:history="1">
        <w:r w:rsidR="00C32D44" w:rsidRPr="00E878A6">
          <w:rPr>
            <w:rStyle w:val="Hyperlink"/>
            <w:rFonts w:ascii="Arial" w:eastAsia="Times New Roman" w:hAnsi="Arial" w:cs="Arial"/>
            <w:lang w:val="en-GB" w:eastAsia="en-GB"/>
          </w:rPr>
          <w:t>https://www.mayoclinic.org/diseases-conditions/dementia/symptoms-causes/syc-20352013</w:t>
        </w:r>
      </w:hyperlink>
      <w:r w:rsidRPr="00E878A6">
        <w:rPr>
          <w:rFonts w:ascii="Arial" w:eastAsia="Times New Roman" w:hAnsi="Arial" w:cs="Arial"/>
          <w:color w:val="auto"/>
          <w:lang w:val="en-GB" w:eastAsia="en-GB"/>
        </w:rPr>
        <w:t>.</w:t>
      </w:r>
      <w:r w:rsidR="00C32D44">
        <w:rPr>
          <w:rFonts w:ascii="Arial" w:eastAsia="Times New Roman" w:hAnsi="Arial" w:cs="Arial"/>
          <w:color w:val="auto"/>
          <w:lang w:val="en-GB" w:eastAsia="en-GB"/>
        </w:rPr>
        <w:t xml:space="preserve"> 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(</w:t>
      </w:r>
      <w:r w:rsidR="00C32D44" w:rsidRPr="00FE3B10">
        <w:rPr>
          <w:rFonts w:ascii="Arial" w:eastAsia="Times New Roman" w:hAnsi="Arial" w:cs="Arial"/>
          <w:color w:val="auto"/>
          <w:lang w:val="en-GB" w:eastAsia="en-GB"/>
        </w:rPr>
        <w:t>Accessed 6 Aug. 2023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)</w:t>
      </w:r>
      <w:r w:rsidR="00C32D44" w:rsidRPr="00FE3B10">
        <w:rPr>
          <w:rFonts w:ascii="Arial" w:eastAsia="Times New Roman" w:hAnsi="Arial" w:cs="Arial"/>
          <w:color w:val="auto"/>
          <w:lang w:val="en-GB" w:eastAsia="en-GB"/>
        </w:rPr>
        <w:t>.</w:t>
      </w:r>
    </w:p>
    <w:p w14:paraId="717B4F0B" w14:textId="6477F79C" w:rsidR="00AC4663" w:rsidRDefault="00AC4663" w:rsidP="000521FB">
      <w:pPr>
        <w:spacing w:after="240" w:line="360" w:lineRule="auto"/>
        <w:rPr>
          <w:rFonts w:ascii="Arial" w:eastAsia="Times New Roman" w:hAnsi="Arial" w:cs="Arial"/>
          <w:color w:val="auto"/>
          <w:lang w:val="en-GB" w:eastAsia="en-GB"/>
        </w:rPr>
      </w:pPr>
      <w:r w:rsidRPr="00AC4663">
        <w:rPr>
          <w:rFonts w:ascii="Arial" w:eastAsia="Times New Roman" w:hAnsi="Arial" w:cs="Arial"/>
          <w:color w:val="auto"/>
          <w:lang w:val="en-GB" w:eastAsia="en-GB"/>
        </w:rPr>
        <w:lastRenderedPageBreak/>
        <w:t xml:space="preserve">Marie Curie. </w:t>
      </w:r>
      <w:r w:rsidR="00C32D44" w:rsidRPr="001C3915">
        <w:rPr>
          <w:rFonts w:ascii="Arial" w:eastAsia="Times New Roman" w:hAnsi="Arial" w:cs="Arial"/>
          <w:color w:val="auto"/>
          <w:lang w:val="en-GB" w:eastAsia="en-GB"/>
        </w:rPr>
        <w:t>(</w:t>
      </w:r>
      <w:proofErr w:type="gramStart"/>
      <w:r w:rsidR="00C32D44" w:rsidRPr="001C3915">
        <w:rPr>
          <w:rFonts w:ascii="Arial" w:eastAsia="Times New Roman" w:hAnsi="Arial" w:cs="Arial"/>
          <w:color w:val="auto"/>
          <w:lang w:val="en-GB" w:eastAsia="en-GB"/>
        </w:rPr>
        <w:t>no</w:t>
      </w:r>
      <w:proofErr w:type="gramEnd"/>
      <w:r w:rsidR="00C32D44" w:rsidRPr="001C3915">
        <w:rPr>
          <w:rFonts w:ascii="Arial" w:eastAsia="Times New Roman" w:hAnsi="Arial" w:cs="Arial"/>
          <w:color w:val="auto"/>
          <w:lang w:val="en-GB" w:eastAsia="en-GB"/>
        </w:rPr>
        <w:t xml:space="preserve"> date) </w:t>
      </w:r>
      <w:r w:rsidRPr="00AC4663">
        <w:rPr>
          <w:rFonts w:ascii="Arial" w:eastAsia="Times New Roman" w:hAnsi="Arial" w:cs="Arial"/>
          <w:i/>
          <w:iCs/>
          <w:color w:val="auto"/>
          <w:lang w:val="en-GB" w:eastAsia="en-GB"/>
        </w:rPr>
        <w:t>Care and support through terminal illness</w:t>
      </w:r>
      <w:r w:rsidRPr="00AC4663">
        <w:rPr>
          <w:rFonts w:ascii="Arial" w:eastAsia="Times New Roman" w:hAnsi="Arial" w:cs="Arial"/>
          <w:color w:val="auto"/>
          <w:lang w:val="en-GB" w:eastAsia="en-GB"/>
        </w:rPr>
        <w:t xml:space="preserve">. Available at: https://www.mariecurie.org.uk/?msclkid=45c5297a9c8716eee0324dabd76523e9 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(</w:t>
      </w:r>
      <w:r w:rsidRPr="00AC4663">
        <w:rPr>
          <w:rFonts w:ascii="Arial" w:eastAsia="Times New Roman" w:hAnsi="Arial" w:cs="Arial"/>
          <w:color w:val="auto"/>
          <w:lang w:val="en-GB" w:eastAsia="en-GB"/>
        </w:rPr>
        <w:t>Accessed 7 Aug. 2023</w:t>
      </w:r>
      <w:r w:rsidR="00C32D44">
        <w:rPr>
          <w:rFonts w:ascii="Arial" w:eastAsia="Times New Roman" w:hAnsi="Arial" w:cs="Arial"/>
          <w:color w:val="auto"/>
          <w:lang w:val="en-GB" w:eastAsia="en-GB"/>
        </w:rPr>
        <w:t xml:space="preserve">). </w:t>
      </w:r>
    </w:p>
    <w:p w14:paraId="62ADBF47" w14:textId="54B2766A" w:rsidR="000521FB" w:rsidRDefault="000521FB" w:rsidP="000521FB">
      <w:pPr>
        <w:spacing w:after="240" w:line="360" w:lineRule="auto"/>
        <w:rPr>
          <w:rFonts w:ascii="Arial" w:eastAsia="Times New Roman" w:hAnsi="Arial" w:cs="Arial"/>
          <w:color w:val="auto"/>
          <w:lang w:val="en-GB" w:eastAsia="en-GB"/>
        </w:rPr>
      </w:pPr>
      <w:r w:rsidRPr="000521FB">
        <w:rPr>
          <w:rFonts w:ascii="Arial" w:eastAsia="Times New Roman" w:hAnsi="Arial" w:cs="Arial"/>
          <w:color w:val="auto"/>
          <w:lang w:val="en-GB" w:eastAsia="en-GB"/>
        </w:rPr>
        <w:t xml:space="preserve">National Institute on Aging (2023). </w:t>
      </w:r>
      <w:r w:rsidRPr="000521FB">
        <w:rPr>
          <w:rFonts w:ascii="Arial" w:eastAsia="Times New Roman" w:hAnsi="Arial" w:cs="Arial"/>
          <w:i/>
          <w:iCs/>
          <w:color w:val="auto"/>
          <w:lang w:val="en-GB" w:eastAsia="en-GB"/>
        </w:rPr>
        <w:t>Understanding different types of dementia</w:t>
      </w:r>
      <w:r w:rsidRPr="000521FB">
        <w:rPr>
          <w:rFonts w:ascii="Arial" w:eastAsia="Times New Roman" w:hAnsi="Arial" w:cs="Arial"/>
          <w:color w:val="auto"/>
          <w:lang w:val="en-GB" w:eastAsia="en-GB"/>
        </w:rPr>
        <w:t xml:space="preserve">. National Institute on Aging. Available at: </w:t>
      </w:r>
      <w:hyperlink r:id="rId22" w:history="1">
        <w:r w:rsidR="00AC4663" w:rsidRPr="000521FB">
          <w:rPr>
            <w:rStyle w:val="Hyperlink"/>
            <w:rFonts w:ascii="Arial" w:eastAsia="Times New Roman" w:hAnsi="Arial" w:cs="Arial"/>
            <w:lang w:val="en-GB" w:eastAsia="en-GB"/>
          </w:rPr>
          <w:t>https://www.nia.nih.gov/health/infographics/understanding-different-types-dementia</w:t>
        </w:r>
      </w:hyperlink>
      <w:r w:rsidRPr="000521FB">
        <w:rPr>
          <w:rFonts w:ascii="Arial" w:eastAsia="Times New Roman" w:hAnsi="Arial" w:cs="Arial"/>
          <w:color w:val="auto"/>
          <w:lang w:val="en-GB" w:eastAsia="en-GB"/>
        </w:rPr>
        <w:t>.</w:t>
      </w:r>
      <w:r w:rsidR="00C32D44">
        <w:rPr>
          <w:rFonts w:ascii="Arial" w:eastAsia="Times New Roman" w:hAnsi="Arial" w:cs="Arial"/>
          <w:color w:val="auto"/>
          <w:lang w:val="en-GB" w:eastAsia="en-GB"/>
        </w:rPr>
        <w:t xml:space="preserve"> 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(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 xml:space="preserve">Accessed 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3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 xml:space="preserve"> Aug. 2023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)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>.</w:t>
      </w:r>
    </w:p>
    <w:p w14:paraId="7A9522F0" w14:textId="02DA6394" w:rsidR="000521FB" w:rsidRPr="000071B7" w:rsidRDefault="00AC4663" w:rsidP="000071B7">
      <w:pPr>
        <w:spacing w:after="240" w:line="360" w:lineRule="auto"/>
        <w:rPr>
          <w:rFonts w:ascii="Arial" w:eastAsia="Times New Roman" w:hAnsi="Arial" w:cs="Arial"/>
          <w:color w:val="auto"/>
          <w:lang w:val="en-GB" w:eastAsia="en-GB"/>
        </w:rPr>
      </w:pPr>
      <w:r w:rsidRPr="00AC4663">
        <w:rPr>
          <w:rFonts w:ascii="Arial" w:eastAsia="Times New Roman" w:hAnsi="Arial" w:cs="Arial"/>
          <w:color w:val="auto"/>
          <w:lang w:val="en-GB" w:eastAsia="en-GB"/>
        </w:rPr>
        <w:t xml:space="preserve">National Health Service (2018). </w:t>
      </w:r>
      <w:r w:rsidRPr="00AC4663">
        <w:rPr>
          <w:rFonts w:ascii="Arial" w:eastAsia="Times New Roman" w:hAnsi="Arial" w:cs="Arial"/>
          <w:i/>
          <w:iCs/>
          <w:color w:val="auto"/>
          <w:lang w:val="en-GB" w:eastAsia="en-GB"/>
        </w:rPr>
        <w:t>End of life care</w:t>
      </w:r>
      <w:r w:rsidRPr="00AC4663">
        <w:rPr>
          <w:rFonts w:ascii="Arial" w:eastAsia="Times New Roman" w:hAnsi="Arial" w:cs="Arial"/>
          <w:color w:val="auto"/>
          <w:lang w:val="en-GB" w:eastAsia="en-GB"/>
        </w:rPr>
        <w:t xml:space="preserve">. Available at: </w:t>
      </w:r>
      <w:hyperlink r:id="rId23" w:history="1">
        <w:r w:rsidR="00C32D44" w:rsidRPr="00AC4663">
          <w:rPr>
            <w:rStyle w:val="Hyperlink"/>
            <w:rFonts w:ascii="Arial" w:eastAsia="Times New Roman" w:hAnsi="Arial" w:cs="Arial"/>
            <w:lang w:val="en-GB" w:eastAsia="en-GB"/>
          </w:rPr>
          <w:t>https://www.nhs.uk/conditions/end-of-life-care/what-it-involves-and-when-it-starts/</w:t>
        </w:r>
      </w:hyperlink>
      <w:r w:rsidRPr="00AC4663">
        <w:rPr>
          <w:rFonts w:ascii="Arial" w:eastAsia="Times New Roman" w:hAnsi="Arial" w:cs="Arial"/>
          <w:color w:val="auto"/>
          <w:lang w:val="en-GB" w:eastAsia="en-GB"/>
        </w:rPr>
        <w:t>.</w:t>
      </w:r>
      <w:r w:rsidR="00C32D44">
        <w:rPr>
          <w:rFonts w:ascii="Arial" w:eastAsia="Times New Roman" w:hAnsi="Arial" w:cs="Arial"/>
          <w:color w:val="auto"/>
          <w:lang w:val="en-GB" w:eastAsia="en-GB"/>
        </w:rPr>
        <w:t xml:space="preserve"> 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(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 xml:space="preserve">Accessed 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3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 xml:space="preserve"> Aug. 2023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)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>.</w:t>
      </w:r>
    </w:p>
    <w:p w14:paraId="7A3E2733" w14:textId="0F2AD5D9" w:rsidR="000071B7" w:rsidRDefault="001E1EE2" w:rsidP="00CF4E78">
      <w:pPr>
        <w:spacing w:after="240" w:line="360" w:lineRule="auto"/>
        <w:rPr>
          <w:rFonts w:ascii="Arial" w:eastAsia="Times New Roman" w:hAnsi="Arial" w:cs="Arial"/>
          <w:color w:val="auto"/>
          <w:lang w:val="en-GB" w:eastAsia="en-GB"/>
        </w:rPr>
      </w:pPr>
      <w:r w:rsidRPr="001E1EE2">
        <w:rPr>
          <w:rFonts w:ascii="Arial" w:eastAsia="Times New Roman" w:hAnsi="Arial" w:cs="Arial"/>
          <w:color w:val="auto"/>
          <w:lang w:val="en-GB" w:eastAsia="en-GB"/>
        </w:rPr>
        <w:t xml:space="preserve">NHS Choices (2021). </w:t>
      </w:r>
      <w:r w:rsidRPr="001E1EE2">
        <w:rPr>
          <w:rFonts w:ascii="Arial" w:eastAsia="Times New Roman" w:hAnsi="Arial" w:cs="Arial"/>
          <w:i/>
          <w:iCs/>
          <w:color w:val="auto"/>
          <w:lang w:val="en-GB" w:eastAsia="en-GB"/>
        </w:rPr>
        <w:t>Symptoms - Alzheimer’s disease</w:t>
      </w:r>
      <w:r w:rsidRPr="001E1EE2">
        <w:rPr>
          <w:rFonts w:ascii="Arial" w:eastAsia="Times New Roman" w:hAnsi="Arial" w:cs="Arial"/>
          <w:color w:val="auto"/>
          <w:lang w:val="en-GB" w:eastAsia="en-GB"/>
        </w:rPr>
        <w:t xml:space="preserve">. Available at: </w:t>
      </w:r>
      <w:hyperlink r:id="rId24" w:history="1">
        <w:r w:rsidR="00C32D44" w:rsidRPr="001E1EE2">
          <w:rPr>
            <w:rStyle w:val="Hyperlink"/>
            <w:rFonts w:ascii="Arial" w:eastAsia="Times New Roman" w:hAnsi="Arial" w:cs="Arial"/>
            <w:lang w:val="en-GB" w:eastAsia="en-GB"/>
          </w:rPr>
          <w:t>https://www.nhs.uk/conditions/alzheimers-disease/symptoms/</w:t>
        </w:r>
      </w:hyperlink>
      <w:r w:rsidRPr="001E1EE2">
        <w:rPr>
          <w:rFonts w:ascii="Arial" w:eastAsia="Times New Roman" w:hAnsi="Arial" w:cs="Arial"/>
          <w:color w:val="auto"/>
          <w:lang w:val="en-GB" w:eastAsia="en-GB"/>
        </w:rPr>
        <w:t>.</w:t>
      </w:r>
      <w:r w:rsidR="00C32D44">
        <w:rPr>
          <w:rFonts w:ascii="Arial" w:eastAsia="Times New Roman" w:hAnsi="Arial" w:cs="Arial"/>
          <w:color w:val="auto"/>
          <w:lang w:val="en-GB" w:eastAsia="en-GB"/>
        </w:rPr>
        <w:t xml:space="preserve"> 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(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>Accessed 5 Aug. 2023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)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>.</w:t>
      </w:r>
    </w:p>
    <w:p w14:paraId="3DB45870" w14:textId="7051D557" w:rsidR="00961A6A" w:rsidRDefault="00961A6A" w:rsidP="00961A6A">
      <w:pPr>
        <w:spacing w:after="240" w:line="360" w:lineRule="auto"/>
        <w:rPr>
          <w:rFonts w:ascii="Arial" w:eastAsia="Times New Roman" w:hAnsi="Arial" w:cs="Arial"/>
          <w:color w:val="auto"/>
          <w:lang w:val="en-GB" w:eastAsia="en-GB"/>
        </w:rPr>
      </w:pPr>
      <w:r w:rsidRPr="00961A6A">
        <w:rPr>
          <w:rFonts w:ascii="Arial" w:eastAsia="Times New Roman" w:hAnsi="Arial" w:cs="Arial"/>
          <w:color w:val="auto"/>
          <w:lang w:val="en-GB" w:eastAsia="en-GB"/>
        </w:rPr>
        <w:t xml:space="preserve">NHS Choices (2019). </w:t>
      </w:r>
      <w:r w:rsidRPr="00961A6A">
        <w:rPr>
          <w:rFonts w:ascii="Arial" w:eastAsia="Times New Roman" w:hAnsi="Arial" w:cs="Arial"/>
          <w:i/>
          <w:iCs/>
          <w:color w:val="auto"/>
          <w:lang w:val="en-GB" w:eastAsia="en-GB"/>
        </w:rPr>
        <w:t>Dementia guide</w:t>
      </w:r>
      <w:r w:rsidRPr="00961A6A">
        <w:rPr>
          <w:rFonts w:ascii="Arial" w:eastAsia="Times New Roman" w:hAnsi="Arial" w:cs="Arial"/>
          <w:color w:val="auto"/>
          <w:lang w:val="en-GB" w:eastAsia="en-GB"/>
        </w:rPr>
        <w:t xml:space="preserve">. Available at: </w:t>
      </w:r>
      <w:hyperlink r:id="rId25" w:history="1">
        <w:r w:rsidR="003377DD" w:rsidRPr="00961A6A">
          <w:rPr>
            <w:rStyle w:val="Hyperlink"/>
            <w:rFonts w:ascii="Arial" w:eastAsia="Times New Roman" w:hAnsi="Arial" w:cs="Arial"/>
            <w:lang w:val="en-GB" w:eastAsia="en-GB"/>
          </w:rPr>
          <w:t>https://www.nhs.uk/conditions/dementia/social-services-and-the-nhs/</w:t>
        </w:r>
      </w:hyperlink>
      <w:r w:rsidRPr="00961A6A">
        <w:rPr>
          <w:rFonts w:ascii="Arial" w:eastAsia="Times New Roman" w:hAnsi="Arial" w:cs="Arial"/>
          <w:color w:val="auto"/>
          <w:lang w:val="en-GB" w:eastAsia="en-GB"/>
        </w:rPr>
        <w:t>.</w:t>
      </w:r>
      <w:r w:rsidR="00C32D44">
        <w:rPr>
          <w:rFonts w:ascii="Arial" w:eastAsia="Times New Roman" w:hAnsi="Arial" w:cs="Arial"/>
          <w:color w:val="auto"/>
          <w:lang w:val="en-GB" w:eastAsia="en-GB"/>
        </w:rPr>
        <w:t xml:space="preserve"> 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(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 xml:space="preserve">Accessed 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7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 xml:space="preserve"> Aug. 2023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)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>.</w:t>
      </w:r>
    </w:p>
    <w:p w14:paraId="389F80B5" w14:textId="795A9855" w:rsidR="003377DD" w:rsidRDefault="003377DD" w:rsidP="00961A6A">
      <w:pPr>
        <w:spacing w:after="240" w:line="360" w:lineRule="auto"/>
        <w:rPr>
          <w:rFonts w:ascii="Arial" w:eastAsia="Times New Roman" w:hAnsi="Arial" w:cs="Arial"/>
          <w:color w:val="auto"/>
          <w:lang w:val="en-GB" w:eastAsia="en-GB"/>
        </w:rPr>
      </w:pPr>
      <w:r w:rsidRPr="003377DD">
        <w:rPr>
          <w:rFonts w:ascii="Arial" w:eastAsia="Times New Roman" w:hAnsi="Arial" w:cs="Arial"/>
          <w:color w:val="auto"/>
          <w:lang w:val="en-GB" w:eastAsia="en-GB"/>
        </w:rPr>
        <w:t xml:space="preserve">NHS (2017). </w:t>
      </w:r>
      <w:r w:rsidRPr="003377DD">
        <w:rPr>
          <w:rFonts w:ascii="Arial" w:eastAsia="Times New Roman" w:hAnsi="Arial" w:cs="Arial"/>
          <w:i/>
          <w:iCs/>
          <w:color w:val="auto"/>
          <w:lang w:val="en-GB" w:eastAsia="en-GB"/>
        </w:rPr>
        <w:t>Worried someone has dementia - NHS</w:t>
      </w:r>
      <w:r w:rsidRPr="003377DD">
        <w:rPr>
          <w:rFonts w:ascii="Arial" w:eastAsia="Times New Roman" w:hAnsi="Arial" w:cs="Arial"/>
          <w:color w:val="auto"/>
          <w:lang w:val="en-GB" w:eastAsia="en-GB"/>
        </w:rPr>
        <w:t xml:space="preserve">. Available at: </w:t>
      </w:r>
      <w:hyperlink r:id="rId26" w:history="1">
        <w:r w:rsidR="00C32D44" w:rsidRPr="003377DD">
          <w:rPr>
            <w:rStyle w:val="Hyperlink"/>
            <w:rFonts w:ascii="Arial" w:eastAsia="Times New Roman" w:hAnsi="Arial" w:cs="Arial"/>
            <w:lang w:val="en-GB" w:eastAsia="en-GB"/>
          </w:rPr>
          <w:t>https://www.nhs.uk/conditions/dementia/worried-someone-has-dementia/</w:t>
        </w:r>
      </w:hyperlink>
      <w:r w:rsidRPr="003377DD">
        <w:rPr>
          <w:rFonts w:ascii="Arial" w:eastAsia="Times New Roman" w:hAnsi="Arial" w:cs="Arial"/>
          <w:color w:val="auto"/>
          <w:lang w:val="en-GB" w:eastAsia="en-GB"/>
        </w:rPr>
        <w:t>.</w:t>
      </w:r>
      <w:r w:rsidR="00C32D44">
        <w:rPr>
          <w:rFonts w:ascii="Arial" w:eastAsia="Times New Roman" w:hAnsi="Arial" w:cs="Arial"/>
          <w:color w:val="auto"/>
          <w:lang w:val="en-GB" w:eastAsia="en-GB"/>
        </w:rPr>
        <w:t xml:space="preserve"> 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(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>Accessed 5 Aug. 2023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)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>.</w:t>
      </w:r>
    </w:p>
    <w:p w14:paraId="6EE56DBE" w14:textId="2392F60F" w:rsidR="003377DD" w:rsidRPr="00961A6A" w:rsidRDefault="003377DD" w:rsidP="00961A6A">
      <w:pPr>
        <w:spacing w:after="240" w:line="360" w:lineRule="auto"/>
        <w:rPr>
          <w:rFonts w:ascii="Arial" w:eastAsia="Times New Roman" w:hAnsi="Arial" w:cs="Arial"/>
          <w:color w:val="auto"/>
          <w:lang w:val="en-GB" w:eastAsia="en-GB"/>
        </w:rPr>
      </w:pPr>
      <w:r w:rsidRPr="003377DD">
        <w:rPr>
          <w:rFonts w:ascii="Arial" w:eastAsia="Times New Roman" w:hAnsi="Arial" w:cs="Arial"/>
          <w:color w:val="auto"/>
          <w:lang w:val="en-GB" w:eastAsia="en-GB"/>
        </w:rPr>
        <w:t xml:space="preserve">NHS (2020). </w:t>
      </w:r>
      <w:r w:rsidRPr="003377DD">
        <w:rPr>
          <w:rFonts w:ascii="Arial" w:eastAsia="Times New Roman" w:hAnsi="Arial" w:cs="Arial"/>
          <w:i/>
          <w:iCs/>
          <w:color w:val="auto"/>
          <w:lang w:val="en-GB" w:eastAsia="en-GB"/>
        </w:rPr>
        <w:t>Communicating with someone with dementia</w:t>
      </w:r>
      <w:r w:rsidRPr="003377DD">
        <w:rPr>
          <w:rFonts w:ascii="Arial" w:eastAsia="Times New Roman" w:hAnsi="Arial" w:cs="Arial"/>
          <w:color w:val="auto"/>
          <w:lang w:val="en-GB" w:eastAsia="en-GB"/>
        </w:rPr>
        <w:t xml:space="preserve">. Available at: </w:t>
      </w:r>
      <w:hyperlink r:id="rId27" w:history="1">
        <w:r w:rsidR="00C32D44" w:rsidRPr="003377DD">
          <w:rPr>
            <w:rStyle w:val="Hyperlink"/>
            <w:rFonts w:ascii="Arial" w:eastAsia="Times New Roman" w:hAnsi="Arial" w:cs="Arial"/>
            <w:lang w:val="en-GB" w:eastAsia="en-GB"/>
          </w:rPr>
          <w:t>https://www.nhs.uk/conditions/dementia/communication-and-dementia/</w:t>
        </w:r>
      </w:hyperlink>
      <w:r w:rsidRPr="003377DD">
        <w:rPr>
          <w:rFonts w:ascii="Arial" w:eastAsia="Times New Roman" w:hAnsi="Arial" w:cs="Arial"/>
          <w:color w:val="auto"/>
          <w:lang w:val="en-GB" w:eastAsia="en-GB"/>
        </w:rPr>
        <w:t>.</w:t>
      </w:r>
      <w:r w:rsidR="00C32D44">
        <w:rPr>
          <w:rFonts w:ascii="Arial" w:eastAsia="Times New Roman" w:hAnsi="Arial" w:cs="Arial"/>
          <w:color w:val="auto"/>
          <w:lang w:val="en-GB" w:eastAsia="en-GB"/>
        </w:rPr>
        <w:t xml:space="preserve"> 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(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 xml:space="preserve">Accessed 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6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 xml:space="preserve"> Aug. 2023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)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>.</w:t>
      </w:r>
    </w:p>
    <w:p w14:paraId="498C3D15" w14:textId="57F6569E" w:rsidR="002B0760" w:rsidRDefault="002D478D" w:rsidP="00CF4E78">
      <w:pPr>
        <w:spacing w:after="240" w:line="360" w:lineRule="auto"/>
        <w:rPr>
          <w:rFonts w:ascii="Arial" w:eastAsia="Times New Roman" w:hAnsi="Arial" w:cs="Arial"/>
          <w:color w:val="auto"/>
          <w:lang w:val="en-GB" w:eastAsia="en-GB"/>
        </w:rPr>
      </w:pPr>
      <w:r w:rsidRPr="002D478D">
        <w:rPr>
          <w:rFonts w:ascii="Arial" w:eastAsia="Times New Roman" w:hAnsi="Arial" w:cs="Arial"/>
          <w:color w:val="auto"/>
          <w:lang w:val="en-GB" w:eastAsia="en-GB"/>
        </w:rPr>
        <w:t xml:space="preserve">NICE (2018). </w:t>
      </w:r>
      <w:r w:rsidRPr="002D478D">
        <w:rPr>
          <w:rFonts w:ascii="Arial" w:eastAsia="Times New Roman" w:hAnsi="Arial" w:cs="Arial"/>
          <w:i/>
          <w:iCs/>
          <w:color w:val="auto"/>
          <w:lang w:val="en-GB" w:eastAsia="en-GB"/>
        </w:rPr>
        <w:t>About this guideline | Dementia: assessment, management and support for people living with dementia and their carers | Guidance | NICE</w:t>
      </w:r>
      <w:r w:rsidRPr="002D478D">
        <w:rPr>
          <w:rFonts w:ascii="Arial" w:eastAsia="Times New Roman" w:hAnsi="Arial" w:cs="Arial"/>
          <w:color w:val="auto"/>
          <w:lang w:val="en-GB" w:eastAsia="en-GB"/>
        </w:rPr>
        <w:t xml:space="preserve">. Nice.org.uk. Available at: </w:t>
      </w:r>
      <w:hyperlink r:id="rId28" w:history="1">
        <w:r w:rsidR="00C32D44" w:rsidRPr="002D478D">
          <w:rPr>
            <w:rStyle w:val="Hyperlink"/>
            <w:rFonts w:ascii="Arial" w:eastAsia="Times New Roman" w:hAnsi="Arial" w:cs="Arial"/>
            <w:lang w:val="en-GB" w:eastAsia="en-GB"/>
          </w:rPr>
          <w:t>https://www.nice.org.uk/guidance/ng97/chapter/About-this-guideline</w:t>
        </w:r>
      </w:hyperlink>
      <w:r w:rsidRPr="002D478D">
        <w:rPr>
          <w:rFonts w:ascii="Arial" w:eastAsia="Times New Roman" w:hAnsi="Arial" w:cs="Arial"/>
          <w:color w:val="auto"/>
          <w:lang w:val="en-GB" w:eastAsia="en-GB"/>
        </w:rPr>
        <w:t>.</w:t>
      </w:r>
      <w:r w:rsidR="00C32D44">
        <w:rPr>
          <w:rFonts w:ascii="Arial" w:eastAsia="Times New Roman" w:hAnsi="Arial" w:cs="Arial"/>
          <w:color w:val="auto"/>
          <w:lang w:val="en-GB" w:eastAsia="en-GB"/>
        </w:rPr>
        <w:t xml:space="preserve"> 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(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>Accessed 5 Aug. 2023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)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>.</w:t>
      </w:r>
    </w:p>
    <w:p w14:paraId="5C44C94E" w14:textId="77777777" w:rsidR="00C32D44" w:rsidRDefault="002B0760" w:rsidP="000521FB">
      <w:pPr>
        <w:spacing w:after="240" w:line="360" w:lineRule="auto"/>
        <w:rPr>
          <w:rFonts w:ascii="Arial" w:eastAsia="Times New Roman" w:hAnsi="Arial" w:cs="Arial"/>
          <w:color w:val="auto"/>
          <w:lang w:val="en-GB" w:eastAsia="en-GB"/>
        </w:rPr>
      </w:pPr>
      <w:r w:rsidRPr="002B0760">
        <w:rPr>
          <w:rFonts w:ascii="Arial" w:eastAsia="Times New Roman" w:hAnsi="Arial" w:cs="Arial"/>
          <w:color w:val="auto"/>
          <w:lang w:val="en-GB" w:eastAsia="en-GB"/>
        </w:rPr>
        <w:t xml:space="preserve">nidirect. (2016). </w:t>
      </w:r>
      <w:r w:rsidRPr="002B0760">
        <w:rPr>
          <w:rFonts w:ascii="Arial" w:eastAsia="Times New Roman" w:hAnsi="Arial" w:cs="Arial"/>
          <w:i/>
          <w:iCs/>
          <w:color w:val="auto"/>
          <w:lang w:val="en-GB" w:eastAsia="en-GB"/>
        </w:rPr>
        <w:t>Help and support for people living with a dementia</w:t>
      </w:r>
      <w:r w:rsidRPr="002B0760">
        <w:rPr>
          <w:rFonts w:ascii="Arial" w:eastAsia="Times New Roman" w:hAnsi="Arial" w:cs="Arial"/>
          <w:color w:val="auto"/>
          <w:lang w:val="en-GB" w:eastAsia="en-GB"/>
        </w:rPr>
        <w:t xml:space="preserve">. Available at: </w:t>
      </w:r>
      <w:hyperlink r:id="rId29" w:history="1">
        <w:r w:rsidR="00B90FE1" w:rsidRPr="002B0760">
          <w:rPr>
            <w:rStyle w:val="Hyperlink"/>
            <w:rFonts w:ascii="Arial" w:eastAsia="Times New Roman" w:hAnsi="Arial" w:cs="Arial"/>
            <w:lang w:val="en-GB" w:eastAsia="en-GB"/>
          </w:rPr>
          <w:t>https://www.nidirect.gov.uk/articles/help-and-support-people-living-dementia</w:t>
        </w:r>
      </w:hyperlink>
      <w:r w:rsidRPr="002B0760">
        <w:rPr>
          <w:rFonts w:ascii="Arial" w:eastAsia="Times New Roman" w:hAnsi="Arial" w:cs="Arial"/>
          <w:color w:val="auto"/>
          <w:lang w:val="en-GB" w:eastAsia="en-GB"/>
        </w:rPr>
        <w:t>.</w:t>
      </w:r>
      <w:r w:rsidR="00C32D44">
        <w:rPr>
          <w:rFonts w:ascii="Arial" w:eastAsia="Times New Roman" w:hAnsi="Arial" w:cs="Arial"/>
          <w:color w:val="auto"/>
          <w:lang w:val="en-GB" w:eastAsia="en-GB"/>
        </w:rPr>
        <w:t xml:space="preserve"> 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(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>Accessed 5 Aug. 2023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)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>.</w:t>
      </w:r>
    </w:p>
    <w:p w14:paraId="229EBA45" w14:textId="6962F8A8" w:rsidR="000521FB" w:rsidRDefault="00C32D44" w:rsidP="000521FB">
      <w:pPr>
        <w:spacing w:after="240" w:line="360" w:lineRule="auto"/>
        <w:rPr>
          <w:rFonts w:ascii="Arial" w:eastAsia="Times New Roman" w:hAnsi="Arial" w:cs="Arial"/>
          <w:color w:val="auto"/>
          <w:lang w:val="en-GB" w:eastAsia="en-GB"/>
        </w:rPr>
      </w:pPr>
      <w:r>
        <w:rPr>
          <w:rFonts w:ascii="Arial" w:eastAsia="Times New Roman" w:hAnsi="Arial" w:cs="Arial"/>
          <w:color w:val="auto"/>
          <w:lang w:val="en-GB" w:eastAsia="en-GB"/>
        </w:rPr>
        <w:t>P</w:t>
      </w:r>
      <w:r w:rsidR="000521FB" w:rsidRPr="000521FB">
        <w:rPr>
          <w:rFonts w:ascii="Arial" w:eastAsia="Times New Roman" w:hAnsi="Arial" w:cs="Arial"/>
          <w:color w:val="auto"/>
          <w:lang w:val="en-GB" w:eastAsia="en-GB"/>
        </w:rPr>
        <w:t xml:space="preserve">arkin, E. and </w:t>
      </w:r>
      <w:r>
        <w:rPr>
          <w:rFonts w:ascii="Arial" w:eastAsia="Times New Roman" w:hAnsi="Arial" w:cs="Arial"/>
          <w:color w:val="auto"/>
          <w:lang w:val="en-GB" w:eastAsia="en-GB"/>
        </w:rPr>
        <w:t>B</w:t>
      </w:r>
      <w:r w:rsidR="000521FB" w:rsidRPr="000521FB">
        <w:rPr>
          <w:rFonts w:ascii="Arial" w:eastAsia="Times New Roman" w:hAnsi="Arial" w:cs="Arial"/>
          <w:color w:val="auto"/>
          <w:lang w:val="en-GB" w:eastAsia="en-GB"/>
        </w:rPr>
        <w:t xml:space="preserve">aker, carl (2016). </w:t>
      </w:r>
      <w:r w:rsidR="000521FB" w:rsidRPr="000521FB">
        <w:rPr>
          <w:rFonts w:ascii="Arial" w:eastAsia="Times New Roman" w:hAnsi="Arial" w:cs="Arial"/>
          <w:i/>
          <w:iCs/>
          <w:color w:val="auto"/>
          <w:lang w:val="en-GB" w:eastAsia="en-GB"/>
        </w:rPr>
        <w:t xml:space="preserve">Dementia: policy, </w:t>
      </w:r>
      <w:proofErr w:type="gramStart"/>
      <w:r w:rsidR="000521FB" w:rsidRPr="000521FB">
        <w:rPr>
          <w:rFonts w:ascii="Arial" w:eastAsia="Times New Roman" w:hAnsi="Arial" w:cs="Arial"/>
          <w:i/>
          <w:iCs/>
          <w:color w:val="auto"/>
          <w:lang w:val="en-GB" w:eastAsia="en-GB"/>
        </w:rPr>
        <w:t>services</w:t>
      </w:r>
      <w:proofErr w:type="gramEnd"/>
      <w:r w:rsidR="000521FB" w:rsidRPr="000521FB">
        <w:rPr>
          <w:rFonts w:ascii="Arial" w:eastAsia="Times New Roman" w:hAnsi="Arial" w:cs="Arial"/>
          <w:i/>
          <w:iCs/>
          <w:color w:val="auto"/>
          <w:lang w:val="en-GB" w:eastAsia="en-GB"/>
        </w:rPr>
        <w:t xml:space="preserve"> and statistics</w:t>
      </w:r>
      <w:r w:rsidR="000521FB" w:rsidRPr="000521FB">
        <w:rPr>
          <w:rFonts w:ascii="Arial" w:eastAsia="Times New Roman" w:hAnsi="Arial" w:cs="Arial"/>
          <w:color w:val="auto"/>
          <w:lang w:val="en-GB" w:eastAsia="en-GB"/>
        </w:rPr>
        <w:t xml:space="preserve">. Parliament.uk. Available at: </w:t>
      </w:r>
      <w:hyperlink r:id="rId30" w:history="1">
        <w:r w:rsidR="00D82030" w:rsidRPr="000521FB">
          <w:rPr>
            <w:rStyle w:val="Hyperlink"/>
            <w:rFonts w:ascii="Arial" w:eastAsia="Times New Roman" w:hAnsi="Arial" w:cs="Arial"/>
            <w:lang w:val="en-GB" w:eastAsia="en-GB"/>
          </w:rPr>
          <w:t>https://researchbriefings.files.parliament.uk/documents/SN07007/SN07007.pdf</w:t>
        </w:r>
      </w:hyperlink>
      <w:r w:rsidR="000521FB" w:rsidRPr="000521FB">
        <w:rPr>
          <w:rFonts w:ascii="Arial" w:eastAsia="Times New Roman" w:hAnsi="Arial" w:cs="Arial"/>
          <w:color w:val="auto"/>
          <w:lang w:val="en-GB" w:eastAsia="en-GB"/>
        </w:rPr>
        <w:t>.</w:t>
      </w:r>
      <w:r>
        <w:rPr>
          <w:rFonts w:ascii="Arial" w:eastAsia="Times New Roman" w:hAnsi="Arial" w:cs="Arial"/>
          <w:color w:val="auto"/>
          <w:lang w:val="en-GB" w:eastAsia="en-GB"/>
        </w:rPr>
        <w:t xml:space="preserve"> </w:t>
      </w:r>
      <w:r>
        <w:rPr>
          <w:rFonts w:ascii="Arial" w:eastAsia="Times New Roman" w:hAnsi="Arial" w:cs="Arial"/>
          <w:color w:val="auto"/>
          <w:lang w:val="en-GB" w:eastAsia="en-GB"/>
        </w:rPr>
        <w:t>(</w:t>
      </w:r>
      <w:r w:rsidRPr="00FE3B10">
        <w:rPr>
          <w:rFonts w:ascii="Arial" w:eastAsia="Times New Roman" w:hAnsi="Arial" w:cs="Arial"/>
          <w:color w:val="auto"/>
          <w:lang w:val="en-GB" w:eastAsia="en-GB"/>
        </w:rPr>
        <w:t>Accessed 6 Aug. 2023</w:t>
      </w:r>
      <w:r>
        <w:rPr>
          <w:rFonts w:ascii="Arial" w:eastAsia="Times New Roman" w:hAnsi="Arial" w:cs="Arial"/>
          <w:color w:val="auto"/>
          <w:lang w:val="en-GB" w:eastAsia="en-GB"/>
        </w:rPr>
        <w:t>)</w:t>
      </w:r>
      <w:r w:rsidRPr="00FE3B10">
        <w:rPr>
          <w:rFonts w:ascii="Arial" w:eastAsia="Times New Roman" w:hAnsi="Arial" w:cs="Arial"/>
          <w:color w:val="auto"/>
          <w:lang w:val="en-GB" w:eastAsia="en-GB"/>
        </w:rPr>
        <w:t>.</w:t>
      </w:r>
    </w:p>
    <w:p w14:paraId="4F225B29" w14:textId="21594670" w:rsidR="00D82030" w:rsidRPr="00D82030" w:rsidRDefault="00D82030" w:rsidP="00D82030">
      <w:pPr>
        <w:spacing w:after="240" w:line="360" w:lineRule="auto"/>
        <w:rPr>
          <w:rFonts w:ascii="Arial" w:eastAsia="Times New Roman" w:hAnsi="Arial" w:cs="Arial"/>
          <w:color w:val="auto"/>
          <w:lang w:val="en-GB" w:eastAsia="en-GB"/>
        </w:rPr>
      </w:pPr>
      <w:r w:rsidRPr="00D82030">
        <w:rPr>
          <w:rFonts w:ascii="Arial" w:eastAsia="Times New Roman" w:hAnsi="Arial" w:cs="Arial"/>
          <w:color w:val="auto"/>
          <w:lang w:val="en-GB" w:eastAsia="en-GB"/>
        </w:rPr>
        <w:t xml:space="preserve">www.progresslifeline.org.uk. </w:t>
      </w:r>
      <w:r w:rsidR="00C32D44" w:rsidRPr="001C3915">
        <w:rPr>
          <w:rFonts w:ascii="Arial" w:eastAsia="Times New Roman" w:hAnsi="Arial" w:cs="Arial"/>
          <w:color w:val="auto"/>
          <w:lang w:val="en-GB" w:eastAsia="en-GB"/>
        </w:rPr>
        <w:t>(</w:t>
      </w:r>
      <w:proofErr w:type="gramStart"/>
      <w:r w:rsidR="00C32D44" w:rsidRPr="001C3915">
        <w:rPr>
          <w:rFonts w:ascii="Arial" w:eastAsia="Times New Roman" w:hAnsi="Arial" w:cs="Arial"/>
          <w:color w:val="auto"/>
          <w:lang w:val="en-GB" w:eastAsia="en-GB"/>
        </w:rPr>
        <w:t>no</w:t>
      </w:r>
      <w:proofErr w:type="gramEnd"/>
      <w:r w:rsidR="00C32D44" w:rsidRPr="001C3915">
        <w:rPr>
          <w:rFonts w:ascii="Arial" w:eastAsia="Times New Roman" w:hAnsi="Arial" w:cs="Arial"/>
          <w:color w:val="auto"/>
          <w:lang w:val="en-GB" w:eastAsia="en-GB"/>
        </w:rPr>
        <w:t xml:space="preserve"> date)</w:t>
      </w:r>
      <w:r w:rsidRPr="00D82030">
        <w:rPr>
          <w:rFonts w:ascii="Arial" w:eastAsia="Times New Roman" w:hAnsi="Arial" w:cs="Arial"/>
          <w:color w:val="auto"/>
          <w:lang w:val="en-GB" w:eastAsia="en-GB"/>
        </w:rPr>
        <w:t xml:space="preserve">. </w:t>
      </w:r>
      <w:r w:rsidRPr="00D82030">
        <w:rPr>
          <w:rFonts w:ascii="Arial" w:eastAsia="Times New Roman" w:hAnsi="Arial" w:cs="Arial"/>
          <w:i/>
          <w:iCs/>
          <w:color w:val="auto"/>
          <w:lang w:val="en-GB" w:eastAsia="en-GB"/>
        </w:rPr>
        <w:t>6 Common Early Symptoms of Dementia to Look Out For | Dementia Advice - Progress Lifeline</w:t>
      </w:r>
      <w:r w:rsidRPr="00D82030">
        <w:rPr>
          <w:rFonts w:ascii="Arial" w:eastAsia="Times New Roman" w:hAnsi="Arial" w:cs="Arial"/>
          <w:color w:val="auto"/>
          <w:lang w:val="en-GB" w:eastAsia="en-GB"/>
        </w:rPr>
        <w:t xml:space="preserve">.  Available at: https://www.progresslifeline.org.uk/news/6-common-early-symptoms-of-dementia-to-look-out-for </w:t>
      </w:r>
      <w:r w:rsidR="001C3915">
        <w:rPr>
          <w:rFonts w:ascii="Arial" w:eastAsia="Times New Roman" w:hAnsi="Arial" w:cs="Arial"/>
          <w:color w:val="auto"/>
          <w:lang w:val="en-GB" w:eastAsia="en-GB"/>
        </w:rPr>
        <w:t>(</w:t>
      </w:r>
      <w:r w:rsidRPr="00D82030">
        <w:rPr>
          <w:rFonts w:ascii="Arial" w:eastAsia="Times New Roman" w:hAnsi="Arial" w:cs="Arial"/>
          <w:color w:val="auto"/>
          <w:lang w:val="en-GB" w:eastAsia="en-GB"/>
        </w:rPr>
        <w:t>Accessed 5 Aug. 2023</w:t>
      </w:r>
      <w:r w:rsidR="001C3915">
        <w:rPr>
          <w:rFonts w:ascii="Arial" w:eastAsia="Times New Roman" w:hAnsi="Arial" w:cs="Arial"/>
          <w:color w:val="auto"/>
          <w:lang w:val="en-GB" w:eastAsia="en-GB"/>
        </w:rPr>
        <w:t>)</w:t>
      </w:r>
      <w:r w:rsidRPr="00D82030">
        <w:rPr>
          <w:rFonts w:ascii="Arial" w:eastAsia="Times New Roman" w:hAnsi="Arial" w:cs="Arial"/>
          <w:color w:val="auto"/>
          <w:lang w:val="en-GB" w:eastAsia="en-GB"/>
        </w:rPr>
        <w:t>.</w:t>
      </w:r>
    </w:p>
    <w:p w14:paraId="415F3BC7" w14:textId="77777777" w:rsidR="00D82030" w:rsidRPr="000521FB" w:rsidRDefault="00D82030" w:rsidP="000521FB">
      <w:pPr>
        <w:spacing w:after="240" w:line="360" w:lineRule="auto"/>
        <w:rPr>
          <w:rFonts w:ascii="Arial" w:eastAsia="Times New Roman" w:hAnsi="Arial" w:cs="Arial"/>
          <w:color w:val="auto"/>
          <w:lang w:val="en-GB" w:eastAsia="en-GB"/>
        </w:rPr>
      </w:pPr>
    </w:p>
    <w:p w14:paraId="4267DDCA" w14:textId="77777777" w:rsidR="000521FB" w:rsidRDefault="000521FB" w:rsidP="002B0760">
      <w:pPr>
        <w:spacing w:after="240" w:line="360" w:lineRule="auto"/>
        <w:rPr>
          <w:rFonts w:ascii="Arial" w:eastAsia="Times New Roman" w:hAnsi="Arial" w:cs="Arial"/>
          <w:color w:val="auto"/>
          <w:lang w:val="en-GB" w:eastAsia="en-GB"/>
        </w:rPr>
      </w:pPr>
    </w:p>
    <w:p w14:paraId="53B4D4F1" w14:textId="1F55C39B" w:rsidR="00B90FE1" w:rsidRDefault="00B90FE1" w:rsidP="00B90FE1">
      <w:pPr>
        <w:spacing w:after="240" w:line="360" w:lineRule="auto"/>
        <w:rPr>
          <w:rFonts w:ascii="Arial" w:eastAsia="Times New Roman" w:hAnsi="Arial" w:cs="Arial"/>
          <w:color w:val="auto"/>
          <w:lang w:val="en-GB" w:eastAsia="en-GB"/>
        </w:rPr>
      </w:pPr>
      <w:r w:rsidRPr="00B90FE1">
        <w:rPr>
          <w:rFonts w:ascii="Arial" w:eastAsia="Times New Roman" w:hAnsi="Arial" w:cs="Arial"/>
          <w:color w:val="auto"/>
          <w:lang w:val="en-GB" w:eastAsia="en-GB"/>
        </w:rPr>
        <w:t xml:space="preserve">Public Health England (2022). </w:t>
      </w:r>
      <w:r w:rsidRPr="00B90FE1">
        <w:rPr>
          <w:rFonts w:ascii="Arial" w:eastAsia="Times New Roman" w:hAnsi="Arial" w:cs="Arial"/>
          <w:i/>
          <w:iCs/>
          <w:color w:val="auto"/>
          <w:lang w:val="en-GB" w:eastAsia="en-GB"/>
        </w:rPr>
        <w:t>Dementia: Applying All Our Health</w:t>
      </w:r>
      <w:r w:rsidRPr="00B90FE1">
        <w:rPr>
          <w:rFonts w:ascii="Arial" w:eastAsia="Times New Roman" w:hAnsi="Arial" w:cs="Arial"/>
          <w:color w:val="auto"/>
          <w:lang w:val="en-GB" w:eastAsia="en-GB"/>
        </w:rPr>
        <w:t xml:space="preserve">. GOV.UK. Available at: </w:t>
      </w:r>
      <w:hyperlink r:id="rId31" w:history="1">
        <w:r w:rsidR="00D82030" w:rsidRPr="00B90FE1">
          <w:rPr>
            <w:rStyle w:val="Hyperlink"/>
            <w:rFonts w:ascii="Arial" w:eastAsia="Times New Roman" w:hAnsi="Arial" w:cs="Arial"/>
            <w:lang w:val="en-GB" w:eastAsia="en-GB"/>
          </w:rPr>
          <w:t>https://www.gov.uk/government/publications/dementia-applying-all-our-health/dementia-applying-all-our-health</w:t>
        </w:r>
      </w:hyperlink>
      <w:r w:rsidRPr="00B90FE1">
        <w:rPr>
          <w:rFonts w:ascii="Arial" w:eastAsia="Times New Roman" w:hAnsi="Arial" w:cs="Arial"/>
          <w:color w:val="auto"/>
          <w:lang w:val="en-GB" w:eastAsia="en-GB"/>
        </w:rPr>
        <w:t>.</w:t>
      </w:r>
      <w:r w:rsidR="00C32D44">
        <w:rPr>
          <w:rFonts w:ascii="Arial" w:eastAsia="Times New Roman" w:hAnsi="Arial" w:cs="Arial"/>
          <w:color w:val="auto"/>
          <w:lang w:val="en-GB" w:eastAsia="en-GB"/>
        </w:rPr>
        <w:t xml:space="preserve"> 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(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>Accessed 5 Aug. 2023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)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>.</w:t>
      </w:r>
    </w:p>
    <w:p w14:paraId="2DFE77DB" w14:textId="54B18D56" w:rsidR="004F3DE1" w:rsidRDefault="00F52017" w:rsidP="00F52017">
      <w:pPr>
        <w:spacing w:after="240" w:line="360" w:lineRule="auto"/>
        <w:rPr>
          <w:rFonts w:ascii="Arial" w:eastAsia="Times New Roman" w:hAnsi="Arial" w:cs="Arial"/>
          <w:color w:val="auto"/>
          <w:lang w:val="en-GB" w:eastAsia="en-GB"/>
        </w:rPr>
      </w:pPr>
      <w:r w:rsidRPr="00F52017">
        <w:rPr>
          <w:rFonts w:ascii="Arial" w:eastAsia="Times New Roman" w:hAnsi="Arial" w:cs="Arial"/>
          <w:color w:val="auto"/>
          <w:lang w:val="en-GB" w:eastAsia="en-GB"/>
        </w:rPr>
        <w:t xml:space="preserve">QCS. (2020). </w:t>
      </w:r>
      <w:r w:rsidRPr="00F52017">
        <w:rPr>
          <w:rFonts w:ascii="Arial" w:eastAsia="Times New Roman" w:hAnsi="Arial" w:cs="Arial"/>
          <w:i/>
          <w:iCs/>
          <w:color w:val="auto"/>
          <w:lang w:val="en-GB" w:eastAsia="en-GB"/>
        </w:rPr>
        <w:t>Five Ways to Wellbeing in Dementia - Adult Social Care | QCS Blog</w:t>
      </w:r>
      <w:r w:rsidRPr="00F52017">
        <w:rPr>
          <w:rFonts w:ascii="Arial" w:eastAsia="Times New Roman" w:hAnsi="Arial" w:cs="Arial"/>
          <w:color w:val="auto"/>
          <w:lang w:val="en-GB" w:eastAsia="en-GB"/>
        </w:rPr>
        <w:t xml:space="preserve">. Available at: https://www.qcs.co.uk/five-ways-to-wellbeing-in-dementia/?utm_source=bing&amp;utm_medium=cpc&amp;utm_adgroup=All%20web%20pages%20-%20Google%20Index&amp;utm_campaign=01_England_DSA&amp;matchtype=b&amp;keyword=qcs%20co&amp;network=o&amp;device=c&amp;msclkid=71b6b8a2de601c7ef96dc72d57b1e1c </w:t>
      </w:r>
      <w:r w:rsidR="001C3915">
        <w:rPr>
          <w:rFonts w:ascii="Arial" w:eastAsia="Times New Roman" w:hAnsi="Arial" w:cs="Arial"/>
          <w:color w:val="auto"/>
          <w:lang w:val="en-GB" w:eastAsia="en-GB"/>
        </w:rPr>
        <w:t>(</w:t>
      </w:r>
      <w:r w:rsidRPr="00F52017">
        <w:rPr>
          <w:rFonts w:ascii="Arial" w:eastAsia="Times New Roman" w:hAnsi="Arial" w:cs="Arial"/>
          <w:color w:val="auto"/>
          <w:lang w:val="en-GB" w:eastAsia="en-GB"/>
        </w:rPr>
        <w:t>Accessed 6 Aug. 2023</w:t>
      </w:r>
      <w:r w:rsidR="001C3915">
        <w:rPr>
          <w:rFonts w:ascii="Arial" w:eastAsia="Times New Roman" w:hAnsi="Arial" w:cs="Arial"/>
          <w:color w:val="auto"/>
          <w:lang w:val="en-GB" w:eastAsia="en-GB"/>
        </w:rPr>
        <w:t>)</w:t>
      </w:r>
      <w:r w:rsidRPr="00F52017">
        <w:rPr>
          <w:rFonts w:ascii="Arial" w:eastAsia="Times New Roman" w:hAnsi="Arial" w:cs="Arial"/>
          <w:color w:val="auto"/>
          <w:lang w:val="en-GB" w:eastAsia="en-GB"/>
        </w:rPr>
        <w:t>.</w:t>
      </w:r>
      <w:r w:rsidR="004F3DE1">
        <w:rPr>
          <w:rFonts w:ascii="Arial" w:eastAsia="Times New Roman" w:hAnsi="Arial" w:cs="Arial"/>
          <w:color w:val="auto"/>
          <w:lang w:val="en-GB" w:eastAsia="en-GB"/>
        </w:rPr>
        <w:t xml:space="preserve"> </w:t>
      </w:r>
    </w:p>
    <w:p w14:paraId="28134A79" w14:textId="425DDD8E" w:rsidR="00F52017" w:rsidRDefault="004F3DE1" w:rsidP="00B90FE1">
      <w:pPr>
        <w:spacing w:after="240" w:line="360" w:lineRule="auto"/>
        <w:rPr>
          <w:rFonts w:ascii="Arial" w:eastAsia="Times New Roman" w:hAnsi="Arial" w:cs="Arial"/>
          <w:color w:val="auto"/>
          <w:lang w:val="en-GB" w:eastAsia="en-GB"/>
        </w:rPr>
      </w:pPr>
      <w:r w:rsidRPr="004F3DE1">
        <w:rPr>
          <w:rFonts w:ascii="Arial" w:eastAsia="Times New Roman" w:hAnsi="Arial" w:cs="Arial"/>
          <w:color w:val="auto"/>
          <w:lang w:val="en-GB" w:eastAsia="en-GB"/>
        </w:rPr>
        <w:t xml:space="preserve">Social Care Institute for Excellence (SCIE). </w:t>
      </w:r>
      <w:r w:rsidR="00C32D44" w:rsidRPr="001C3915">
        <w:rPr>
          <w:rFonts w:ascii="Arial" w:eastAsia="Times New Roman" w:hAnsi="Arial" w:cs="Arial"/>
          <w:color w:val="auto"/>
          <w:lang w:val="en-GB" w:eastAsia="en-GB"/>
        </w:rPr>
        <w:t>(</w:t>
      </w:r>
      <w:proofErr w:type="gramStart"/>
      <w:r w:rsidR="00C32D44" w:rsidRPr="001C3915">
        <w:rPr>
          <w:rFonts w:ascii="Arial" w:eastAsia="Times New Roman" w:hAnsi="Arial" w:cs="Arial"/>
          <w:color w:val="auto"/>
          <w:lang w:val="en-GB" w:eastAsia="en-GB"/>
        </w:rPr>
        <w:t>no</w:t>
      </w:r>
      <w:proofErr w:type="gramEnd"/>
      <w:r w:rsidR="00C32D44" w:rsidRPr="001C3915">
        <w:rPr>
          <w:rFonts w:ascii="Arial" w:eastAsia="Times New Roman" w:hAnsi="Arial" w:cs="Arial"/>
          <w:color w:val="auto"/>
          <w:lang w:val="en-GB" w:eastAsia="en-GB"/>
        </w:rPr>
        <w:t xml:space="preserve"> date)</w:t>
      </w:r>
      <w:r w:rsidRPr="004F3DE1">
        <w:rPr>
          <w:rFonts w:ascii="Arial" w:eastAsia="Times New Roman" w:hAnsi="Arial" w:cs="Arial"/>
          <w:color w:val="auto"/>
          <w:lang w:val="en-GB" w:eastAsia="en-GB"/>
        </w:rPr>
        <w:t xml:space="preserve">. </w:t>
      </w:r>
      <w:r w:rsidRPr="004F3DE1">
        <w:rPr>
          <w:rFonts w:ascii="Arial" w:eastAsia="Times New Roman" w:hAnsi="Arial" w:cs="Arial"/>
          <w:i/>
          <w:iCs/>
          <w:color w:val="auto"/>
          <w:lang w:val="en-GB" w:eastAsia="en-GB"/>
        </w:rPr>
        <w:t>Dementia: Assistive Technology | SCIE</w:t>
      </w:r>
      <w:r w:rsidRPr="004F3DE1">
        <w:rPr>
          <w:rFonts w:ascii="Arial" w:eastAsia="Times New Roman" w:hAnsi="Arial" w:cs="Arial"/>
          <w:color w:val="auto"/>
          <w:lang w:val="en-GB" w:eastAsia="en-GB"/>
        </w:rPr>
        <w:t xml:space="preserve">. Available at: </w:t>
      </w:r>
      <w:hyperlink r:id="rId32" w:history="1">
        <w:r w:rsidR="00C32D44" w:rsidRPr="004F3DE1">
          <w:rPr>
            <w:rStyle w:val="Hyperlink"/>
            <w:rFonts w:ascii="Arial" w:eastAsia="Times New Roman" w:hAnsi="Arial" w:cs="Arial"/>
            <w:lang w:val="en-GB" w:eastAsia="en-GB"/>
          </w:rPr>
          <w:t>https://www.scie.org.uk/dementia/support/housing/assistive-technology#:~:text=Assistive%20technology%20in%20the%20home%20can%20be%20used</w:t>
        </w:r>
      </w:hyperlink>
      <w:r w:rsidRPr="004F3DE1">
        <w:rPr>
          <w:rFonts w:ascii="Arial" w:eastAsia="Times New Roman" w:hAnsi="Arial" w:cs="Arial"/>
          <w:color w:val="auto"/>
          <w:lang w:val="en-GB" w:eastAsia="en-GB"/>
        </w:rPr>
        <w:t>.</w:t>
      </w:r>
      <w:r w:rsidR="00C32D44">
        <w:rPr>
          <w:rFonts w:ascii="Arial" w:eastAsia="Times New Roman" w:hAnsi="Arial" w:cs="Arial"/>
          <w:color w:val="auto"/>
          <w:lang w:val="en-GB" w:eastAsia="en-GB"/>
        </w:rPr>
        <w:t xml:space="preserve"> 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(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>Accessed 5 Aug. 2023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)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>.</w:t>
      </w:r>
    </w:p>
    <w:p w14:paraId="619AB213" w14:textId="2F398C98" w:rsidR="00D82030" w:rsidRDefault="00D82030" w:rsidP="00D82030">
      <w:pPr>
        <w:spacing w:after="240" w:line="360" w:lineRule="auto"/>
        <w:rPr>
          <w:rFonts w:ascii="Arial" w:eastAsia="Times New Roman" w:hAnsi="Arial" w:cs="Arial"/>
          <w:color w:val="auto"/>
          <w:lang w:val="en-GB" w:eastAsia="en-GB"/>
        </w:rPr>
      </w:pPr>
      <w:r w:rsidRPr="00D82030">
        <w:rPr>
          <w:rFonts w:ascii="Arial" w:eastAsia="Times New Roman" w:hAnsi="Arial" w:cs="Arial"/>
          <w:color w:val="auto"/>
          <w:lang w:val="en-GB" w:eastAsia="en-GB"/>
        </w:rPr>
        <w:t xml:space="preserve">www.scie.org.uk. </w:t>
      </w:r>
      <w:r w:rsidR="00C32D44" w:rsidRPr="001C3915">
        <w:rPr>
          <w:rFonts w:ascii="Arial" w:eastAsia="Times New Roman" w:hAnsi="Arial" w:cs="Arial"/>
          <w:color w:val="auto"/>
          <w:lang w:val="en-GB" w:eastAsia="en-GB"/>
        </w:rPr>
        <w:t>(</w:t>
      </w:r>
      <w:proofErr w:type="gramStart"/>
      <w:r w:rsidR="00C32D44" w:rsidRPr="001C3915">
        <w:rPr>
          <w:rFonts w:ascii="Arial" w:eastAsia="Times New Roman" w:hAnsi="Arial" w:cs="Arial"/>
          <w:color w:val="auto"/>
          <w:lang w:val="en-GB" w:eastAsia="en-GB"/>
        </w:rPr>
        <w:t>no</w:t>
      </w:r>
      <w:proofErr w:type="gramEnd"/>
      <w:r w:rsidR="00C32D44" w:rsidRPr="001C3915">
        <w:rPr>
          <w:rFonts w:ascii="Arial" w:eastAsia="Times New Roman" w:hAnsi="Arial" w:cs="Arial"/>
          <w:color w:val="auto"/>
          <w:lang w:val="en-GB" w:eastAsia="en-GB"/>
        </w:rPr>
        <w:t xml:space="preserve"> date)</w:t>
      </w:r>
      <w:r w:rsidRPr="00D82030">
        <w:rPr>
          <w:rFonts w:ascii="Arial" w:eastAsia="Times New Roman" w:hAnsi="Arial" w:cs="Arial"/>
          <w:color w:val="auto"/>
          <w:lang w:val="en-GB" w:eastAsia="en-GB"/>
        </w:rPr>
        <w:t xml:space="preserve">. </w:t>
      </w:r>
      <w:r w:rsidRPr="00D82030">
        <w:rPr>
          <w:rFonts w:ascii="Arial" w:eastAsia="Times New Roman" w:hAnsi="Arial" w:cs="Arial"/>
          <w:i/>
          <w:iCs/>
          <w:color w:val="auto"/>
          <w:lang w:val="en-GB" w:eastAsia="en-GB"/>
        </w:rPr>
        <w:t>Early signs and diagnosis of dementia - SCIE</w:t>
      </w:r>
      <w:r w:rsidRPr="00D82030">
        <w:rPr>
          <w:rFonts w:ascii="Arial" w:eastAsia="Times New Roman" w:hAnsi="Arial" w:cs="Arial"/>
          <w:color w:val="auto"/>
          <w:lang w:val="en-GB" w:eastAsia="en-GB"/>
        </w:rPr>
        <w:t xml:space="preserve">.  Available at: </w:t>
      </w:r>
      <w:hyperlink r:id="rId33" w:history="1">
        <w:r w:rsidR="002F1210" w:rsidRPr="00D82030">
          <w:rPr>
            <w:rStyle w:val="Hyperlink"/>
            <w:rFonts w:ascii="Arial" w:eastAsia="Times New Roman" w:hAnsi="Arial" w:cs="Arial"/>
            <w:lang w:val="en-GB" w:eastAsia="en-GB"/>
          </w:rPr>
          <w:t>https://www.scie.org.uk/dementia/symptoms/diagnosis/early-signs-of-dementia.asp</w:t>
        </w:r>
      </w:hyperlink>
      <w:r w:rsidRPr="00D82030">
        <w:rPr>
          <w:rFonts w:ascii="Arial" w:eastAsia="Times New Roman" w:hAnsi="Arial" w:cs="Arial"/>
          <w:color w:val="auto"/>
          <w:lang w:val="en-GB" w:eastAsia="en-GB"/>
        </w:rPr>
        <w:t>.</w:t>
      </w:r>
      <w:r w:rsidR="00C32D44">
        <w:rPr>
          <w:rFonts w:ascii="Arial" w:eastAsia="Times New Roman" w:hAnsi="Arial" w:cs="Arial"/>
          <w:color w:val="auto"/>
          <w:lang w:val="en-GB" w:eastAsia="en-GB"/>
        </w:rPr>
        <w:t xml:space="preserve"> 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(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>Accessed 5 Aug. 2023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)</w:t>
      </w:r>
      <w:r w:rsidR="00C32D44" w:rsidRPr="00D82030">
        <w:rPr>
          <w:rFonts w:ascii="Arial" w:eastAsia="Times New Roman" w:hAnsi="Arial" w:cs="Arial"/>
          <w:color w:val="auto"/>
          <w:lang w:val="en-GB" w:eastAsia="en-GB"/>
        </w:rPr>
        <w:t>.</w:t>
      </w:r>
    </w:p>
    <w:p w14:paraId="3099465F" w14:textId="7D15F9B2" w:rsidR="00BC7316" w:rsidRPr="00AC4663" w:rsidRDefault="002F1210" w:rsidP="00AC4663">
      <w:pPr>
        <w:spacing w:after="240" w:line="360" w:lineRule="auto"/>
        <w:rPr>
          <w:rFonts w:ascii="Arial" w:eastAsia="Times New Roman" w:hAnsi="Arial" w:cs="Arial"/>
          <w:color w:val="auto"/>
          <w:lang w:val="en-GB" w:eastAsia="en-GB"/>
        </w:rPr>
      </w:pPr>
      <w:r w:rsidRPr="002F1210">
        <w:rPr>
          <w:rFonts w:ascii="Arial" w:eastAsia="Times New Roman" w:hAnsi="Arial" w:cs="Arial"/>
          <w:color w:val="auto"/>
          <w:lang w:val="en-GB" w:eastAsia="en-GB"/>
        </w:rPr>
        <w:t xml:space="preserve">The British Institute of Human Rights (2016). </w:t>
      </w:r>
      <w:r w:rsidRPr="002F1210">
        <w:rPr>
          <w:rFonts w:ascii="Arial" w:eastAsia="Times New Roman" w:hAnsi="Arial" w:cs="Arial"/>
          <w:i/>
          <w:iCs/>
          <w:color w:val="auto"/>
          <w:lang w:val="en-GB" w:eastAsia="en-GB"/>
        </w:rPr>
        <w:t>Dementia and Human Rights</w:t>
      </w:r>
      <w:r w:rsidRPr="002F1210">
        <w:rPr>
          <w:rFonts w:ascii="Arial" w:eastAsia="Times New Roman" w:hAnsi="Arial" w:cs="Arial"/>
          <w:color w:val="auto"/>
          <w:lang w:val="en-GB" w:eastAsia="en-GB"/>
        </w:rPr>
        <w:t xml:space="preserve">. [online] Available at: </w:t>
      </w:r>
      <w:hyperlink r:id="rId34" w:history="1">
        <w:r w:rsidR="00C32D44" w:rsidRPr="002F1210">
          <w:rPr>
            <w:rStyle w:val="Hyperlink"/>
            <w:rFonts w:ascii="Arial" w:eastAsia="Times New Roman" w:hAnsi="Arial" w:cs="Arial"/>
            <w:lang w:val="en-GB" w:eastAsia="en-GB"/>
          </w:rPr>
          <w:t>https://knowyourhumanrights.co.uk/resources/BIHR_Mental_Health_Practitioner_Resource_Dementia.pdf</w:t>
        </w:r>
      </w:hyperlink>
      <w:r w:rsidRPr="002F1210">
        <w:rPr>
          <w:rFonts w:ascii="Arial" w:eastAsia="Times New Roman" w:hAnsi="Arial" w:cs="Arial"/>
          <w:color w:val="auto"/>
          <w:lang w:val="en-GB" w:eastAsia="en-GB"/>
        </w:rPr>
        <w:t>.</w:t>
      </w:r>
      <w:r w:rsidR="00C32D44">
        <w:rPr>
          <w:rFonts w:ascii="Arial" w:eastAsia="Times New Roman" w:hAnsi="Arial" w:cs="Arial"/>
          <w:color w:val="auto"/>
          <w:lang w:val="en-GB" w:eastAsia="en-GB"/>
        </w:rPr>
        <w:t xml:space="preserve"> 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(</w:t>
      </w:r>
      <w:r w:rsidR="00C32D44" w:rsidRPr="00FE3B10">
        <w:rPr>
          <w:rFonts w:ascii="Arial" w:eastAsia="Times New Roman" w:hAnsi="Arial" w:cs="Arial"/>
          <w:color w:val="auto"/>
          <w:lang w:val="en-GB" w:eastAsia="en-GB"/>
        </w:rPr>
        <w:t>Accessed 6 Aug. 2023</w:t>
      </w:r>
      <w:r w:rsidR="00C32D44">
        <w:rPr>
          <w:rFonts w:ascii="Arial" w:eastAsia="Times New Roman" w:hAnsi="Arial" w:cs="Arial"/>
          <w:color w:val="auto"/>
          <w:lang w:val="en-GB" w:eastAsia="en-GB"/>
        </w:rPr>
        <w:t>)</w:t>
      </w:r>
      <w:r w:rsidR="00C32D44" w:rsidRPr="00FE3B10">
        <w:rPr>
          <w:rFonts w:ascii="Arial" w:eastAsia="Times New Roman" w:hAnsi="Arial" w:cs="Arial"/>
          <w:color w:val="auto"/>
          <w:lang w:val="en-GB" w:eastAsia="en-GB"/>
        </w:rPr>
        <w:t>.</w:t>
      </w:r>
    </w:p>
    <w:sectPr w:rsidR="00BC7316" w:rsidRPr="00AC4663" w:rsidSect="00A56B0F">
      <w:pgSz w:w="16838" w:h="11906" w:orient="landscape" w:code="9"/>
      <w:pgMar w:top="576" w:right="1296" w:bottom="432" w:left="1152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060085" w14:textId="77777777" w:rsidR="005A33EA" w:rsidRDefault="005A33EA" w:rsidP="00BF6AFD">
      <w:pPr>
        <w:spacing w:after="0" w:line="240" w:lineRule="auto"/>
      </w:pPr>
      <w:r>
        <w:separator/>
      </w:r>
    </w:p>
  </w:endnote>
  <w:endnote w:type="continuationSeparator" w:id="0">
    <w:p w14:paraId="70693E56" w14:textId="77777777" w:rsidR="005A33EA" w:rsidRDefault="005A33EA" w:rsidP="00BF6A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Consolas">
    <w:panose1 w:val="020B0609020204030204"/>
    <w:charset w:val="CC"/>
    <w:family w:val="modern"/>
    <w:pitch w:val="fixed"/>
    <w:sig w:usb0="E00002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7C11C2" w14:textId="77777777" w:rsidR="005A33EA" w:rsidRDefault="005A33EA" w:rsidP="00BF6AFD">
      <w:pPr>
        <w:spacing w:after="0" w:line="240" w:lineRule="auto"/>
      </w:pPr>
      <w:r>
        <w:separator/>
      </w:r>
    </w:p>
  </w:footnote>
  <w:footnote w:type="continuationSeparator" w:id="0">
    <w:p w14:paraId="6074DF90" w14:textId="77777777" w:rsidR="005A33EA" w:rsidRDefault="005A33EA" w:rsidP="00BF6AF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46FEE3C2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21AC0F56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39501D96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7BF6199E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186E9DDE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0CE2AED2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44806370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A970A35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6A1660F8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375057B2"/>
    <w:lvl w:ilvl="0">
      <w:start w:val="1"/>
      <w:numFmt w:val="bullet"/>
      <w:pStyle w:val="ListBullet"/>
      <w:lvlText w:val=""/>
      <w:lvlJc w:val="left"/>
      <w:pPr>
        <w:tabs>
          <w:tab w:val="num" w:pos="288"/>
        </w:tabs>
        <w:ind w:left="288" w:hanging="288"/>
      </w:pPr>
      <w:rPr>
        <w:rFonts w:ascii="Symbol" w:hAnsi="Symbol" w:hint="default"/>
        <w:color w:val="352F25" w:themeColor="text2"/>
        <w:sz w:val="16"/>
      </w:rPr>
    </w:lvl>
  </w:abstractNum>
  <w:abstractNum w:abstractNumId="10" w15:restartNumberingAfterBreak="0">
    <w:nsid w:val="061F7C60"/>
    <w:multiLevelType w:val="hybridMultilevel"/>
    <w:tmpl w:val="FE58FB4E"/>
    <w:lvl w:ilvl="0" w:tplc="A8786E32">
      <w:numFmt w:val="bullet"/>
      <w:lvlText w:val="-"/>
      <w:lvlJc w:val="left"/>
      <w:pPr>
        <w:ind w:left="720" w:hanging="360"/>
      </w:pPr>
      <w:rPr>
        <w:rFonts w:ascii="Cambria" w:eastAsia="SimSun" w:hAnsi="Cambria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0BC95A76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2" w15:restartNumberingAfterBreak="0">
    <w:nsid w:val="109C5FF8"/>
    <w:multiLevelType w:val="hybridMultilevel"/>
    <w:tmpl w:val="0B7041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6441E10"/>
    <w:multiLevelType w:val="hybridMultilevel"/>
    <w:tmpl w:val="2676CB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68554E7"/>
    <w:multiLevelType w:val="hybridMultilevel"/>
    <w:tmpl w:val="E314F9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FD163F6"/>
    <w:multiLevelType w:val="hybridMultilevel"/>
    <w:tmpl w:val="14F2F6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D5C0408"/>
    <w:multiLevelType w:val="hybridMultilevel"/>
    <w:tmpl w:val="CBB6B3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4F67E3C"/>
    <w:multiLevelType w:val="hybridMultilevel"/>
    <w:tmpl w:val="385C8F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9315C0D"/>
    <w:multiLevelType w:val="hybridMultilevel"/>
    <w:tmpl w:val="1B70ED38"/>
    <w:lvl w:ilvl="0" w:tplc="5874ACBC">
      <w:numFmt w:val="bullet"/>
      <w:lvlText w:val="-"/>
      <w:lvlJc w:val="left"/>
      <w:pPr>
        <w:ind w:left="720" w:hanging="360"/>
      </w:pPr>
      <w:rPr>
        <w:rFonts w:ascii="Cambria" w:eastAsia="SimSun" w:hAnsi="Cambria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3350288"/>
    <w:multiLevelType w:val="hybridMultilevel"/>
    <w:tmpl w:val="B374F4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5D410B5"/>
    <w:multiLevelType w:val="hybridMultilevel"/>
    <w:tmpl w:val="1C0091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EB00166"/>
    <w:multiLevelType w:val="hybridMultilevel"/>
    <w:tmpl w:val="BF70E764"/>
    <w:lvl w:ilvl="0" w:tplc="A83CA3EA">
      <w:numFmt w:val="bullet"/>
      <w:lvlText w:val="-"/>
      <w:lvlJc w:val="left"/>
      <w:pPr>
        <w:ind w:left="470" w:hanging="360"/>
      </w:pPr>
      <w:rPr>
        <w:rFonts w:ascii="Cambria" w:eastAsia="SimSun" w:hAnsi="Cambria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1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30" w:hanging="360"/>
      </w:pPr>
      <w:rPr>
        <w:rFonts w:ascii="Wingdings" w:hAnsi="Wingdings" w:hint="default"/>
      </w:rPr>
    </w:lvl>
  </w:abstractNum>
  <w:num w:numId="1" w16cid:durableId="897203993">
    <w:abstractNumId w:val="9"/>
  </w:num>
  <w:num w:numId="2" w16cid:durableId="1142965839">
    <w:abstractNumId w:val="9"/>
  </w:num>
  <w:num w:numId="3" w16cid:durableId="330060122">
    <w:abstractNumId w:val="9"/>
    <w:lvlOverride w:ilvl="0">
      <w:startOverride w:val="1"/>
    </w:lvlOverride>
  </w:num>
  <w:num w:numId="4" w16cid:durableId="413356443">
    <w:abstractNumId w:val="9"/>
    <w:lvlOverride w:ilvl="0">
      <w:startOverride w:val="1"/>
    </w:lvlOverride>
  </w:num>
  <w:num w:numId="5" w16cid:durableId="196431389">
    <w:abstractNumId w:val="9"/>
    <w:lvlOverride w:ilvl="0">
      <w:startOverride w:val="1"/>
    </w:lvlOverride>
  </w:num>
  <w:num w:numId="6" w16cid:durableId="1563058237">
    <w:abstractNumId w:val="7"/>
  </w:num>
  <w:num w:numId="7" w16cid:durableId="1387339391">
    <w:abstractNumId w:val="6"/>
  </w:num>
  <w:num w:numId="8" w16cid:durableId="1359546100">
    <w:abstractNumId w:val="5"/>
  </w:num>
  <w:num w:numId="9" w16cid:durableId="1638295420">
    <w:abstractNumId w:val="4"/>
  </w:num>
  <w:num w:numId="10" w16cid:durableId="1465201432">
    <w:abstractNumId w:val="8"/>
  </w:num>
  <w:num w:numId="11" w16cid:durableId="2048411000">
    <w:abstractNumId w:val="3"/>
  </w:num>
  <w:num w:numId="12" w16cid:durableId="1442215869">
    <w:abstractNumId w:val="2"/>
  </w:num>
  <w:num w:numId="13" w16cid:durableId="440688639">
    <w:abstractNumId w:val="1"/>
  </w:num>
  <w:num w:numId="14" w16cid:durableId="1231696897">
    <w:abstractNumId w:val="0"/>
  </w:num>
  <w:num w:numId="15" w16cid:durableId="545407219">
    <w:abstractNumId w:val="11"/>
  </w:num>
  <w:num w:numId="16" w16cid:durableId="1655375816">
    <w:abstractNumId w:val="13"/>
  </w:num>
  <w:num w:numId="17" w16cid:durableId="1789659722">
    <w:abstractNumId w:val="19"/>
  </w:num>
  <w:num w:numId="18" w16cid:durableId="1920020407">
    <w:abstractNumId w:val="15"/>
  </w:num>
  <w:num w:numId="19" w16cid:durableId="1566911750">
    <w:abstractNumId w:val="20"/>
  </w:num>
  <w:num w:numId="20" w16cid:durableId="413094755">
    <w:abstractNumId w:val="16"/>
  </w:num>
  <w:num w:numId="21" w16cid:durableId="717899710">
    <w:abstractNumId w:val="12"/>
  </w:num>
  <w:num w:numId="22" w16cid:durableId="856382617">
    <w:abstractNumId w:val="14"/>
  </w:num>
  <w:num w:numId="23" w16cid:durableId="1630478553">
    <w:abstractNumId w:val="17"/>
  </w:num>
  <w:num w:numId="24" w16cid:durableId="1832066560">
    <w:abstractNumId w:val="18"/>
  </w:num>
  <w:num w:numId="25" w16cid:durableId="702941289">
    <w:abstractNumId w:val="10"/>
  </w:num>
  <w:num w:numId="26" w16cid:durableId="1608850418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7044"/>
    <w:rsid w:val="000071B7"/>
    <w:rsid w:val="00024BFF"/>
    <w:rsid w:val="000521FB"/>
    <w:rsid w:val="000855ED"/>
    <w:rsid w:val="000A350A"/>
    <w:rsid w:val="000B02C3"/>
    <w:rsid w:val="000E63A4"/>
    <w:rsid w:val="000F41AD"/>
    <w:rsid w:val="00106D48"/>
    <w:rsid w:val="001372C8"/>
    <w:rsid w:val="00177044"/>
    <w:rsid w:val="00183702"/>
    <w:rsid w:val="001947E7"/>
    <w:rsid w:val="001C3915"/>
    <w:rsid w:val="001D0847"/>
    <w:rsid w:val="001E1EE2"/>
    <w:rsid w:val="00227118"/>
    <w:rsid w:val="00227206"/>
    <w:rsid w:val="00252A14"/>
    <w:rsid w:val="002B0760"/>
    <w:rsid w:val="002D478D"/>
    <w:rsid w:val="002F1210"/>
    <w:rsid w:val="002F1236"/>
    <w:rsid w:val="00307EC9"/>
    <w:rsid w:val="00311F9E"/>
    <w:rsid w:val="003377DD"/>
    <w:rsid w:val="00365EBB"/>
    <w:rsid w:val="003B391D"/>
    <w:rsid w:val="00407062"/>
    <w:rsid w:val="00422379"/>
    <w:rsid w:val="0043111A"/>
    <w:rsid w:val="0048634A"/>
    <w:rsid w:val="004B53DE"/>
    <w:rsid w:val="004F3DE1"/>
    <w:rsid w:val="005259A3"/>
    <w:rsid w:val="005473B9"/>
    <w:rsid w:val="0056054A"/>
    <w:rsid w:val="00571D35"/>
    <w:rsid w:val="005A33EA"/>
    <w:rsid w:val="005E5178"/>
    <w:rsid w:val="0063311A"/>
    <w:rsid w:val="0068396D"/>
    <w:rsid w:val="006A2E06"/>
    <w:rsid w:val="006C6DDB"/>
    <w:rsid w:val="007014C5"/>
    <w:rsid w:val="00706079"/>
    <w:rsid w:val="007426CC"/>
    <w:rsid w:val="00760CFF"/>
    <w:rsid w:val="007647EF"/>
    <w:rsid w:val="007E3C3A"/>
    <w:rsid w:val="007E4A25"/>
    <w:rsid w:val="008072D7"/>
    <w:rsid w:val="008108A5"/>
    <w:rsid w:val="0089764D"/>
    <w:rsid w:val="008B000B"/>
    <w:rsid w:val="008C63CF"/>
    <w:rsid w:val="008C73D5"/>
    <w:rsid w:val="008F740D"/>
    <w:rsid w:val="00903984"/>
    <w:rsid w:val="00912857"/>
    <w:rsid w:val="00930D0C"/>
    <w:rsid w:val="00960A60"/>
    <w:rsid w:val="00961A6A"/>
    <w:rsid w:val="009823DD"/>
    <w:rsid w:val="009915C8"/>
    <w:rsid w:val="009F3198"/>
    <w:rsid w:val="00A54316"/>
    <w:rsid w:val="00A56B0F"/>
    <w:rsid w:val="00A72429"/>
    <w:rsid w:val="00A769D1"/>
    <w:rsid w:val="00A85868"/>
    <w:rsid w:val="00A95BFB"/>
    <w:rsid w:val="00AA3AE4"/>
    <w:rsid w:val="00AB72BA"/>
    <w:rsid w:val="00AC4663"/>
    <w:rsid w:val="00AD7341"/>
    <w:rsid w:val="00B16D26"/>
    <w:rsid w:val="00B90FE1"/>
    <w:rsid w:val="00BC7316"/>
    <w:rsid w:val="00BE015F"/>
    <w:rsid w:val="00BF6AFD"/>
    <w:rsid w:val="00C12AB2"/>
    <w:rsid w:val="00C32D44"/>
    <w:rsid w:val="00C476E1"/>
    <w:rsid w:val="00C86131"/>
    <w:rsid w:val="00CD1DEA"/>
    <w:rsid w:val="00CF4E78"/>
    <w:rsid w:val="00D27440"/>
    <w:rsid w:val="00D72CF3"/>
    <w:rsid w:val="00D82030"/>
    <w:rsid w:val="00DB5D32"/>
    <w:rsid w:val="00E144F3"/>
    <w:rsid w:val="00E40391"/>
    <w:rsid w:val="00E74962"/>
    <w:rsid w:val="00E878A6"/>
    <w:rsid w:val="00ED4DEA"/>
    <w:rsid w:val="00EE0A38"/>
    <w:rsid w:val="00F07AB3"/>
    <w:rsid w:val="00F341A6"/>
    <w:rsid w:val="00F52017"/>
    <w:rsid w:val="00F65FF0"/>
    <w:rsid w:val="00F66B21"/>
    <w:rsid w:val="00F83409"/>
    <w:rsid w:val="00F94022"/>
    <w:rsid w:val="00FA07B2"/>
    <w:rsid w:val="00FC764B"/>
    <w:rsid w:val="00FD4131"/>
    <w:rsid w:val="00FE3B10"/>
    <w:rsid w:val="00FF3A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0C15041E"/>
  <w15:chartTrackingRefBased/>
  <w15:docId w15:val="{1BB49D21-39EB-4142-AE12-B8307739F0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SimSun" w:hAnsiTheme="minorHAnsi" w:cstheme="minorBidi"/>
        <w:color w:val="4D4436" w:themeColor="text2" w:themeTint="E6"/>
        <w:sz w:val="22"/>
        <w:szCs w:val="22"/>
        <w:lang w:val="en-US" w:eastAsia="ja-JP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2" w:unhideWhenUsed="1"/>
    <w:lsdException w:name="index heading" w:semiHidden="1" w:unhideWhenUsed="1"/>
    <w:lsdException w:name="caption" w:semiHidden="1" w:uiPriority="2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uiPriority="29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769D1"/>
  </w:style>
  <w:style w:type="paragraph" w:styleId="Heading1">
    <w:name w:val="heading 1"/>
    <w:basedOn w:val="Normal"/>
    <w:next w:val="Normal"/>
    <w:link w:val="Heading1Char"/>
    <w:uiPriority w:val="1"/>
    <w:qFormat/>
    <w:pPr>
      <w:keepNext/>
      <w:keepLines/>
      <w:spacing w:before="200" w:after="0" w:line="216" w:lineRule="auto"/>
      <w:outlineLvl w:val="0"/>
    </w:pPr>
    <w:rPr>
      <w:rFonts w:asciiTheme="majorHAnsi" w:eastAsiaTheme="majorEastAsia" w:hAnsiTheme="majorHAnsi" w:cstheme="majorBidi"/>
      <w:b/>
      <w:bCs/>
      <w:color w:val="027E6F" w:themeColor="accent1" w:themeShade="BF"/>
      <w:sz w:val="42"/>
    </w:rPr>
  </w:style>
  <w:style w:type="paragraph" w:styleId="Heading2">
    <w:name w:val="heading 2"/>
    <w:basedOn w:val="Normal"/>
    <w:next w:val="Normal"/>
    <w:link w:val="Heading2Char"/>
    <w:uiPriority w:val="1"/>
    <w:unhideWhenUsed/>
    <w:qFormat/>
    <w:pPr>
      <w:keepNext/>
      <w:keepLines/>
      <w:spacing w:before="360" w:after="120" w:line="240" w:lineRule="auto"/>
      <w:outlineLvl w:val="1"/>
    </w:pPr>
    <w:rPr>
      <w:rFonts w:asciiTheme="majorHAnsi" w:eastAsiaTheme="majorEastAsia" w:hAnsiTheme="majorHAnsi" w:cstheme="majorBidi"/>
      <w:b/>
      <w:bCs/>
      <w:color w:val="352F25" w:themeColor="text2"/>
      <w:sz w:val="24"/>
    </w:rPr>
  </w:style>
  <w:style w:type="paragraph" w:styleId="Heading3">
    <w:name w:val="heading 3"/>
    <w:basedOn w:val="Normal"/>
    <w:next w:val="Normal"/>
    <w:link w:val="Heading3Char"/>
    <w:uiPriority w:val="1"/>
    <w:unhideWhenUsed/>
    <w:qFormat/>
    <w:pPr>
      <w:keepNext/>
      <w:keepLines/>
      <w:spacing w:before="200" w:after="0"/>
      <w:outlineLvl w:val="2"/>
    </w:pPr>
    <w:rPr>
      <w:b/>
      <w:bCs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16D26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01544A" w:themeColor="accent1" w:themeShade="8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915C8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027E6F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915C8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01534A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915C8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01534A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915C8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915C8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Layout">
    <w:name w:val="Table Layout"/>
    <w:basedOn w:val="TableNormal"/>
    <w:uiPriority w:val="99"/>
    <w:tblPr>
      <w:tblCellMar>
        <w:left w:w="0" w:type="dxa"/>
        <w:right w:w="0" w:type="dxa"/>
      </w:tblCellMar>
    </w:tblPr>
  </w:style>
  <w:style w:type="paragraph" w:styleId="Caption">
    <w:name w:val="caption"/>
    <w:basedOn w:val="Normal"/>
    <w:next w:val="Normal"/>
    <w:uiPriority w:val="1"/>
    <w:unhideWhenUsed/>
    <w:qFormat/>
    <w:rsid w:val="0068396D"/>
    <w:pPr>
      <w:spacing w:after="340" w:line="240" w:lineRule="auto"/>
    </w:pPr>
    <w:rPr>
      <w:i/>
      <w:iCs/>
    </w:rPr>
  </w:style>
  <w:style w:type="character" w:customStyle="1" w:styleId="Heading2Char">
    <w:name w:val="Heading 2 Char"/>
    <w:basedOn w:val="DefaultParagraphFont"/>
    <w:link w:val="Heading2"/>
    <w:uiPriority w:val="1"/>
    <w:rPr>
      <w:rFonts w:asciiTheme="majorHAnsi" w:eastAsiaTheme="majorEastAsia" w:hAnsiTheme="majorHAnsi" w:cstheme="majorBidi"/>
      <w:b/>
      <w:bCs/>
      <w:color w:val="352F25" w:themeColor="text2"/>
      <w:sz w:val="24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ListBullet">
    <w:name w:val="List Bullet"/>
    <w:basedOn w:val="Normal"/>
    <w:uiPriority w:val="1"/>
    <w:semiHidden/>
    <w:pPr>
      <w:numPr>
        <w:numId w:val="2"/>
      </w:numPr>
    </w:pPr>
  </w:style>
  <w:style w:type="character" w:customStyle="1" w:styleId="Heading1Char">
    <w:name w:val="Heading 1 Char"/>
    <w:basedOn w:val="DefaultParagraphFont"/>
    <w:link w:val="Heading1"/>
    <w:uiPriority w:val="1"/>
    <w:rPr>
      <w:rFonts w:asciiTheme="majorHAnsi" w:eastAsiaTheme="majorEastAsia" w:hAnsiTheme="majorHAnsi" w:cstheme="majorBidi"/>
      <w:b/>
      <w:bCs/>
      <w:color w:val="027E6F" w:themeColor="accent1" w:themeShade="BF"/>
      <w:sz w:val="42"/>
    </w:rPr>
  </w:style>
  <w:style w:type="paragraph" w:customStyle="1" w:styleId="Company">
    <w:name w:val="Company"/>
    <w:basedOn w:val="Normal"/>
    <w:uiPriority w:val="2"/>
    <w:qFormat/>
    <w:pPr>
      <w:spacing w:after="0" w:line="240" w:lineRule="auto"/>
    </w:pPr>
    <w:rPr>
      <w:rFonts w:asciiTheme="majorHAnsi" w:eastAsiaTheme="majorEastAsia" w:hAnsiTheme="majorHAnsi" w:cstheme="majorBidi"/>
      <w:b/>
      <w:bCs/>
      <w:caps/>
      <w:color w:val="027E6F" w:themeColor="accent1" w:themeShade="BF"/>
    </w:rPr>
  </w:style>
  <w:style w:type="paragraph" w:styleId="Footer">
    <w:name w:val="footer"/>
    <w:basedOn w:val="Normal"/>
    <w:link w:val="FooterChar"/>
    <w:uiPriority w:val="99"/>
    <w:unhideWhenUsed/>
    <w:rsid w:val="007014C5"/>
    <w:pPr>
      <w:spacing w:after="0" w:line="276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69D1"/>
  </w:style>
  <w:style w:type="paragraph" w:styleId="Title">
    <w:name w:val="Title"/>
    <w:basedOn w:val="Normal"/>
    <w:link w:val="TitleChar"/>
    <w:uiPriority w:val="2"/>
    <w:qFormat/>
    <w:pPr>
      <w:spacing w:before="320" w:after="0" w:line="204" w:lineRule="auto"/>
      <w:ind w:left="288" w:right="288"/>
      <w:contextualSpacing/>
    </w:pPr>
    <w:rPr>
      <w:rFonts w:asciiTheme="majorHAnsi" w:eastAsiaTheme="majorEastAsia" w:hAnsiTheme="majorHAnsi" w:cstheme="majorBidi"/>
      <w:b/>
      <w:bCs/>
      <w:caps/>
      <w:color w:val="FFFFFF" w:themeColor="background1"/>
      <w:kern w:val="28"/>
      <w:sz w:val="56"/>
    </w:rPr>
  </w:style>
  <w:style w:type="character" w:customStyle="1" w:styleId="TitleChar">
    <w:name w:val="Title Char"/>
    <w:basedOn w:val="DefaultParagraphFont"/>
    <w:link w:val="Title"/>
    <w:uiPriority w:val="2"/>
    <w:rsid w:val="00BF6AFD"/>
    <w:rPr>
      <w:rFonts w:asciiTheme="majorHAnsi" w:eastAsiaTheme="majorEastAsia" w:hAnsiTheme="majorHAnsi" w:cstheme="majorBidi"/>
      <w:b/>
      <w:bCs/>
      <w:caps/>
      <w:color w:val="FFFFFF" w:themeColor="background1"/>
      <w:kern w:val="28"/>
      <w:sz w:val="56"/>
    </w:rPr>
  </w:style>
  <w:style w:type="paragraph" w:styleId="Subtitle">
    <w:name w:val="Subtitle"/>
    <w:basedOn w:val="Normal"/>
    <w:link w:val="SubtitleChar"/>
    <w:uiPriority w:val="3"/>
    <w:qFormat/>
    <w:pPr>
      <w:numPr>
        <w:ilvl w:val="1"/>
      </w:numPr>
      <w:spacing w:after="360" w:line="264" w:lineRule="auto"/>
      <w:ind w:left="288" w:right="288"/>
    </w:pPr>
    <w:rPr>
      <w:i/>
      <w:iCs/>
      <w:color w:val="FFFFFF" w:themeColor="background1"/>
      <w:sz w:val="26"/>
    </w:rPr>
  </w:style>
  <w:style w:type="character" w:customStyle="1" w:styleId="SubtitleChar">
    <w:name w:val="Subtitle Char"/>
    <w:basedOn w:val="DefaultParagraphFont"/>
    <w:link w:val="Subtitle"/>
    <w:uiPriority w:val="3"/>
    <w:rsid w:val="00BF6AFD"/>
    <w:rPr>
      <w:i/>
      <w:iCs/>
      <w:color w:val="FFFFFF" w:themeColor="background1"/>
      <w:sz w:val="26"/>
    </w:rPr>
  </w:style>
  <w:style w:type="paragraph" w:styleId="NoSpacing">
    <w:name w:val="No Spacing"/>
    <w:uiPriority w:val="98"/>
    <w:qFormat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4"/>
    <w:qFormat/>
    <w:pPr>
      <w:pBdr>
        <w:top w:val="single" w:sz="4" w:space="14" w:color="027E6F" w:themeColor="accent1" w:themeShade="BF"/>
        <w:bottom w:val="single" w:sz="4" w:space="14" w:color="027E6F" w:themeColor="accent1" w:themeShade="BF"/>
      </w:pBdr>
      <w:spacing w:before="480" w:after="480" w:line="336" w:lineRule="auto"/>
    </w:pPr>
    <w:rPr>
      <w:i/>
      <w:iCs/>
      <w:color w:val="027E6F" w:themeColor="accent1" w:themeShade="BF"/>
      <w:sz w:val="30"/>
    </w:rPr>
  </w:style>
  <w:style w:type="character" w:customStyle="1" w:styleId="QuoteChar">
    <w:name w:val="Quote Char"/>
    <w:basedOn w:val="DefaultParagraphFont"/>
    <w:link w:val="Quote"/>
    <w:uiPriority w:val="4"/>
    <w:rsid w:val="00BF6AFD"/>
    <w:rPr>
      <w:i/>
      <w:iCs/>
      <w:color w:val="027E6F" w:themeColor="accent1" w:themeShade="BF"/>
      <w:sz w:val="30"/>
    </w:rPr>
  </w:style>
  <w:style w:type="character" w:customStyle="1" w:styleId="Heading3Char">
    <w:name w:val="Heading 3 Char"/>
    <w:basedOn w:val="DefaultParagraphFont"/>
    <w:link w:val="Heading3"/>
    <w:uiPriority w:val="1"/>
    <w:rsid w:val="00BF6AFD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915C8"/>
    <w:pPr>
      <w:spacing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915C8"/>
    <w:rPr>
      <w:rFonts w:ascii="Segoe UI" w:hAnsi="Segoe UI" w:cs="Segoe UI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9915C8"/>
  </w:style>
  <w:style w:type="paragraph" w:styleId="BlockText">
    <w:name w:val="Block Text"/>
    <w:basedOn w:val="Normal"/>
    <w:uiPriority w:val="99"/>
    <w:semiHidden/>
    <w:unhideWhenUsed/>
    <w:rsid w:val="009915C8"/>
    <w:pPr>
      <w:pBdr>
        <w:top w:val="single" w:sz="2" w:space="10" w:color="03A996" w:themeColor="accent1" w:frame="1"/>
        <w:left w:val="single" w:sz="2" w:space="10" w:color="03A996" w:themeColor="accent1" w:frame="1"/>
        <w:bottom w:val="single" w:sz="2" w:space="10" w:color="03A996" w:themeColor="accent1" w:frame="1"/>
        <w:right w:val="single" w:sz="2" w:space="10" w:color="03A996" w:themeColor="accent1" w:frame="1"/>
      </w:pBdr>
      <w:ind w:left="1152" w:right="1152"/>
    </w:pPr>
    <w:rPr>
      <w:rFonts w:eastAsiaTheme="minorEastAsia"/>
      <w:i/>
      <w:iCs/>
      <w:color w:val="03A996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9915C8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9915C8"/>
  </w:style>
  <w:style w:type="paragraph" w:styleId="BodyText2">
    <w:name w:val="Body Text 2"/>
    <w:basedOn w:val="Normal"/>
    <w:link w:val="BodyText2Char"/>
    <w:uiPriority w:val="99"/>
    <w:semiHidden/>
    <w:unhideWhenUsed/>
    <w:rsid w:val="009915C8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9915C8"/>
  </w:style>
  <w:style w:type="paragraph" w:styleId="BodyText3">
    <w:name w:val="Body Text 3"/>
    <w:basedOn w:val="Normal"/>
    <w:link w:val="BodyText3Char"/>
    <w:uiPriority w:val="99"/>
    <w:semiHidden/>
    <w:unhideWhenUsed/>
    <w:rsid w:val="009915C8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9915C8"/>
    <w:rPr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9915C8"/>
    <w:pPr>
      <w:spacing w:after="20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9915C8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9915C8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9915C8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9915C8"/>
    <w:pPr>
      <w:spacing w:after="20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9915C8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9915C8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9915C8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9915C8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9915C8"/>
    <w:rPr>
      <w:szCs w:val="16"/>
    </w:rPr>
  </w:style>
  <w:style w:type="character" w:styleId="BookTitle">
    <w:name w:val="Book Title"/>
    <w:basedOn w:val="DefaultParagraphFont"/>
    <w:uiPriority w:val="33"/>
    <w:semiHidden/>
    <w:unhideWhenUsed/>
    <w:qFormat/>
    <w:rsid w:val="009915C8"/>
    <w:rPr>
      <w:b/>
      <w:bCs/>
      <w:i/>
      <w:iCs/>
      <w:spacing w:val="5"/>
    </w:rPr>
  </w:style>
  <w:style w:type="paragraph" w:styleId="Closing">
    <w:name w:val="Closing"/>
    <w:basedOn w:val="Normal"/>
    <w:link w:val="ClosingChar"/>
    <w:uiPriority w:val="99"/>
    <w:semiHidden/>
    <w:unhideWhenUsed/>
    <w:rsid w:val="009915C8"/>
    <w:pPr>
      <w:spacing w:after="0" w:line="240" w:lineRule="auto"/>
      <w:ind w:left="4320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9915C8"/>
  </w:style>
  <w:style w:type="table" w:styleId="ColorfulGrid">
    <w:name w:val="Colorful Grid"/>
    <w:basedOn w:val="TableNormal"/>
    <w:uiPriority w:val="73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BCFDF6" w:themeFill="accent1" w:themeFillTint="33"/>
    </w:tcPr>
    <w:tblStylePr w:type="firstRow">
      <w:rPr>
        <w:b/>
        <w:bCs/>
      </w:rPr>
      <w:tblPr/>
      <w:tcPr>
        <w:shd w:val="clear" w:color="auto" w:fill="7AFCED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7AFCED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027E6F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027E6F" w:themeFill="accent1" w:themeFillShade="BF"/>
      </w:tcPr>
    </w:tblStylePr>
    <w:tblStylePr w:type="band1Vert">
      <w:tblPr/>
      <w:tcPr>
        <w:shd w:val="clear" w:color="auto" w:fill="59FCE8" w:themeFill="accent1" w:themeFillTint="7F"/>
      </w:tcPr>
    </w:tblStylePr>
    <w:tblStylePr w:type="band1Horz">
      <w:tblPr/>
      <w:tcPr>
        <w:shd w:val="clear" w:color="auto" w:fill="59FCE8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4D4" w:themeFill="accent2" w:themeFillTint="33"/>
    </w:tcPr>
    <w:tblStylePr w:type="firstRow">
      <w:rPr>
        <w:b/>
        <w:bCs/>
      </w:rPr>
      <w:tblPr/>
      <w:tcPr>
        <w:shd w:val="clear" w:color="auto" w:fill="E5A9A9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A9A9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852728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852728" w:themeFill="accent2" w:themeFillShade="BF"/>
      </w:tcPr>
    </w:tblStylePr>
    <w:tblStylePr w:type="band1Vert">
      <w:tblPr/>
      <w:tcPr>
        <w:shd w:val="clear" w:color="auto" w:fill="DF9494" w:themeFill="accent2" w:themeFillTint="7F"/>
      </w:tcPr>
    </w:tblStylePr>
    <w:tblStylePr w:type="band1Horz">
      <w:tblPr/>
      <w:tcPr>
        <w:shd w:val="clear" w:color="auto" w:fill="DF9494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AF4DA" w:themeFill="accent3" w:themeFillTint="33"/>
    </w:tcPr>
    <w:tblStylePr w:type="firstRow">
      <w:rPr>
        <w:b/>
        <w:bCs/>
      </w:rPr>
      <w:tblPr/>
      <w:tcPr>
        <w:shd w:val="clear" w:color="auto" w:fill="F5E9B6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5E9B6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CBA81A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CBA81A" w:themeFill="accent3" w:themeFillShade="BF"/>
      </w:tcPr>
    </w:tblStylePr>
    <w:tblStylePr w:type="band1Vert">
      <w:tblPr/>
      <w:tcPr>
        <w:shd w:val="clear" w:color="auto" w:fill="F3E3A5" w:themeFill="accent3" w:themeFillTint="7F"/>
      </w:tcPr>
    </w:tblStylePr>
    <w:tblStylePr w:type="band1Horz">
      <w:tblPr/>
      <w:tcPr>
        <w:shd w:val="clear" w:color="auto" w:fill="F3E3A5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DE8F3" w:themeFill="accent4" w:themeFillTint="33"/>
    </w:tcPr>
    <w:tblStylePr w:type="firstRow">
      <w:rPr>
        <w:b/>
        <w:bCs/>
      </w:rPr>
      <w:tblPr/>
      <w:tcPr>
        <w:shd w:val="clear" w:color="auto" w:fill="9BD2E8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BD2E8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1C617C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1C617C" w:themeFill="accent4" w:themeFillShade="BF"/>
      </w:tcPr>
    </w:tblStylePr>
    <w:tblStylePr w:type="band1Vert">
      <w:tblPr/>
      <w:tcPr>
        <w:shd w:val="clear" w:color="auto" w:fill="82C7E2" w:themeFill="accent4" w:themeFillTint="7F"/>
      </w:tcPr>
    </w:tblStylePr>
    <w:tblStylePr w:type="band1Horz">
      <w:tblPr/>
      <w:tcPr>
        <w:shd w:val="clear" w:color="auto" w:fill="82C7E2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CE7D9" w:themeFill="accent5" w:themeFillTint="33"/>
    </w:tcPr>
    <w:tblStylePr w:type="firstRow">
      <w:rPr>
        <w:b/>
        <w:bCs/>
      </w:rPr>
      <w:tblPr/>
      <w:tcPr>
        <w:shd w:val="clear" w:color="auto" w:fill="F9D0B3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9D0B3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D46111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D46111" w:themeFill="accent5" w:themeFillShade="BF"/>
      </w:tcPr>
    </w:tblStylePr>
    <w:tblStylePr w:type="band1Vert">
      <w:tblPr/>
      <w:tcPr>
        <w:shd w:val="clear" w:color="auto" w:fill="F7C4A0" w:themeFill="accent5" w:themeFillTint="7F"/>
      </w:tcPr>
    </w:tblStylePr>
    <w:tblStylePr w:type="band1Horz">
      <w:tblPr/>
      <w:tcPr>
        <w:shd w:val="clear" w:color="auto" w:fill="F7C4A0" w:themeFill="accent5" w:themeFillTint="7F"/>
      </w:tcPr>
    </w:tblStylePr>
  </w:style>
  <w:style w:type="table" w:styleId="ColorfulGrid-Accent6">
    <w:name w:val="Colorful Grid Accent 6"/>
    <w:basedOn w:val="TableNormal"/>
    <w:uiPriority w:val="73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1DAE6" w:themeFill="accent6" w:themeFillTint="33"/>
    </w:tcPr>
    <w:tblStylePr w:type="firstRow">
      <w:rPr>
        <w:b/>
        <w:bCs/>
      </w:rPr>
      <w:tblPr/>
      <w:tcPr>
        <w:shd w:val="clear" w:color="auto" w:fill="C4B5CD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4B5CD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4F3C59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4F3C59" w:themeFill="accent6" w:themeFillShade="BF"/>
      </w:tcPr>
    </w:tblStylePr>
    <w:tblStylePr w:type="band1Vert">
      <w:tblPr/>
      <w:tcPr>
        <w:shd w:val="clear" w:color="auto" w:fill="B6A3C1" w:themeFill="accent6" w:themeFillTint="7F"/>
      </w:tcPr>
    </w:tblStylePr>
    <w:tblStylePr w:type="band1Horz">
      <w:tblPr/>
      <w:tcPr>
        <w:shd w:val="clear" w:color="auto" w:fill="B6A3C1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E2A2B" w:themeFill="accent2" w:themeFillShade="CC"/>
      </w:tcPr>
    </w:tblStylePr>
    <w:tblStylePr w:type="lastRow">
      <w:rPr>
        <w:b/>
        <w:bCs/>
        <w:color w:val="8E2A2B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DEFEFA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E2A2B" w:themeFill="accent2" w:themeFillShade="CC"/>
      </w:tcPr>
    </w:tblStylePr>
    <w:tblStylePr w:type="lastRow">
      <w:rPr>
        <w:b/>
        <w:bCs/>
        <w:color w:val="8E2A2B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CFDF4" w:themeFill="accent1" w:themeFillTint="3F"/>
      </w:tcPr>
    </w:tblStylePr>
    <w:tblStylePr w:type="band1Horz">
      <w:tblPr/>
      <w:tcPr>
        <w:shd w:val="clear" w:color="auto" w:fill="BCFDF6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9E9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E2A2B" w:themeFill="accent2" w:themeFillShade="CC"/>
      </w:tcPr>
    </w:tblStylePr>
    <w:tblStylePr w:type="lastRow">
      <w:rPr>
        <w:b/>
        <w:bCs/>
        <w:color w:val="8E2A2B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C9C9" w:themeFill="accent2" w:themeFillTint="3F"/>
      </w:tcPr>
    </w:tblStylePr>
    <w:tblStylePr w:type="band1Horz">
      <w:tblPr/>
      <w:tcPr>
        <w:shd w:val="clear" w:color="auto" w:fill="F2D4D4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CF9ED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1E6784" w:themeFill="accent4" w:themeFillShade="CC"/>
      </w:tcPr>
    </w:tblStylePr>
    <w:tblStylePr w:type="lastRow">
      <w:rPr>
        <w:b/>
        <w:bCs/>
        <w:color w:val="1E6784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F1D2" w:themeFill="accent3" w:themeFillTint="3F"/>
      </w:tcPr>
    </w:tblStylePr>
    <w:tblStylePr w:type="band1Horz">
      <w:tblPr/>
      <w:tcPr>
        <w:shd w:val="clear" w:color="auto" w:fill="FAF4DA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F4F9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D9B31B" w:themeFill="accent3" w:themeFillShade="CC"/>
      </w:tcPr>
    </w:tblStylePr>
    <w:tblStylePr w:type="lastRow">
      <w:rPr>
        <w:b/>
        <w:bCs/>
        <w:color w:val="D9B31B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E3F1" w:themeFill="accent4" w:themeFillTint="3F"/>
      </w:tcPr>
    </w:tblStylePr>
    <w:tblStylePr w:type="band1Horz">
      <w:tblPr/>
      <w:tcPr>
        <w:shd w:val="clear" w:color="auto" w:fill="CDE8F3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DF3EC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54405F" w:themeFill="accent6" w:themeFillShade="CC"/>
      </w:tcPr>
    </w:tblStylePr>
    <w:tblStylePr w:type="lastRow">
      <w:rPr>
        <w:b/>
        <w:bCs/>
        <w:color w:val="54405F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BE1D0" w:themeFill="accent5" w:themeFillTint="3F"/>
      </w:tcPr>
    </w:tblStylePr>
    <w:tblStylePr w:type="band1Horz">
      <w:tblPr/>
      <w:tcPr>
        <w:shd w:val="clear" w:color="auto" w:fill="FCE7D9" w:themeFill="accent5" w:themeFillTint="33"/>
      </w:tcPr>
    </w:tblStylePr>
  </w:style>
  <w:style w:type="table" w:styleId="ColorfulList-Accent6">
    <w:name w:val="Colorful List Accent 6"/>
    <w:basedOn w:val="TableNormal"/>
    <w:uiPriority w:val="72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0ECF2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E26712" w:themeFill="accent5" w:themeFillShade="CC"/>
      </w:tcPr>
    </w:tblStylePr>
    <w:tblStylePr w:type="lastRow">
      <w:rPr>
        <w:b/>
        <w:bCs/>
        <w:color w:val="E26712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D1E0" w:themeFill="accent6" w:themeFillTint="3F"/>
      </w:tcPr>
    </w:tblStylePr>
    <w:tblStylePr w:type="band1Horz">
      <w:tblPr/>
      <w:tcPr>
        <w:shd w:val="clear" w:color="auto" w:fill="E1DAE6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B33536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3353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B33536" w:themeColor="accent2"/>
        <w:left w:val="single" w:sz="4" w:space="0" w:color="03A996" w:themeColor="accent1"/>
        <w:bottom w:val="single" w:sz="4" w:space="0" w:color="03A996" w:themeColor="accent1"/>
        <w:right w:val="single" w:sz="4" w:space="0" w:color="03A996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FEFA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3353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16559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16559" w:themeColor="accent1" w:themeShade="99"/>
          <w:insideV w:val="nil"/>
        </w:tcBorders>
        <w:shd w:val="clear" w:color="auto" w:fill="016559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16559" w:themeFill="accent1" w:themeFillShade="99"/>
      </w:tcPr>
    </w:tblStylePr>
    <w:tblStylePr w:type="band1Vert">
      <w:tblPr/>
      <w:tcPr>
        <w:shd w:val="clear" w:color="auto" w:fill="7AFCED" w:themeFill="accent1" w:themeFillTint="66"/>
      </w:tcPr>
    </w:tblStylePr>
    <w:tblStylePr w:type="band1Horz">
      <w:tblPr/>
      <w:tcPr>
        <w:shd w:val="clear" w:color="auto" w:fill="59FCE8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B33536" w:themeColor="accent2"/>
        <w:left w:val="single" w:sz="4" w:space="0" w:color="B33536" w:themeColor="accent2"/>
        <w:bottom w:val="single" w:sz="4" w:space="0" w:color="B33536" w:themeColor="accent2"/>
        <w:right w:val="single" w:sz="4" w:space="0" w:color="B33536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9E9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3353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6B1F20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6B1F20" w:themeColor="accent2" w:themeShade="99"/>
          <w:insideV w:val="nil"/>
        </w:tcBorders>
        <w:shd w:val="clear" w:color="auto" w:fill="6B1F20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B1F20" w:themeFill="accent2" w:themeFillShade="99"/>
      </w:tcPr>
    </w:tblStylePr>
    <w:tblStylePr w:type="band1Vert">
      <w:tblPr/>
      <w:tcPr>
        <w:shd w:val="clear" w:color="auto" w:fill="E5A9A9" w:themeFill="accent2" w:themeFillTint="66"/>
      </w:tcPr>
    </w:tblStylePr>
    <w:tblStylePr w:type="band1Horz">
      <w:tblPr/>
      <w:tcPr>
        <w:shd w:val="clear" w:color="auto" w:fill="DF9494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2682A6" w:themeColor="accent4"/>
        <w:left w:val="single" w:sz="4" w:space="0" w:color="E8C94B" w:themeColor="accent3"/>
        <w:bottom w:val="single" w:sz="4" w:space="0" w:color="E8C94B" w:themeColor="accent3"/>
        <w:right w:val="single" w:sz="4" w:space="0" w:color="E8C94B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F9ED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2682A6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A38615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A38615" w:themeColor="accent3" w:themeShade="99"/>
          <w:insideV w:val="nil"/>
        </w:tcBorders>
        <w:shd w:val="clear" w:color="auto" w:fill="A38615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38615" w:themeFill="accent3" w:themeFillShade="99"/>
      </w:tcPr>
    </w:tblStylePr>
    <w:tblStylePr w:type="band1Vert">
      <w:tblPr/>
      <w:tcPr>
        <w:shd w:val="clear" w:color="auto" w:fill="F5E9B6" w:themeFill="accent3" w:themeFillTint="66"/>
      </w:tcPr>
    </w:tblStylePr>
    <w:tblStylePr w:type="band1Horz">
      <w:tblPr/>
      <w:tcPr>
        <w:shd w:val="clear" w:color="auto" w:fill="F3E3A5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8C94B" w:themeColor="accent3"/>
        <w:left w:val="single" w:sz="4" w:space="0" w:color="2682A6" w:themeColor="accent4"/>
        <w:bottom w:val="single" w:sz="4" w:space="0" w:color="2682A6" w:themeColor="accent4"/>
        <w:right w:val="single" w:sz="4" w:space="0" w:color="2682A6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F4F9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8C94B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164D63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164D63" w:themeColor="accent4" w:themeShade="99"/>
          <w:insideV w:val="nil"/>
        </w:tcBorders>
        <w:shd w:val="clear" w:color="auto" w:fill="164D63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64D63" w:themeFill="accent4" w:themeFillShade="99"/>
      </w:tcPr>
    </w:tblStylePr>
    <w:tblStylePr w:type="band1Vert">
      <w:tblPr/>
      <w:tcPr>
        <w:shd w:val="clear" w:color="auto" w:fill="9BD2E8" w:themeFill="accent4" w:themeFillTint="66"/>
      </w:tcPr>
    </w:tblStylePr>
    <w:tblStylePr w:type="band1Horz">
      <w:tblPr/>
      <w:tcPr>
        <w:shd w:val="clear" w:color="auto" w:fill="82C7E2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6A5178" w:themeColor="accent6"/>
        <w:left w:val="single" w:sz="4" w:space="0" w:color="F08A42" w:themeColor="accent5"/>
        <w:bottom w:val="single" w:sz="4" w:space="0" w:color="F08A42" w:themeColor="accent5"/>
        <w:right w:val="single" w:sz="4" w:space="0" w:color="F08A42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DF3EC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6A5178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A94D0D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A94D0D" w:themeColor="accent5" w:themeShade="99"/>
          <w:insideV w:val="nil"/>
        </w:tcBorders>
        <w:shd w:val="clear" w:color="auto" w:fill="A94D0D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94D0D" w:themeFill="accent5" w:themeFillShade="99"/>
      </w:tcPr>
    </w:tblStylePr>
    <w:tblStylePr w:type="band1Vert">
      <w:tblPr/>
      <w:tcPr>
        <w:shd w:val="clear" w:color="auto" w:fill="F9D0B3" w:themeFill="accent5" w:themeFillTint="66"/>
      </w:tcPr>
    </w:tblStylePr>
    <w:tblStylePr w:type="band1Horz">
      <w:tblPr/>
      <w:tcPr>
        <w:shd w:val="clear" w:color="auto" w:fill="F7C4A0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08A42" w:themeColor="accent5"/>
        <w:left w:val="single" w:sz="4" w:space="0" w:color="6A5178" w:themeColor="accent6"/>
        <w:bottom w:val="single" w:sz="4" w:space="0" w:color="6A5178" w:themeColor="accent6"/>
        <w:right w:val="single" w:sz="4" w:space="0" w:color="6A5178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0ECF2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08A42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3F3047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3F3047" w:themeColor="accent6" w:themeShade="99"/>
          <w:insideV w:val="nil"/>
        </w:tcBorders>
        <w:shd w:val="clear" w:color="auto" w:fill="3F3047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F3047" w:themeFill="accent6" w:themeFillShade="99"/>
      </w:tcPr>
    </w:tblStylePr>
    <w:tblStylePr w:type="band1Vert">
      <w:tblPr/>
      <w:tcPr>
        <w:shd w:val="clear" w:color="auto" w:fill="C4B5CD" w:themeFill="accent6" w:themeFillTint="66"/>
      </w:tcPr>
    </w:tblStylePr>
    <w:tblStylePr w:type="band1Horz">
      <w:tblPr/>
      <w:tcPr>
        <w:shd w:val="clear" w:color="auto" w:fill="B6A3C1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9915C8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915C8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915C8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915C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915C8"/>
    <w:rPr>
      <w:b/>
      <w:bCs/>
      <w:szCs w:val="20"/>
    </w:rPr>
  </w:style>
  <w:style w:type="table" w:styleId="DarkList">
    <w:name w:val="Dark List"/>
    <w:basedOn w:val="TableNormal"/>
    <w:uiPriority w:val="70"/>
    <w:semiHidden/>
    <w:unhideWhenUsed/>
    <w:rsid w:val="009915C8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9915C8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3A996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1534A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27E6F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27E6F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27E6F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27E6F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9915C8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B33536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581A1A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852728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852728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2728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2728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9915C8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E8C94B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876F11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CBA81A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CBA81A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BA81A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BA81A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9915C8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2682A6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134052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C617C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C617C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C617C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C617C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9915C8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08A42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8D400B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D46111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D46111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46111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46111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9915C8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6A5178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4283B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4F3C59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4F3C59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F3C59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F3C59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9915C8"/>
  </w:style>
  <w:style w:type="character" w:customStyle="1" w:styleId="DateChar">
    <w:name w:val="Date Char"/>
    <w:basedOn w:val="DefaultParagraphFont"/>
    <w:link w:val="Date"/>
    <w:uiPriority w:val="99"/>
    <w:semiHidden/>
    <w:rsid w:val="009915C8"/>
  </w:style>
  <w:style w:type="paragraph" w:styleId="DocumentMap">
    <w:name w:val="Document Map"/>
    <w:basedOn w:val="Normal"/>
    <w:link w:val="DocumentMapChar"/>
    <w:uiPriority w:val="99"/>
    <w:semiHidden/>
    <w:unhideWhenUsed/>
    <w:rsid w:val="009915C8"/>
    <w:pPr>
      <w:spacing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9915C8"/>
    <w:rPr>
      <w:rFonts w:ascii="Segoe UI" w:hAnsi="Segoe UI" w:cs="Segoe UI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9915C8"/>
    <w:pPr>
      <w:spacing w:after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9915C8"/>
  </w:style>
  <w:style w:type="character" w:styleId="Emphasis">
    <w:name w:val="Emphasis"/>
    <w:basedOn w:val="DefaultParagraphFont"/>
    <w:uiPriority w:val="20"/>
    <w:semiHidden/>
    <w:unhideWhenUsed/>
    <w:qFormat/>
    <w:rsid w:val="009915C8"/>
    <w:rPr>
      <w:i/>
      <w:iCs/>
    </w:rPr>
  </w:style>
  <w:style w:type="character" w:styleId="EndnoteReference">
    <w:name w:val="endnote reference"/>
    <w:basedOn w:val="DefaultParagraphFont"/>
    <w:uiPriority w:val="99"/>
    <w:semiHidden/>
    <w:unhideWhenUsed/>
    <w:rsid w:val="009915C8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9915C8"/>
    <w:pPr>
      <w:spacing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9915C8"/>
    <w:rPr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9915C8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9915C8"/>
    <w:pPr>
      <w:spacing w:after="0" w:line="240" w:lineRule="auto"/>
    </w:pPr>
    <w:rPr>
      <w:rFonts w:asciiTheme="majorHAnsi" w:eastAsiaTheme="majorEastAsia" w:hAnsiTheme="majorHAnsi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9915C8"/>
    <w:rPr>
      <w:color w:val="027E70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9915C8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9915C8"/>
    <w:pPr>
      <w:spacing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915C8"/>
    <w:rPr>
      <w:szCs w:val="20"/>
    </w:rPr>
  </w:style>
  <w:style w:type="table" w:styleId="GridTable1Light">
    <w:name w:val="Grid Table 1 Light"/>
    <w:basedOn w:val="TableNormal"/>
    <w:uiPriority w:val="46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7AFCED" w:themeColor="accent1" w:themeTint="66"/>
        <w:left w:val="single" w:sz="4" w:space="0" w:color="7AFCED" w:themeColor="accent1" w:themeTint="66"/>
        <w:bottom w:val="single" w:sz="4" w:space="0" w:color="7AFCED" w:themeColor="accent1" w:themeTint="66"/>
        <w:right w:val="single" w:sz="4" w:space="0" w:color="7AFCED" w:themeColor="accent1" w:themeTint="66"/>
        <w:insideH w:val="single" w:sz="4" w:space="0" w:color="7AFCED" w:themeColor="accent1" w:themeTint="66"/>
        <w:insideV w:val="single" w:sz="4" w:space="0" w:color="7AFCED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37FBE4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37FBE4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E5A9A9" w:themeColor="accent2" w:themeTint="66"/>
        <w:left w:val="single" w:sz="4" w:space="0" w:color="E5A9A9" w:themeColor="accent2" w:themeTint="66"/>
        <w:bottom w:val="single" w:sz="4" w:space="0" w:color="E5A9A9" w:themeColor="accent2" w:themeTint="66"/>
        <w:right w:val="single" w:sz="4" w:space="0" w:color="E5A9A9" w:themeColor="accent2" w:themeTint="66"/>
        <w:insideH w:val="single" w:sz="4" w:space="0" w:color="E5A9A9" w:themeColor="accent2" w:themeTint="66"/>
        <w:insideV w:val="single" w:sz="4" w:space="0" w:color="E5A9A9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D87E7E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87E7E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F5E9B6" w:themeColor="accent3" w:themeTint="66"/>
        <w:left w:val="single" w:sz="4" w:space="0" w:color="F5E9B6" w:themeColor="accent3" w:themeTint="66"/>
        <w:bottom w:val="single" w:sz="4" w:space="0" w:color="F5E9B6" w:themeColor="accent3" w:themeTint="66"/>
        <w:right w:val="single" w:sz="4" w:space="0" w:color="F5E9B6" w:themeColor="accent3" w:themeTint="66"/>
        <w:insideH w:val="single" w:sz="4" w:space="0" w:color="F5E9B6" w:themeColor="accent3" w:themeTint="66"/>
        <w:insideV w:val="single" w:sz="4" w:space="0" w:color="F5E9B6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F1DE92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1DE92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9BD2E8" w:themeColor="accent4" w:themeTint="66"/>
        <w:left w:val="single" w:sz="4" w:space="0" w:color="9BD2E8" w:themeColor="accent4" w:themeTint="66"/>
        <w:bottom w:val="single" w:sz="4" w:space="0" w:color="9BD2E8" w:themeColor="accent4" w:themeTint="66"/>
        <w:right w:val="single" w:sz="4" w:space="0" w:color="9BD2E8" w:themeColor="accent4" w:themeTint="66"/>
        <w:insideH w:val="single" w:sz="4" w:space="0" w:color="9BD2E8" w:themeColor="accent4" w:themeTint="66"/>
        <w:insideV w:val="single" w:sz="4" w:space="0" w:color="9BD2E8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69BCDC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9BCDC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F9D0B3" w:themeColor="accent5" w:themeTint="66"/>
        <w:left w:val="single" w:sz="4" w:space="0" w:color="F9D0B3" w:themeColor="accent5" w:themeTint="66"/>
        <w:bottom w:val="single" w:sz="4" w:space="0" w:color="F9D0B3" w:themeColor="accent5" w:themeTint="66"/>
        <w:right w:val="single" w:sz="4" w:space="0" w:color="F9D0B3" w:themeColor="accent5" w:themeTint="66"/>
        <w:insideH w:val="single" w:sz="4" w:space="0" w:color="F9D0B3" w:themeColor="accent5" w:themeTint="66"/>
        <w:insideV w:val="single" w:sz="4" w:space="0" w:color="F9D0B3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F6B88D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6B88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C4B5CD" w:themeColor="accent6" w:themeTint="66"/>
        <w:left w:val="single" w:sz="4" w:space="0" w:color="C4B5CD" w:themeColor="accent6" w:themeTint="66"/>
        <w:bottom w:val="single" w:sz="4" w:space="0" w:color="C4B5CD" w:themeColor="accent6" w:themeTint="66"/>
        <w:right w:val="single" w:sz="4" w:space="0" w:color="C4B5CD" w:themeColor="accent6" w:themeTint="66"/>
        <w:insideH w:val="single" w:sz="4" w:space="0" w:color="C4B5CD" w:themeColor="accent6" w:themeTint="66"/>
        <w:insideV w:val="single" w:sz="4" w:space="0" w:color="C4B5CD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A790B4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A790B4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9915C8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9915C8"/>
    <w:pPr>
      <w:spacing w:after="0" w:line="240" w:lineRule="auto"/>
    </w:pPr>
    <w:tblPr>
      <w:tblStyleRowBandSize w:val="1"/>
      <w:tblStyleColBandSize w:val="1"/>
      <w:tblBorders>
        <w:top w:val="single" w:sz="2" w:space="0" w:color="37FBE4" w:themeColor="accent1" w:themeTint="99"/>
        <w:bottom w:val="single" w:sz="2" w:space="0" w:color="37FBE4" w:themeColor="accent1" w:themeTint="99"/>
        <w:insideH w:val="single" w:sz="2" w:space="0" w:color="37FBE4" w:themeColor="accent1" w:themeTint="99"/>
        <w:insideV w:val="single" w:sz="2" w:space="0" w:color="37FBE4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37FBE4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37FBE4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CFDF6" w:themeFill="accent1" w:themeFillTint="33"/>
      </w:tcPr>
    </w:tblStylePr>
    <w:tblStylePr w:type="band1Horz">
      <w:tblPr/>
      <w:tcPr>
        <w:shd w:val="clear" w:color="auto" w:fill="BCFDF6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9915C8"/>
    <w:pPr>
      <w:spacing w:after="0" w:line="240" w:lineRule="auto"/>
    </w:pPr>
    <w:tblPr>
      <w:tblStyleRowBandSize w:val="1"/>
      <w:tblStyleColBandSize w:val="1"/>
      <w:tblBorders>
        <w:top w:val="single" w:sz="2" w:space="0" w:color="D87E7E" w:themeColor="accent2" w:themeTint="99"/>
        <w:bottom w:val="single" w:sz="2" w:space="0" w:color="D87E7E" w:themeColor="accent2" w:themeTint="99"/>
        <w:insideH w:val="single" w:sz="2" w:space="0" w:color="D87E7E" w:themeColor="accent2" w:themeTint="99"/>
        <w:insideV w:val="single" w:sz="2" w:space="0" w:color="D87E7E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87E7E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87E7E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D4D4" w:themeFill="accent2" w:themeFillTint="33"/>
      </w:tcPr>
    </w:tblStylePr>
    <w:tblStylePr w:type="band1Horz">
      <w:tblPr/>
      <w:tcPr>
        <w:shd w:val="clear" w:color="auto" w:fill="F2D4D4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9915C8"/>
    <w:pPr>
      <w:spacing w:after="0" w:line="240" w:lineRule="auto"/>
    </w:pPr>
    <w:tblPr>
      <w:tblStyleRowBandSize w:val="1"/>
      <w:tblStyleColBandSize w:val="1"/>
      <w:tblBorders>
        <w:top w:val="single" w:sz="2" w:space="0" w:color="F1DE92" w:themeColor="accent3" w:themeTint="99"/>
        <w:bottom w:val="single" w:sz="2" w:space="0" w:color="F1DE92" w:themeColor="accent3" w:themeTint="99"/>
        <w:insideH w:val="single" w:sz="2" w:space="0" w:color="F1DE92" w:themeColor="accent3" w:themeTint="99"/>
        <w:insideV w:val="single" w:sz="2" w:space="0" w:color="F1DE92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1DE92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1DE92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F4DA" w:themeFill="accent3" w:themeFillTint="33"/>
      </w:tcPr>
    </w:tblStylePr>
    <w:tblStylePr w:type="band1Horz">
      <w:tblPr/>
      <w:tcPr>
        <w:shd w:val="clear" w:color="auto" w:fill="FAF4DA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9915C8"/>
    <w:pPr>
      <w:spacing w:after="0" w:line="240" w:lineRule="auto"/>
    </w:pPr>
    <w:tblPr>
      <w:tblStyleRowBandSize w:val="1"/>
      <w:tblStyleColBandSize w:val="1"/>
      <w:tblBorders>
        <w:top w:val="single" w:sz="2" w:space="0" w:color="69BCDC" w:themeColor="accent4" w:themeTint="99"/>
        <w:bottom w:val="single" w:sz="2" w:space="0" w:color="69BCDC" w:themeColor="accent4" w:themeTint="99"/>
        <w:insideH w:val="single" w:sz="2" w:space="0" w:color="69BCDC" w:themeColor="accent4" w:themeTint="99"/>
        <w:insideV w:val="single" w:sz="2" w:space="0" w:color="69BCDC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9BCDC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9BCDC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E8F3" w:themeFill="accent4" w:themeFillTint="33"/>
      </w:tcPr>
    </w:tblStylePr>
    <w:tblStylePr w:type="band1Horz">
      <w:tblPr/>
      <w:tcPr>
        <w:shd w:val="clear" w:color="auto" w:fill="CDE8F3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9915C8"/>
    <w:pPr>
      <w:spacing w:after="0" w:line="240" w:lineRule="auto"/>
    </w:pPr>
    <w:tblPr>
      <w:tblStyleRowBandSize w:val="1"/>
      <w:tblStyleColBandSize w:val="1"/>
      <w:tblBorders>
        <w:top w:val="single" w:sz="2" w:space="0" w:color="F6B88D" w:themeColor="accent5" w:themeTint="99"/>
        <w:bottom w:val="single" w:sz="2" w:space="0" w:color="F6B88D" w:themeColor="accent5" w:themeTint="99"/>
        <w:insideH w:val="single" w:sz="2" w:space="0" w:color="F6B88D" w:themeColor="accent5" w:themeTint="99"/>
        <w:insideV w:val="single" w:sz="2" w:space="0" w:color="F6B88D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6B88D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6B88D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E7D9" w:themeFill="accent5" w:themeFillTint="33"/>
      </w:tcPr>
    </w:tblStylePr>
    <w:tblStylePr w:type="band1Horz">
      <w:tblPr/>
      <w:tcPr>
        <w:shd w:val="clear" w:color="auto" w:fill="FCE7D9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9915C8"/>
    <w:pPr>
      <w:spacing w:after="0" w:line="240" w:lineRule="auto"/>
    </w:pPr>
    <w:tblPr>
      <w:tblStyleRowBandSize w:val="1"/>
      <w:tblStyleColBandSize w:val="1"/>
      <w:tblBorders>
        <w:top w:val="single" w:sz="2" w:space="0" w:color="A790B4" w:themeColor="accent6" w:themeTint="99"/>
        <w:bottom w:val="single" w:sz="2" w:space="0" w:color="A790B4" w:themeColor="accent6" w:themeTint="99"/>
        <w:insideH w:val="single" w:sz="2" w:space="0" w:color="A790B4" w:themeColor="accent6" w:themeTint="99"/>
        <w:insideV w:val="single" w:sz="2" w:space="0" w:color="A790B4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A790B4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A790B4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DAE6" w:themeFill="accent6" w:themeFillTint="33"/>
      </w:tcPr>
    </w:tblStylePr>
    <w:tblStylePr w:type="band1Horz">
      <w:tblPr/>
      <w:tcPr>
        <w:shd w:val="clear" w:color="auto" w:fill="E1DAE6" w:themeFill="accent6" w:themeFillTint="33"/>
      </w:tcPr>
    </w:tblStylePr>
  </w:style>
  <w:style w:type="table" w:styleId="GridTable3">
    <w:name w:val="Grid Table 3"/>
    <w:basedOn w:val="TableNormal"/>
    <w:uiPriority w:val="48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37FBE4" w:themeColor="accent1" w:themeTint="99"/>
        <w:left w:val="single" w:sz="4" w:space="0" w:color="37FBE4" w:themeColor="accent1" w:themeTint="99"/>
        <w:bottom w:val="single" w:sz="4" w:space="0" w:color="37FBE4" w:themeColor="accent1" w:themeTint="99"/>
        <w:right w:val="single" w:sz="4" w:space="0" w:color="37FBE4" w:themeColor="accent1" w:themeTint="99"/>
        <w:insideH w:val="single" w:sz="4" w:space="0" w:color="37FBE4" w:themeColor="accent1" w:themeTint="99"/>
        <w:insideV w:val="single" w:sz="4" w:space="0" w:color="37FBE4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BCFDF6" w:themeFill="accent1" w:themeFillTint="33"/>
      </w:tcPr>
    </w:tblStylePr>
    <w:tblStylePr w:type="band1Horz">
      <w:tblPr/>
      <w:tcPr>
        <w:shd w:val="clear" w:color="auto" w:fill="BCFDF6" w:themeFill="accent1" w:themeFillTint="33"/>
      </w:tcPr>
    </w:tblStylePr>
    <w:tblStylePr w:type="neCell">
      <w:tblPr/>
      <w:tcPr>
        <w:tcBorders>
          <w:bottom w:val="single" w:sz="4" w:space="0" w:color="37FBE4" w:themeColor="accent1" w:themeTint="99"/>
        </w:tcBorders>
      </w:tcPr>
    </w:tblStylePr>
    <w:tblStylePr w:type="nwCell">
      <w:tblPr/>
      <w:tcPr>
        <w:tcBorders>
          <w:bottom w:val="single" w:sz="4" w:space="0" w:color="37FBE4" w:themeColor="accent1" w:themeTint="99"/>
        </w:tcBorders>
      </w:tcPr>
    </w:tblStylePr>
    <w:tblStylePr w:type="seCell">
      <w:tblPr/>
      <w:tcPr>
        <w:tcBorders>
          <w:top w:val="single" w:sz="4" w:space="0" w:color="37FBE4" w:themeColor="accent1" w:themeTint="99"/>
        </w:tcBorders>
      </w:tcPr>
    </w:tblStylePr>
    <w:tblStylePr w:type="swCell">
      <w:tblPr/>
      <w:tcPr>
        <w:tcBorders>
          <w:top w:val="single" w:sz="4" w:space="0" w:color="37FBE4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D87E7E" w:themeColor="accent2" w:themeTint="99"/>
        <w:left w:val="single" w:sz="4" w:space="0" w:color="D87E7E" w:themeColor="accent2" w:themeTint="99"/>
        <w:bottom w:val="single" w:sz="4" w:space="0" w:color="D87E7E" w:themeColor="accent2" w:themeTint="99"/>
        <w:right w:val="single" w:sz="4" w:space="0" w:color="D87E7E" w:themeColor="accent2" w:themeTint="99"/>
        <w:insideH w:val="single" w:sz="4" w:space="0" w:color="D87E7E" w:themeColor="accent2" w:themeTint="99"/>
        <w:insideV w:val="single" w:sz="4" w:space="0" w:color="D87E7E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D4D4" w:themeFill="accent2" w:themeFillTint="33"/>
      </w:tcPr>
    </w:tblStylePr>
    <w:tblStylePr w:type="band1Horz">
      <w:tblPr/>
      <w:tcPr>
        <w:shd w:val="clear" w:color="auto" w:fill="F2D4D4" w:themeFill="accent2" w:themeFillTint="33"/>
      </w:tcPr>
    </w:tblStylePr>
    <w:tblStylePr w:type="neCell">
      <w:tblPr/>
      <w:tcPr>
        <w:tcBorders>
          <w:bottom w:val="single" w:sz="4" w:space="0" w:color="D87E7E" w:themeColor="accent2" w:themeTint="99"/>
        </w:tcBorders>
      </w:tcPr>
    </w:tblStylePr>
    <w:tblStylePr w:type="nwCell">
      <w:tblPr/>
      <w:tcPr>
        <w:tcBorders>
          <w:bottom w:val="single" w:sz="4" w:space="0" w:color="D87E7E" w:themeColor="accent2" w:themeTint="99"/>
        </w:tcBorders>
      </w:tcPr>
    </w:tblStylePr>
    <w:tblStylePr w:type="seCell">
      <w:tblPr/>
      <w:tcPr>
        <w:tcBorders>
          <w:top w:val="single" w:sz="4" w:space="0" w:color="D87E7E" w:themeColor="accent2" w:themeTint="99"/>
        </w:tcBorders>
      </w:tcPr>
    </w:tblStylePr>
    <w:tblStylePr w:type="swCell">
      <w:tblPr/>
      <w:tcPr>
        <w:tcBorders>
          <w:top w:val="single" w:sz="4" w:space="0" w:color="D87E7E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F1DE92" w:themeColor="accent3" w:themeTint="99"/>
        <w:left w:val="single" w:sz="4" w:space="0" w:color="F1DE92" w:themeColor="accent3" w:themeTint="99"/>
        <w:bottom w:val="single" w:sz="4" w:space="0" w:color="F1DE92" w:themeColor="accent3" w:themeTint="99"/>
        <w:right w:val="single" w:sz="4" w:space="0" w:color="F1DE92" w:themeColor="accent3" w:themeTint="99"/>
        <w:insideH w:val="single" w:sz="4" w:space="0" w:color="F1DE92" w:themeColor="accent3" w:themeTint="99"/>
        <w:insideV w:val="single" w:sz="4" w:space="0" w:color="F1DE92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F4DA" w:themeFill="accent3" w:themeFillTint="33"/>
      </w:tcPr>
    </w:tblStylePr>
    <w:tblStylePr w:type="band1Horz">
      <w:tblPr/>
      <w:tcPr>
        <w:shd w:val="clear" w:color="auto" w:fill="FAF4DA" w:themeFill="accent3" w:themeFillTint="33"/>
      </w:tcPr>
    </w:tblStylePr>
    <w:tblStylePr w:type="neCell">
      <w:tblPr/>
      <w:tcPr>
        <w:tcBorders>
          <w:bottom w:val="single" w:sz="4" w:space="0" w:color="F1DE92" w:themeColor="accent3" w:themeTint="99"/>
        </w:tcBorders>
      </w:tcPr>
    </w:tblStylePr>
    <w:tblStylePr w:type="nwCell">
      <w:tblPr/>
      <w:tcPr>
        <w:tcBorders>
          <w:bottom w:val="single" w:sz="4" w:space="0" w:color="F1DE92" w:themeColor="accent3" w:themeTint="99"/>
        </w:tcBorders>
      </w:tcPr>
    </w:tblStylePr>
    <w:tblStylePr w:type="seCell">
      <w:tblPr/>
      <w:tcPr>
        <w:tcBorders>
          <w:top w:val="single" w:sz="4" w:space="0" w:color="F1DE92" w:themeColor="accent3" w:themeTint="99"/>
        </w:tcBorders>
      </w:tcPr>
    </w:tblStylePr>
    <w:tblStylePr w:type="swCell">
      <w:tblPr/>
      <w:tcPr>
        <w:tcBorders>
          <w:top w:val="single" w:sz="4" w:space="0" w:color="F1DE92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69BCDC" w:themeColor="accent4" w:themeTint="99"/>
        <w:left w:val="single" w:sz="4" w:space="0" w:color="69BCDC" w:themeColor="accent4" w:themeTint="99"/>
        <w:bottom w:val="single" w:sz="4" w:space="0" w:color="69BCDC" w:themeColor="accent4" w:themeTint="99"/>
        <w:right w:val="single" w:sz="4" w:space="0" w:color="69BCDC" w:themeColor="accent4" w:themeTint="99"/>
        <w:insideH w:val="single" w:sz="4" w:space="0" w:color="69BCDC" w:themeColor="accent4" w:themeTint="99"/>
        <w:insideV w:val="single" w:sz="4" w:space="0" w:color="69BCDC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DE8F3" w:themeFill="accent4" w:themeFillTint="33"/>
      </w:tcPr>
    </w:tblStylePr>
    <w:tblStylePr w:type="band1Horz">
      <w:tblPr/>
      <w:tcPr>
        <w:shd w:val="clear" w:color="auto" w:fill="CDE8F3" w:themeFill="accent4" w:themeFillTint="33"/>
      </w:tcPr>
    </w:tblStylePr>
    <w:tblStylePr w:type="neCell">
      <w:tblPr/>
      <w:tcPr>
        <w:tcBorders>
          <w:bottom w:val="single" w:sz="4" w:space="0" w:color="69BCDC" w:themeColor="accent4" w:themeTint="99"/>
        </w:tcBorders>
      </w:tcPr>
    </w:tblStylePr>
    <w:tblStylePr w:type="nwCell">
      <w:tblPr/>
      <w:tcPr>
        <w:tcBorders>
          <w:bottom w:val="single" w:sz="4" w:space="0" w:color="69BCDC" w:themeColor="accent4" w:themeTint="99"/>
        </w:tcBorders>
      </w:tcPr>
    </w:tblStylePr>
    <w:tblStylePr w:type="seCell">
      <w:tblPr/>
      <w:tcPr>
        <w:tcBorders>
          <w:top w:val="single" w:sz="4" w:space="0" w:color="69BCDC" w:themeColor="accent4" w:themeTint="99"/>
        </w:tcBorders>
      </w:tcPr>
    </w:tblStylePr>
    <w:tblStylePr w:type="swCell">
      <w:tblPr/>
      <w:tcPr>
        <w:tcBorders>
          <w:top w:val="single" w:sz="4" w:space="0" w:color="69BCDC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F6B88D" w:themeColor="accent5" w:themeTint="99"/>
        <w:left w:val="single" w:sz="4" w:space="0" w:color="F6B88D" w:themeColor="accent5" w:themeTint="99"/>
        <w:bottom w:val="single" w:sz="4" w:space="0" w:color="F6B88D" w:themeColor="accent5" w:themeTint="99"/>
        <w:right w:val="single" w:sz="4" w:space="0" w:color="F6B88D" w:themeColor="accent5" w:themeTint="99"/>
        <w:insideH w:val="single" w:sz="4" w:space="0" w:color="F6B88D" w:themeColor="accent5" w:themeTint="99"/>
        <w:insideV w:val="single" w:sz="4" w:space="0" w:color="F6B88D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CE7D9" w:themeFill="accent5" w:themeFillTint="33"/>
      </w:tcPr>
    </w:tblStylePr>
    <w:tblStylePr w:type="band1Horz">
      <w:tblPr/>
      <w:tcPr>
        <w:shd w:val="clear" w:color="auto" w:fill="FCE7D9" w:themeFill="accent5" w:themeFillTint="33"/>
      </w:tcPr>
    </w:tblStylePr>
    <w:tblStylePr w:type="neCell">
      <w:tblPr/>
      <w:tcPr>
        <w:tcBorders>
          <w:bottom w:val="single" w:sz="4" w:space="0" w:color="F6B88D" w:themeColor="accent5" w:themeTint="99"/>
        </w:tcBorders>
      </w:tcPr>
    </w:tblStylePr>
    <w:tblStylePr w:type="nwCell">
      <w:tblPr/>
      <w:tcPr>
        <w:tcBorders>
          <w:bottom w:val="single" w:sz="4" w:space="0" w:color="F6B88D" w:themeColor="accent5" w:themeTint="99"/>
        </w:tcBorders>
      </w:tcPr>
    </w:tblStylePr>
    <w:tblStylePr w:type="seCell">
      <w:tblPr/>
      <w:tcPr>
        <w:tcBorders>
          <w:top w:val="single" w:sz="4" w:space="0" w:color="F6B88D" w:themeColor="accent5" w:themeTint="99"/>
        </w:tcBorders>
      </w:tcPr>
    </w:tblStylePr>
    <w:tblStylePr w:type="swCell">
      <w:tblPr/>
      <w:tcPr>
        <w:tcBorders>
          <w:top w:val="single" w:sz="4" w:space="0" w:color="F6B88D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A790B4" w:themeColor="accent6" w:themeTint="99"/>
        <w:left w:val="single" w:sz="4" w:space="0" w:color="A790B4" w:themeColor="accent6" w:themeTint="99"/>
        <w:bottom w:val="single" w:sz="4" w:space="0" w:color="A790B4" w:themeColor="accent6" w:themeTint="99"/>
        <w:right w:val="single" w:sz="4" w:space="0" w:color="A790B4" w:themeColor="accent6" w:themeTint="99"/>
        <w:insideH w:val="single" w:sz="4" w:space="0" w:color="A790B4" w:themeColor="accent6" w:themeTint="99"/>
        <w:insideV w:val="single" w:sz="4" w:space="0" w:color="A790B4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1DAE6" w:themeFill="accent6" w:themeFillTint="33"/>
      </w:tcPr>
    </w:tblStylePr>
    <w:tblStylePr w:type="band1Horz">
      <w:tblPr/>
      <w:tcPr>
        <w:shd w:val="clear" w:color="auto" w:fill="E1DAE6" w:themeFill="accent6" w:themeFillTint="33"/>
      </w:tcPr>
    </w:tblStylePr>
    <w:tblStylePr w:type="neCell">
      <w:tblPr/>
      <w:tcPr>
        <w:tcBorders>
          <w:bottom w:val="single" w:sz="4" w:space="0" w:color="A790B4" w:themeColor="accent6" w:themeTint="99"/>
        </w:tcBorders>
      </w:tcPr>
    </w:tblStylePr>
    <w:tblStylePr w:type="nwCell">
      <w:tblPr/>
      <w:tcPr>
        <w:tcBorders>
          <w:bottom w:val="single" w:sz="4" w:space="0" w:color="A790B4" w:themeColor="accent6" w:themeTint="99"/>
        </w:tcBorders>
      </w:tcPr>
    </w:tblStylePr>
    <w:tblStylePr w:type="seCell">
      <w:tblPr/>
      <w:tcPr>
        <w:tcBorders>
          <w:top w:val="single" w:sz="4" w:space="0" w:color="A790B4" w:themeColor="accent6" w:themeTint="99"/>
        </w:tcBorders>
      </w:tcPr>
    </w:tblStylePr>
    <w:tblStylePr w:type="swCell">
      <w:tblPr/>
      <w:tcPr>
        <w:tcBorders>
          <w:top w:val="single" w:sz="4" w:space="0" w:color="A790B4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37FBE4" w:themeColor="accent1" w:themeTint="99"/>
        <w:left w:val="single" w:sz="4" w:space="0" w:color="37FBE4" w:themeColor="accent1" w:themeTint="99"/>
        <w:bottom w:val="single" w:sz="4" w:space="0" w:color="37FBE4" w:themeColor="accent1" w:themeTint="99"/>
        <w:right w:val="single" w:sz="4" w:space="0" w:color="37FBE4" w:themeColor="accent1" w:themeTint="99"/>
        <w:insideH w:val="single" w:sz="4" w:space="0" w:color="37FBE4" w:themeColor="accent1" w:themeTint="99"/>
        <w:insideV w:val="single" w:sz="4" w:space="0" w:color="37FBE4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3A996" w:themeColor="accent1"/>
          <w:left w:val="single" w:sz="4" w:space="0" w:color="03A996" w:themeColor="accent1"/>
          <w:bottom w:val="single" w:sz="4" w:space="0" w:color="03A996" w:themeColor="accent1"/>
          <w:right w:val="single" w:sz="4" w:space="0" w:color="03A996" w:themeColor="accent1"/>
          <w:insideH w:val="nil"/>
          <w:insideV w:val="nil"/>
        </w:tcBorders>
        <w:shd w:val="clear" w:color="auto" w:fill="03A996" w:themeFill="accent1"/>
      </w:tcPr>
    </w:tblStylePr>
    <w:tblStylePr w:type="lastRow">
      <w:rPr>
        <w:b/>
        <w:bCs/>
      </w:rPr>
      <w:tblPr/>
      <w:tcPr>
        <w:tcBorders>
          <w:top w:val="double" w:sz="4" w:space="0" w:color="03A996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CFDF6" w:themeFill="accent1" w:themeFillTint="33"/>
      </w:tcPr>
    </w:tblStylePr>
    <w:tblStylePr w:type="band1Horz">
      <w:tblPr/>
      <w:tcPr>
        <w:shd w:val="clear" w:color="auto" w:fill="BCFDF6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D87E7E" w:themeColor="accent2" w:themeTint="99"/>
        <w:left w:val="single" w:sz="4" w:space="0" w:color="D87E7E" w:themeColor="accent2" w:themeTint="99"/>
        <w:bottom w:val="single" w:sz="4" w:space="0" w:color="D87E7E" w:themeColor="accent2" w:themeTint="99"/>
        <w:right w:val="single" w:sz="4" w:space="0" w:color="D87E7E" w:themeColor="accent2" w:themeTint="99"/>
        <w:insideH w:val="single" w:sz="4" w:space="0" w:color="D87E7E" w:themeColor="accent2" w:themeTint="99"/>
        <w:insideV w:val="single" w:sz="4" w:space="0" w:color="D87E7E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33536" w:themeColor="accent2"/>
          <w:left w:val="single" w:sz="4" w:space="0" w:color="B33536" w:themeColor="accent2"/>
          <w:bottom w:val="single" w:sz="4" w:space="0" w:color="B33536" w:themeColor="accent2"/>
          <w:right w:val="single" w:sz="4" w:space="0" w:color="B33536" w:themeColor="accent2"/>
          <w:insideH w:val="nil"/>
          <w:insideV w:val="nil"/>
        </w:tcBorders>
        <w:shd w:val="clear" w:color="auto" w:fill="B33536" w:themeFill="accent2"/>
      </w:tcPr>
    </w:tblStylePr>
    <w:tblStylePr w:type="lastRow">
      <w:rPr>
        <w:b/>
        <w:bCs/>
      </w:rPr>
      <w:tblPr/>
      <w:tcPr>
        <w:tcBorders>
          <w:top w:val="double" w:sz="4" w:space="0" w:color="B3353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D4D4" w:themeFill="accent2" w:themeFillTint="33"/>
      </w:tcPr>
    </w:tblStylePr>
    <w:tblStylePr w:type="band1Horz">
      <w:tblPr/>
      <w:tcPr>
        <w:shd w:val="clear" w:color="auto" w:fill="F2D4D4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F1DE92" w:themeColor="accent3" w:themeTint="99"/>
        <w:left w:val="single" w:sz="4" w:space="0" w:color="F1DE92" w:themeColor="accent3" w:themeTint="99"/>
        <w:bottom w:val="single" w:sz="4" w:space="0" w:color="F1DE92" w:themeColor="accent3" w:themeTint="99"/>
        <w:right w:val="single" w:sz="4" w:space="0" w:color="F1DE92" w:themeColor="accent3" w:themeTint="99"/>
        <w:insideH w:val="single" w:sz="4" w:space="0" w:color="F1DE92" w:themeColor="accent3" w:themeTint="99"/>
        <w:insideV w:val="single" w:sz="4" w:space="0" w:color="F1DE92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8C94B" w:themeColor="accent3"/>
          <w:left w:val="single" w:sz="4" w:space="0" w:color="E8C94B" w:themeColor="accent3"/>
          <w:bottom w:val="single" w:sz="4" w:space="0" w:color="E8C94B" w:themeColor="accent3"/>
          <w:right w:val="single" w:sz="4" w:space="0" w:color="E8C94B" w:themeColor="accent3"/>
          <w:insideH w:val="nil"/>
          <w:insideV w:val="nil"/>
        </w:tcBorders>
        <w:shd w:val="clear" w:color="auto" w:fill="E8C94B" w:themeFill="accent3"/>
      </w:tcPr>
    </w:tblStylePr>
    <w:tblStylePr w:type="lastRow">
      <w:rPr>
        <w:b/>
        <w:bCs/>
      </w:rPr>
      <w:tblPr/>
      <w:tcPr>
        <w:tcBorders>
          <w:top w:val="double" w:sz="4" w:space="0" w:color="E8C94B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F4DA" w:themeFill="accent3" w:themeFillTint="33"/>
      </w:tcPr>
    </w:tblStylePr>
    <w:tblStylePr w:type="band1Horz">
      <w:tblPr/>
      <w:tcPr>
        <w:shd w:val="clear" w:color="auto" w:fill="FAF4DA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69BCDC" w:themeColor="accent4" w:themeTint="99"/>
        <w:left w:val="single" w:sz="4" w:space="0" w:color="69BCDC" w:themeColor="accent4" w:themeTint="99"/>
        <w:bottom w:val="single" w:sz="4" w:space="0" w:color="69BCDC" w:themeColor="accent4" w:themeTint="99"/>
        <w:right w:val="single" w:sz="4" w:space="0" w:color="69BCDC" w:themeColor="accent4" w:themeTint="99"/>
        <w:insideH w:val="single" w:sz="4" w:space="0" w:color="69BCDC" w:themeColor="accent4" w:themeTint="99"/>
        <w:insideV w:val="single" w:sz="4" w:space="0" w:color="69BCDC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2682A6" w:themeColor="accent4"/>
          <w:left w:val="single" w:sz="4" w:space="0" w:color="2682A6" w:themeColor="accent4"/>
          <w:bottom w:val="single" w:sz="4" w:space="0" w:color="2682A6" w:themeColor="accent4"/>
          <w:right w:val="single" w:sz="4" w:space="0" w:color="2682A6" w:themeColor="accent4"/>
          <w:insideH w:val="nil"/>
          <w:insideV w:val="nil"/>
        </w:tcBorders>
        <w:shd w:val="clear" w:color="auto" w:fill="2682A6" w:themeFill="accent4"/>
      </w:tcPr>
    </w:tblStylePr>
    <w:tblStylePr w:type="lastRow">
      <w:rPr>
        <w:b/>
        <w:bCs/>
      </w:rPr>
      <w:tblPr/>
      <w:tcPr>
        <w:tcBorders>
          <w:top w:val="double" w:sz="4" w:space="0" w:color="2682A6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E8F3" w:themeFill="accent4" w:themeFillTint="33"/>
      </w:tcPr>
    </w:tblStylePr>
    <w:tblStylePr w:type="band1Horz">
      <w:tblPr/>
      <w:tcPr>
        <w:shd w:val="clear" w:color="auto" w:fill="CDE8F3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F6B88D" w:themeColor="accent5" w:themeTint="99"/>
        <w:left w:val="single" w:sz="4" w:space="0" w:color="F6B88D" w:themeColor="accent5" w:themeTint="99"/>
        <w:bottom w:val="single" w:sz="4" w:space="0" w:color="F6B88D" w:themeColor="accent5" w:themeTint="99"/>
        <w:right w:val="single" w:sz="4" w:space="0" w:color="F6B88D" w:themeColor="accent5" w:themeTint="99"/>
        <w:insideH w:val="single" w:sz="4" w:space="0" w:color="F6B88D" w:themeColor="accent5" w:themeTint="99"/>
        <w:insideV w:val="single" w:sz="4" w:space="0" w:color="F6B88D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08A42" w:themeColor="accent5"/>
          <w:left w:val="single" w:sz="4" w:space="0" w:color="F08A42" w:themeColor="accent5"/>
          <w:bottom w:val="single" w:sz="4" w:space="0" w:color="F08A42" w:themeColor="accent5"/>
          <w:right w:val="single" w:sz="4" w:space="0" w:color="F08A42" w:themeColor="accent5"/>
          <w:insideH w:val="nil"/>
          <w:insideV w:val="nil"/>
        </w:tcBorders>
        <w:shd w:val="clear" w:color="auto" w:fill="F08A42" w:themeFill="accent5"/>
      </w:tcPr>
    </w:tblStylePr>
    <w:tblStylePr w:type="lastRow">
      <w:rPr>
        <w:b/>
        <w:bCs/>
      </w:rPr>
      <w:tblPr/>
      <w:tcPr>
        <w:tcBorders>
          <w:top w:val="double" w:sz="4" w:space="0" w:color="F08A42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E7D9" w:themeFill="accent5" w:themeFillTint="33"/>
      </w:tcPr>
    </w:tblStylePr>
    <w:tblStylePr w:type="band1Horz">
      <w:tblPr/>
      <w:tcPr>
        <w:shd w:val="clear" w:color="auto" w:fill="FCE7D9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A790B4" w:themeColor="accent6" w:themeTint="99"/>
        <w:left w:val="single" w:sz="4" w:space="0" w:color="A790B4" w:themeColor="accent6" w:themeTint="99"/>
        <w:bottom w:val="single" w:sz="4" w:space="0" w:color="A790B4" w:themeColor="accent6" w:themeTint="99"/>
        <w:right w:val="single" w:sz="4" w:space="0" w:color="A790B4" w:themeColor="accent6" w:themeTint="99"/>
        <w:insideH w:val="single" w:sz="4" w:space="0" w:color="A790B4" w:themeColor="accent6" w:themeTint="99"/>
        <w:insideV w:val="single" w:sz="4" w:space="0" w:color="A790B4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6A5178" w:themeColor="accent6"/>
          <w:left w:val="single" w:sz="4" w:space="0" w:color="6A5178" w:themeColor="accent6"/>
          <w:bottom w:val="single" w:sz="4" w:space="0" w:color="6A5178" w:themeColor="accent6"/>
          <w:right w:val="single" w:sz="4" w:space="0" w:color="6A5178" w:themeColor="accent6"/>
          <w:insideH w:val="nil"/>
          <w:insideV w:val="nil"/>
        </w:tcBorders>
        <w:shd w:val="clear" w:color="auto" w:fill="6A5178" w:themeFill="accent6"/>
      </w:tcPr>
    </w:tblStylePr>
    <w:tblStylePr w:type="lastRow">
      <w:rPr>
        <w:b/>
        <w:bCs/>
      </w:rPr>
      <w:tblPr/>
      <w:tcPr>
        <w:tcBorders>
          <w:top w:val="double" w:sz="4" w:space="0" w:color="6A5178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DAE6" w:themeFill="accent6" w:themeFillTint="33"/>
      </w:tcPr>
    </w:tblStylePr>
    <w:tblStylePr w:type="band1Horz">
      <w:tblPr/>
      <w:tcPr>
        <w:shd w:val="clear" w:color="auto" w:fill="E1DAE6" w:themeFill="accent6" w:themeFillTint="33"/>
      </w:tcPr>
    </w:tblStylePr>
  </w:style>
  <w:style w:type="table" w:styleId="GridTable5Dark">
    <w:name w:val="Grid Table 5 Dark"/>
    <w:basedOn w:val="TableNormal"/>
    <w:uiPriority w:val="50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BCFDF6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3A996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3A996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3A996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3A996" w:themeFill="accent1"/>
      </w:tcPr>
    </w:tblStylePr>
    <w:tblStylePr w:type="band1Vert">
      <w:tblPr/>
      <w:tcPr>
        <w:shd w:val="clear" w:color="auto" w:fill="7AFCED" w:themeFill="accent1" w:themeFillTint="66"/>
      </w:tcPr>
    </w:tblStylePr>
    <w:tblStylePr w:type="band1Horz">
      <w:tblPr/>
      <w:tcPr>
        <w:shd w:val="clear" w:color="auto" w:fill="7AFCED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D4D4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33536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33536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B33536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B33536" w:themeFill="accent2"/>
      </w:tcPr>
    </w:tblStylePr>
    <w:tblStylePr w:type="band1Vert">
      <w:tblPr/>
      <w:tcPr>
        <w:shd w:val="clear" w:color="auto" w:fill="E5A9A9" w:themeFill="accent2" w:themeFillTint="66"/>
      </w:tcPr>
    </w:tblStylePr>
    <w:tblStylePr w:type="band1Horz">
      <w:tblPr/>
      <w:tcPr>
        <w:shd w:val="clear" w:color="auto" w:fill="E5A9A9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F4DA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8C94B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8C94B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8C94B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8C94B" w:themeFill="accent3"/>
      </w:tcPr>
    </w:tblStylePr>
    <w:tblStylePr w:type="band1Vert">
      <w:tblPr/>
      <w:tcPr>
        <w:shd w:val="clear" w:color="auto" w:fill="F5E9B6" w:themeFill="accent3" w:themeFillTint="66"/>
      </w:tcPr>
    </w:tblStylePr>
    <w:tblStylePr w:type="band1Horz">
      <w:tblPr/>
      <w:tcPr>
        <w:shd w:val="clear" w:color="auto" w:fill="F5E9B6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DE8F3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2682A6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2682A6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2682A6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2682A6" w:themeFill="accent4"/>
      </w:tcPr>
    </w:tblStylePr>
    <w:tblStylePr w:type="band1Vert">
      <w:tblPr/>
      <w:tcPr>
        <w:shd w:val="clear" w:color="auto" w:fill="9BD2E8" w:themeFill="accent4" w:themeFillTint="66"/>
      </w:tcPr>
    </w:tblStylePr>
    <w:tblStylePr w:type="band1Horz">
      <w:tblPr/>
      <w:tcPr>
        <w:shd w:val="clear" w:color="auto" w:fill="9BD2E8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E7D9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08A42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08A42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F08A42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F08A42" w:themeFill="accent5"/>
      </w:tcPr>
    </w:tblStylePr>
    <w:tblStylePr w:type="band1Vert">
      <w:tblPr/>
      <w:tcPr>
        <w:shd w:val="clear" w:color="auto" w:fill="F9D0B3" w:themeFill="accent5" w:themeFillTint="66"/>
      </w:tcPr>
    </w:tblStylePr>
    <w:tblStylePr w:type="band1Horz">
      <w:tblPr/>
      <w:tcPr>
        <w:shd w:val="clear" w:color="auto" w:fill="F9D0B3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1DAE6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6A5178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6A5178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6A5178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6A5178" w:themeFill="accent6"/>
      </w:tcPr>
    </w:tblStylePr>
    <w:tblStylePr w:type="band1Vert">
      <w:tblPr/>
      <w:tcPr>
        <w:shd w:val="clear" w:color="auto" w:fill="C4B5CD" w:themeFill="accent6" w:themeFillTint="66"/>
      </w:tcPr>
    </w:tblStylePr>
    <w:tblStylePr w:type="band1Horz">
      <w:tblPr/>
      <w:tcPr>
        <w:shd w:val="clear" w:color="auto" w:fill="C4B5CD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9915C8"/>
    <w:pPr>
      <w:spacing w:after="0" w:line="240" w:lineRule="auto"/>
    </w:pPr>
    <w:rPr>
      <w:color w:val="027E6F" w:themeColor="accent1" w:themeShade="BF"/>
    </w:rPr>
    <w:tblPr>
      <w:tblStyleRowBandSize w:val="1"/>
      <w:tblStyleColBandSize w:val="1"/>
      <w:tblBorders>
        <w:top w:val="single" w:sz="4" w:space="0" w:color="37FBE4" w:themeColor="accent1" w:themeTint="99"/>
        <w:left w:val="single" w:sz="4" w:space="0" w:color="37FBE4" w:themeColor="accent1" w:themeTint="99"/>
        <w:bottom w:val="single" w:sz="4" w:space="0" w:color="37FBE4" w:themeColor="accent1" w:themeTint="99"/>
        <w:right w:val="single" w:sz="4" w:space="0" w:color="37FBE4" w:themeColor="accent1" w:themeTint="99"/>
        <w:insideH w:val="single" w:sz="4" w:space="0" w:color="37FBE4" w:themeColor="accent1" w:themeTint="99"/>
        <w:insideV w:val="single" w:sz="4" w:space="0" w:color="37FBE4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37FBE4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37FBE4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CFDF6" w:themeFill="accent1" w:themeFillTint="33"/>
      </w:tcPr>
    </w:tblStylePr>
    <w:tblStylePr w:type="band1Horz">
      <w:tblPr/>
      <w:tcPr>
        <w:shd w:val="clear" w:color="auto" w:fill="BCFDF6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9915C8"/>
    <w:pPr>
      <w:spacing w:after="0" w:line="240" w:lineRule="auto"/>
    </w:pPr>
    <w:rPr>
      <w:color w:val="852728" w:themeColor="accent2" w:themeShade="BF"/>
    </w:rPr>
    <w:tblPr>
      <w:tblStyleRowBandSize w:val="1"/>
      <w:tblStyleColBandSize w:val="1"/>
      <w:tblBorders>
        <w:top w:val="single" w:sz="4" w:space="0" w:color="D87E7E" w:themeColor="accent2" w:themeTint="99"/>
        <w:left w:val="single" w:sz="4" w:space="0" w:color="D87E7E" w:themeColor="accent2" w:themeTint="99"/>
        <w:bottom w:val="single" w:sz="4" w:space="0" w:color="D87E7E" w:themeColor="accent2" w:themeTint="99"/>
        <w:right w:val="single" w:sz="4" w:space="0" w:color="D87E7E" w:themeColor="accent2" w:themeTint="99"/>
        <w:insideH w:val="single" w:sz="4" w:space="0" w:color="D87E7E" w:themeColor="accent2" w:themeTint="99"/>
        <w:insideV w:val="single" w:sz="4" w:space="0" w:color="D87E7E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D87E7E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87E7E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D4D4" w:themeFill="accent2" w:themeFillTint="33"/>
      </w:tcPr>
    </w:tblStylePr>
    <w:tblStylePr w:type="band1Horz">
      <w:tblPr/>
      <w:tcPr>
        <w:shd w:val="clear" w:color="auto" w:fill="F2D4D4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9915C8"/>
    <w:pPr>
      <w:spacing w:after="0" w:line="240" w:lineRule="auto"/>
    </w:pPr>
    <w:rPr>
      <w:color w:val="CBA81A" w:themeColor="accent3" w:themeShade="BF"/>
    </w:rPr>
    <w:tblPr>
      <w:tblStyleRowBandSize w:val="1"/>
      <w:tblStyleColBandSize w:val="1"/>
      <w:tblBorders>
        <w:top w:val="single" w:sz="4" w:space="0" w:color="F1DE92" w:themeColor="accent3" w:themeTint="99"/>
        <w:left w:val="single" w:sz="4" w:space="0" w:color="F1DE92" w:themeColor="accent3" w:themeTint="99"/>
        <w:bottom w:val="single" w:sz="4" w:space="0" w:color="F1DE92" w:themeColor="accent3" w:themeTint="99"/>
        <w:right w:val="single" w:sz="4" w:space="0" w:color="F1DE92" w:themeColor="accent3" w:themeTint="99"/>
        <w:insideH w:val="single" w:sz="4" w:space="0" w:color="F1DE92" w:themeColor="accent3" w:themeTint="99"/>
        <w:insideV w:val="single" w:sz="4" w:space="0" w:color="F1DE92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F1DE92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1DE92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F4DA" w:themeFill="accent3" w:themeFillTint="33"/>
      </w:tcPr>
    </w:tblStylePr>
    <w:tblStylePr w:type="band1Horz">
      <w:tblPr/>
      <w:tcPr>
        <w:shd w:val="clear" w:color="auto" w:fill="FAF4DA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9915C8"/>
    <w:pPr>
      <w:spacing w:after="0" w:line="240" w:lineRule="auto"/>
    </w:pPr>
    <w:rPr>
      <w:color w:val="1C617C" w:themeColor="accent4" w:themeShade="BF"/>
    </w:rPr>
    <w:tblPr>
      <w:tblStyleRowBandSize w:val="1"/>
      <w:tblStyleColBandSize w:val="1"/>
      <w:tblBorders>
        <w:top w:val="single" w:sz="4" w:space="0" w:color="69BCDC" w:themeColor="accent4" w:themeTint="99"/>
        <w:left w:val="single" w:sz="4" w:space="0" w:color="69BCDC" w:themeColor="accent4" w:themeTint="99"/>
        <w:bottom w:val="single" w:sz="4" w:space="0" w:color="69BCDC" w:themeColor="accent4" w:themeTint="99"/>
        <w:right w:val="single" w:sz="4" w:space="0" w:color="69BCDC" w:themeColor="accent4" w:themeTint="99"/>
        <w:insideH w:val="single" w:sz="4" w:space="0" w:color="69BCDC" w:themeColor="accent4" w:themeTint="99"/>
        <w:insideV w:val="single" w:sz="4" w:space="0" w:color="69BCDC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69BCDC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9BCDC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E8F3" w:themeFill="accent4" w:themeFillTint="33"/>
      </w:tcPr>
    </w:tblStylePr>
    <w:tblStylePr w:type="band1Horz">
      <w:tblPr/>
      <w:tcPr>
        <w:shd w:val="clear" w:color="auto" w:fill="CDE8F3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9915C8"/>
    <w:pPr>
      <w:spacing w:after="0" w:line="240" w:lineRule="auto"/>
    </w:pPr>
    <w:rPr>
      <w:color w:val="D46111" w:themeColor="accent5" w:themeShade="BF"/>
    </w:rPr>
    <w:tblPr>
      <w:tblStyleRowBandSize w:val="1"/>
      <w:tblStyleColBandSize w:val="1"/>
      <w:tblBorders>
        <w:top w:val="single" w:sz="4" w:space="0" w:color="F6B88D" w:themeColor="accent5" w:themeTint="99"/>
        <w:left w:val="single" w:sz="4" w:space="0" w:color="F6B88D" w:themeColor="accent5" w:themeTint="99"/>
        <w:bottom w:val="single" w:sz="4" w:space="0" w:color="F6B88D" w:themeColor="accent5" w:themeTint="99"/>
        <w:right w:val="single" w:sz="4" w:space="0" w:color="F6B88D" w:themeColor="accent5" w:themeTint="99"/>
        <w:insideH w:val="single" w:sz="4" w:space="0" w:color="F6B88D" w:themeColor="accent5" w:themeTint="99"/>
        <w:insideV w:val="single" w:sz="4" w:space="0" w:color="F6B88D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F6B88D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6B88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E7D9" w:themeFill="accent5" w:themeFillTint="33"/>
      </w:tcPr>
    </w:tblStylePr>
    <w:tblStylePr w:type="band1Horz">
      <w:tblPr/>
      <w:tcPr>
        <w:shd w:val="clear" w:color="auto" w:fill="FCE7D9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9915C8"/>
    <w:pPr>
      <w:spacing w:after="0" w:line="240" w:lineRule="auto"/>
    </w:pPr>
    <w:rPr>
      <w:color w:val="4F3C59" w:themeColor="accent6" w:themeShade="BF"/>
    </w:rPr>
    <w:tblPr>
      <w:tblStyleRowBandSize w:val="1"/>
      <w:tblStyleColBandSize w:val="1"/>
      <w:tblBorders>
        <w:top w:val="single" w:sz="4" w:space="0" w:color="A790B4" w:themeColor="accent6" w:themeTint="99"/>
        <w:left w:val="single" w:sz="4" w:space="0" w:color="A790B4" w:themeColor="accent6" w:themeTint="99"/>
        <w:bottom w:val="single" w:sz="4" w:space="0" w:color="A790B4" w:themeColor="accent6" w:themeTint="99"/>
        <w:right w:val="single" w:sz="4" w:space="0" w:color="A790B4" w:themeColor="accent6" w:themeTint="99"/>
        <w:insideH w:val="single" w:sz="4" w:space="0" w:color="A790B4" w:themeColor="accent6" w:themeTint="99"/>
        <w:insideV w:val="single" w:sz="4" w:space="0" w:color="A790B4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A790B4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A790B4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DAE6" w:themeFill="accent6" w:themeFillTint="33"/>
      </w:tcPr>
    </w:tblStylePr>
    <w:tblStylePr w:type="band1Horz">
      <w:tblPr/>
      <w:tcPr>
        <w:shd w:val="clear" w:color="auto" w:fill="E1DAE6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9915C8"/>
    <w:pPr>
      <w:spacing w:after="0" w:line="240" w:lineRule="auto"/>
    </w:pPr>
    <w:rPr>
      <w:color w:val="027E6F" w:themeColor="accent1" w:themeShade="BF"/>
    </w:rPr>
    <w:tblPr>
      <w:tblStyleRowBandSize w:val="1"/>
      <w:tblStyleColBandSize w:val="1"/>
      <w:tblBorders>
        <w:top w:val="single" w:sz="4" w:space="0" w:color="37FBE4" w:themeColor="accent1" w:themeTint="99"/>
        <w:left w:val="single" w:sz="4" w:space="0" w:color="37FBE4" w:themeColor="accent1" w:themeTint="99"/>
        <w:bottom w:val="single" w:sz="4" w:space="0" w:color="37FBE4" w:themeColor="accent1" w:themeTint="99"/>
        <w:right w:val="single" w:sz="4" w:space="0" w:color="37FBE4" w:themeColor="accent1" w:themeTint="99"/>
        <w:insideH w:val="single" w:sz="4" w:space="0" w:color="37FBE4" w:themeColor="accent1" w:themeTint="99"/>
        <w:insideV w:val="single" w:sz="4" w:space="0" w:color="37FBE4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BCFDF6" w:themeFill="accent1" w:themeFillTint="33"/>
      </w:tcPr>
    </w:tblStylePr>
    <w:tblStylePr w:type="band1Horz">
      <w:tblPr/>
      <w:tcPr>
        <w:shd w:val="clear" w:color="auto" w:fill="BCFDF6" w:themeFill="accent1" w:themeFillTint="33"/>
      </w:tcPr>
    </w:tblStylePr>
    <w:tblStylePr w:type="neCell">
      <w:tblPr/>
      <w:tcPr>
        <w:tcBorders>
          <w:bottom w:val="single" w:sz="4" w:space="0" w:color="37FBE4" w:themeColor="accent1" w:themeTint="99"/>
        </w:tcBorders>
      </w:tcPr>
    </w:tblStylePr>
    <w:tblStylePr w:type="nwCell">
      <w:tblPr/>
      <w:tcPr>
        <w:tcBorders>
          <w:bottom w:val="single" w:sz="4" w:space="0" w:color="37FBE4" w:themeColor="accent1" w:themeTint="99"/>
        </w:tcBorders>
      </w:tcPr>
    </w:tblStylePr>
    <w:tblStylePr w:type="seCell">
      <w:tblPr/>
      <w:tcPr>
        <w:tcBorders>
          <w:top w:val="single" w:sz="4" w:space="0" w:color="37FBE4" w:themeColor="accent1" w:themeTint="99"/>
        </w:tcBorders>
      </w:tcPr>
    </w:tblStylePr>
    <w:tblStylePr w:type="swCell">
      <w:tblPr/>
      <w:tcPr>
        <w:tcBorders>
          <w:top w:val="single" w:sz="4" w:space="0" w:color="37FBE4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9915C8"/>
    <w:pPr>
      <w:spacing w:after="0" w:line="240" w:lineRule="auto"/>
    </w:pPr>
    <w:rPr>
      <w:color w:val="852728" w:themeColor="accent2" w:themeShade="BF"/>
    </w:rPr>
    <w:tblPr>
      <w:tblStyleRowBandSize w:val="1"/>
      <w:tblStyleColBandSize w:val="1"/>
      <w:tblBorders>
        <w:top w:val="single" w:sz="4" w:space="0" w:color="D87E7E" w:themeColor="accent2" w:themeTint="99"/>
        <w:left w:val="single" w:sz="4" w:space="0" w:color="D87E7E" w:themeColor="accent2" w:themeTint="99"/>
        <w:bottom w:val="single" w:sz="4" w:space="0" w:color="D87E7E" w:themeColor="accent2" w:themeTint="99"/>
        <w:right w:val="single" w:sz="4" w:space="0" w:color="D87E7E" w:themeColor="accent2" w:themeTint="99"/>
        <w:insideH w:val="single" w:sz="4" w:space="0" w:color="D87E7E" w:themeColor="accent2" w:themeTint="99"/>
        <w:insideV w:val="single" w:sz="4" w:space="0" w:color="D87E7E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D4D4" w:themeFill="accent2" w:themeFillTint="33"/>
      </w:tcPr>
    </w:tblStylePr>
    <w:tblStylePr w:type="band1Horz">
      <w:tblPr/>
      <w:tcPr>
        <w:shd w:val="clear" w:color="auto" w:fill="F2D4D4" w:themeFill="accent2" w:themeFillTint="33"/>
      </w:tcPr>
    </w:tblStylePr>
    <w:tblStylePr w:type="neCell">
      <w:tblPr/>
      <w:tcPr>
        <w:tcBorders>
          <w:bottom w:val="single" w:sz="4" w:space="0" w:color="D87E7E" w:themeColor="accent2" w:themeTint="99"/>
        </w:tcBorders>
      </w:tcPr>
    </w:tblStylePr>
    <w:tblStylePr w:type="nwCell">
      <w:tblPr/>
      <w:tcPr>
        <w:tcBorders>
          <w:bottom w:val="single" w:sz="4" w:space="0" w:color="D87E7E" w:themeColor="accent2" w:themeTint="99"/>
        </w:tcBorders>
      </w:tcPr>
    </w:tblStylePr>
    <w:tblStylePr w:type="seCell">
      <w:tblPr/>
      <w:tcPr>
        <w:tcBorders>
          <w:top w:val="single" w:sz="4" w:space="0" w:color="D87E7E" w:themeColor="accent2" w:themeTint="99"/>
        </w:tcBorders>
      </w:tcPr>
    </w:tblStylePr>
    <w:tblStylePr w:type="swCell">
      <w:tblPr/>
      <w:tcPr>
        <w:tcBorders>
          <w:top w:val="single" w:sz="4" w:space="0" w:color="D87E7E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9915C8"/>
    <w:pPr>
      <w:spacing w:after="0" w:line="240" w:lineRule="auto"/>
    </w:pPr>
    <w:rPr>
      <w:color w:val="CBA81A" w:themeColor="accent3" w:themeShade="BF"/>
    </w:rPr>
    <w:tblPr>
      <w:tblStyleRowBandSize w:val="1"/>
      <w:tblStyleColBandSize w:val="1"/>
      <w:tblBorders>
        <w:top w:val="single" w:sz="4" w:space="0" w:color="F1DE92" w:themeColor="accent3" w:themeTint="99"/>
        <w:left w:val="single" w:sz="4" w:space="0" w:color="F1DE92" w:themeColor="accent3" w:themeTint="99"/>
        <w:bottom w:val="single" w:sz="4" w:space="0" w:color="F1DE92" w:themeColor="accent3" w:themeTint="99"/>
        <w:right w:val="single" w:sz="4" w:space="0" w:color="F1DE92" w:themeColor="accent3" w:themeTint="99"/>
        <w:insideH w:val="single" w:sz="4" w:space="0" w:color="F1DE92" w:themeColor="accent3" w:themeTint="99"/>
        <w:insideV w:val="single" w:sz="4" w:space="0" w:color="F1DE92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F4DA" w:themeFill="accent3" w:themeFillTint="33"/>
      </w:tcPr>
    </w:tblStylePr>
    <w:tblStylePr w:type="band1Horz">
      <w:tblPr/>
      <w:tcPr>
        <w:shd w:val="clear" w:color="auto" w:fill="FAF4DA" w:themeFill="accent3" w:themeFillTint="33"/>
      </w:tcPr>
    </w:tblStylePr>
    <w:tblStylePr w:type="neCell">
      <w:tblPr/>
      <w:tcPr>
        <w:tcBorders>
          <w:bottom w:val="single" w:sz="4" w:space="0" w:color="F1DE92" w:themeColor="accent3" w:themeTint="99"/>
        </w:tcBorders>
      </w:tcPr>
    </w:tblStylePr>
    <w:tblStylePr w:type="nwCell">
      <w:tblPr/>
      <w:tcPr>
        <w:tcBorders>
          <w:bottom w:val="single" w:sz="4" w:space="0" w:color="F1DE92" w:themeColor="accent3" w:themeTint="99"/>
        </w:tcBorders>
      </w:tcPr>
    </w:tblStylePr>
    <w:tblStylePr w:type="seCell">
      <w:tblPr/>
      <w:tcPr>
        <w:tcBorders>
          <w:top w:val="single" w:sz="4" w:space="0" w:color="F1DE92" w:themeColor="accent3" w:themeTint="99"/>
        </w:tcBorders>
      </w:tcPr>
    </w:tblStylePr>
    <w:tblStylePr w:type="swCell">
      <w:tblPr/>
      <w:tcPr>
        <w:tcBorders>
          <w:top w:val="single" w:sz="4" w:space="0" w:color="F1DE92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9915C8"/>
    <w:pPr>
      <w:spacing w:after="0" w:line="240" w:lineRule="auto"/>
    </w:pPr>
    <w:rPr>
      <w:color w:val="1C617C" w:themeColor="accent4" w:themeShade="BF"/>
    </w:rPr>
    <w:tblPr>
      <w:tblStyleRowBandSize w:val="1"/>
      <w:tblStyleColBandSize w:val="1"/>
      <w:tblBorders>
        <w:top w:val="single" w:sz="4" w:space="0" w:color="69BCDC" w:themeColor="accent4" w:themeTint="99"/>
        <w:left w:val="single" w:sz="4" w:space="0" w:color="69BCDC" w:themeColor="accent4" w:themeTint="99"/>
        <w:bottom w:val="single" w:sz="4" w:space="0" w:color="69BCDC" w:themeColor="accent4" w:themeTint="99"/>
        <w:right w:val="single" w:sz="4" w:space="0" w:color="69BCDC" w:themeColor="accent4" w:themeTint="99"/>
        <w:insideH w:val="single" w:sz="4" w:space="0" w:color="69BCDC" w:themeColor="accent4" w:themeTint="99"/>
        <w:insideV w:val="single" w:sz="4" w:space="0" w:color="69BCDC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DE8F3" w:themeFill="accent4" w:themeFillTint="33"/>
      </w:tcPr>
    </w:tblStylePr>
    <w:tblStylePr w:type="band1Horz">
      <w:tblPr/>
      <w:tcPr>
        <w:shd w:val="clear" w:color="auto" w:fill="CDE8F3" w:themeFill="accent4" w:themeFillTint="33"/>
      </w:tcPr>
    </w:tblStylePr>
    <w:tblStylePr w:type="neCell">
      <w:tblPr/>
      <w:tcPr>
        <w:tcBorders>
          <w:bottom w:val="single" w:sz="4" w:space="0" w:color="69BCDC" w:themeColor="accent4" w:themeTint="99"/>
        </w:tcBorders>
      </w:tcPr>
    </w:tblStylePr>
    <w:tblStylePr w:type="nwCell">
      <w:tblPr/>
      <w:tcPr>
        <w:tcBorders>
          <w:bottom w:val="single" w:sz="4" w:space="0" w:color="69BCDC" w:themeColor="accent4" w:themeTint="99"/>
        </w:tcBorders>
      </w:tcPr>
    </w:tblStylePr>
    <w:tblStylePr w:type="seCell">
      <w:tblPr/>
      <w:tcPr>
        <w:tcBorders>
          <w:top w:val="single" w:sz="4" w:space="0" w:color="69BCDC" w:themeColor="accent4" w:themeTint="99"/>
        </w:tcBorders>
      </w:tcPr>
    </w:tblStylePr>
    <w:tblStylePr w:type="swCell">
      <w:tblPr/>
      <w:tcPr>
        <w:tcBorders>
          <w:top w:val="single" w:sz="4" w:space="0" w:color="69BCDC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9915C8"/>
    <w:pPr>
      <w:spacing w:after="0" w:line="240" w:lineRule="auto"/>
    </w:pPr>
    <w:rPr>
      <w:color w:val="D46111" w:themeColor="accent5" w:themeShade="BF"/>
    </w:rPr>
    <w:tblPr>
      <w:tblStyleRowBandSize w:val="1"/>
      <w:tblStyleColBandSize w:val="1"/>
      <w:tblBorders>
        <w:top w:val="single" w:sz="4" w:space="0" w:color="F6B88D" w:themeColor="accent5" w:themeTint="99"/>
        <w:left w:val="single" w:sz="4" w:space="0" w:color="F6B88D" w:themeColor="accent5" w:themeTint="99"/>
        <w:bottom w:val="single" w:sz="4" w:space="0" w:color="F6B88D" w:themeColor="accent5" w:themeTint="99"/>
        <w:right w:val="single" w:sz="4" w:space="0" w:color="F6B88D" w:themeColor="accent5" w:themeTint="99"/>
        <w:insideH w:val="single" w:sz="4" w:space="0" w:color="F6B88D" w:themeColor="accent5" w:themeTint="99"/>
        <w:insideV w:val="single" w:sz="4" w:space="0" w:color="F6B88D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CE7D9" w:themeFill="accent5" w:themeFillTint="33"/>
      </w:tcPr>
    </w:tblStylePr>
    <w:tblStylePr w:type="band1Horz">
      <w:tblPr/>
      <w:tcPr>
        <w:shd w:val="clear" w:color="auto" w:fill="FCE7D9" w:themeFill="accent5" w:themeFillTint="33"/>
      </w:tcPr>
    </w:tblStylePr>
    <w:tblStylePr w:type="neCell">
      <w:tblPr/>
      <w:tcPr>
        <w:tcBorders>
          <w:bottom w:val="single" w:sz="4" w:space="0" w:color="F6B88D" w:themeColor="accent5" w:themeTint="99"/>
        </w:tcBorders>
      </w:tcPr>
    </w:tblStylePr>
    <w:tblStylePr w:type="nwCell">
      <w:tblPr/>
      <w:tcPr>
        <w:tcBorders>
          <w:bottom w:val="single" w:sz="4" w:space="0" w:color="F6B88D" w:themeColor="accent5" w:themeTint="99"/>
        </w:tcBorders>
      </w:tcPr>
    </w:tblStylePr>
    <w:tblStylePr w:type="seCell">
      <w:tblPr/>
      <w:tcPr>
        <w:tcBorders>
          <w:top w:val="single" w:sz="4" w:space="0" w:color="F6B88D" w:themeColor="accent5" w:themeTint="99"/>
        </w:tcBorders>
      </w:tcPr>
    </w:tblStylePr>
    <w:tblStylePr w:type="swCell">
      <w:tblPr/>
      <w:tcPr>
        <w:tcBorders>
          <w:top w:val="single" w:sz="4" w:space="0" w:color="F6B88D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9915C8"/>
    <w:pPr>
      <w:spacing w:after="0" w:line="240" w:lineRule="auto"/>
    </w:pPr>
    <w:rPr>
      <w:color w:val="4F3C59" w:themeColor="accent6" w:themeShade="BF"/>
    </w:rPr>
    <w:tblPr>
      <w:tblStyleRowBandSize w:val="1"/>
      <w:tblStyleColBandSize w:val="1"/>
      <w:tblBorders>
        <w:top w:val="single" w:sz="4" w:space="0" w:color="A790B4" w:themeColor="accent6" w:themeTint="99"/>
        <w:left w:val="single" w:sz="4" w:space="0" w:color="A790B4" w:themeColor="accent6" w:themeTint="99"/>
        <w:bottom w:val="single" w:sz="4" w:space="0" w:color="A790B4" w:themeColor="accent6" w:themeTint="99"/>
        <w:right w:val="single" w:sz="4" w:space="0" w:color="A790B4" w:themeColor="accent6" w:themeTint="99"/>
        <w:insideH w:val="single" w:sz="4" w:space="0" w:color="A790B4" w:themeColor="accent6" w:themeTint="99"/>
        <w:insideV w:val="single" w:sz="4" w:space="0" w:color="A790B4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1DAE6" w:themeFill="accent6" w:themeFillTint="33"/>
      </w:tcPr>
    </w:tblStylePr>
    <w:tblStylePr w:type="band1Horz">
      <w:tblPr/>
      <w:tcPr>
        <w:shd w:val="clear" w:color="auto" w:fill="E1DAE6" w:themeFill="accent6" w:themeFillTint="33"/>
      </w:tcPr>
    </w:tblStylePr>
    <w:tblStylePr w:type="neCell">
      <w:tblPr/>
      <w:tcPr>
        <w:tcBorders>
          <w:bottom w:val="single" w:sz="4" w:space="0" w:color="A790B4" w:themeColor="accent6" w:themeTint="99"/>
        </w:tcBorders>
      </w:tcPr>
    </w:tblStylePr>
    <w:tblStylePr w:type="nwCell">
      <w:tblPr/>
      <w:tcPr>
        <w:tcBorders>
          <w:bottom w:val="single" w:sz="4" w:space="0" w:color="A790B4" w:themeColor="accent6" w:themeTint="99"/>
        </w:tcBorders>
      </w:tcPr>
    </w:tblStylePr>
    <w:tblStylePr w:type="seCell">
      <w:tblPr/>
      <w:tcPr>
        <w:tcBorders>
          <w:top w:val="single" w:sz="4" w:space="0" w:color="A790B4" w:themeColor="accent6" w:themeTint="99"/>
        </w:tcBorders>
      </w:tcPr>
    </w:tblStylePr>
    <w:tblStylePr w:type="swCell">
      <w:tblPr/>
      <w:tcPr>
        <w:tcBorders>
          <w:top w:val="single" w:sz="4" w:space="0" w:color="A790B4" w:themeColor="accent6" w:themeTint="99"/>
        </w:tcBorders>
      </w:tcPr>
    </w:tblStylePr>
  </w:style>
  <w:style w:type="paragraph" w:styleId="Header">
    <w:name w:val="header"/>
    <w:basedOn w:val="Normal"/>
    <w:link w:val="HeaderChar"/>
    <w:uiPriority w:val="99"/>
    <w:rsid w:val="007014C5"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014C5"/>
  </w:style>
  <w:style w:type="character" w:customStyle="1" w:styleId="Heading4Char">
    <w:name w:val="Heading 4 Char"/>
    <w:basedOn w:val="DefaultParagraphFont"/>
    <w:link w:val="Heading4"/>
    <w:uiPriority w:val="9"/>
    <w:semiHidden/>
    <w:rsid w:val="00B16D26"/>
    <w:rPr>
      <w:rFonts w:asciiTheme="majorHAnsi" w:eastAsiaTheme="majorEastAsia" w:hAnsiTheme="majorHAnsi" w:cstheme="majorBidi"/>
      <w:i/>
      <w:iCs/>
      <w:color w:val="01544A" w:themeColor="accent1" w:themeShade="8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915C8"/>
    <w:rPr>
      <w:rFonts w:asciiTheme="majorHAnsi" w:eastAsiaTheme="majorEastAsia" w:hAnsiTheme="majorHAnsi" w:cstheme="majorBidi"/>
      <w:color w:val="027E6F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915C8"/>
    <w:rPr>
      <w:rFonts w:asciiTheme="majorHAnsi" w:eastAsiaTheme="majorEastAsia" w:hAnsiTheme="majorHAnsi" w:cstheme="majorBidi"/>
      <w:color w:val="01534A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915C8"/>
    <w:rPr>
      <w:rFonts w:asciiTheme="majorHAnsi" w:eastAsiaTheme="majorEastAsia" w:hAnsiTheme="majorHAnsi" w:cstheme="majorBidi"/>
      <w:i/>
      <w:iCs/>
      <w:color w:val="01534A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915C8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915C8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styleId="HTMLAcronym">
    <w:name w:val="HTML Acronym"/>
    <w:basedOn w:val="DefaultParagraphFont"/>
    <w:uiPriority w:val="99"/>
    <w:semiHidden/>
    <w:unhideWhenUsed/>
    <w:rsid w:val="009915C8"/>
  </w:style>
  <w:style w:type="paragraph" w:styleId="HTMLAddress">
    <w:name w:val="HTML Address"/>
    <w:basedOn w:val="Normal"/>
    <w:link w:val="HTMLAddressChar"/>
    <w:uiPriority w:val="99"/>
    <w:semiHidden/>
    <w:unhideWhenUsed/>
    <w:rsid w:val="009915C8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9915C8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9915C8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9915C8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9915C8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9915C8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9915C8"/>
    <w:pPr>
      <w:spacing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9915C8"/>
    <w:rPr>
      <w:rFonts w:ascii="Consolas" w:hAnsi="Consolas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9915C8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9915C8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9915C8"/>
    <w:rPr>
      <w:i/>
      <w:iCs/>
    </w:rPr>
  </w:style>
  <w:style w:type="character" w:styleId="Hyperlink">
    <w:name w:val="Hyperlink"/>
    <w:basedOn w:val="DefaultParagraphFont"/>
    <w:uiPriority w:val="99"/>
    <w:unhideWhenUsed/>
    <w:rsid w:val="009915C8"/>
    <w:rPr>
      <w:color w:val="4D4436" w:themeColor="hyperlink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9915C8"/>
    <w:pPr>
      <w:spacing w:after="0" w:line="240" w:lineRule="auto"/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9915C8"/>
    <w:pPr>
      <w:spacing w:after="0" w:line="240" w:lineRule="auto"/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9915C8"/>
    <w:pPr>
      <w:spacing w:after="0" w:line="240" w:lineRule="auto"/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9915C8"/>
    <w:pPr>
      <w:spacing w:after="0" w:line="240" w:lineRule="auto"/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9915C8"/>
    <w:pPr>
      <w:spacing w:after="0" w:line="240" w:lineRule="auto"/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9915C8"/>
    <w:pPr>
      <w:spacing w:after="0" w:line="240" w:lineRule="auto"/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9915C8"/>
    <w:pPr>
      <w:spacing w:after="0" w:line="240" w:lineRule="auto"/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9915C8"/>
    <w:pPr>
      <w:spacing w:after="0" w:line="240" w:lineRule="auto"/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9915C8"/>
    <w:pPr>
      <w:spacing w:after="0" w:line="240" w:lineRule="auto"/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9915C8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B16D26"/>
    <w:rPr>
      <w:i/>
      <w:iCs/>
      <w:color w:val="027E6F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9915C8"/>
    <w:pPr>
      <w:pBdr>
        <w:top w:val="single" w:sz="4" w:space="10" w:color="03A996" w:themeColor="accent1"/>
        <w:bottom w:val="single" w:sz="4" w:space="10" w:color="03A996" w:themeColor="accent1"/>
      </w:pBdr>
      <w:spacing w:before="360" w:after="360"/>
      <w:ind w:left="864" w:right="864"/>
      <w:jc w:val="center"/>
    </w:pPr>
    <w:rPr>
      <w:i/>
      <w:iCs/>
      <w:color w:val="03A996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915C8"/>
    <w:rPr>
      <w:i/>
      <w:iCs/>
      <w:color w:val="03A996" w:themeColor="accent1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9915C8"/>
    <w:rPr>
      <w:b/>
      <w:bCs/>
      <w:smallCaps/>
      <w:color w:val="03A996" w:themeColor="accent1"/>
      <w:spacing w:val="5"/>
    </w:rPr>
  </w:style>
  <w:style w:type="table" w:styleId="LightGrid">
    <w:name w:val="Light Grid"/>
    <w:basedOn w:val="TableNormal"/>
    <w:uiPriority w:val="62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03A996" w:themeColor="accent1"/>
        <w:left w:val="single" w:sz="8" w:space="0" w:color="03A996" w:themeColor="accent1"/>
        <w:bottom w:val="single" w:sz="8" w:space="0" w:color="03A996" w:themeColor="accent1"/>
        <w:right w:val="single" w:sz="8" w:space="0" w:color="03A996" w:themeColor="accent1"/>
        <w:insideH w:val="single" w:sz="8" w:space="0" w:color="03A996" w:themeColor="accent1"/>
        <w:insideV w:val="single" w:sz="8" w:space="0" w:color="03A996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3A996" w:themeColor="accent1"/>
          <w:left w:val="single" w:sz="8" w:space="0" w:color="03A996" w:themeColor="accent1"/>
          <w:bottom w:val="single" w:sz="18" w:space="0" w:color="03A996" w:themeColor="accent1"/>
          <w:right w:val="single" w:sz="8" w:space="0" w:color="03A996" w:themeColor="accent1"/>
          <w:insideH w:val="nil"/>
          <w:insideV w:val="single" w:sz="8" w:space="0" w:color="03A996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3A996" w:themeColor="accent1"/>
          <w:left w:val="single" w:sz="8" w:space="0" w:color="03A996" w:themeColor="accent1"/>
          <w:bottom w:val="single" w:sz="8" w:space="0" w:color="03A996" w:themeColor="accent1"/>
          <w:right w:val="single" w:sz="8" w:space="0" w:color="03A996" w:themeColor="accent1"/>
          <w:insideH w:val="nil"/>
          <w:insideV w:val="single" w:sz="8" w:space="0" w:color="03A996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3A996" w:themeColor="accent1"/>
          <w:left w:val="single" w:sz="8" w:space="0" w:color="03A996" w:themeColor="accent1"/>
          <w:bottom w:val="single" w:sz="8" w:space="0" w:color="03A996" w:themeColor="accent1"/>
          <w:right w:val="single" w:sz="8" w:space="0" w:color="03A996" w:themeColor="accent1"/>
        </w:tcBorders>
      </w:tcPr>
    </w:tblStylePr>
    <w:tblStylePr w:type="band1Vert">
      <w:tblPr/>
      <w:tcPr>
        <w:tcBorders>
          <w:top w:val="single" w:sz="8" w:space="0" w:color="03A996" w:themeColor="accent1"/>
          <w:left w:val="single" w:sz="8" w:space="0" w:color="03A996" w:themeColor="accent1"/>
          <w:bottom w:val="single" w:sz="8" w:space="0" w:color="03A996" w:themeColor="accent1"/>
          <w:right w:val="single" w:sz="8" w:space="0" w:color="03A996" w:themeColor="accent1"/>
        </w:tcBorders>
        <w:shd w:val="clear" w:color="auto" w:fill="ACFDF4" w:themeFill="accent1" w:themeFillTint="3F"/>
      </w:tcPr>
    </w:tblStylePr>
    <w:tblStylePr w:type="band1Horz">
      <w:tblPr/>
      <w:tcPr>
        <w:tcBorders>
          <w:top w:val="single" w:sz="8" w:space="0" w:color="03A996" w:themeColor="accent1"/>
          <w:left w:val="single" w:sz="8" w:space="0" w:color="03A996" w:themeColor="accent1"/>
          <w:bottom w:val="single" w:sz="8" w:space="0" w:color="03A996" w:themeColor="accent1"/>
          <w:right w:val="single" w:sz="8" w:space="0" w:color="03A996" w:themeColor="accent1"/>
          <w:insideV w:val="single" w:sz="8" w:space="0" w:color="03A996" w:themeColor="accent1"/>
        </w:tcBorders>
        <w:shd w:val="clear" w:color="auto" w:fill="ACFDF4" w:themeFill="accent1" w:themeFillTint="3F"/>
      </w:tcPr>
    </w:tblStylePr>
    <w:tblStylePr w:type="band2Horz">
      <w:tblPr/>
      <w:tcPr>
        <w:tcBorders>
          <w:top w:val="single" w:sz="8" w:space="0" w:color="03A996" w:themeColor="accent1"/>
          <w:left w:val="single" w:sz="8" w:space="0" w:color="03A996" w:themeColor="accent1"/>
          <w:bottom w:val="single" w:sz="8" w:space="0" w:color="03A996" w:themeColor="accent1"/>
          <w:right w:val="single" w:sz="8" w:space="0" w:color="03A996" w:themeColor="accent1"/>
          <w:insideV w:val="single" w:sz="8" w:space="0" w:color="03A996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B33536" w:themeColor="accent2"/>
        <w:left w:val="single" w:sz="8" w:space="0" w:color="B33536" w:themeColor="accent2"/>
        <w:bottom w:val="single" w:sz="8" w:space="0" w:color="B33536" w:themeColor="accent2"/>
        <w:right w:val="single" w:sz="8" w:space="0" w:color="B33536" w:themeColor="accent2"/>
        <w:insideH w:val="single" w:sz="8" w:space="0" w:color="B33536" w:themeColor="accent2"/>
        <w:insideV w:val="single" w:sz="8" w:space="0" w:color="B33536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33536" w:themeColor="accent2"/>
          <w:left w:val="single" w:sz="8" w:space="0" w:color="B33536" w:themeColor="accent2"/>
          <w:bottom w:val="single" w:sz="18" w:space="0" w:color="B33536" w:themeColor="accent2"/>
          <w:right w:val="single" w:sz="8" w:space="0" w:color="B33536" w:themeColor="accent2"/>
          <w:insideH w:val="nil"/>
          <w:insideV w:val="single" w:sz="8" w:space="0" w:color="B33536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B33536" w:themeColor="accent2"/>
          <w:left w:val="single" w:sz="8" w:space="0" w:color="B33536" w:themeColor="accent2"/>
          <w:bottom w:val="single" w:sz="8" w:space="0" w:color="B33536" w:themeColor="accent2"/>
          <w:right w:val="single" w:sz="8" w:space="0" w:color="B33536" w:themeColor="accent2"/>
          <w:insideH w:val="nil"/>
          <w:insideV w:val="single" w:sz="8" w:space="0" w:color="B33536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33536" w:themeColor="accent2"/>
          <w:left w:val="single" w:sz="8" w:space="0" w:color="B33536" w:themeColor="accent2"/>
          <w:bottom w:val="single" w:sz="8" w:space="0" w:color="B33536" w:themeColor="accent2"/>
          <w:right w:val="single" w:sz="8" w:space="0" w:color="B33536" w:themeColor="accent2"/>
        </w:tcBorders>
      </w:tcPr>
    </w:tblStylePr>
    <w:tblStylePr w:type="band1Vert">
      <w:tblPr/>
      <w:tcPr>
        <w:tcBorders>
          <w:top w:val="single" w:sz="8" w:space="0" w:color="B33536" w:themeColor="accent2"/>
          <w:left w:val="single" w:sz="8" w:space="0" w:color="B33536" w:themeColor="accent2"/>
          <w:bottom w:val="single" w:sz="8" w:space="0" w:color="B33536" w:themeColor="accent2"/>
          <w:right w:val="single" w:sz="8" w:space="0" w:color="B33536" w:themeColor="accent2"/>
        </w:tcBorders>
        <w:shd w:val="clear" w:color="auto" w:fill="EFC9C9" w:themeFill="accent2" w:themeFillTint="3F"/>
      </w:tcPr>
    </w:tblStylePr>
    <w:tblStylePr w:type="band1Horz">
      <w:tblPr/>
      <w:tcPr>
        <w:tcBorders>
          <w:top w:val="single" w:sz="8" w:space="0" w:color="B33536" w:themeColor="accent2"/>
          <w:left w:val="single" w:sz="8" w:space="0" w:color="B33536" w:themeColor="accent2"/>
          <w:bottom w:val="single" w:sz="8" w:space="0" w:color="B33536" w:themeColor="accent2"/>
          <w:right w:val="single" w:sz="8" w:space="0" w:color="B33536" w:themeColor="accent2"/>
          <w:insideV w:val="single" w:sz="8" w:space="0" w:color="B33536" w:themeColor="accent2"/>
        </w:tcBorders>
        <w:shd w:val="clear" w:color="auto" w:fill="EFC9C9" w:themeFill="accent2" w:themeFillTint="3F"/>
      </w:tcPr>
    </w:tblStylePr>
    <w:tblStylePr w:type="band2Horz">
      <w:tblPr/>
      <w:tcPr>
        <w:tcBorders>
          <w:top w:val="single" w:sz="8" w:space="0" w:color="B33536" w:themeColor="accent2"/>
          <w:left w:val="single" w:sz="8" w:space="0" w:color="B33536" w:themeColor="accent2"/>
          <w:bottom w:val="single" w:sz="8" w:space="0" w:color="B33536" w:themeColor="accent2"/>
          <w:right w:val="single" w:sz="8" w:space="0" w:color="B33536" w:themeColor="accent2"/>
          <w:insideV w:val="single" w:sz="8" w:space="0" w:color="B33536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E8C94B" w:themeColor="accent3"/>
        <w:left w:val="single" w:sz="8" w:space="0" w:color="E8C94B" w:themeColor="accent3"/>
        <w:bottom w:val="single" w:sz="8" w:space="0" w:color="E8C94B" w:themeColor="accent3"/>
        <w:right w:val="single" w:sz="8" w:space="0" w:color="E8C94B" w:themeColor="accent3"/>
        <w:insideH w:val="single" w:sz="8" w:space="0" w:color="E8C94B" w:themeColor="accent3"/>
        <w:insideV w:val="single" w:sz="8" w:space="0" w:color="E8C94B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8C94B" w:themeColor="accent3"/>
          <w:left w:val="single" w:sz="8" w:space="0" w:color="E8C94B" w:themeColor="accent3"/>
          <w:bottom w:val="single" w:sz="18" w:space="0" w:color="E8C94B" w:themeColor="accent3"/>
          <w:right w:val="single" w:sz="8" w:space="0" w:color="E8C94B" w:themeColor="accent3"/>
          <w:insideH w:val="nil"/>
          <w:insideV w:val="single" w:sz="8" w:space="0" w:color="E8C94B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8C94B" w:themeColor="accent3"/>
          <w:left w:val="single" w:sz="8" w:space="0" w:color="E8C94B" w:themeColor="accent3"/>
          <w:bottom w:val="single" w:sz="8" w:space="0" w:color="E8C94B" w:themeColor="accent3"/>
          <w:right w:val="single" w:sz="8" w:space="0" w:color="E8C94B" w:themeColor="accent3"/>
          <w:insideH w:val="nil"/>
          <w:insideV w:val="single" w:sz="8" w:space="0" w:color="E8C94B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8C94B" w:themeColor="accent3"/>
          <w:left w:val="single" w:sz="8" w:space="0" w:color="E8C94B" w:themeColor="accent3"/>
          <w:bottom w:val="single" w:sz="8" w:space="0" w:color="E8C94B" w:themeColor="accent3"/>
          <w:right w:val="single" w:sz="8" w:space="0" w:color="E8C94B" w:themeColor="accent3"/>
        </w:tcBorders>
      </w:tcPr>
    </w:tblStylePr>
    <w:tblStylePr w:type="band1Vert">
      <w:tblPr/>
      <w:tcPr>
        <w:tcBorders>
          <w:top w:val="single" w:sz="8" w:space="0" w:color="E8C94B" w:themeColor="accent3"/>
          <w:left w:val="single" w:sz="8" w:space="0" w:color="E8C94B" w:themeColor="accent3"/>
          <w:bottom w:val="single" w:sz="8" w:space="0" w:color="E8C94B" w:themeColor="accent3"/>
          <w:right w:val="single" w:sz="8" w:space="0" w:color="E8C94B" w:themeColor="accent3"/>
        </w:tcBorders>
        <w:shd w:val="clear" w:color="auto" w:fill="F9F1D2" w:themeFill="accent3" w:themeFillTint="3F"/>
      </w:tcPr>
    </w:tblStylePr>
    <w:tblStylePr w:type="band1Horz">
      <w:tblPr/>
      <w:tcPr>
        <w:tcBorders>
          <w:top w:val="single" w:sz="8" w:space="0" w:color="E8C94B" w:themeColor="accent3"/>
          <w:left w:val="single" w:sz="8" w:space="0" w:color="E8C94B" w:themeColor="accent3"/>
          <w:bottom w:val="single" w:sz="8" w:space="0" w:color="E8C94B" w:themeColor="accent3"/>
          <w:right w:val="single" w:sz="8" w:space="0" w:color="E8C94B" w:themeColor="accent3"/>
          <w:insideV w:val="single" w:sz="8" w:space="0" w:color="E8C94B" w:themeColor="accent3"/>
        </w:tcBorders>
        <w:shd w:val="clear" w:color="auto" w:fill="F9F1D2" w:themeFill="accent3" w:themeFillTint="3F"/>
      </w:tcPr>
    </w:tblStylePr>
    <w:tblStylePr w:type="band2Horz">
      <w:tblPr/>
      <w:tcPr>
        <w:tcBorders>
          <w:top w:val="single" w:sz="8" w:space="0" w:color="E8C94B" w:themeColor="accent3"/>
          <w:left w:val="single" w:sz="8" w:space="0" w:color="E8C94B" w:themeColor="accent3"/>
          <w:bottom w:val="single" w:sz="8" w:space="0" w:color="E8C94B" w:themeColor="accent3"/>
          <w:right w:val="single" w:sz="8" w:space="0" w:color="E8C94B" w:themeColor="accent3"/>
          <w:insideV w:val="single" w:sz="8" w:space="0" w:color="E8C94B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2682A6" w:themeColor="accent4"/>
        <w:left w:val="single" w:sz="8" w:space="0" w:color="2682A6" w:themeColor="accent4"/>
        <w:bottom w:val="single" w:sz="8" w:space="0" w:color="2682A6" w:themeColor="accent4"/>
        <w:right w:val="single" w:sz="8" w:space="0" w:color="2682A6" w:themeColor="accent4"/>
        <w:insideH w:val="single" w:sz="8" w:space="0" w:color="2682A6" w:themeColor="accent4"/>
        <w:insideV w:val="single" w:sz="8" w:space="0" w:color="2682A6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2682A6" w:themeColor="accent4"/>
          <w:left w:val="single" w:sz="8" w:space="0" w:color="2682A6" w:themeColor="accent4"/>
          <w:bottom w:val="single" w:sz="18" w:space="0" w:color="2682A6" w:themeColor="accent4"/>
          <w:right w:val="single" w:sz="8" w:space="0" w:color="2682A6" w:themeColor="accent4"/>
          <w:insideH w:val="nil"/>
          <w:insideV w:val="single" w:sz="8" w:space="0" w:color="2682A6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2682A6" w:themeColor="accent4"/>
          <w:left w:val="single" w:sz="8" w:space="0" w:color="2682A6" w:themeColor="accent4"/>
          <w:bottom w:val="single" w:sz="8" w:space="0" w:color="2682A6" w:themeColor="accent4"/>
          <w:right w:val="single" w:sz="8" w:space="0" w:color="2682A6" w:themeColor="accent4"/>
          <w:insideH w:val="nil"/>
          <w:insideV w:val="single" w:sz="8" w:space="0" w:color="2682A6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2682A6" w:themeColor="accent4"/>
          <w:left w:val="single" w:sz="8" w:space="0" w:color="2682A6" w:themeColor="accent4"/>
          <w:bottom w:val="single" w:sz="8" w:space="0" w:color="2682A6" w:themeColor="accent4"/>
          <w:right w:val="single" w:sz="8" w:space="0" w:color="2682A6" w:themeColor="accent4"/>
        </w:tcBorders>
      </w:tcPr>
    </w:tblStylePr>
    <w:tblStylePr w:type="band1Vert">
      <w:tblPr/>
      <w:tcPr>
        <w:tcBorders>
          <w:top w:val="single" w:sz="8" w:space="0" w:color="2682A6" w:themeColor="accent4"/>
          <w:left w:val="single" w:sz="8" w:space="0" w:color="2682A6" w:themeColor="accent4"/>
          <w:bottom w:val="single" w:sz="8" w:space="0" w:color="2682A6" w:themeColor="accent4"/>
          <w:right w:val="single" w:sz="8" w:space="0" w:color="2682A6" w:themeColor="accent4"/>
        </w:tcBorders>
        <w:shd w:val="clear" w:color="auto" w:fill="C1E3F1" w:themeFill="accent4" w:themeFillTint="3F"/>
      </w:tcPr>
    </w:tblStylePr>
    <w:tblStylePr w:type="band1Horz">
      <w:tblPr/>
      <w:tcPr>
        <w:tcBorders>
          <w:top w:val="single" w:sz="8" w:space="0" w:color="2682A6" w:themeColor="accent4"/>
          <w:left w:val="single" w:sz="8" w:space="0" w:color="2682A6" w:themeColor="accent4"/>
          <w:bottom w:val="single" w:sz="8" w:space="0" w:color="2682A6" w:themeColor="accent4"/>
          <w:right w:val="single" w:sz="8" w:space="0" w:color="2682A6" w:themeColor="accent4"/>
          <w:insideV w:val="single" w:sz="8" w:space="0" w:color="2682A6" w:themeColor="accent4"/>
        </w:tcBorders>
        <w:shd w:val="clear" w:color="auto" w:fill="C1E3F1" w:themeFill="accent4" w:themeFillTint="3F"/>
      </w:tcPr>
    </w:tblStylePr>
    <w:tblStylePr w:type="band2Horz">
      <w:tblPr/>
      <w:tcPr>
        <w:tcBorders>
          <w:top w:val="single" w:sz="8" w:space="0" w:color="2682A6" w:themeColor="accent4"/>
          <w:left w:val="single" w:sz="8" w:space="0" w:color="2682A6" w:themeColor="accent4"/>
          <w:bottom w:val="single" w:sz="8" w:space="0" w:color="2682A6" w:themeColor="accent4"/>
          <w:right w:val="single" w:sz="8" w:space="0" w:color="2682A6" w:themeColor="accent4"/>
          <w:insideV w:val="single" w:sz="8" w:space="0" w:color="2682A6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F08A42" w:themeColor="accent5"/>
        <w:left w:val="single" w:sz="8" w:space="0" w:color="F08A42" w:themeColor="accent5"/>
        <w:bottom w:val="single" w:sz="8" w:space="0" w:color="F08A42" w:themeColor="accent5"/>
        <w:right w:val="single" w:sz="8" w:space="0" w:color="F08A42" w:themeColor="accent5"/>
        <w:insideH w:val="single" w:sz="8" w:space="0" w:color="F08A42" w:themeColor="accent5"/>
        <w:insideV w:val="single" w:sz="8" w:space="0" w:color="F08A42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08A42" w:themeColor="accent5"/>
          <w:left w:val="single" w:sz="8" w:space="0" w:color="F08A42" w:themeColor="accent5"/>
          <w:bottom w:val="single" w:sz="18" w:space="0" w:color="F08A42" w:themeColor="accent5"/>
          <w:right w:val="single" w:sz="8" w:space="0" w:color="F08A42" w:themeColor="accent5"/>
          <w:insideH w:val="nil"/>
          <w:insideV w:val="single" w:sz="8" w:space="0" w:color="F08A42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08A42" w:themeColor="accent5"/>
          <w:left w:val="single" w:sz="8" w:space="0" w:color="F08A42" w:themeColor="accent5"/>
          <w:bottom w:val="single" w:sz="8" w:space="0" w:color="F08A42" w:themeColor="accent5"/>
          <w:right w:val="single" w:sz="8" w:space="0" w:color="F08A42" w:themeColor="accent5"/>
          <w:insideH w:val="nil"/>
          <w:insideV w:val="single" w:sz="8" w:space="0" w:color="F08A42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08A42" w:themeColor="accent5"/>
          <w:left w:val="single" w:sz="8" w:space="0" w:color="F08A42" w:themeColor="accent5"/>
          <w:bottom w:val="single" w:sz="8" w:space="0" w:color="F08A42" w:themeColor="accent5"/>
          <w:right w:val="single" w:sz="8" w:space="0" w:color="F08A42" w:themeColor="accent5"/>
        </w:tcBorders>
      </w:tcPr>
    </w:tblStylePr>
    <w:tblStylePr w:type="band1Vert">
      <w:tblPr/>
      <w:tcPr>
        <w:tcBorders>
          <w:top w:val="single" w:sz="8" w:space="0" w:color="F08A42" w:themeColor="accent5"/>
          <w:left w:val="single" w:sz="8" w:space="0" w:color="F08A42" w:themeColor="accent5"/>
          <w:bottom w:val="single" w:sz="8" w:space="0" w:color="F08A42" w:themeColor="accent5"/>
          <w:right w:val="single" w:sz="8" w:space="0" w:color="F08A42" w:themeColor="accent5"/>
        </w:tcBorders>
        <w:shd w:val="clear" w:color="auto" w:fill="FBE1D0" w:themeFill="accent5" w:themeFillTint="3F"/>
      </w:tcPr>
    </w:tblStylePr>
    <w:tblStylePr w:type="band1Horz">
      <w:tblPr/>
      <w:tcPr>
        <w:tcBorders>
          <w:top w:val="single" w:sz="8" w:space="0" w:color="F08A42" w:themeColor="accent5"/>
          <w:left w:val="single" w:sz="8" w:space="0" w:color="F08A42" w:themeColor="accent5"/>
          <w:bottom w:val="single" w:sz="8" w:space="0" w:color="F08A42" w:themeColor="accent5"/>
          <w:right w:val="single" w:sz="8" w:space="0" w:color="F08A42" w:themeColor="accent5"/>
          <w:insideV w:val="single" w:sz="8" w:space="0" w:color="F08A42" w:themeColor="accent5"/>
        </w:tcBorders>
        <w:shd w:val="clear" w:color="auto" w:fill="FBE1D0" w:themeFill="accent5" w:themeFillTint="3F"/>
      </w:tcPr>
    </w:tblStylePr>
    <w:tblStylePr w:type="band2Horz">
      <w:tblPr/>
      <w:tcPr>
        <w:tcBorders>
          <w:top w:val="single" w:sz="8" w:space="0" w:color="F08A42" w:themeColor="accent5"/>
          <w:left w:val="single" w:sz="8" w:space="0" w:color="F08A42" w:themeColor="accent5"/>
          <w:bottom w:val="single" w:sz="8" w:space="0" w:color="F08A42" w:themeColor="accent5"/>
          <w:right w:val="single" w:sz="8" w:space="0" w:color="F08A42" w:themeColor="accent5"/>
          <w:insideV w:val="single" w:sz="8" w:space="0" w:color="F08A42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6A5178" w:themeColor="accent6"/>
        <w:left w:val="single" w:sz="8" w:space="0" w:color="6A5178" w:themeColor="accent6"/>
        <w:bottom w:val="single" w:sz="8" w:space="0" w:color="6A5178" w:themeColor="accent6"/>
        <w:right w:val="single" w:sz="8" w:space="0" w:color="6A5178" w:themeColor="accent6"/>
        <w:insideH w:val="single" w:sz="8" w:space="0" w:color="6A5178" w:themeColor="accent6"/>
        <w:insideV w:val="single" w:sz="8" w:space="0" w:color="6A5178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6A5178" w:themeColor="accent6"/>
          <w:left w:val="single" w:sz="8" w:space="0" w:color="6A5178" w:themeColor="accent6"/>
          <w:bottom w:val="single" w:sz="18" w:space="0" w:color="6A5178" w:themeColor="accent6"/>
          <w:right w:val="single" w:sz="8" w:space="0" w:color="6A5178" w:themeColor="accent6"/>
          <w:insideH w:val="nil"/>
          <w:insideV w:val="single" w:sz="8" w:space="0" w:color="6A5178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6A5178" w:themeColor="accent6"/>
          <w:left w:val="single" w:sz="8" w:space="0" w:color="6A5178" w:themeColor="accent6"/>
          <w:bottom w:val="single" w:sz="8" w:space="0" w:color="6A5178" w:themeColor="accent6"/>
          <w:right w:val="single" w:sz="8" w:space="0" w:color="6A5178" w:themeColor="accent6"/>
          <w:insideH w:val="nil"/>
          <w:insideV w:val="single" w:sz="8" w:space="0" w:color="6A5178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6A5178" w:themeColor="accent6"/>
          <w:left w:val="single" w:sz="8" w:space="0" w:color="6A5178" w:themeColor="accent6"/>
          <w:bottom w:val="single" w:sz="8" w:space="0" w:color="6A5178" w:themeColor="accent6"/>
          <w:right w:val="single" w:sz="8" w:space="0" w:color="6A5178" w:themeColor="accent6"/>
        </w:tcBorders>
      </w:tcPr>
    </w:tblStylePr>
    <w:tblStylePr w:type="band1Vert">
      <w:tblPr/>
      <w:tcPr>
        <w:tcBorders>
          <w:top w:val="single" w:sz="8" w:space="0" w:color="6A5178" w:themeColor="accent6"/>
          <w:left w:val="single" w:sz="8" w:space="0" w:color="6A5178" w:themeColor="accent6"/>
          <w:bottom w:val="single" w:sz="8" w:space="0" w:color="6A5178" w:themeColor="accent6"/>
          <w:right w:val="single" w:sz="8" w:space="0" w:color="6A5178" w:themeColor="accent6"/>
        </w:tcBorders>
        <w:shd w:val="clear" w:color="auto" w:fill="DAD1E0" w:themeFill="accent6" w:themeFillTint="3F"/>
      </w:tcPr>
    </w:tblStylePr>
    <w:tblStylePr w:type="band1Horz">
      <w:tblPr/>
      <w:tcPr>
        <w:tcBorders>
          <w:top w:val="single" w:sz="8" w:space="0" w:color="6A5178" w:themeColor="accent6"/>
          <w:left w:val="single" w:sz="8" w:space="0" w:color="6A5178" w:themeColor="accent6"/>
          <w:bottom w:val="single" w:sz="8" w:space="0" w:color="6A5178" w:themeColor="accent6"/>
          <w:right w:val="single" w:sz="8" w:space="0" w:color="6A5178" w:themeColor="accent6"/>
          <w:insideV w:val="single" w:sz="8" w:space="0" w:color="6A5178" w:themeColor="accent6"/>
        </w:tcBorders>
        <w:shd w:val="clear" w:color="auto" w:fill="DAD1E0" w:themeFill="accent6" w:themeFillTint="3F"/>
      </w:tcPr>
    </w:tblStylePr>
    <w:tblStylePr w:type="band2Horz">
      <w:tblPr/>
      <w:tcPr>
        <w:tcBorders>
          <w:top w:val="single" w:sz="8" w:space="0" w:color="6A5178" w:themeColor="accent6"/>
          <w:left w:val="single" w:sz="8" w:space="0" w:color="6A5178" w:themeColor="accent6"/>
          <w:bottom w:val="single" w:sz="8" w:space="0" w:color="6A5178" w:themeColor="accent6"/>
          <w:right w:val="single" w:sz="8" w:space="0" w:color="6A5178" w:themeColor="accent6"/>
          <w:insideV w:val="single" w:sz="8" w:space="0" w:color="6A5178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03A996" w:themeColor="accent1"/>
        <w:left w:val="single" w:sz="8" w:space="0" w:color="03A996" w:themeColor="accent1"/>
        <w:bottom w:val="single" w:sz="8" w:space="0" w:color="03A996" w:themeColor="accent1"/>
        <w:right w:val="single" w:sz="8" w:space="0" w:color="03A996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3A996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3A996" w:themeColor="accent1"/>
          <w:left w:val="single" w:sz="8" w:space="0" w:color="03A996" w:themeColor="accent1"/>
          <w:bottom w:val="single" w:sz="8" w:space="0" w:color="03A996" w:themeColor="accent1"/>
          <w:right w:val="single" w:sz="8" w:space="0" w:color="03A996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3A996" w:themeColor="accent1"/>
          <w:left w:val="single" w:sz="8" w:space="0" w:color="03A996" w:themeColor="accent1"/>
          <w:bottom w:val="single" w:sz="8" w:space="0" w:color="03A996" w:themeColor="accent1"/>
          <w:right w:val="single" w:sz="8" w:space="0" w:color="03A996" w:themeColor="accent1"/>
        </w:tcBorders>
      </w:tcPr>
    </w:tblStylePr>
    <w:tblStylePr w:type="band1Horz">
      <w:tblPr/>
      <w:tcPr>
        <w:tcBorders>
          <w:top w:val="single" w:sz="8" w:space="0" w:color="03A996" w:themeColor="accent1"/>
          <w:left w:val="single" w:sz="8" w:space="0" w:color="03A996" w:themeColor="accent1"/>
          <w:bottom w:val="single" w:sz="8" w:space="0" w:color="03A996" w:themeColor="accent1"/>
          <w:right w:val="single" w:sz="8" w:space="0" w:color="03A996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B33536" w:themeColor="accent2"/>
        <w:left w:val="single" w:sz="8" w:space="0" w:color="B33536" w:themeColor="accent2"/>
        <w:bottom w:val="single" w:sz="8" w:space="0" w:color="B33536" w:themeColor="accent2"/>
        <w:right w:val="single" w:sz="8" w:space="0" w:color="B33536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B33536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3536" w:themeColor="accent2"/>
          <w:left w:val="single" w:sz="8" w:space="0" w:color="B33536" w:themeColor="accent2"/>
          <w:bottom w:val="single" w:sz="8" w:space="0" w:color="B33536" w:themeColor="accent2"/>
          <w:right w:val="single" w:sz="8" w:space="0" w:color="B3353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B33536" w:themeColor="accent2"/>
          <w:left w:val="single" w:sz="8" w:space="0" w:color="B33536" w:themeColor="accent2"/>
          <w:bottom w:val="single" w:sz="8" w:space="0" w:color="B33536" w:themeColor="accent2"/>
          <w:right w:val="single" w:sz="8" w:space="0" w:color="B33536" w:themeColor="accent2"/>
        </w:tcBorders>
      </w:tcPr>
    </w:tblStylePr>
    <w:tblStylePr w:type="band1Horz">
      <w:tblPr/>
      <w:tcPr>
        <w:tcBorders>
          <w:top w:val="single" w:sz="8" w:space="0" w:color="B33536" w:themeColor="accent2"/>
          <w:left w:val="single" w:sz="8" w:space="0" w:color="B33536" w:themeColor="accent2"/>
          <w:bottom w:val="single" w:sz="8" w:space="0" w:color="B33536" w:themeColor="accent2"/>
          <w:right w:val="single" w:sz="8" w:space="0" w:color="B33536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E8C94B" w:themeColor="accent3"/>
        <w:left w:val="single" w:sz="8" w:space="0" w:color="E8C94B" w:themeColor="accent3"/>
        <w:bottom w:val="single" w:sz="8" w:space="0" w:color="E8C94B" w:themeColor="accent3"/>
        <w:right w:val="single" w:sz="8" w:space="0" w:color="E8C94B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8C94B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8C94B" w:themeColor="accent3"/>
          <w:left w:val="single" w:sz="8" w:space="0" w:color="E8C94B" w:themeColor="accent3"/>
          <w:bottom w:val="single" w:sz="8" w:space="0" w:color="E8C94B" w:themeColor="accent3"/>
          <w:right w:val="single" w:sz="8" w:space="0" w:color="E8C94B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8C94B" w:themeColor="accent3"/>
          <w:left w:val="single" w:sz="8" w:space="0" w:color="E8C94B" w:themeColor="accent3"/>
          <w:bottom w:val="single" w:sz="8" w:space="0" w:color="E8C94B" w:themeColor="accent3"/>
          <w:right w:val="single" w:sz="8" w:space="0" w:color="E8C94B" w:themeColor="accent3"/>
        </w:tcBorders>
      </w:tcPr>
    </w:tblStylePr>
    <w:tblStylePr w:type="band1Horz">
      <w:tblPr/>
      <w:tcPr>
        <w:tcBorders>
          <w:top w:val="single" w:sz="8" w:space="0" w:color="E8C94B" w:themeColor="accent3"/>
          <w:left w:val="single" w:sz="8" w:space="0" w:color="E8C94B" w:themeColor="accent3"/>
          <w:bottom w:val="single" w:sz="8" w:space="0" w:color="E8C94B" w:themeColor="accent3"/>
          <w:right w:val="single" w:sz="8" w:space="0" w:color="E8C94B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2682A6" w:themeColor="accent4"/>
        <w:left w:val="single" w:sz="8" w:space="0" w:color="2682A6" w:themeColor="accent4"/>
        <w:bottom w:val="single" w:sz="8" w:space="0" w:color="2682A6" w:themeColor="accent4"/>
        <w:right w:val="single" w:sz="8" w:space="0" w:color="2682A6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2682A6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682A6" w:themeColor="accent4"/>
          <w:left w:val="single" w:sz="8" w:space="0" w:color="2682A6" w:themeColor="accent4"/>
          <w:bottom w:val="single" w:sz="8" w:space="0" w:color="2682A6" w:themeColor="accent4"/>
          <w:right w:val="single" w:sz="8" w:space="0" w:color="2682A6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2682A6" w:themeColor="accent4"/>
          <w:left w:val="single" w:sz="8" w:space="0" w:color="2682A6" w:themeColor="accent4"/>
          <w:bottom w:val="single" w:sz="8" w:space="0" w:color="2682A6" w:themeColor="accent4"/>
          <w:right w:val="single" w:sz="8" w:space="0" w:color="2682A6" w:themeColor="accent4"/>
        </w:tcBorders>
      </w:tcPr>
    </w:tblStylePr>
    <w:tblStylePr w:type="band1Horz">
      <w:tblPr/>
      <w:tcPr>
        <w:tcBorders>
          <w:top w:val="single" w:sz="8" w:space="0" w:color="2682A6" w:themeColor="accent4"/>
          <w:left w:val="single" w:sz="8" w:space="0" w:color="2682A6" w:themeColor="accent4"/>
          <w:bottom w:val="single" w:sz="8" w:space="0" w:color="2682A6" w:themeColor="accent4"/>
          <w:right w:val="single" w:sz="8" w:space="0" w:color="2682A6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F08A42" w:themeColor="accent5"/>
        <w:left w:val="single" w:sz="8" w:space="0" w:color="F08A42" w:themeColor="accent5"/>
        <w:bottom w:val="single" w:sz="8" w:space="0" w:color="F08A42" w:themeColor="accent5"/>
        <w:right w:val="single" w:sz="8" w:space="0" w:color="F08A42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08A42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08A42" w:themeColor="accent5"/>
          <w:left w:val="single" w:sz="8" w:space="0" w:color="F08A42" w:themeColor="accent5"/>
          <w:bottom w:val="single" w:sz="8" w:space="0" w:color="F08A42" w:themeColor="accent5"/>
          <w:right w:val="single" w:sz="8" w:space="0" w:color="F08A42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08A42" w:themeColor="accent5"/>
          <w:left w:val="single" w:sz="8" w:space="0" w:color="F08A42" w:themeColor="accent5"/>
          <w:bottom w:val="single" w:sz="8" w:space="0" w:color="F08A42" w:themeColor="accent5"/>
          <w:right w:val="single" w:sz="8" w:space="0" w:color="F08A42" w:themeColor="accent5"/>
        </w:tcBorders>
      </w:tcPr>
    </w:tblStylePr>
    <w:tblStylePr w:type="band1Horz">
      <w:tblPr/>
      <w:tcPr>
        <w:tcBorders>
          <w:top w:val="single" w:sz="8" w:space="0" w:color="F08A42" w:themeColor="accent5"/>
          <w:left w:val="single" w:sz="8" w:space="0" w:color="F08A42" w:themeColor="accent5"/>
          <w:bottom w:val="single" w:sz="8" w:space="0" w:color="F08A42" w:themeColor="accent5"/>
          <w:right w:val="single" w:sz="8" w:space="0" w:color="F08A42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6A5178" w:themeColor="accent6"/>
        <w:left w:val="single" w:sz="8" w:space="0" w:color="6A5178" w:themeColor="accent6"/>
        <w:bottom w:val="single" w:sz="8" w:space="0" w:color="6A5178" w:themeColor="accent6"/>
        <w:right w:val="single" w:sz="8" w:space="0" w:color="6A5178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6A5178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6A5178" w:themeColor="accent6"/>
          <w:left w:val="single" w:sz="8" w:space="0" w:color="6A5178" w:themeColor="accent6"/>
          <w:bottom w:val="single" w:sz="8" w:space="0" w:color="6A5178" w:themeColor="accent6"/>
          <w:right w:val="single" w:sz="8" w:space="0" w:color="6A5178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6A5178" w:themeColor="accent6"/>
          <w:left w:val="single" w:sz="8" w:space="0" w:color="6A5178" w:themeColor="accent6"/>
          <w:bottom w:val="single" w:sz="8" w:space="0" w:color="6A5178" w:themeColor="accent6"/>
          <w:right w:val="single" w:sz="8" w:space="0" w:color="6A5178" w:themeColor="accent6"/>
        </w:tcBorders>
      </w:tcPr>
    </w:tblStylePr>
    <w:tblStylePr w:type="band1Horz">
      <w:tblPr/>
      <w:tcPr>
        <w:tcBorders>
          <w:top w:val="single" w:sz="8" w:space="0" w:color="6A5178" w:themeColor="accent6"/>
          <w:left w:val="single" w:sz="8" w:space="0" w:color="6A5178" w:themeColor="accent6"/>
          <w:bottom w:val="single" w:sz="8" w:space="0" w:color="6A5178" w:themeColor="accent6"/>
          <w:right w:val="single" w:sz="8" w:space="0" w:color="6A5178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9915C8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9915C8"/>
    <w:pPr>
      <w:spacing w:after="0" w:line="240" w:lineRule="auto"/>
    </w:pPr>
    <w:rPr>
      <w:color w:val="027E6F" w:themeColor="accent1" w:themeShade="BF"/>
    </w:rPr>
    <w:tblPr>
      <w:tblStyleRowBandSize w:val="1"/>
      <w:tblStyleColBandSize w:val="1"/>
      <w:tblBorders>
        <w:top w:val="single" w:sz="8" w:space="0" w:color="03A996" w:themeColor="accent1"/>
        <w:bottom w:val="single" w:sz="8" w:space="0" w:color="03A996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3A996" w:themeColor="accent1"/>
          <w:left w:val="nil"/>
          <w:bottom w:val="single" w:sz="8" w:space="0" w:color="03A996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3A996" w:themeColor="accent1"/>
          <w:left w:val="nil"/>
          <w:bottom w:val="single" w:sz="8" w:space="0" w:color="03A996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ACFDF4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ACFDF4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9915C8"/>
    <w:pPr>
      <w:spacing w:after="0" w:line="240" w:lineRule="auto"/>
    </w:pPr>
    <w:rPr>
      <w:color w:val="852728" w:themeColor="accent2" w:themeShade="BF"/>
    </w:rPr>
    <w:tblPr>
      <w:tblStyleRowBandSize w:val="1"/>
      <w:tblStyleColBandSize w:val="1"/>
      <w:tblBorders>
        <w:top w:val="single" w:sz="8" w:space="0" w:color="B33536" w:themeColor="accent2"/>
        <w:bottom w:val="single" w:sz="8" w:space="0" w:color="B33536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33536" w:themeColor="accent2"/>
          <w:left w:val="nil"/>
          <w:bottom w:val="single" w:sz="8" w:space="0" w:color="B33536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33536" w:themeColor="accent2"/>
          <w:left w:val="nil"/>
          <w:bottom w:val="single" w:sz="8" w:space="0" w:color="B33536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9C9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C9C9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9915C8"/>
    <w:pPr>
      <w:spacing w:after="0" w:line="240" w:lineRule="auto"/>
    </w:pPr>
    <w:rPr>
      <w:color w:val="CBA81A" w:themeColor="accent3" w:themeShade="BF"/>
    </w:rPr>
    <w:tblPr>
      <w:tblStyleRowBandSize w:val="1"/>
      <w:tblStyleColBandSize w:val="1"/>
      <w:tblBorders>
        <w:top w:val="single" w:sz="8" w:space="0" w:color="E8C94B" w:themeColor="accent3"/>
        <w:bottom w:val="single" w:sz="8" w:space="0" w:color="E8C94B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8C94B" w:themeColor="accent3"/>
          <w:left w:val="nil"/>
          <w:bottom w:val="single" w:sz="8" w:space="0" w:color="E8C94B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8C94B" w:themeColor="accent3"/>
          <w:left w:val="nil"/>
          <w:bottom w:val="single" w:sz="8" w:space="0" w:color="E8C94B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F1D2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9F1D2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9915C8"/>
    <w:pPr>
      <w:spacing w:after="0" w:line="240" w:lineRule="auto"/>
    </w:pPr>
    <w:rPr>
      <w:color w:val="1C617C" w:themeColor="accent4" w:themeShade="BF"/>
    </w:rPr>
    <w:tblPr>
      <w:tblStyleRowBandSize w:val="1"/>
      <w:tblStyleColBandSize w:val="1"/>
      <w:tblBorders>
        <w:top w:val="single" w:sz="8" w:space="0" w:color="2682A6" w:themeColor="accent4"/>
        <w:bottom w:val="single" w:sz="8" w:space="0" w:color="2682A6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2682A6" w:themeColor="accent4"/>
          <w:left w:val="nil"/>
          <w:bottom w:val="single" w:sz="8" w:space="0" w:color="2682A6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2682A6" w:themeColor="accent4"/>
          <w:left w:val="nil"/>
          <w:bottom w:val="single" w:sz="8" w:space="0" w:color="2682A6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1E3F1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1E3F1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9915C8"/>
    <w:pPr>
      <w:spacing w:after="0" w:line="240" w:lineRule="auto"/>
    </w:pPr>
    <w:rPr>
      <w:color w:val="D46111" w:themeColor="accent5" w:themeShade="BF"/>
    </w:rPr>
    <w:tblPr>
      <w:tblStyleRowBandSize w:val="1"/>
      <w:tblStyleColBandSize w:val="1"/>
      <w:tblBorders>
        <w:top w:val="single" w:sz="8" w:space="0" w:color="F08A42" w:themeColor="accent5"/>
        <w:bottom w:val="single" w:sz="8" w:space="0" w:color="F08A42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08A42" w:themeColor="accent5"/>
          <w:left w:val="nil"/>
          <w:bottom w:val="single" w:sz="8" w:space="0" w:color="F08A42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08A42" w:themeColor="accent5"/>
          <w:left w:val="nil"/>
          <w:bottom w:val="single" w:sz="8" w:space="0" w:color="F08A42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BE1D0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BE1D0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9915C8"/>
    <w:pPr>
      <w:spacing w:after="0" w:line="240" w:lineRule="auto"/>
    </w:pPr>
    <w:rPr>
      <w:color w:val="4F3C59" w:themeColor="accent6" w:themeShade="BF"/>
    </w:rPr>
    <w:tblPr>
      <w:tblStyleRowBandSize w:val="1"/>
      <w:tblStyleColBandSize w:val="1"/>
      <w:tblBorders>
        <w:top w:val="single" w:sz="8" w:space="0" w:color="6A5178" w:themeColor="accent6"/>
        <w:bottom w:val="single" w:sz="8" w:space="0" w:color="6A5178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6A5178" w:themeColor="accent6"/>
          <w:left w:val="nil"/>
          <w:bottom w:val="single" w:sz="8" w:space="0" w:color="6A5178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6A5178" w:themeColor="accent6"/>
          <w:left w:val="nil"/>
          <w:bottom w:val="single" w:sz="8" w:space="0" w:color="6A5178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AD1E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AD1E0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9915C8"/>
  </w:style>
  <w:style w:type="paragraph" w:styleId="List">
    <w:name w:val="List"/>
    <w:basedOn w:val="Normal"/>
    <w:uiPriority w:val="99"/>
    <w:semiHidden/>
    <w:unhideWhenUsed/>
    <w:rsid w:val="009915C8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unhideWhenUsed/>
    <w:rsid w:val="009915C8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unhideWhenUsed/>
    <w:rsid w:val="009915C8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unhideWhenUsed/>
    <w:rsid w:val="009915C8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unhideWhenUsed/>
    <w:rsid w:val="009915C8"/>
    <w:pPr>
      <w:ind w:left="1800" w:hanging="360"/>
      <w:contextualSpacing/>
    </w:pPr>
  </w:style>
  <w:style w:type="paragraph" w:styleId="ListBullet2">
    <w:name w:val="List Bullet 2"/>
    <w:basedOn w:val="Normal"/>
    <w:uiPriority w:val="99"/>
    <w:semiHidden/>
    <w:unhideWhenUsed/>
    <w:rsid w:val="009915C8"/>
    <w:pPr>
      <w:numPr>
        <w:numId w:val="6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9915C8"/>
    <w:pPr>
      <w:numPr>
        <w:numId w:val="7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9915C8"/>
    <w:pPr>
      <w:numPr>
        <w:numId w:val="8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9915C8"/>
    <w:pPr>
      <w:numPr>
        <w:numId w:val="9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9915C8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9915C8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9915C8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9915C8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9915C8"/>
    <w:pPr>
      <w:spacing w:after="120"/>
      <w:ind w:left="1800"/>
      <w:contextualSpacing/>
    </w:pPr>
  </w:style>
  <w:style w:type="paragraph" w:styleId="ListNumber">
    <w:name w:val="List Number"/>
    <w:basedOn w:val="Normal"/>
    <w:uiPriority w:val="99"/>
    <w:semiHidden/>
    <w:unhideWhenUsed/>
    <w:rsid w:val="009915C8"/>
    <w:pPr>
      <w:numPr>
        <w:numId w:val="10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9915C8"/>
    <w:pPr>
      <w:numPr>
        <w:numId w:val="11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9915C8"/>
    <w:pPr>
      <w:numPr>
        <w:numId w:val="12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9915C8"/>
    <w:pPr>
      <w:numPr>
        <w:numId w:val="13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9915C8"/>
    <w:pPr>
      <w:numPr>
        <w:numId w:val="14"/>
      </w:numPr>
      <w:contextualSpacing/>
    </w:pPr>
  </w:style>
  <w:style w:type="paragraph" w:styleId="ListParagraph">
    <w:name w:val="List Paragraph"/>
    <w:basedOn w:val="Normal"/>
    <w:uiPriority w:val="34"/>
    <w:unhideWhenUsed/>
    <w:qFormat/>
    <w:rsid w:val="009915C8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9915C8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9915C8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37FBE4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37FBE4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CFDF6" w:themeFill="accent1" w:themeFillTint="33"/>
      </w:tcPr>
    </w:tblStylePr>
    <w:tblStylePr w:type="band1Horz">
      <w:tblPr/>
      <w:tcPr>
        <w:shd w:val="clear" w:color="auto" w:fill="BCFDF6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9915C8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87E7E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87E7E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D4D4" w:themeFill="accent2" w:themeFillTint="33"/>
      </w:tcPr>
    </w:tblStylePr>
    <w:tblStylePr w:type="band1Horz">
      <w:tblPr/>
      <w:tcPr>
        <w:shd w:val="clear" w:color="auto" w:fill="F2D4D4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9915C8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1DE92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1DE92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F4DA" w:themeFill="accent3" w:themeFillTint="33"/>
      </w:tcPr>
    </w:tblStylePr>
    <w:tblStylePr w:type="band1Horz">
      <w:tblPr/>
      <w:tcPr>
        <w:shd w:val="clear" w:color="auto" w:fill="FAF4DA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9915C8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9BCDC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9BCDC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E8F3" w:themeFill="accent4" w:themeFillTint="33"/>
      </w:tcPr>
    </w:tblStylePr>
    <w:tblStylePr w:type="band1Horz">
      <w:tblPr/>
      <w:tcPr>
        <w:shd w:val="clear" w:color="auto" w:fill="CDE8F3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9915C8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6B88D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6B88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E7D9" w:themeFill="accent5" w:themeFillTint="33"/>
      </w:tcPr>
    </w:tblStylePr>
    <w:tblStylePr w:type="band1Horz">
      <w:tblPr/>
      <w:tcPr>
        <w:shd w:val="clear" w:color="auto" w:fill="FCE7D9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9915C8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A790B4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A790B4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DAE6" w:themeFill="accent6" w:themeFillTint="33"/>
      </w:tcPr>
    </w:tblStylePr>
    <w:tblStylePr w:type="band1Horz">
      <w:tblPr/>
      <w:tcPr>
        <w:shd w:val="clear" w:color="auto" w:fill="E1DAE6" w:themeFill="accent6" w:themeFillTint="33"/>
      </w:tcPr>
    </w:tblStylePr>
  </w:style>
  <w:style w:type="table" w:styleId="ListTable2">
    <w:name w:val="List Table 2"/>
    <w:basedOn w:val="TableNormal"/>
    <w:uiPriority w:val="47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37FBE4" w:themeColor="accent1" w:themeTint="99"/>
        <w:bottom w:val="single" w:sz="4" w:space="0" w:color="37FBE4" w:themeColor="accent1" w:themeTint="99"/>
        <w:insideH w:val="single" w:sz="4" w:space="0" w:color="37FBE4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CFDF6" w:themeFill="accent1" w:themeFillTint="33"/>
      </w:tcPr>
    </w:tblStylePr>
    <w:tblStylePr w:type="band1Horz">
      <w:tblPr/>
      <w:tcPr>
        <w:shd w:val="clear" w:color="auto" w:fill="BCFDF6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D87E7E" w:themeColor="accent2" w:themeTint="99"/>
        <w:bottom w:val="single" w:sz="4" w:space="0" w:color="D87E7E" w:themeColor="accent2" w:themeTint="99"/>
        <w:insideH w:val="single" w:sz="4" w:space="0" w:color="D87E7E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D4D4" w:themeFill="accent2" w:themeFillTint="33"/>
      </w:tcPr>
    </w:tblStylePr>
    <w:tblStylePr w:type="band1Horz">
      <w:tblPr/>
      <w:tcPr>
        <w:shd w:val="clear" w:color="auto" w:fill="F2D4D4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F1DE92" w:themeColor="accent3" w:themeTint="99"/>
        <w:bottom w:val="single" w:sz="4" w:space="0" w:color="F1DE92" w:themeColor="accent3" w:themeTint="99"/>
        <w:insideH w:val="single" w:sz="4" w:space="0" w:color="F1DE92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F4DA" w:themeFill="accent3" w:themeFillTint="33"/>
      </w:tcPr>
    </w:tblStylePr>
    <w:tblStylePr w:type="band1Horz">
      <w:tblPr/>
      <w:tcPr>
        <w:shd w:val="clear" w:color="auto" w:fill="FAF4DA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69BCDC" w:themeColor="accent4" w:themeTint="99"/>
        <w:bottom w:val="single" w:sz="4" w:space="0" w:color="69BCDC" w:themeColor="accent4" w:themeTint="99"/>
        <w:insideH w:val="single" w:sz="4" w:space="0" w:color="69BCDC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E8F3" w:themeFill="accent4" w:themeFillTint="33"/>
      </w:tcPr>
    </w:tblStylePr>
    <w:tblStylePr w:type="band1Horz">
      <w:tblPr/>
      <w:tcPr>
        <w:shd w:val="clear" w:color="auto" w:fill="CDE8F3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F6B88D" w:themeColor="accent5" w:themeTint="99"/>
        <w:bottom w:val="single" w:sz="4" w:space="0" w:color="F6B88D" w:themeColor="accent5" w:themeTint="99"/>
        <w:insideH w:val="single" w:sz="4" w:space="0" w:color="F6B88D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E7D9" w:themeFill="accent5" w:themeFillTint="33"/>
      </w:tcPr>
    </w:tblStylePr>
    <w:tblStylePr w:type="band1Horz">
      <w:tblPr/>
      <w:tcPr>
        <w:shd w:val="clear" w:color="auto" w:fill="FCE7D9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A790B4" w:themeColor="accent6" w:themeTint="99"/>
        <w:bottom w:val="single" w:sz="4" w:space="0" w:color="A790B4" w:themeColor="accent6" w:themeTint="99"/>
        <w:insideH w:val="single" w:sz="4" w:space="0" w:color="A790B4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DAE6" w:themeFill="accent6" w:themeFillTint="33"/>
      </w:tcPr>
    </w:tblStylePr>
    <w:tblStylePr w:type="band1Horz">
      <w:tblPr/>
      <w:tcPr>
        <w:shd w:val="clear" w:color="auto" w:fill="E1DAE6" w:themeFill="accent6" w:themeFillTint="33"/>
      </w:tcPr>
    </w:tblStylePr>
  </w:style>
  <w:style w:type="table" w:styleId="ListTable3">
    <w:name w:val="List Table 3"/>
    <w:basedOn w:val="TableNormal"/>
    <w:uiPriority w:val="48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03A996" w:themeColor="accent1"/>
        <w:left w:val="single" w:sz="4" w:space="0" w:color="03A996" w:themeColor="accent1"/>
        <w:bottom w:val="single" w:sz="4" w:space="0" w:color="03A996" w:themeColor="accent1"/>
        <w:right w:val="single" w:sz="4" w:space="0" w:color="03A996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3A996" w:themeFill="accent1"/>
      </w:tcPr>
    </w:tblStylePr>
    <w:tblStylePr w:type="lastRow">
      <w:rPr>
        <w:b/>
        <w:bCs/>
      </w:rPr>
      <w:tblPr/>
      <w:tcPr>
        <w:tcBorders>
          <w:top w:val="double" w:sz="4" w:space="0" w:color="03A996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3A996" w:themeColor="accent1"/>
          <w:right w:val="single" w:sz="4" w:space="0" w:color="03A996" w:themeColor="accent1"/>
        </w:tcBorders>
      </w:tcPr>
    </w:tblStylePr>
    <w:tblStylePr w:type="band1Horz">
      <w:tblPr/>
      <w:tcPr>
        <w:tcBorders>
          <w:top w:val="single" w:sz="4" w:space="0" w:color="03A996" w:themeColor="accent1"/>
          <w:bottom w:val="single" w:sz="4" w:space="0" w:color="03A996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3A996" w:themeColor="accent1"/>
          <w:left w:val="nil"/>
        </w:tcBorders>
      </w:tcPr>
    </w:tblStylePr>
    <w:tblStylePr w:type="swCell">
      <w:tblPr/>
      <w:tcPr>
        <w:tcBorders>
          <w:top w:val="double" w:sz="4" w:space="0" w:color="03A996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B33536" w:themeColor="accent2"/>
        <w:left w:val="single" w:sz="4" w:space="0" w:color="B33536" w:themeColor="accent2"/>
        <w:bottom w:val="single" w:sz="4" w:space="0" w:color="B33536" w:themeColor="accent2"/>
        <w:right w:val="single" w:sz="4" w:space="0" w:color="B33536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B33536" w:themeFill="accent2"/>
      </w:tcPr>
    </w:tblStylePr>
    <w:tblStylePr w:type="lastRow">
      <w:rPr>
        <w:b/>
        <w:bCs/>
      </w:rPr>
      <w:tblPr/>
      <w:tcPr>
        <w:tcBorders>
          <w:top w:val="double" w:sz="4" w:space="0" w:color="B33536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B33536" w:themeColor="accent2"/>
          <w:right w:val="single" w:sz="4" w:space="0" w:color="B33536" w:themeColor="accent2"/>
        </w:tcBorders>
      </w:tcPr>
    </w:tblStylePr>
    <w:tblStylePr w:type="band1Horz">
      <w:tblPr/>
      <w:tcPr>
        <w:tcBorders>
          <w:top w:val="single" w:sz="4" w:space="0" w:color="B33536" w:themeColor="accent2"/>
          <w:bottom w:val="single" w:sz="4" w:space="0" w:color="B33536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B33536" w:themeColor="accent2"/>
          <w:left w:val="nil"/>
        </w:tcBorders>
      </w:tcPr>
    </w:tblStylePr>
    <w:tblStylePr w:type="swCell">
      <w:tblPr/>
      <w:tcPr>
        <w:tcBorders>
          <w:top w:val="double" w:sz="4" w:space="0" w:color="B33536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E8C94B" w:themeColor="accent3"/>
        <w:left w:val="single" w:sz="4" w:space="0" w:color="E8C94B" w:themeColor="accent3"/>
        <w:bottom w:val="single" w:sz="4" w:space="0" w:color="E8C94B" w:themeColor="accent3"/>
        <w:right w:val="single" w:sz="4" w:space="0" w:color="E8C94B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8C94B" w:themeFill="accent3"/>
      </w:tcPr>
    </w:tblStylePr>
    <w:tblStylePr w:type="lastRow">
      <w:rPr>
        <w:b/>
        <w:bCs/>
      </w:rPr>
      <w:tblPr/>
      <w:tcPr>
        <w:tcBorders>
          <w:top w:val="double" w:sz="4" w:space="0" w:color="E8C94B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8C94B" w:themeColor="accent3"/>
          <w:right w:val="single" w:sz="4" w:space="0" w:color="E8C94B" w:themeColor="accent3"/>
        </w:tcBorders>
      </w:tcPr>
    </w:tblStylePr>
    <w:tblStylePr w:type="band1Horz">
      <w:tblPr/>
      <w:tcPr>
        <w:tcBorders>
          <w:top w:val="single" w:sz="4" w:space="0" w:color="E8C94B" w:themeColor="accent3"/>
          <w:bottom w:val="single" w:sz="4" w:space="0" w:color="E8C94B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8C94B" w:themeColor="accent3"/>
          <w:left w:val="nil"/>
        </w:tcBorders>
      </w:tcPr>
    </w:tblStylePr>
    <w:tblStylePr w:type="swCell">
      <w:tblPr/>
      <w:tcPr>
        <w:tcBorders>
          <w:top w:val="double" w:sz="4" w:space="0" w:color="E8C94B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2682A6" w:themeColor="accent4"/>
        <w:left w:val="single" w:sz="4" w:space="0" w:color="2682A6" w:themeColor="accent4"/>
        <w:bottom w:val="single" w:sz="4" w:space="0" w:color="2682A6" w:themeColor="accent4"/>
        <w:right w:val="single" w:sz="4" w:space="0" w:color="2682A6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2682A6" w:themeFill="accent4"/>
      </w:tcPr>
    </w:tblStylePr>
    <w:tblStylePr w:type="lastRow">
      <w:rPr>
        <w:b/>
        <w:bCs/>
      </w:rPr>
      <w:tblPr/>
      <w:tcPr>
        <w:tcBorders>
          <w:top w:val="double" w:sz="4" w:space="0" w:color="2682A6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2682A6" w:themeColor="accent4"/>
          <w:right w:val="single" w:sz="4" w:space="0" w:color="2682A6" w:themeColor="accent4"/>
        </w:tcBorders>
      </w:tcPr>
    </w:tblStylePr>
    <w:tblStylePr w:type="band1Horz">
      <w:tblPr/>
      <w:tcPr>
        <w:tcBorders>
          <w:top w:val="single" w:sz="4" w:space="0" w:color="2682A6" w:themeColor="accent4"/>
          <w:bottom w:val="single" w:sz="4" w:space="0" w:color="2682A6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2682A6" w:themeColor="accent4"/>
          <w:left w:val="nil"/>
        </w:tcBorders>
      </w:tcPr>
    </w:tblStylePr>
    <w:tblStylePr w:type="swCell">
      <w:tblPr/>
      <w:tcPr>
        <w:tcBorders>
          <w:top w:val="double" w:sz="4" w:space="0" w:color="2682A6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F08A42" w:themeColor="accent5"/>
        <w:left w:val="single" w:sz="4" w:space="0" w:color="F08A42" w:themeColor="accent5"/>
        <w:bottom w:val="single" w:sz="4" w:space="0" w:color="F08A42" w:themeColor="accent5"/>
        <w:right w:val="single" w:sz="4" w:space="0" w:color="F08A42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F08A42" w:themeFill="accent5"/>
      </w:tcPr>
    </w:tblStylePr>
    <w:tblStylePr w:type="lastRow">
      <w:rPr>
        <w:b/>
        <w:bCs/>
      </w:rPr>
      <w:tblPr/>
      <w:tcPr>
        <w:tcBorders>
          <w:top w:val="double" w:sz="4" w:space="0" w:color="F08A42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F08A42" w:themeColor="accent5"/>
          <w:right w:val="single" w:sz="4" w:space="0" w:color="F08A42" w:themeColor="accent5"/>
        </w:tcBorders>
      </w:tcPr>
    </w:tblStylePr>
    <w:tblStylePr w:type="band1Horz">
      <w:tblPr/>
      <w:tcPr>
        <w:tcBorders>
          <w:top w:val="single" w:sz="4" w:space="0" w:color="F08A42" w:themeColor="accent5"/>
          <w:bottom w:val="single" w:sz="4" w:space="0" w:color="F08A42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F08A42" w:themeColor="accent5"/>
          <w:left w:val="nil"/>
        </w:tcBorders>
      </w:tcPr>
    </w:tblStylePr>
    <w:tblStylePr w:type="swCell">
      <w:tblPr/>
      <w:tcPr>
        <w:tcBorders>
          <w:top w:val="double" w:sz="4" w:space="0" w:color="F08A42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6A5178" w:themeColor="accent6"/>
        <w:left w:val="single" w:sz="4" w:space="0" w:color="6A5178" w:themeColor="accent6"/>
        <w:bottom w:val="single" w:sz="4" w:space="0" w:color="6A5178" w:themeColor="accent6"/>
        <w:right w:val="single" w:sz="4" w:space="0" w:color="6A5178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6A5178" w:themeFill="accent6"/>
      </w:tcPr>
    </w:tblStylePr>
    <w:tblStylePr w:type="lastRow">
      <w:rPr>
        <w:b/>
        <w:bCs/>
      </w:rPr>
      <w:tblPr/>
      <w:tcPr>
        <w:tcBorders>
          <w:top w:val="double" w:sz="4" w:space="0" w:color="6A5178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6A5178" w:themeColor="accent6"/>
          <w:right w:val="single" w:sz="4" w:space="0" w:color="6A5178" w:themeColor="accent6"/>
        </w:tcBorders>
      </w:tcPr>
    </w:tblStylePr>
    <w:tblStylePr w:type="band1Horz">
      <w:tblPr/>
      <w:tcPr>
        <w:tcBorders>
          <w:top w:val="single" w:sz="4" w:space="0" w:color="6A5178" w:themeColor="accent6"/>
          <w:bottom w:val="single" w:sz="4" w:space="0" w:color="6A5178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6A5178" w:themeColor="accent6"/>
          <w:left w:val="nil"/>
        </w:tcBorders>
      </w:tcPr>
    </w:tblStylePr>
    <w:tblStylePr w:type="swCell">
      <w:tblPr/>
      <w:tcPr>
        <w:tcBorders>
          <w:top w:val="double" w:sz="4" w:space="0" w:color="6A5178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37FBE4" w:themeColor="accent1" w:themeTint="99"/>
        <w:left w:val="single" w:sz="4" w:space="0" w:color="37FBE4" w:themeColor="accent1" w:themeTint="99"/>
        <w:bottom w:val="single" w:sz="4" w:space="0" w:color="37FBE4" w:themeColor="accent1" w:themeTint="99"/>
        <w:right w:val="single" w:sz="4" w:space="0" w:color="37FBE4" w:themeColor="accent1" w:themeTint="99"/>
        <w:insideH w:val="single" w:sz="4" w:space="0" w:color="37FBE4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3A996" w:themeColor="accent1"/>
          <w:left w:val="single" w:sz="4" w:space="0" w:color="03A996" w:themeColor="accent1"/>
          <w:bottom w:val="single" w:sz="4" w:space="0" w:color="03A996" w:themeColor="accent1"/>
          <w:right w:val="single" w:sz="4" w:space="0" w:color="03A996" w:themeColor="accent1"/>
          <w:insideH w:val="nil"/>
        </w:tcBorders>
        <w:shd w:val="clear" w:color="auto" w:fill="03A996" w:themeFill="accent1"/>
      </w:tcPr>
    </w:tblStylePr>
    <w:tblStylePr w:type="lastRow">
      <w:rPr>
        <w:b/>
        <w:bCs/>
      </w:rPr>
      <w:tblPr/>
      <w:tcPr>
        <w:tcBorders>
          <w:top w:val="double" w:sz="4" w:space="0" w:color="37FBE4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CFDF6" w:themeFill="accent1" w:themeFillTint="33"/>
      </w:tcPr>
    </w:tblStylePr>
    <w:tblStylePr w:type="band1Horz">
      <w:tblPr/>
      <w:tcPr>
        <w:shd w:val="clear" w:color="auto" w:fill="BCFDF6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D87E7E" w:themeColor="accent2" w:themeTint="99"/>
        <w:left w:val="single" w:sz="4" w:space="0" w:color="D87E7E" w:themeColor="accent2" w:themeTint="99"/>
        <w:bottom w:val="single" w:sz="4" w:space="0" w:color="D87E7E" w:themeColor="accent2" w:themeTint="99"/>
        <w:right w:val="single" w:sz="4" w:space="0" w:color="D87E7E" w:themeColor="accent2" w:themeTint="99"/>
        <w:insideH w:val="single" w:sz="4" w:space="0" w:color="D87E7E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33536" w:themeColor="accent2"/>
          <w:left w:val="single" w:sz="4" w:space="0" w:color="B33536" w:themeColor="accent2"/>
          <w:bottom w:val="single" w:sz="4" w:space="0" w:color="B33536" w:themeColor="accent2"/>
          <w:right w:val="single" w:sz="4" w:space="0" w:color="B33536" w:themeColor="accent2"/>
          <w:insideH w:val="nil"/>
        </w:tcBorders>
        <w:shd w:val="clear" w:color="auto" w:fill="B33536" w:themeFill="accent2"/>
      </w:tcPr>
    </w:tblStylePr>
    <w:tblStylePr w:type="lastRow">
      <w:rPr>
        <w:b/>
        <w:bCs/>
      </w:rPr>
      <w:tblPr/>
      <w:tcPr>
        <w:tcBorders>
          <w:top w:val="double" w:sz="4" w:space="0" w:color="D87E7E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D4D4" w:themeFill="accent2" w:themeFillTint="33"/>
      </w:tcPr>
    </w:tblStylePr>
    <w:tblStylePr w:type="band1Horz">
      <w:tblPr/>
      <w:tcPr>
        <w:shd w:val="clear" w:color="auto" w:fill="F2D4D4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F1DE92" w:themeColor="accent3" w:themeTint="99"/>
        <w:left w:val="single" w:sz="4" w:space="0" w:color="F1DE92" w:themeColor="accent3" w:themeTint="99"/>
        <w:bottom w:val="single" w:sz="4" w:space="0" w:color="F1DE92" w:themeColor="accent3" w:themeTint="99"/>
        <w:right w:val="single" w:sz="4" w:space="0" w:color="F1DE92" w:themeColor="accent3" w:themeTint="99"/>
        <w:insideH w:val="single" w:sz="4" w:space="0" w:color="F1DE92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8C94B" w:themeColor="accent3"/>
          <w:left w:val="single" w:sz="4" w:space="0" w:color="E8C94B" w:themeColor="accent3"/>
          <w:bottom w:val="single" w:sz="4" w:space="0" w:color="E8C94B" w:themeColor="accent3"/>
          <w:right w:val="single" w:sz="4" w:space="0" w:color="E8C94B" w:themeColor="accent3"/>
          <w:insideH w:val="nil"/>
        </w:tcBorders>
        <w:shd w:val="clear" w:color="auto" w:fill="E8C94B" w:themeFill="accent3"/>
      </w:tcPr>
    </w:tblStylePr>
    <w:tblStylePr w:type="lastRow">
      <w:rPr>
        <w:b/>
        <w:bCs/>
      </w:rPr>
      <w:tblPr/>
      <w:tcPr>
        <w:tcBorders>
          <w:top w:val="double" w:sz="4" w:space="0" w:color="F1DE92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F4DA" w:themeFill="accent3" w:themeFillTint="33"/>
      </w:tcPr>
    </w:tblStylePr>
    <w:tblStylePr w:type="band1Horz">
      <w:tblPr/>
      <w:tcPr>
        <w:shd w:val="clear" w:color="auto" w:fill="FAF4DA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69BCDC" w:themeColor="accent4" w:themeTint="99"/>
        <w:left w:val="single" w:sz="4" w:space="0" w:color="69BCDC" w:themeColor="accent4" w:themeTint="99"/>
        <w:bottom w:val="single" w:sz="4" w:space="0" w:color="69BCDC" w:themeColor="accent4" w:themeTint="99"/>
        <w:right w:val="single" w:sz="4" w:space="0" w:color="69BCDC" w:themeColor="accent4" w:themeTint="99"/>
        <w:insideH w:val="single" w:sz="4" w:space="0" w:color="69BCDC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2682A6" w:themeColor="accent4"/>
          <w:left w:val="single" w:sz="4" w:space="0" w:color="2682A6" w:themeColor="accent4"/>
          <w:bottom w:val="single" w:sz="4" w:space="0" w:color="2682A6" w:themeColor="accent4"/>
          <w:right w:val="single" w:sz="4" w:space="0" w:color="2682A6" w:themeColor="accent4"/>
          <w:insideH w:val="nil"/>
        </w:tcBorders>
        <w:shd w:val="clear" w:color="auto" w:fill="2682A6" w:themeFill="accent4"/>
      </w:tcPr>
    </w:tblStylePr>
    <w:tblStylePr w:type="lastRow">
      <w:rPr>
        <w:b/>
        <w:bCs/>
      </w:rPr>
      <w:tblPr/>
      <w:tcPr>
        <w:tcBorders>
          <w:top w:val="double" w:sz="4" w:space="0" w:color="69BCDC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E8F3" w:themeFill="accent4" w:themeFillTint="33"/>
      </w:tcPr>
    </w:tblStylePr>
    <w:tblStylePr w:type="band1Horz">
      <w:tblPr/>
      <w:tcPr>
        <w:shd w:val="clear" w:color="auto" w:fill="CDE8F3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F6B88D" w:themeColor="accent5" w:themeTint="99"/>
        <w:left w:val="single" w:sz="4" w:space="0" w:color="F6B88D" w:themeColor="accent5" w:themeTint="99"/>
        <w:bottom w:val="single" w:sz="4" w:space="0" w:color="F6B88D" w:themeColor="accent5" w:themeTint="99"/>
        <w:right w:val="single" w:sz="4" w:space="0" w:color="F6B88D" w:themeColor="accent5" w:themeTint="99"/>
        <w:insideH w:val="single" w:sz="4" w:space="0" w:color="F6B88D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08A42" w:themeColor="accent5"/>
          <w:left w:val="single" w:sz="4" w:space="0" w:color="F08A42" w:themeColor="accent5"/>
          <w:bottom w:val="single" w:sz="4" w:space="0" w:color="F08A42" w:themeColor="accent5"/>
          <w:right w:val="single" w:sz="4" w:space="0" w:color="F08A42" w:themeColor="accent5"/>
          <w:insideH w:val="nil"/>
        </w:tcBorders>
        <w:shd w:val="clear" w:color="auto" w:fill="F08A42" w:themeFill="accent5"/>
      </w:tcPr>
    </w:tblStylePr>
    <w:tblStylePr w:type="lastRow">
      <w:rPr>
        <w:b/>
        <w:bCs/>
      </w:rPr>
      <w:tblPr/>
      <w:tcPr>
        <w:tcBorders>
          <w:top w:val="double" w:sz="4" w:space="0" w:color="F6B88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E7D9" w:themeFill="accent5" w:themeFillTint="33"/>
      </w:tcPr>
    </w:tblStylePr>
    <w:tblStylePr w:type="band1Horz">
      <w:tblPr/>
      <w:tcPr>
        <w:shd w:val="clear" w:color="auto" w:fill="FCE7D9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A790B4" w:themeColor="accent6" w:themeTint="99"/>
        <w:left w:val="single" w:sz="4" w:space="0" w:color="A790B4" w:themeColor="accent6" w:themeTint="99"/>
        <w:bottom w:val="single" w:sz="4" w:space="0" w:color="A790B4" w:themeColor="accent6" w:themeTint="99"/>
        <w:right w:val="single" w:sz="4" w:space="0" w:color="A790B4" w:themeColor="accent6" w:themeTint="99"/>
        <w:insideH w:val="single" w:sz="4" w:space="0" w:color="A790B4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6A5178" w:themeColor="accent6"/>
          <w:left w:val="single" w:sz="4" w:space="0" w:color="6A5178" w:themeColor="accent6"/>
          <w:bottom w:val="single" w:sz="4" w:space="0" w:color="6A5178" w:themeColor="accent6"/>
          <w:right w:val="single" w:sz="4" w:space="0" w:color="6A5178" w:themeColor="accent6"/>
          <w:insideH w:val="nil"/>
        </w:tcBorders>
        <w:shd w:val="clear" w:color="auto" w:fill="6A5178" w:themeFill="accent6"/>
      </w:tcPr>
    </w:tblStylePr>
    <w:tblStylePr w:type="lastRow">
      <w:rPr>
        <w:b/>
        <w:bCs/>
      </w:rPr>
      <w:tblPr/>
      <w:tcPr>
        <w:tcBorders>
          <w:top w:val="double" w:sz="4" w:space="0" w:color="A790B4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DAE6" w:themeFill="accent6" w:themeFillTint="33"/>
      </w:tcPr>
    </w:tblStylePr>
    <w:tblStylePr w:type="band1Horz">
      <w:tblPr/>
      <w:tcPr>
        <w:shd w:val="clear" w:color="auto" w:fill="E1DAE6" w:themeFill="accent6" w:themeFillTint="33"/>
      </w:tcPr>
    </w:tblStylePr>
  </w:style>
  <w:style w:type="table" w:styleId="ListTable5Dark">
    <w:name w:val="List Table 5 Dark"/>
    <w:basedOn w:val="TableNormal"/>
    <w:uiPriority w:val="50"/>
    <w:rsid w:val="009915C8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9915C8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3A996" w:themeColor="accent1"/>
        <w:left w:val="single" w:sz="24" w:space="0" w:color="03A996" w:themeColor="accent1"/>
        <w:bottom w:val="single" w:sz="24" w:space="0" w:color="03A996" w:themeColor="accent1"/>
        <w:right w:val="single" w:sz="24" w:space="0" w:color="03A996" w:themeColor="accent1"/>
      </w:tblBorders>
    </w:tblPr>
    <w:tcPr>
      <w:shd w:val="clear" w:color="auto" w:fill="03A996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9915C8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B33536" w:themeColor="accent2"/>
        <w:left w:val="single" w:sz="24" w:space="0" w:color="B33536" w:themeColor="accent2"/>
        <w:bottom w:val="single" w:sz="24" w:space="0" w:color="B33536" w:themeColor="accent2"/>
        <w:right w:val="single" w:sz="24" w:space="0" w:color="B33536" w:themeColor="accent2"/>
      </w:tblBorders>
    </w:tblPr>
    <w:tcPr>
      <w:shd w:val="clear" w:color="auto" w:fill="B33536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9915C8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E8C94B" w:themeColor="accent3"/>
        <w:left w:val="single" w:sz="24" w:space="0" w:color="E8C94B" w:themeColor="accent3"/>
        <w:bottom w:val="single" w:sz="24" w:space="0" w:color="E8C94B" w:themeColor="accent3"/>
        <w:right w:val="single" w:sz="24" w:space="0" w:color="E8C94B" w:themeColor="accent3"/>
      </w:tblBorders>
    </w:tblPr>
    <w:tcPr>
      <w:shd w:val="clear" w:color="auto" w:fill="E8C94B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9915C8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2682A6" w:themeColor="accent4"/>
        <w:left w:val="single" w:sz="24" w:space="0" w:color="2682A6" w:themeColor="accent4"/>
        <w:bottom w:val="single" w:sz="24" w:space="0" w:color="2682A6" w:themeColor="accent4"/>
        <w:right w:val="single" w:sz="24" w:space="0" w:color="2682A6" w:themeColor="accent4"/>
      </w:tblBorders>
    </w:tblPr>
    <w:tcPr>
      <w:shd w:val="clear" w:color="auto" w:fill="2682A6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9915C8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F08A42" w:themeColor="accent5"/>
        <w:left w:val="single" w:sz="24" w:space="0" w:color="F08A42" w:themeColor="accent5"/>
        <w:bottom w:val="single" w:sz="24" w:space="0" w:color="F08A42" w:themeColor="accent5"/>
        <w:right w:val="single" w:sz="24" w:space="0" w:color="F08A42" w:themeColor="accent5"/>
      </w:tblBorders>
    </w:tblPr>
    <w:tcPr>
      <w:shd w:val="clear" w:color="auto" w:fill="F08A42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9915C8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6A5178" w:themeColor="accent6"/>
        <w:left w:val="single" w:sz="24" w:space="0" w:color="6A5178" w:themeColor="accent6"/>
        <w:bottom w:val="single" w:sz="24" w:space="0" w:color="6A5178" w:themeColor="accent6"/>
        <w:right w:val="single" w:sz="24" w:space="0" w:color="6A5178" w:themeColor="accent6"/>
      </w:tblBorders>
    </w:tblPr>
    <w:tcPr>
      <w:shd w:val="clear" w:color="auto" w:fill="6A5178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9915C8"/>
    <w:pPr>
      <w:spacing w:after="0" w:line="240" w:lineRule="auto"/>
    </w:pPr>
    <w:rPr>
      <w:color w:val="027E6F" w:themeColor="accent1" w:themeShade="BF"/>
    </w:rPr>
    <w:tblPr>
      <w:tblStyleRowBandSize w:val="1"/>
      <w:tblStyleColBandSize w:val="1"/>
      <w:tblBorders>
        <w:top w:val="single" w:sz="4" w:space="0" w:color="03A996" w:themeColor="accent1"/>
        <w:bottom w:val="single" w:sz="4" w:space="0" w:color="03A996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03A996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03A996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CFDF6" w:themeFill="accent1" w:themeFillTint="33"/>
      </w:tcPr>
    </w:tblStylePr>
    <w:tblStylePr w:type="band1Horz">
      <w:tblPr/>
      <w:tcPr>
        <w:shd w:val="clear" w:color="auto" w:fill="BCFDF6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9915C8"/>
    <w:pPr>
      <w:spacing w:after="0" w:line="240" w:lineRule="auto"/>
    </w:pPr>
    <w:rPr>
      <w:color w:val="852728" w:themeColor="accent2" w:themeShade="BF"/>
    </w:rPr>
    <w:tblPr>
      <w:tblStyleRowBandSize w:val="1"/>
      <w:tblStyleColBandSize w:val="1"/>
      <w:tblBorders>
        <w:top w:val="single" w:sz="4" w:space="0" w:color="B33536" w:themeColor="accent2"/>
        <w:bottom w:val="single" w:sz="4" w:space="0" w:color="B33536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B33536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B3353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D4D4" w:themeFill="accent2" w:themeFillTint="33"/>
      </w:tcPr>
    </w:tblStylePr>
    <w:tblStylePr w:type="band1Horz">
      <w:tblPr/>
      <w:tcPr>
        <w:shd w:val="clear" w:color="auto" w:fill="F2D4D4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9915C8"/>
    <w:pPr>
      <w:spacing w:after="0" w:line="240" w:lineRule="auto"/>
    </w:pPr>
    <w:rPr>
      <w:color w:val="CBA81A" w:themeColor="accent3" w:themeShade="BF"/>
    </w:rPr>
    <w:tblPr>
      <w:tblStyleRowBandSize w:val="1"/>
      <w:tblStyleColBandSize w:val="1"/>
      <w:tblBorders>
        <w:top w:val="single" w:sz="4" w:space="0" w:color="E8C94B" w:themeColor="accent3"/>
        <w:bottom w:val="single" w:sz="4" w:space="0" w:color="E8C94B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E8C94B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E8C94B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F4DA" w:themeFill="accent3" w:themeFillTint="33"/>
      </w:tcPr>
    </w:tblStylePr>
    <w:tblStylePr w:type="band1Horz">
      <w:tblPr/>
      <w:tcPr>
        <w:shd w:val="clear" w:color="auto" w:fill="FAF4DA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9915C8"/>
    <w:pPr>
      <w:spacing w:after="0" w:line="240" w:lineRule="auto"/>
    </w:pPr>
    <w:rPr>
      <w:color w:val="1C617C" w:themeColor="accent4" w:themeShade="BF"/>
    </w:rPr>
    <w:tblPr>
      <w:tblStyleRowBandSize w:val="1"/>
      <w:tblStyleColBandSize w:val="1"/>
      <w:tblBorders>
        <w:top w:val="single" w:sz="4" w:space="0" w:color="2682A6" w:themeColor="accent4"/>
        <w:bottom w:val="single" w:sz="4" w:space="0" w:color="2682A6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2682A6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2682A6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E8F3" w:themeFill="accent4" w:themeFillTint="33"/>
      </w:tcPr>
    </w:tblStylePr>
    <w:tblStylePr w:type="band1Horz">
      <w:tblPr/>
      <w:tcPr>
        <w:shd w:val="clear" w:color="auto" w:fill="CDE8F3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9915C8"/>
    <w:pPr>
      <w:spacing w:after="0" w:line="240" w:lineRule="auto"/>
    </w:pPr>
    <w:rPr>
      <w:color w:val="D46111" w:themeColor="accent5" w:themeShade="BF"/>
    </w:rPr>
    <w:tblPr>
      <w:tblStyleRowBandSize w:val="1"/>
      <w:tblStyleColBandSize w:val="1"/>
      <w:tblBorders>
        <w:top w:val="single" w:sz="4" w:space="0" w:color="F08A42" w:themeColor="accent5"/>
        <w:bottom w:val="single" w:sz="4" w:space="0" w:color="F08A42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F08A42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F08A42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E7D9" w:themeFill="accent5" w:themeFillTint="33"/>
      </w:tcPr>
    </w:tblStylePr>
    <w:tblStylePr w:type="band1Horz">
      <w:tblPr/>
      <w:tcPr>
        <w:shd w:val="clear" w:color="auto" w:fill="FCE7D9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9915C8"/>
    <w:pPr>
      <w:spacing w:after="0" w:line="240" w:lineRule="auto"/>
    </w:pPr>
    <w:rPr>
      <w:color w:val="4F3C59" w:themeColor="accent6" w:themeShade="BF"/>
    </w:rPr>
    <w:tblPr>
      <w:tblStyleRowBandSize w:val="1"/>
      <w:tblStyleColBandSize w:val="1"/>
      <w:tblBorders>
        <w:top w:val="single" w:sz="4" w:space="0" w:color="6A5178" w:themeColor="accent6"/>
        <w:bottom w:val="single" w:sz="4" w:space="0" w:color="6A5178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6A5178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6A5178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DAE6" w:themeFill="accent6" w:themeFillTint="33"/>
      </w:tcPr>
    </w:tblStylePr>
    <w:tblStylePr w:type="band1Horz">
      <w:tblPr/>
      <w:tcPr>
        <w:shd w:val="clear" w:color="auto" w:fill="E1DAE6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9915C8"/>
    <w:pPr>
      <w:spacing w:after="0" w:line="240" w:lineRule="auto"/>
    </w:pPr>
    <w:rPr>
      <w:color w:val="027E6F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3A996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3A996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3A996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3A996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BCFDF6" w:themeFill="accent1" w:themeFillTint="33"/>
      </w:tcPr>
    </w:tblStylePr>
    <w:tblStylePr w:type="band1Horz">
      <w:tblPr/>
      <w:tcPr>
        <w:shd w:val="clear" w:color="auto" w:fill="BCFDF6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9915C8"/>
    <w:pPr>
      <w:spacing w:after="0" w:line="240" w:lineRule="auto"/>
    </w:pPr>
    <w:rPr>
      <w:color w:val="852728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B33536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B33536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B33536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B33536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2D4D4" w:themeFill="accent2" w:themeFillTint="33"/>
      </w:tcPr>
    </w:tblStylePr>
    <w:tblStylePr w:type="band1Horz">
      <w:tblPr/>
      <w:tcPr>
        <w:shd w:val="clear" w:color="auto" w:fill="F2D4D4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9915C8"/>
    <w:pPr>
      <w:spacing w:after="0" w:line="240" w:lineRule="auto"/>
    </w:pPr>
    <w:rPr>
      <w:color w:val="CBA81A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8C94B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8C94B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8C94B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8C94B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FAF4DA" w:themeFill="accent3" w:themeFillTint="33"/>
      </w:tcPr>
    </w:tblStylePr>
    <w:tblStylePr w:type="band1Horz">
      <w:tblPr/>
      <w:tcPr>
        <w:shd w:val="clear" w:color="auto" w:fill="FAF4DA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9915C8"/>
    <w:pPr>
      <w:spacing w:after="0" w:line="240" w:lineRule="auto"/>
    </w:pPr>
    <w:rPr>
      <w:color w:val="1C617C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2682A6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2682A6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2682A6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2682A6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CDE8F3" w:themeFill="accent4" w:themeFillTint="33"/>
      </w:tcPr>
    </w:tblStylePr>
    <w:tblStylePr w:type="band1Horz">
      <w:tblPr/>
      <w:tcPr>
        <w:shd w:val="clear" w:color="auto" w:fill="CDE8F3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9915C8"/>
    <w:pPr>
      <w:spacing w:after="0" w:line="240" w:lineRule="auto"/>
    </w:pPr>
    <w:rPr>
      <w:color w:val="D46111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F08A42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F08A42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F08A42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F08A42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CE7D9" w:themeFill="accent5" w:themeFillTint="33"/>
      </w:tcPr>
    </w:tblStylePr>
    <w:tblStylePr w:type="band1Horz">
      <w:tblPr/>
      <w:tcPr>
        <w:shd w:val="clear" w:color="auto" w:fill="FCE7D9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9915C8"/>
    <w:pPr>
      <w:spacing w:after="0" w:line="240" w:lineRule="auto"/>
    </w:pPr>
    <w:rPr>
      <w:color w:val="4F3C59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6A5178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6A5178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6A5178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6A5178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E1DAE6" w:themeFill="accent6" w:themeFillTint="33"/>
      </w:tcPr>
    </w:tblStylePr>
    <w:tblStylePr w:type="band1Horz">
      <w:tblPr/>
      <w:tcPr>
        <w:shd w:val="clear" w:color="auto" w:fill="E1DAE6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9915C8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9915C8"/>
    <w:rPr>
      <w:rFonts w:ascii="Consolas" w:hAnsi="Consolas"/>
      <w:szCs w:val="20"/>
    </w:rPr>
  </w:style>
  <w:style w:type="table" w:styleId="MediumGrid1">
    <w:name w:val="Medium Grid 1"/>
    <w:basedOn w:val="TableNormal"/>
    <w:uiPriority w:val="67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06FADD" w:themeColor="accent1" w:themeTint="BF"/>
        <w:left w:val="single" w:sz="8" w:space="0" w:color="06FADD" w:themeColor="accent1" w:themeTint="BF"/>
        <w:bottom w:val="single" w:sz="8" w:space="0" w:color="06FADD" w:themeColor="accent1" w:themeTint="BF"/>
        <w:right w:val="single" w:sz="8" w:space="0" w:color="06FADD" w:themeColor="accent1" w:themeTint="BF"/>
        <w:insideH w:val="single" w:sz="8" w:space="0" w:color="06FADD" w:themeColor="accent1" w:themeTint="BF"/>
        <w:insideV w:val="single" w:sz="8" w:space="0" w:color="06FADD" w:themeColor="accent1" w:themeTint="BF"/>
      </w:tblBorders>
    </w:tblPr>
    <w:tcPr>
      <w:shd w:val="clear" w:color="auto" w:fill="ACFDF4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06FAD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59FCE8" w:themeFill="accent1" w:themeFillTint="7F"/>
      </w:tcPr>
    </w:tblStylePr>
    <w:tblStylePr w:type="band1Horz">
      <w:tblPr/>
      <w:tcPr>
        <w:shd w:val="clear" w:color="auto" w:fill="59FCE8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CF5E5F" w:themeColor="accent2" w:themeTint="BF"/>
        <w:left w:val="single" w:sz="8" w:space="0" w:color="CF5E5F" w:themeColor="accent2" w:themeTint="BF"/>
        <w:bottom w:val="single" w:sz="8" w:space="0" w:color="CF5E5F" w:themeColor="accent2" w:themeTint="BF"/>
        <w:right w:val="single" w:sz="8" w:space="0" w:color="CF5E5F" w:themeColor="accent2" w:themeTint="BF"/>
        <w:insideH w:val="single" w:sz="8" w:space="0" w:color="CF5E5F" w:themeColor="accent2" w:themeTint="BF"/>
        <w:insideV w:val="single" w:sz="8" w:space="0" w:color="CF5E5F" w:themeColor="accent2" w:themeTint="BF"/>
      </w:tblBorders>
    </w:tblPr>
    <w:tcPr>
      <w:shd w:val="clear" w:color="auto" w:fill="EFC9C9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5E5F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9494" w:themeFill="accent2" w:themeFillTint="7F"/>
      </w:tcPr>
    </w:tblStylePr>
    <w:tblStylePr w:type="band1Horz">
      <w:tblPr/>
      <w:tcPr>
        <w:shd w:val="clear" w:color="auto" w:fill="DF9494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EDD677" w:themeColor="accent3" w:themeTint="BF"/>
        <w:left w:val="single" w:sz="8" w:space="0" w:color="EDD677" w:themeColor="accent3" w:themeTint="BF"/>
        <w:bottom w:val="single" w:sz="8" w:space="0" w:color="EDD677" w:themeColor="accent3" w:themeTint="BF"/>
        <w:right w:val="single" w:sz="8" w:space="0" w:color="EDD677" w:themeColor="accent3" w:themeTint="BF"/>
        <w:insideH w:val="single" w:sz="8" w:space="0" w:color="EDD677" w:themeColor="accent3" w:themeTint="BF"/>
        <w:insideV w:val="single" w:sz="8" w:space="0" w:color="EDD677" w:themeColor="accent3" w:themeTint="BF"/>
      </w:tblBorders>
    </w:tblPr>
    <w:tcPr>
      <w:shd w:val="clear" w:color="auto" w:fill="F9F1D2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DD677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E3A5" w:themeFill="accent3" w:themeFillTint="7F"/>
      </w:tcPr>
    </w:tblStylePr>
    <w:tblStylePr w:type="band1Horz">
      <w:tblPr/>
      <w:tcPr>
        <w:shd w:val="clear" w:color="auto" w:fill="F3E3A5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44ABD4" w:themeColor="accent4" w:themeTint="BF"/>
        <w:left w:val="single" w:sz="8" w:space="0" w:color="44ABD4" w:themeColor="accent4" w:themeTint="BF"/>
        <w:bottom w:val="single" w:sz="8" w:space="0" w:color="44ABD4" w:themeColor="accent4" w:themeTint="BF"/>
        <w:right w:val="single" w:sz="8" w:space="0" w:color="44ABD4" w:themeColor="accent4" w:themeTint="BF"/>
        <w:insideH w:val="single" w:sz="8" w:space="0" w:color="44ABD4" w:themeColor="accent4" w:themeTint="BF"/>
        <w:insideV w:val="single" w:sz="8" w:space="0" w:color="44ABD4" w:themeColor="accent4" w:themeTint="BF"/>
      </w:tblBorders>
    </w:tblPr>
    <w:tcPr>
      <w:shd w:val="clear" w:color="auto" w:fill="C1E3F1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4ABD4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2C7E2" w:themeFill="accent4" w:themeFillTint="7F"/>
      </w:tcPr>
    </w:tblStylePr>
    <w:tblStylePr w:type="band1Horz">
      <w:tblPr/>
      <w:tcPr>
        <w:shd w:val="clear" w:color="auto" w:fill="82C7E2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F3A671" w:themeColor="accent5" w:themeTint="BF"/>
        <w:left w:val="single" w:sz="8" w:space="0" w:color="F3A671" w:themeColor="accent5" w:themeTint="BF"/>
        <w:bottom w:val="single" w:sz="8" w:space="0" w:color="F3A671" w:themeColor="accent5" w:themeTint="BF"/>
        <w:right w:val="single" w:sz="8" w:space="0" w:color="F3A671" w:themeColor="accent5" w:themeTint="BF"/>
        <w:insideH w:val="single" w:sz="8" w:space="0" w:color="F3A671" w:themeColor="accent5" w:themeTint="BF"/>
        <w:insideV w:val="single" w:sz="8" w:space="0" w:color="F3A671" w:themeColor="accent5" w:themeTint="BF"/>
      </w:tblBorders>
    </w:tblPr>
    <w:tcPr>
      <w:shd w:val="clear" w:color="auto" w:fill="FBE1D0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3A671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C4A0" w:themeFill="accent5" w:themeFillTint="7F"/>
      </w:tcPr>
    </w:tblStylePr>
    <w:tblStylePr w:type="band1Horz">
      <w:tblPr/>
      <w:tcPr>
        <w:shd w:val="clear" w:color="auto" w:fill="F7C4A0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9174A1" w:themeColor="accent6" w:themeTint="BF"/>
        <w:left w:val="single" w:sz="8" w:space="0" w:color="9174A1" w:themeColor="accent6" w:themeTint="BF"/>
        <w:bottom w:val="single" w:sz="8" w:space="0" w:color="9174A1" w:themeColor="accent6" w:themeTint="BF"/>
        <w:right w:val="single" w:sz="8" w:space="0" w:color="9174A1" w:themeColor="accent6" w:themeTint="BF"/>
        <w:insideH w:val="single" w:sz="8" w:space="0" w:color="9174A1" w:themeColor="accent6" w:themeTint="BF"/>
        <w:insideV w:val="single" w:sz="8" w:space="0" w:color="9174A1" w:themeColor="accent6" w:themeTint="BF"/>
      </w:tblBorders>
    </w:tblPr>
    <w:tcPr>
      <w:shd w:val="clear" w:color="auto" w:fill="DAD1E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174A1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6A3C1" w:themeFill="accent6" w:themeFillTint="7F"/>
      </w:tcPr>
    </w:tblStylePr>
    <w:tblStylePr w:type="band1Horz">
      <w:tblPr/>
      <w:tcPr>
        <w:shd w:val="clear" w:color="auto" w:fill="B6A3C1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9915C8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9915C8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3A996" w:themeColor="accent1"/>
        <w:left w:val="single" w:sz="8" w:space="0" w:color="03A996" w:themeColor="accent1"/>
        <w:bottom w:val="single" w:sz="8" w:space="0" w:color="03A996" w:themeColor="accent1"/>
        <w:right w:val="single" w:sz="8" w:space="0" w:color="03A996" w:themeColor="accent1"/>
        <w:insideH w:val="single" w:sz="8" w:space="0" w:color="03A996" w:themeColor="accent1"/>
        <w:insideV w:val="single" w:sz="8" w:space="0" w:color="03A996" w:themeColor="accent1"/>
      </w:tblBorders>
    </w:tblPr>
    <w:tcPr>
      <w:shd w:val="clear" w:color="auto" w:fill="ACFDF4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DEFEFA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CFDF6" w:themeFill="accent1" w:themeFillTint="33"/>
      </w:tcPr>
    </w:tblStylePr>
    <w:tblStylePr w:type="band1Vert">
      <w:tblPr/>
      <w:tcPr>
        <w:shd w:val="clear" w:color="auto" w:fill="59FCE8" w:themeFill="accent1" w:themeFillTint="7F"/>
      </w:tcPr>
    </w:tblStylePr>
    <w:tblStylePr w:type="band1Horz">
      <w:tblPr/>
      <w:tcPr>
        <w:tcBorders>
          <w:insideH w:val="single" w:sz="6" w:space="0" w:color="03A996" w:themeColor="accent1"/>
          <w:insideV w:val="single" w:sz="6" w:space="0" w:color="03A996" w:themeColor="accent1"/>
        </w:tcBorders>
        <w:shd w:val="clear" w:color="auto" w:fill="59FCE8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9915C8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B33536" w:themeColor="accent2"/>
        <w:left w:val="single" w:sz="8" w:space="0" w:color="B33536" w:themeColor="accent2"/>
        <w:bottom w:val="single" w:sz="8" w:space="0" w:color="B33536" w:themeColor="accent2"/>
        <w:right w:val="single" w:sz="8" w:space="0" w:color="B33536" w:themeColor="accent2"/>
        <w:insideH w:val="single" w:sz="8" w:space="0" w:color="B33536" w:themeColor="accent2"/>
        <w:insideV w:val="single" w:sz="8" w:space="0" w:color="B33536" w:themeColor="accent2"/>
      </w:tblBorders>
    </w:tblPr>
    <w:tcPr>
      <w:shd w:val="clear" w:color="auto" w:fill="EFC9C9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9E9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4D4" w:themeFill="accent2" w:themeFillTint="33"/>
      </w:tcPr>
    </w:tblStylePr>
    <w:tblStylePr w:type="band1Vert">
      <w:tblPr/>
      <w:tcPr>
        <w:shd w:val="clear" w:color="auto" w:fill="DF9494" w:themeFill="accent2" w:themeFillTint="7F"/>
      </w:tcPr>
    </w:tblStylePr>
    <w:tblStylePr w:type="band1Horz">
      <w:tblPr/>
      <w:tcPr>
        <w:tcBorders>
          <w:insideH w:val="single" w:sz="6" w:space="0" w:color="B33536" w:themeColor="accent2"/>
          <w:insideV w:val="single" w:sz="6" w:space="0" w:color="B33536" w:themeColor="accent2"/>
        </w:tcBorders>
        <w:shd w:val="clear" w:color="auto" w:fill="DF9494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9915C8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8C94B" w:themeColor="accent3"/>
        <w:left w:val="single" w:sz="8" w:space="0" w:color="E8C94B" w:themeColor="accent3"/>
        <w:bottom w:val="single" w:sz="8" w:space="0" w:color="E8C94B" w:themeColor="accent3"/>
        <w:right w:val="single" w:sz="8" w:space="0" w:color="E8C94B" w:themeColor="accent3"/>
        <w:insideH w:val="single" w:sz="8" w:space="0" w:color="E8C94B" w:themeColor="accent3"/>
        <w:insideV w:val="single" w:sz="8" w:space="0" w:color="E8C94B" w:themeColor="accent3"/>
      </w:tblBorders>
    </w:tblPr>
    <w:tcPr>
      <w:shd w:val="clear" w:color="auto" w:fill="F9F1D2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CF9ED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F4DA" w:themeFill="accent3" w:themeFillTint="33"/>
      </w:tcPr>
    </w:tblStylePr>
    <w:tblStylePr w:type="band1Vert">
      <w:tblPr/>
      <w:tcPr>
        <w:shd w:val="clear" w:color="auto" w:fill="F3E3A5" w:themeFill="accent3" w:themeFillTint="7F"/>
      </w:tcPr>
    </w:tblStylePr>
    <w:tblStylePr w:type="band1Horz">
      <w:tblPr/>
      <w:tcPr>
        <w:tcBorders>
          <w:insideH w:val="single" w:sz="6" w:space="0" w:color="E8C94B" w:themeColor="accent3"/>
          <w:insideV w:val="single" w:sz="6" w:space="0" w:color="E8C94B" w:themeColor="accent3"/>
        </w:tcBorders>
        <w:shd w:val="clear" w:color="auto" w:fill="F3E3A5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9915C8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2682A6" w:themeColor="accent4"/>
        <w:left w:val="single" w:sz="8" w:space="0" w:color="2682A6" w:themeColor="accent4"/>
        <w:bottom w:val="single" w:sz="8" w:space="0" w:color="2682A6" w:themeColor="accent4"/>
        <w:right w:val="single" w:sz="8" w:space="0" w:color="2682A6" w:themeColor="accent4"/>
        <w:insideH w:val="single" w:sz="8" w:space="0" w:color="2682A6" w:themeColor="accent4"/>
        <w:insideV w:val="single" w:sz="8" w:space="0" w:color="2682A6" w:themeColor="accent4"/>
      </w:tblBorders>
    </w:tblPr>
    <w:tcPr>
      <w:shd w:val="clear" w:color="auto" w:fill="C1E3F1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E6F4F9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DE8F3" w:themeFill="accent4" w:themeFillTint="33"/>
      </w:tcPr>
    </w:tblStylePr>
    <w:tblStylePr w:type="band1Vert">
      <w:tblPr/>
      <w:tcPr>
        <w:shd w:val="clear" w:color="auto" w:fill="82C7E2" w:themeFill="accent4" w:themeFillTint="7F"/>
      </w:tcPr>
    </w:tblStylePr>
    <w:tblStylePr w:type="band1Horz">
      <w:tblPr/>
      <w:tcPr>
        <w:tcBorders>
          <w:insideH w:val="single" w:sz="6" w:space="0" w:color="2682A6" w:themeColor="accent4"/>
          <w:insideV w:val="single" w:sz="6" w:space="0" w:color="2682A6" w:themeColor="accent4"/>
        </w:tcBorders>
        <w:shd w:val="clear" w:color="auto" w:fill="82C7E2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9915C8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08A42" w:themeColor="accent5"/>
        <w:left w:val="single" w:sz="8" w:space="0" w:color="F08A42" w:themeColor="accent5"/>
        <w:bottom w:val="single" w:sz="8" w:space="0" w:color="F08A42" w:themeColor="accent5"/>
        <w:right w:val="single" w:sz="8" w:space="0" w:color="F08A42" w:themeColor="accent5"/>
        <w:insideH w:val="single" w:sz="8" w:space="0" w:color="F08A42" w:themeColor="accent5"/>
        <w:insideV w:val="single" w:sz="8" w:space="0" w:color="F08A42" w:themeColor="accent5"/>
      </w:tblBorders>
    </w:tblPr>
    <w:tcPr>
      <w:shd w:val="clear" w:color="auto" w:fill="FBE1D0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DF3EC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CE7D9" w:themeFill="accent5" w:themeFillTint="33"/>
      </w:tcPr>
    </w:tblStylePr>
    <w:tblStylePr w:type="band1Vert">
      <w:tblPr/>
      <w:tcPr>
        <w:shd w:val="clear" w:color="auto" w:fill="F7C4A0" w:themeFill="accent5" w:themeFillTint="7F"/>
      </w:tcPr>
    </w:tblStylePr>
    <w:tblStylePr w:type="band1Horz">
      <w:tblPr/>
      <w:tcPr>
        <w:tcBorders>
          <w:insideH w:val="single" w:sz="6" w:space="0" w:color="F08A42" w:themeColor="accent5"/>
          <w:insideV w:val="single" w:sz="6" w:space="0" w:color="F08A42" w:themeColor="accent5"/>
        </w:tcBorders>
        <w:shd w:val="clear" w:color="auto" w:fill="F7C4A0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9915C8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6A5178" w:themeColor="accent6"/>
        <w:left w:val="single" w:sz="8" w:space="0" w:color="6A5178" w:themeColor="accent6"/>
        <w:bottom w:val="single" w:sz="8" w:space="0" w:color="6A5178" w:themeColor="accent6"/>
        <w:right w:val="single" w:sz="8" w:space="0" w:color="6A5178" w:themeColor="accent6"/>
        <w:insideH w:val="single" w:sz="8" w:space="0" w:color="6A5178" w:themeColor="accent6"/>
        <w:insideV w:val="single" w:sz="8" w:space="0" w:color="6A5178" w:themeColor="accent6"/>
      </w:tblBorders>
    </w:tblPr>
    <w:tcPr>
      <w:shd w:val="clear" w:color="auto" w:fill="DAD1E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0ECF2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1DAE6" w:themeFill="accent6" w:themeFillTint="33"/>
      </w:tcPr>
    </w:tblStylePr>
    <w:tblStylePr w:type="band1Vert">
      <w:tblPr/>
      <w:tcPr>
        <w:shd w:val="clear" w:color="auto" w:fill="B6A3C1" w:themeFill="accent6" w:themeFillTint="7F"/>
      </w:tcPr>
    </w:tblStylePr>
    <w:tblStylePr w:type="band1Horz">
      <w:tblPr/>
      <w:tcPr>
        <w:tcBorders>
          <w:insideH w:val="single" w:sz="6" w:space="0" w:color="6A5178" w:themeColor="accent6"/>
          <w:insideV w:val="single" w:sz="6" w:space="0" w:color="6A5178" w:themeColor="accent6"/>
        </w:tcBorders>
        <w:shd w:val="clear" w:color="auto" w:fill="B6A3C1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ACFDF4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3A996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3A996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3A996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3A996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59FCE8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59FCE8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C9C9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33536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33536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B33536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B33536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9494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9494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9F1D2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8C94B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8C94B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8C94B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8C94B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3E3A5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3E3A5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1E3F1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2682A6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2682A6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2682A6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2682A6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2C7E2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2C7E2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BE1D0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08A42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08A42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08A42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08A42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7C4A0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7C4A0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AD1E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6A5178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6A5178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6A5178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6A5178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6A3C1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6A3C1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352F25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3A996" w:themeColor="accent1"/>
        <w:bottom w:val="single" w:sz="8" w:space="0" w:color="03A996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3A996" w:themeColor="accent1"/>
        </w:tcBorders>
      </w:tcPr>
    </w:tblStylePr>
    <w:tblStylePr w:type="lastRow">
      <w:rPr>
        <w:b/>
        <w:bCs/>
        <w:color w:val="352F25" w:themeColor="text2"/>
      </w:rPr>
      <w:tblPr/>
      <w:tcPr>
        <w:tcBorders>
          <w:top w:val="single" w:sz="8" w:space="0" w:color="03A996" w:themeColor="accent1"/>
          <w:bottom w:val="single" w:sz="8" w:space="0" w:color="03A996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3A996" w:themeColor="accent1"/>
          <w:bottom w:val="single" w:sz="8" w:space="0" w:color="03A996" w:themeColor="accent1"/>
        </w:tcBorders>
      </w:tcPr>
    </w:tblStylePr>
    <w:tblStylePr w:type="band1Vert">
      <w:tblPr/>
      <w:tcPr>
        <w:shd w:val="clear" w:color="auto" w:fill="ACFDF4" w:themeFill="accent1" w:themeFillTint="3F"/>
      </w:tcPr>
    </w:tblStylePr>
    <w:tblStylePr w:type="band1Horz">
      <w:tblPr/>
      <w:tcPr>
        <w:shd w:val="clear" w:color="auto" w:fill="ACFDF4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B33536" w:themeColor="accent2"/>
        <w:bottom w:val="single" w:sz="8" w:space="0" w:color="B33536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B33536" w:themeColor="accent2"/>
        </w:tcBorders>
      </w:tcPr>
    </w:tblStylePr>
    <w:tblStylePr w:type="lastRow">
      <w:rPr>
        <w:b/>
        <w:bCs/>
        <w:color w:val="352F25" w:themeColor="text2"/>
      </w:rPr>
      <w:tblPr/>
      <w:tcPr>
        <w:tcBorders>
          <w:top w:val="single" w:sz="8" w:space="0" w:color="B33536" w:themeColor="accent2"/>
          <w:bottom w:val="single" w:sz="8" w:space="0" w:color="B3353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B33536" w:themeColor="accent2"/>
          <w:bottom w:val="single" w:sz="8" w:space="0" w:color="B33536" w:themeColor="accent2"/>
        </w:tcBorders>
      </w:tcPr>
    </w:tblStylePr>
    <w:tblStylePr w:type="band1Vert">
      <w:tblPr/>
      <w:tcPr>
        <w:shd w:val="clear" w:color="auto" w:fill="EFC9C9" w:themeFill="accent2" w:themeFillTint="3F"/>
      </w:tcPr>
    </w:tblStylePr>
    <w:tblStylePr w:type="band1Horz">
      <w:tblPr/>
      <w:tcPr>
        <w:shd w:val="clear" w:color="auto" w:fill="EFC9C9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E8C94B" w:themeColor="accent3"/>
        <w:bottom w:val="single" w:sz="8" w:space="0" w:color="E8C94B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8C94B" w:themeColor="accent3"/>
        </w:tcBorders>
      </w:tcPr>
    </w:tblStylePr>
    <w:tblStylePr w:type="lastRow">
      <w:rPr>
        <w:b/>
        <w:bCs/>
        <w:color w:val="352F25" w:themeColor="text2"/>
      </w:rPr>
      <w:tblPr/>
      <w:tcPr>
        <w:tcBorders>
          <w:top w:val="single" w:sz="8" w:space="0" w:color="E8C94B" w:themeColor="accent3"/>
          <w:bottom w:val="single" w:sz="8" w:space="0" w:color="E8C94B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8C94B" w:themeColor="accent3"/>
          <w:bottom w:val="single" w:sz="8" w:space="0" w:color="E8C94B" w:themeColor="accent3"/>
        </w:tcBorders>
      </w:tcPr>
    </w:tblStylePr>
    <w:tblStylePr w:type="band1Vert">
      <w:tblPr/>
      <w:tcPr>
        <w:shd w:val="clear" w:color="auto" w:fill="F9F1D2" w:themeFill="accent3" w:themeFillTint="3F"/>
      </w:tcPr>
    </w:tblStylePr>
    <w:tblStylePr w:type="band1Horz">
      <w:tblPr/>
      <w:tcPr>
        <w:shd w:val="clear" w:color="auto" w:fill="F9F1D2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2682A6" w:themeColor="accent4"/>
        <w:bottom w:val="single" w:sz="8" w:space="0" w:color="2682A6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2682A6" w:themeColor="accent4"/>
        </w:tcBorders>
      </w:tcPr>
    </w:tblStylePr>
    <w:tblStylePr w:type="lastRow">
      <w:rPr>
        <w:b/>
        <w:bCs/>
        <w:color w:val="352F25" w:themeColor="text2"/>
      </w:rPr>
      <w:tblPr/>
      <w:tcPr>
        <w:tcBorders>
          <w:top w:val="single" w:sz="8" w:space="0" w:color="2682A6" w:themeColor="accent4"/>
          <w:bottom w:val="single" w:sz="8" w:space="0" w:color="2682A6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2682A6" w:themeColor="accent4"/>
          <w:bottom w:val="single" w:sz="8" w:space="0" w:color="2682A6" w:themeColor="accent4"/>
        </w:tcBorders>
      </w:tcPr>
    </w:tblStylePr>
    <w:tblStylePr w:type="band1Vert">
      <w:tblPr/>
      <w:tcPr>
        <w:shd w:val="clear" w:color="auto" w:fill="C1E3F1" w:themeFill="accent4" w:themeFillTint="3F"/>
      </w:tcPr>
    </w:tblStylePr>
    <w:tblStylePr w:type="band1Horz">
      <w:tblPr/>
      <w:tcPr>
        <w:shd w:val="clear" w:color="auto" w:fill="C1E3F1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08A42" w:themeColor="accent5"/>
        <w:bottom w:val="single" w:sz="8" w:space="0" w:color="F08A42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08A42" w:themeColor="accent5"/>
        </w:tcBorders>
      </w:tcPr>
    </w:tblStylePr>
    <w:tblStylePr w:type="lastRow">
      <w:rPr>
        <w:b/>
        <w:bCs/>
        <w:color w:val="352F25" w:themeColor="text2"/>
      </w:rPr>
      <w:tblPr/>
      <w:tcPr>
        <w:tcBorders>
          <w:top w:val="single" w:sz="8" w:space="0" w:color="F08A42" w:themeColor="accent5"/>
          <w:bottom w:val="single" w:sz="8" w:space="0" w:color="F08A42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08A42" w:themeColor="accent5"/>
          <w:bottom w:val="single" w:sz="8" w:space="0" w:color="F08A42" w:themeColor="accent5"/>
        </w:tcBorders>
      </w:tcPr>
    </w:tblStylePr>
    <w:tblStylePr w:type="band1Vert">
      <w:tblPr/>
      <w:tcPr>
        <w:shd w:val="clear" w:color="auto" w:fill="FBE1D0" w:themeFill="accent5" w:themeFillTint="3F"/>
      </w:tcPr>
    </w:tblStylePr>
    <w:tblStylePr w:type="band1Horz">
      <w:tblPr/>
      <w:tcPr>
        <w:shd w:val="clear" w:color="auto" w:fill="FBE1D0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9915C8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6A5178" w:themeColor="accent6"/>
        <w:bottom w:val="single" w:sz="8" w:space="0" w:color="6A5178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6A5178" w:themeColor="accent6"/>
        </w:tcBorders>
      </w:tcPr>
    </w:tblStylePr>
    <w:tblStylePr w:type="lastRow">
      <w:rPr>
        <w:b/>
        <w:bCs/>
        <w:color w:val="352F25" w:themeColor="text2"/>
      </w:rPr>
      <w:tblPr/>
      <w:tcPr>
        <w:tcBorders>
          <w:top w:val="single" w:sz="8" w:space="0" w:color="6A5178" w:themeColor="accent6"/>
          <w:bottom w:val="single" w:sz="8" w:space="0" w:color="6A5178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6A5178" w:themeColor="accent6"/>
          <w:bottom w:val="single" w:sz="8" w:space="0" w:color="6A5178" w:themeColor="accent6"/>
        </w:tcBorders>
      </w:tcPr>
    </w:tblStylePr>
    <w:tblStylePr w:type="band1Vert">
      <w:tblPr/>
      <w:tcPr>
        <w:shd w:val="clear" w:color="auto" w:fill="DAD1E0" w:themeFill="accent6" w:themeFillTint="3F"/>
      </w:tcPr>
    </w:tblStylePr>
    <w:tblStylePr w:type="band1Horz">
      <w:tblPr/>
      <w:tcPr>
        <w:shd w:val="clear" w:color="auto" w:fill="DAD1E0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9915C8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9915C8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3A996" w:themeColor="accent1"/>
        <w:left w:val="single" w:sz="8" w:space="0" w:color="03A996" w:themeColor="accent1"/>
        <w:bottom w:val="single" w:sz="8" w:space="0" w:color="03A996" w:themeColor="accent1"/>
        <w:right w:val="single" w:sz="8" w:space="0" w:color="03A996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3A996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3A996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3A996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ACFDF4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ACFDF4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9915C8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B33536" w:themeColor="accent2"/>
        <w:left w:val="single" w:sz="8" w:space="0" w:color="B33536" w:themeColor="accent2"/>
        <w:bottom w:val="single" w:sz="8" w:space="0" w:color="B33536" w:themeColor="accent2"/>
        <w:right w:val="single" w:sz="8" w:space="0" w:color="B33536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B3353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B33536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B33536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9C9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C9C9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9915C8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8C94B" w:themeColor="accent3"/>
        <w:left w:val="single" w:sz="8" w:space="0" w:color="E8C94B" w:themeColor="accent3"/>
        <w:bottom w:val="single" w:sz="8" w:space="0" w:color="E8C94B" w:themeColor="accent3"/>
        <w:right w:val="single" w:sz="8" w:space="0" w:color="E8C94B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8C94B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8C94B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8C94B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F1D2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9F1D2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9915C8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2682A6" w:themeColor="accent4"/>
        <w:left w:val="single" w:sz="8" w:space="0" w:color="2682A6" w:themeColor="accent4"/>
        <w:bottom w:val="single" w:sz="8" w:space="0" w:color="2682A6" w:themeColor="accent4"/>
        <w:right w:val="single" w:sz="8" w:space="0" w:color="2682A6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2682A6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2682A6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2682A6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1E3F1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1E3F1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9915C8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08A42" w:themeColor="accent5"/>
        <w:left w:val="single" w:sz="8" w:space="0" w:color="F08A42" w:themeColor="accent5"/>
        <w:bottom w:val="single" w:sz="8" w:space="0" w:color="F08A42" w:themeColor="accent5"/>
        <w:right w:val="single" w:sz="8" w:space="0" w:color="F08A42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08A42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08A42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08A42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BE1D0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BE1D0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9915C8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6A5178" w:themeColor="accent6"/>
        <w:left w:val="single" w:sz="8" w:space="0" w:color="6A5178" w:themeColor="accent6"/>
        <w:bottom w:val="single" w:sz="8" w:space="0" w:color="6A5178" w:themeColor="accent6"/>
        <w:right w:val="single" w:sz="8" w:space="0" w:color="6A5178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6A5178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6A5178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6A5178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AD1E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AD1E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06FADD" w:themeColor="accent1" w:themeTint="BF"/>
        <w:left w:val="single" w:sz="8" w:space="0" w:color="06FADD" w:themeColor="accent1" w:themeTint="BF"/>
        <w:bottom w:val="single" w:sz="8" w:space="0" w:color="06FADD" w:themeColor="accent1" w:themeTint="BF"/>
        <w:right w:val="single" w:sz="8" w:space="0" w:color="06FADD" w:themeColor="accent1" w:themeTint="BF"/>
        <w:insideH w:val="single" w:sz="8" w:space="0" w:color="06FAD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06FADD" w:themeColor="accent1" w:themeTint="BF"/>
          <w:left w:val="single" w:sz="8" w:space="0" w:color="06FADD" w:themeColor="accent1" w:themeTint="BF"/>
          <w:bottom w:val="single" w:sz="8" w:space="0" w:color="06FADD" w:themeColor="accent1" w:themeTint="BF"/>
          <w:right w:val="single" w:sz="8" w:space="0" w:color="06FADD" w:themeColor="accent1" w:themeTint="BF"/>
          <w:insideH w:val="nil"/>
          <w:insideV w:val="nil"/>
        </w:tcBorders>
        <w:shd w:val="clear" w:color="auto" w:fill="03A996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6FADD" w:themeColor="accent1" w:themeTint="BF"/>
          <w:left w:val="single" w:sz="8" w:space="0" w:color="06FADD" w:themeColor="accent1" w:themeTint="BF"/>
          <w:bottom w:val="single" w:sz="8" w:space="0" w:color="06FADD" w:themeColor="accent1" w:themeTint="BF"/>
          <w:right w:val="single" w:sz="8" w:space="0" w:color="06FAD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CFDF4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ACFDF4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CF5E5F" w:themeColor="accent2" w:themeTint="BF"/>
        <w:left w:val="single" w:sz="8" w:space="0" w:color="CF5E5F" w:themeColor="accent2" w:themeTint="BF"/>
        <w:bottom w:val="single" w:sz="8" w:space="0" w:color="CF5E5F" w:themeColor="accent2" w:themeTint="BF"/>
        <w:right w:val="single" w:sz="8" w:space="0" w:color="CF5E5F" w:themeColor="accent2" w:themeTint="BF"/>
        <w:insideH w:val="single" w:sz="8" w:space="0" w:color="CF5E5F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5E5F" w:themeColor="accent2" w:themeTint="BF"/>
          <w:left w:val="single" w:sz="8" w:space="0" w:color="CF5E5F" w:themeColor="accent2" w:themeTint="BF"/>
          <w:bottom w:val="single" w:sz="8" w:space="0" w:color="CF5E5F" w:themeColor="accent2" w:themeTint="BF"/>
          <w:right w:val="single" w:sz="8" w:space="0" w:color="CF5E5F" w:themeColor="accent2" w:themeTint="BF"/>
          <w:insideH w:val="nil"/>
          <w:insideV w:val="nil"/>
        </w:tcBorders>
        <w:shd w:val="clear" w:color="auto" w:fill="B33536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5E5F" w:themeColor="accent2" w:themeTint="BF"/>
          <w:left w:val="single" w:sz="8" w:space="0" w:color="CF5E5F" w:themeColor="accent2" w:themeTint="BF"/>
          <w:bottom w:val="single" w:sz="8" w:space="0" w:color="CF5E5F" w:themeColor="accent2" w:themeTint="BF"/>
          <w:right w:val="single" w:sz="8" w:space="0" w:color="CF5E5F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C9C9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C9C9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EDD677" w:themeColor="accent3" w:themeTint="BF"/>
        <w:left w:val="single" w:sz="8" w:space="0" w:color="EDD677" w:themeColor="accent3" w:themeTint="BF"/>
        <w:bottom w:val="single" w:sz="8" w:space="0" w:color="EDD677" w:themeColor="accent3" w:themeTint="BF"/>
        <w:right w:val="single" w:sz="8" w:space="0" w:color="EDD677" w:themeColor="accent3" w:themeTint="BF"/>
        <w:insideH w:val="single" w:sz="8" w:space="0" w:color="EDD677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DD677" w:themeColor="accent3" w:themeTint="BF"/>
          <w:left w:val="single" w:sz="8" w:space="0" w:color="EDD677" w:themeColor="accent3" w:themeTint="BF"/>
          <w:bottom w:val="single" w:sz="8" w:space="0" w:color="EDD677" w:themeColor="accent3" w:themeTint="BF"/>
          <w:right w:val="single" w:sz="8" w:space="0" w:color="EDD677" w:themeColor="accent3" w:themeTint="BF"/>
          <w:insideH w:val="nil"/>
          <w:insideV w:val="nil"/>
        </w:tcBorders>
        <w:shd w:val="clear" w:color="auto" w:fill="E8C94B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DD677" w:themeColor="accent3" w:themeTint="BF"/>
          <w:left w:val="single" w:sz="8" w:space="0" w:color="EDD677" w:themeColor="accent3" w:themeTint="BF"/>
          <w:bottom w:val="single" w:sz="8" w:space="0" w:color="EDD677" w:themeColor="accent3" w:themeTint="BF"/>
          <w:right w:val="single" w:sz="8" w:space="0" w:color="EDD677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F1D2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9F1D2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44ABD4" w:themeColor="accent4" w:themeTint="BF"/>
        <w:left w:val="single" w:sz="8" w:space="0" w:color="44ABD4" w:themeColor="accent4" w:themeTint="BF"/>
        <w:bottom w:val="single" w:sz="8" w:space="0" w:color="44ABD4" w:themeColor="accent4" w:themeTint="BF"/>
        <w:right w:val="single" w:sz="8" w:space="0" w:color="44ABD4" w:themeColor="accent4" w:themeTint="BF"/>
        <w:insideH w:val="single" w:sz="8" w:space="0" w:color="44ABD4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4ABD4" w:themeColor="accent4" w:themeTint="BF"/>
          <w:left w:val="single" w:sz="8" w:space="0" w:color="44ABD4" w:themeColor="accent4" w:themeTint="BF"/>
          <w:bottom w:val="single" w:sz="8" w:space="0" w:color="44ABD4" w:themeColor="accent4" w:themeTint="BF"/>
          <w:right w:val="single" w:sz="8" w:space="0" w:color="44ABD4" w:themeColor="accent4" w:themeTint="BF"/>
          <w:insideH w:val="nil"/>
          <w:insideV w:val="nil"/>
        </w:tcBorders>
        <w:shd w:val="clear" w:color="auto" w:fill="2682A6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4ABD4" w:themeColor="accent4" w:themeTint="BF"/>
          <w:left w:val="single" w:sz="8" w:space="0" w:color="44ABD4" w:themeColor="accent4" w:themeTint="BF"/>
          <w:bottom w:val="single" w:sz="8" w:space="0" w:color="44ABD4" w:themeColor="accent4" w:themeTint="BF"/>
          <w:right w:val="single" w:sz="8" w:space="0" w:color="44ABD4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3F1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1E3F1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F3A671" w:themeColor="accent5" w:themeTint="BF"/>
        <w:left w:val="single" w:sz="8" w:space="0" w:color="F3A671" w:themeColor="accent5" w:themeTint="BF"/>
        <w:bottom w:val="single" w:sz="8" w:space="0" w:color="F3A671" w:themeColor="accent5" w:themeTint="BF"/>
        <w:right w:val="single" w:sz="8" w:space="0" w:color="F3A671" w:themeColor="accent5" w:themeTint="BF"/>
        <w:insideH w:val="single" w:sz="8" w:space="0" w:color="F3A671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3A671" w:themeColor="accent5" w:themeTint="BF"/>
          <w:left w:val="single" w:sz="8" w:space="0" w:color="F3A671" w:themeColor="accent5" w:themeTint="BF"/>
          <w:bottom w:val="single" w:sz="8" w:space="0" w:color="F3A671" w:themeColor="accent5" w:themeTint="BF"/>
          <w:right w:val="single" w:sz="8" w:space="0" w:color="F3A671" w:themeColor="accent5" w:themeTint="BF"/>
          <w:insideH w:val="nil"/>
          <w:insideV w:val="nil"/>
        </w:tcBorders>
        <w:shd w:val="clear" w:color="auto" w:fill="F08A42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3A671" w:themeColor="accent5" w:themeTint="BF"/>
          <w:left w:val="single" w:sz="8" w:space="0" w:color="F3A671" w:themeColor="accent5" w:themeTint="BF"/>
          <w:bottom w:val="single" w:sz="8" w:space="0" w:color="F3A671" w:themeColor="accent5" w:themeTint="BF"/>
          <w:right w:val="single" w:sz="8" w:space="0" w:color="F3A671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1D0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BE1D0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8" w:space="0" w:color="9174A1" w:themeColor="accent6" w:themeTint="BF"/>
        <w:left w:val="single" w:sz="8" w:space="0" w:color="9174A1" w:themeColor="accent6" w:themeTint="BF"/>
        <w:bottom w:val="single" w:sz="8" w:space="0" w:color="9174A1" w:themeColor="accent6" w:themeTint="BF"/>
        <w:right w:val="single" w:sz="8" w:space="0" w:color="9174A1" w:themeColor="accent6" w:themeTint="BF"/>
        <w:insideH w:val="single" w:sz="8" w:space="0" w:color="9174A1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174A1" w:themeColor="accent6" w:themeTint="BF"/>
          <w:left w:val="single" w:sz="8" w:space="0" w:color="9174A1" w:themeColor="accent6" w:themeTint="BF"/>
          <w:bottom w:val="single" w:sz="8" w:space="0" w:color="9174A1" w:themeColor="accent6" w:themeTint="BF"/>
          <w:right w:val="single" w:sz="8" w:space="0" w:color="9174A1" w:themeColor="accent6" w:themeTint="BF"/>
          <w:insideH w:val="nil"/>
          <w:insideV w:val="nil"/>
        </w:tcBorders>
        <w:shd w:val="clear" w:color="auto" w:fill="6A5178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174A1" w:themeColor="accent6" w:themeTint="BF"/>
          <w:left w:val="single" w:sz="8" w:space="0" w:color="9174A1" w:themeColor="accent6" w:themeTint="BF"/>
          <w:bottom w:val="single" w:sz="8" w:space="0" w:color="9174A1" w:themeColor="accent6" w:themeTint="BF"/>
          <w:right w:val="single" w:sz="8" w:space="0" w:color="9174A1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D1E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AD1E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3A996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3A996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3A996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B33536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33536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B33536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8C94B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8C94B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8C94B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2682A6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682A6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2682A6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08A42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8A42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08A42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9915C8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6A5178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A5178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6A5178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paragraph" w:styleId="MessageHeader">
    <w:name w:val="Message Header"/>
    <w:basedOn w:val="Normal"/>
    <w:link w:val="MessageHeaderChar"/>
    <w:uiPriority w:val="99"/>
    <w:semiHidden/>
    <w:unhideWhenUsed/>
    <w:rsid w:val="009915C8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080" w:hanging="108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9915C8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rsid w:val="009915C8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9915C8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9915C8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9915C8"/>
  </w:style>
  <w:style w:type="character" w:styleId="PageNumber">
    <w:name w:val="page number"/>
    <w:basedOn w:val="DefaultParagraphFont"/>
    <w:uiPriority w:val="99"/>
    <w:semiHidden/>
    <w:unhideWhenUsed/>
    <w:rsid w:val="009915C8"/>
  </w:style>
  <w:style w:type="table" w:styleId="PlainTable1">
    <w:name w:val="Plain Table 1"/>
    <w:basedOn w:val="TableNormal"/>
    <w:uiPriority w:val="41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9915C8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9915C8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9915C8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9915C8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9915C8"/>
    <w:pPr>
      <w:spacing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9915C8"/>
    <w:rPr>
      <w:rFonts w:ascii="Consolas" w:hAnsi="Consolas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9915C8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9915C8"/>
  </w:style>
  <w:style w:type="paragraph" w:styleId="Signature">
    <w:name w:val="Signature"/>
    <w:basedOn w:val="Normal"/>
    <w:link w:val="SignatureChar"/>
    <w:uiPriority w:val="99"/>
    <w:semiHidden/>
    <w:unhideWhenUsed/>
    <w:rsid w:val="009915C8"/>
    <w:pPr>
      <w:spacing w:after="0" w:line="240" w:lineRule="auto"/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9915C8"/>
  </w:style>
  <w:style w:type="character" w:styleId="Strong">
    <w:name w:val="Strong"/>
    <w:basedOn w:val="DefaultParagraphFont"/>
    <w:uiPriority w:val="22"/>
    <w:semiHidden/>
    <w:unhideWhenUsed/>
    <w:qFormat/>
    <w:rsid w:val="009915C8"/>
    <w:rPr>
      <w:b/>
      <w:bCs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9915C8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9915C8"/>
    <w:rPr>
      <w:smallCaps/>
      <w:color w:val="5A5A5A" w:themeColor="text1" w:themeTint="A5"/>
    </w:rPr>
  </w:style>
  <w:style w:type="table" w:styleId="Table3Deffects1">
    <w:name w:val="Table 3D effects 1"/>
    <w:basedOn w:val="TableNormal"/>
    <w:uiPriority w:val="99"/>
    <w:semiHidden/>
    <w:unhideWhenUsed/>
    <w:rsid w:val="009915C8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9915C8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9915C8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9915C8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9915C8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9915C8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9915C8"/>
    <w:rPr>
      <w:color w:val="auto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9915C8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9915C8"/>
    <w:rPr>
      <w:color w:val="auto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9915C8"/>
    <w:rPr>
      <w:color w:val="auto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9915C8"/>
    <w:rPr>
      <w:b/>
      <w:bCs/>
      <w:color w:val="auto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9915C8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9915C8"/>
    <w:rPr>
      <w:b/>
      <w:bCs/>
      <w:color w:val="auto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9915C8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9915C8"/>
    <w:rPr>
      <w:color w:val="auto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9915C8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9915C8"/>
    <w:rPr>
      <w:color w:val="auto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9915C8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9915C8"/>
    <w:rPr>
      <w:color w:val="auto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9915C8"/>
    <w:rPr>
      <w:color w:val="auto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9915C8"/>
    <w:rPr>
      <w:color w:val="auto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9915C8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9915C8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9915C8"/>
    <w:rPr>
      <w:b/>
      <w:bCs/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9915C8"/>
    <w:rPr>
      <w:color w:val="auto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9915C8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9915C8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9915C8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9915C8"/>
    <w:rPr>
      <w:color w:val="auto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9915C8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9915C8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9915C8"/>
    <w:rPr>
      <w:color w:val="auto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9915C8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9915C8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9915C8"/>
    <w:pPr>
      <w:spacing w:after="0"/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9915C8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9915C8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9915C8"/>
    <w:rPr>
      <w:color w:val="auto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9915C8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9915C8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9915C8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9915C8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9915C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9915C8"/>
    <w:rPr>
      <w:color w:val="auto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9915C8"/>
    <w:rPr>
      <w:color w:val="auto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9915C8"/>
    <w:rPr>
      <w:color w:val="auto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9915C8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9915C8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9915C8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9915C8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9915C8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9915C8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9915C8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9915C8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9915C8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9915C8"/>
    <w:pPr>
      <w:spacing w:after="100"/>
      <w:ind w:left="176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915C8"/>
    <w:pPr>
      <w:spacing w:before="240" w:line="288" w:lineRule="auto"/>
      <w:outlineLvl w:val="9"/>
    </w:pPr>
    <w:rPr>
      <w:b w:val="0"/>
      <w:bCs w:val="0"/>
      <w:sz w:val="32"/>
      <w:szCs w:val="32"/>
    </w:rPr>
  </w:style>
  <w:style w:type="paragraph" w:customStyle="1" w:styleId="ContactInfo">
    <w:name w:val="Contact Info"/>
    <w:basedOn w:val="Normal"/>
    <w:uiPriority w:val="2"/>
    <w:qFormat/>
    <w:rsid w:val="007014C5"/>
    <w:pPr>
      <w:spacing w:after="0" w:line="276" w:lineRule="auto"/>
    </w:pPr>
  </w:style>
  <w:style w:type="character" w:styleId="UnresolvedMention">
    <w:name w:val="Unresolved Mention"/>
    <w:basedOn w:val="DefaultParagraphFont"/>
    <w:uiPriority w:val="99"/>
    <w:semiHidden/>
    <w:unhideWhenUsed/>
    <w:rsid w:val="002B076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0149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7276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879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6232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004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5556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1958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1269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1617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411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6647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3279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1042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4800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5238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802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0329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2320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3308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1423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971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866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3618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5134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7084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5715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8612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5555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5355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7761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4473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6850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1032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3728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3665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2912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5903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7022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621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2998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1886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9280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0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8448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5231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760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0348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2499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0740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2917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1566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8224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1600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0080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9627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037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5936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679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7468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7900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ageuk.org.uk/services/in-your-area/dementia-support/" TargetMode="External"/><Relationship Id="rId18" Type="http://schemas.openxmlformats.org/officeDocument/2006/relationships/hyperlink" Target="https://dementiastatistics.org/#:~:text=There%20ar%20944%2C000%20people%20with%20dementia%20in%20the" TargetMode="External"/><Relationship Id="rId26" Type="http://schemas.openxmlformats.org/officeDocument/2006/relationships/hyperlink" Target="https://www.nhs.uk/conditions/dementia/worried-someone-has-dementia/" TargetMode="External"/><Relationship Id="rId21" Type="http://schemas.openxmlformats.org/officeDocument/2006/relationships/hyperlink" Target="https://www.mayoclinic.org/diseases-conditions/dementia/symptoms-causes/syc-20352013" TargetMode="External"/><Relationship Id="rId34" Type="http://schemas.openxmlformats.org/officeDocument/2006/relationships/hyperlink" Target="https://knowyourhumanrights.co.uk/resources/BIHR_Mental_Health_Practitioner_Resource_Dementia.pdf" TargetMode="Externa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hyperlink" Target="https://alzheimer.ca/en/about-dementia/other-types-dementia/mixed-dementia" TargetMode="External"/><Relationship Id="rId25" Type="http://schemas.openxmlformats.org/officeDocument/2006/relationships/hyperlink" Target="https://www.nhs.uk/conditions/dementia/social-services-and-the-nhs/" TargetMode="External"/><Relationship Id="rId33" Type="http://schemas.openxmlformats.org/officeDocument/2006/relationships/hyperlink" Target="https://www.scie.org.uk/dementia/symptoms/diagnosis/early-signs-of-dementia.asp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alzheimers.org.uk/about-dementia/symptoms-and-diagnosis/how-dementia-progresses/early-stages-dementia" TargetMode="External"/><Relationship Id="rId20" Type="http://schemas.openxmlformats.org/officeDocument/2006/relationships/hyperlink" Target="https://www.homage.sg/health/dementia/" TargetMode="External"/><Relationship Id="rId29" Type="http://schemas.openxmlformats.org/officeDocument/2006/relationships/hyperlink" Target="https://www.nidirect.gov.uk/articles/help-and-support-people-living-dementia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24" Type="http://schemas.openxmlformats.org/officeDocument/2006/relationships/hyperlink" Target="https://www.nhs.uk/conditions/alzheimers-disease/symptoms/" TargetMode="External"/><Relationship Id="rId32" Type="http://schemas.openxmlformats.org/officeDocument/2006/relationships/hyperlink" Target="https://www.scie.org.uk/dementia/support/housing/assistive-technology#:~:text=Assistive%20technology%20in%20the%20home%20can%20be%20used" TargetMode="External"/><Relationship Id="rId37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hyperlink" Target="https://www.asha.org/Practice-Portal/Clinical-Topics/Dementia/#:~:text=Dementia%20is%20a%20syndrome%20resulting%20from%20acquired%20brain" TargetMode="External"/><Relationship Id="rId23" Type="http://schemas.openxmlformats.org/officeDocument/2006/relationships/hyperlink" Target="https://www.nhs.uk/conditions/end-of-life-care/what-it-involves-and-when-it-starts/" TargetMode="External"/><Relationship Id="rId28" Type="http://schemas.openxmlformats.org/officeDocument/2006/relationships/hyperlink" Target="https://www.nice.org.uk/guidance/ng97/chapter/About-this-guideline" TargetMode="External"/><Relationship Id="rId36" Type="http://schemas.openxmlformats.org/officeDocument/2006/relationships/glossaryDocument" Target="glossary/document.xml"/><Relationship Id="rId10" Type="http://schemas.openxmlformats.org/officeDocument/2006/relationships/image" Target="media/image1.png"/><Relationship Id="rId19" Type="http://schemas.openxmlformats.org/officeDocument/2006/relationships/hyperlink" Target="https://eachother.org.uk/why-our-human-rights-act-matters-to-people-living-with-dementia/" TargetMode="External"/><Relationship Id="rId31" Type="http://schemas.openxmlformats.org/officeDocument/2006/relationships/hyperlink" Target="https://www.gov.uk/government/publications/dementia-applying-all-our-health/dementia-applying-all-our-health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ageuk.org.uk/information-advice/work-learning/discrimination-rights/the-equality-act/" TargetMode="External"/><Relationship Id="rId22" Type="http://schemas.openxmlformats.org/officeDocument/2006/relationships/hyperlink" Target="https://www.nia.nih.gov/health/infographics/understanding-different-types-dementia" TargetMode="External"/><Relationship Id="rId27" Type="http://schemas.openxmlformats.org/officeDocument/2006/relationships/hyperlink" Target="https://www.nhs.uk/conditions/dementia/communication-and-dementia/" TargetMode="External"/><Relationship Id="rId30" Type="http://schemas.openxmlformats.org/officeDocument/2006/relationships/hyperlink" Target="https://researchbriefings.files.parliament.uk/documents/SN07007/SN07007.pdf" TargetMode="External"/><Relationship Id="rId35" Type="http://schemas.openxmlformats.org/officeDocument/2006/relationships/fontTable" Target="fontTable.xml"/><Relationship Id="rId8" Type="http://schemas.openxmlformats.org/officeDocument/2006/relationships/footnotes" Target="footnotes.xml"/><Relationship Id="rId3" Type="http://schemas.openxmlformats.org/officeDocument/2006/relationships/customXml" Target="../customXml/item3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Halem\AppData\Roaming\Microsoft\Templates\Brochure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6F2BEDB927C7443BB228267044A6472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A8A4CDF-4EBF-4683-AAAA-414EF6F58022}"/>
      </w:docPartPr>
      <w:docPartBody>
        <w:p w:rsidR="00000000" w:rsidRDefault="00000000">
          <w:pPr>
            <w:pStyle w:val="6F2BEDB927C7443BB228267044A6472D"/>
          </w:pPr>
          <w:r w:rsidRPr="00760CFF">
            <w:rPr>
              <w:lang w:bidi="en-GB"/>
            </w:rPr>
            <w:t>Company Name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Consolas">
    <w:panose1 w:val="020B0609020204030204"/>
    <w:charset w:val="CC"/>
    <w:family w:val="modern"/>
    <w:pitch w:val="fixed"/>
    <w:sig w:usb0="E00002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75057B2"/>
    <w:lvl w:ilvl="0">
      <w:start w:val="1"/>
      <w:numFmt w:val="bullet"/>
      <w:pStyle w:val="ListBullet"/>
      <w:lvlText w:val=""/>
      <w:lvlJc w:val="left"/>
      <w:pPr>
        <w:tabs>
          <w:tab w:val="num" w:pos="288"/>
        </w:tabs>
        <w:ind w:left="288" w:hanging="288"/>
      </w:pPr>
      <w:rPr>
        <w:rFonts w:ascii="Symbol" w:hAnsi="Symbol" w:hint="default"/>
        <w:color w:val="44546A" w:themeColor="text2"/>
        <w:sz w:val="16"/>
      </w:rPr>
    </w:lvl>
  </w:abstractNum>
  <w:num w:numId="1" w16cid:durableId="534344124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7D8B"/>
    <w:rsid w:val="00027D8B"/>
    <w:rsid w:val="009A20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1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1"/>
    <w:unhideWhenUsed/>
    <w:qFormat/>
    <w:pPr>
      <w:keepNext/>
      <w:keepLines/>
      <w:spacing w:before="360" w:after="120" w:line="240" w:lineRule="auto"/>
      <w:outlineLvl w:val="1"/>
    </w:pPr>
    <w:rPr>
      <w:rFonts w:asciiTheme="majorHAnsi" w:eastAsiaTheme="majorEastAsia" w:hAnsiTheme="majorHAnsi" w:cstheme="majorBidi"/>
      <w:b/>
      <w:bCs/>
      <w:color w:val="44546A" w:themeColor="text2"/>
      <w:kern w:val="0"/>
      <w:sz w:val="24"/>
      <w:lang w:val="en-US" w:eastAsia="ja-JP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B643EEC66964AC0BB5557C7FD58C916">
    <w:name w:val="CB643EEC66964AC0BB5557C7FD58C916"/>
  </w:style>
  <w:style w:type="paragraph" w:customStyle="1" w:styleId="1153F76FED1A4D79B23975DE8E7EAB8D">
    <w:name w:val="1153F76FED1A4D79B23975DE8E7EAB8D"/>
  </w:style>
  <w:style w:type="paragraph" w:customStyle="1" w:styleId="A4C48ECD307B44FA9F86EAB6179D51AF">
    <w:name w:val="A4C48ECD307B44FA9F86EAB6179D51AF"/>
  </w:style>
  <w:style w:type="paragraph" w:styleId="ListBullet">
    <w:name w:val="List Bullet"/>
    <w:basedOn w:val="Normal"/>
    <w:uiPriority w:val="1"/>
    <w:pPr>
      <w:numPr>
        <w:numId w:val="1"/>
      </w:numPr>
      <w:spacing w:after="200" w:line="288" w:lineRule="auto"/>
    </w:pPr>
    <w:rPr>
      <w:rFonts w:eastAsia="SimSun"/>
      <w:color w:val="50637D" w:themeColor="text2" w:themeTint="E6"/>
      <w:kern w:val="0"/>
      <w:lang w:val="en-US" w:eastAsia="ja-JP"/>
      <w14:ligatures w14:val="none"/>
    </w:rPr>
  </w:style>
  <w:style w:type="paragraph" w:customStyle="1" w:styleId="8BC337BAB7BB4BB69E90E0C61541D529">
    <w:name w:val="8BC337BAB7BB4BB69E90E0C61541D529"/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customStyle="1" w:styleId="896857F56EED4CEF80D8AD1346F6D458">
    <w:name w:val="896857F56EED4CEF80D8AD1346F6D458"/>
  </w:style>
  <w:style w:type="paragraph" w:customStyle="1" w:styleId="011A756237AD42D8A1642B087DDF12A8">
    <w:name w:val="011A756237AD42D8A1642B087DDF12A8"/>
  </w:style>
  <w:style w:type="paragraph" w:customStyle="1" w:styleId="9C74778A3A684635925F23B9FBD2A64E">
    <w:name w:val="9C74778A3A684635925F23B9FBD2A64E"/>
  </w:style>
  <w:style w:type="paragraph" w:customStyle="1" w:styleId="ECAF0075605E4178AA1EC494D0FD3F8B">
    <w:name w:val="ECAF0075605E4178AA1EC494D0FD3F8B"/>
  </w:style>
  <w:style w:type="paragraph" w:customStyle="1" w:styleId="C91B62DD5AAF4AE78F319D7B3263AAD7">
    <w:name w:val="C91B62DD5AAF4AE78F319D7B3263AAD7"/>
  </w:style>
  <w:style w:type="paragraph" w:customStyle="1" w:styleId="CF0B75DFA25B4AC49C5CEADD6F43827D">
    <w:name w:val="CF0B75DFA25B4AC49C5CEADD6F43827D"/>
  </w:style>
  <w:style w:type="paragraph" w:customStyle="1" w:styleId="7D9790A90C1C48D28C263F442ACD982A">
    <w:name w:val="7D9790A90C1C48D28C263F442ACD982A"/>
  </w:style>
  <w:style w:type="paragraph" w:customStyle="1" w:styleId="0F7115754156476FB05B762A33C431DC">
    <w:name w:val="0F7115754156476FB05B762A33C431DC"/>
  </w:style>
  <w:style w:type="paragraph" w:customStyle="1" w:styleId="192D19B1E23F482DA05AC21828D88EBC">
    <w:name w:val="192D19B1E23F482DA05AC21828D88EBC"/>
  </w:style>
  <w:style w:type="paragraph" w:customStyle="1" w:styleId="6F2BEDB927C7443BB228267044A6472D">
    <w:name w:val="6F2BEDB927C7443BB228267044A6472D"/>
  </w:style>
  <w:style w:type="paragraph" w:customStyle="1" w:styleId="7913621EBEE448A3993078CB2CEE9269">
    <w:name w:val="7913621EBEE448A3993078CB2CEE9269"/>
  </w:style>
  <w:style w:type="paragraph" w:customStyle="1" w:styleId="725D383A8EB34F6BBF2C8664B04DE480">
    <w:name w:val="725D383A8EB34F6BBF2C8664B04DE480"/>
  </w:style>
  <w:style w:type="paragraph" w:customStyle="1" w:styleId="676E96E5ADF14FA78FBE3040569D9E36">
    <w:name w:val="676E96E5ADF14FA78FBE3040569D9E36"/>
  </w:style>
  <w:style w:type="character" w:customStyle="1" w:styleId="Heading2Char">
    <w:name w:val="Heading 2 Char"/>
    <w:basedOn w:val="DefaultParagraphFont"/>
    <w:link w:val="Heading2"/>
    <w:uiPriority w:val="1"/>
    <w:rPr>
      <w:rFonts w:asciiTheme="majorHAnsi" w:eastAsiaTheme="majorEastAsia" w:hAnsiTheme="majorHAnsi" w:cstheme="majorBidi"/>
      <w:b/>
      <w:bCs/>
      <w:color w:val="44546A" w:themeColor="text2"/>
      <w:kern w:val="0"/>
      <w:sz w:val="24"/>
      <w:lang w:val="en-US" w:eastAsia="ja-JP"/>
      <w14:ligatures w14:val="none"/>
    </w:rPr>
  </w:style>
  <w:style w:type="paragraph" w:customStyle="1" w:styleId="F5352F21170347CA8C019634949CF9A7">
    <w:name w:val="F5352F21170347CA8C019634949CF9A7"/>
  </w:style>
  <w:style w:type="paragraph" w:customStyle="1" w:styleId="496E80179B954D0AAF6299C7D1AF1612">
    <w:name w:val="496E80179B954D0AAF6299C7D1AF1612"/>
  </w:style>
  <w:style w:type="paragraph" w:customStyle="1" w:styleId="6BCDE080326E4197A1116F87F9A63B79">
    <w:name w:val="6BCDE080326E4197A1116F87F9A63B79"/>
  </w:style>
  <w:style w:type="paragraph" w:customStyle="1" w:styleId="E29556204E1A4CB686C13508F4D9A286">
    <w:name w:val="E29556204E1A4CB686C13508F4D9A286"/>
  </w:style>
  <w:style w:type="paragraph" w:customStyle="1" w:styleId="28C0F85467C641C98A53ED9A14B53691">
    <w:name w:val="28C0F85467C641C98A53ED9A14B53691"/>
  </w:style>
  <w:style w:type="paragraph" w:customStyle="1" w:styleId="B839B9AC9FBF4E0D95D9FEC59DDCA8CA">
    <w:name w:val="B839B9AC9FBF4E0D95D9FEC59DDCA8CA"/>
  </w:style>
  <w:style w:type="paragraph" w:customStyle="1" w:styleId="5B896C8667324AC7B43C0F243B61CBF1">
    <w:name w:val="5B896C8667324AC7B43C0F243B61CBF1"/>
  </w:style>
  <w:style w:type="paragraph" w:customStyle="1" w:styleId="E051481E4CCD4505AA937DCF4D4AA4EB">
    <w:name w:val="E051481E4CCD4505AA937DCF4D4AA4EB"/>
  </w:style>
  <w:style w:type="paragraph" w:customStyle="1" w:styleId="7F38A11C3EF147FC84F0357286F7E015">
    <w:name w:val="7F38A11C3EF147FC84F0357286F7E015"/>
  </w:style>
  <w:style w:type="paragraph" w:customStyle="1" w:styleId="2D84C228A4B741C18BFDA0044DE1CF84">
    <w:name w:val="2D84C228A4B741C18BFDA0044DE1CF84"/>
  </w:style>
  <w:style w:type="paragraph" w:customStyle="1" w:styleId="8A152D7F89384DFC859672A89358D316">
    <w:name w:val="8A152D7F89384DFC859672A89358D316"/>
  </w:style>
  <w:style w:type="paragraph" w:customStyle="1" w:styleId="84A22288187C4B59BE0FEF151CFEF7F6">
    <w:name w:val="84A22288187C4B59BE0FEF151CFEF7F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Small Business Set">
  <a:themeElements>
    <a:clrScheme name="Small Business">
      <a:dk1>
        <a:sysClr val="windowText" lastClr="000000"/>
      </a:dk1>
      <a:lt1>
        <a:sysClr val="window" lastClr="FFFFFF"/>
      </a:lt1>
      <a:dk2>
        <a:srgbClr val="352F25"/>
      </a:dk2>
      <a:lt2>
        <a:srgbClr val="EDECEB"/>
      </a:lt2>
      <a:accent1>
        <a:srgbClr val="03A996"/>
      </a:accent1>
      <a:accent2>
        <a:srgbClr val="B33536"/>
      </a:accent2>
      <a:accent3>
        <a:srgbClr val="E8C94B"/>
      </a:accent3>
      <a:accent4>
        <a:srgbClr val="2682A6"/>
      </a:accent4>
      <a:accent5>
        <a:srgbClr val="F08A42"/>
      </a:accent5>
      <a:accent6>
        <a:srgbClr val="6A5178"/>
      </a:accent6>
      <a:hlink>
        <a:srgbClr val="4D4436"/>
      </a:hlink>
      <a:folHlink>
        <a:srgbClr val="027E70"/>
      </a:folHlink>
    </a:clrScheme>
    <a:fontScheme name="Office 2">
      <a:majorFont>
        <a:latin typeface="Calibri"/>
        <a:ea typeface=""/>
        <a:cs typeface=""/>
        <a:font script="Jpan" typeface="HGｺﾞｼｯｸM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HG明朝B"/>
        <a:font script="Hang" typeface="맑은 고딕"/>
        <a:font script="Hans" typeface="黑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57000"/>
                <a:satMod val="101000"/>
              </a:schemeClr>
            </a:gs>
            <a:gs pos="50000">
              <a:schemeClr val="phClr">
                <a:lumMod val="137000"/>
                <a:satMod val="103000"/>
              </a:schemeClr>
            </a:gs>
            <a:gs pos="100000">
              <a:schemeClr val="phClr">
                <a:lumMod val="115000"/>
                <a:satMod val="109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18000"/>
              </a:schemeClr>
            </a:gs>
            <a:gs pos="50000">
              <a:schemeClr val="phClr">
                <a:satMod val="89000"/>
                <a:lumMod val="91000"/>
              </a:schemeClr>
            </a:gs>
            <a:gs pos="100000">
              <a:schemeClr val="phClr">
                <a:lumMod val="69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</a:ln>
        <a:ln w="127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100000"/>
                <a:satMod val="100000"/>
                <a:shade val="0"/>
              </a:schemeClr>
            </a:gs>
            <a:gs pos="0">
              <a:scrgbClr r="0" g="0" b="0"/>
            </a:gs>
            <a:gs pos="100000">
              <a:schemeClr val="phClr">
                <a:shade val="100000"/>
                <a:sat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3F7D94069FF64A86F7DFF56D60E3BE" ma:contentTypeVersion="6" ma:contentTypeDescription="Create a new document." ma:contentTypeScope="" ma:versionID="c32302c77d4085ecf495bdddb7f5e889">
  <xsd:schema xmlns:xsd="http://www.w3.org/2001/XMLSchema" xmlns:xs="http://www.w3.org/2001/XMLSchema" xmlns:p="http://schemas.microsoft.com/office/2006/metadata/properties" xmlns:ns2="a4f35948-e619-41b3-aa29-22878b09cfd2" xmlns:ns3="40262f94-9f35-4ac3-9a90-690165a166b7" targetNamespace="http://schemas.microsoft.com/office/2006/metadata/properties" ma:root="true" ma:fieldsID="4ab5ae46be95f9d0be6107e8200be7a2" ns2:_="" ns3:_="">
    <xsd:import namespace="a4f35948-e619-41b3-aa29-22878b09cfd2"/>
    <xsd:import namespace="40262f94-9f35-4ac3-9a90-690165a166b7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  <xsd:element ref="ns3:VSO_x0020_item_x0020_id" minOccurs="0"/>
                <xsd:element ref="ns3:Item_x0020_Details" minOccurs="0"/>
                <xsd:element ref="ns3:Template_x0020_details" minOccurs="0"/>
                <xsd:element ref="ns3:Assetid_x0020_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4f35948-e619-41b3-aa29-22878b09cfd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262f94-9f35-4ac3-9a90-690165a166b7" elementFormDefault="qualified">
    <xsd:import namespace="http://schemas.microsoft.com/office/2006/documentManagement/types"/>
    <xsd:import namespace="http://schemas.microsoft.com/office/infopath/2007/PartnerControls"/>
    <xsd:element name="VSO_x0020_item_x0020_id" ma:index="10" nillable="true" ma:displayName="VSO item id" ma:description="Please add the bug number to refer to VSO items." ma:internalName="VSO_x0020_item_x0020_id">
      <xsd:simpleType>
        <xsd:restriction base="dms:Text">
          <xsd:maxLength value="255"/>
        </xsd:restriction>
      </xsd:simpleType>
    </xsd:element>
    <xsd:element name="Item_x0020_Details" ma:index="11" nillable="true" ma:displayName="Item Details" ma:internalName="Item_x0020_Details">
      <xsd:simpleType>
        <xsd:restriction base="dms:Note">
          <xsd:maxLength value="255"/>
        </xsd:restriction>
      </xsd:simpleType>
    </xsd:element>
    <xsd:element name="Template_x0020_details" ma:index="12" nillable="true" ma:displayName="Template details" ma:internalName="Template_x0020_details">
      <xsd:simpleType>
        <xsd:restriction base="dms:Text"/>
      </xsd:simpleType>
    </xsd:element>
    <xsd:element name="Assetid_x0020_" ma:index="13" nillable="true" ma:displayName="Assetid " ma:internalName="Assetid_x0020_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VSO_x0020_item_x0020_id xmlns="40262f94-9f35-4ac3-9a90-690165a166b7" xsi:nil="true"/>
    <Assetid_x0020_ xmlns="40262f94-9f35-4ac3-9a90-690165a166b7" xsi:nil="true"/>
    <Item_x0020_Details xmlns="40262f94-9f35-4ac3-9a90-690165a166b7" xsi:nil="true"/>
    <Template_x0020_details xmlns="40262f94-9f35-4ac3-9a90-690165a166b7" xsi:nil="true"/>
  </documentManagement>
</p:properties>
</file>

<file path=customXml/itemProps1.xml><?xml version="1.0" encoding="utf-8"?>
<ds:datastoreItem xmlns:ds="http://schemas.openxmlformats.org/officeDocument/2006/customXml" ds:itemID="{547F07B8-09AD-4EE6-8E3A-01F80185106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4f35948-e619-41b3-aa29-22878b09cfd2"/>
    <ds:schemaRef ds:uri="40262f94-9f35-4ac3-9a90-690165a166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BE44320-BEBD-4D1C-9104-5D8258A41C1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693A203-2A21-4C04-ACB1-4635A1CD0569}">
  <ds:schemaRefs>
    <ds:schemaRef ds:uri="http://schemas.microsoft.com/office/2006/metadata/properties"/>
    <ds:schemaRef ds:uri="http://schemas.microsoft.com/office/infopath/2007/PartnerControls"/>
    <ds:schemaRef ds:uri="40262f94-9f35-4ac3-9a90-690165a166b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Brochure</Template>
  <TotalTime>14874</TotalTime>
  <Pages>5</Pages>
  <Words>1657</Words>
  <Characters>9445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halema begum</dc:creator>
  <cp:keywords>dementia</cp:keywords>
  <cp:lastModifiedBy>Halema</cp:lastModifiedBy>
  <cp:revision>8</cp:revision>
  <dcterms:created xsi:type="dcterms:W3CDTF">2023-07-30T12:09:00Z</dcterms:created>
  <dcterms:modified xsi:type="dcterms:W3CDTF">2023-08-09T20:44:00Z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</Properties>
</file>