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8C91F" w14:textId="77777777" w:rsidR="005D2365" w:rsidRDefault="005D2365" w:rsidP="00CD33A8">
      <w:pPr>
        <w:spacing w:line="360" w:lineRule="auto"/>
        <w:rPr>
          <w:rFonts w:asciiTheme="minorBidi" w:hAnsiTheme="minorBidi"/>
          <w:sz w:val="22"/>
        </w:rPr>
      </w:pPr>
    </w:p>
    <w:p w14:paraId="4BA52CE3" w14:textId="75F17F2D" w:rsidR="00B80C96"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6608FF48">
            <wp:simplePos x="0" y="0"/>
            <wp:positionH relativeFrom="margin">
              <wp:align>left</wp:align>
            </wp:positionH>
            <wp:positionV relativeFrom="paragraph">
              <wp:posOffset>292735</wp:posOffset>
            </wp:positionV>
            <wp:extent cx="3088640" cy="109728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100234" cy="11013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18743FD7" w14:textId="77777777" w:rsidR="004B6CA1" w:rsidRDefault="004B6CA1" w:rsidP="00CD33A8">
      <w:pPr>
        <w:tabs>
          <w:tab w:val="left" w:pos="6540"/>
        </w:tabs>
        <w:spacing w:line="360" w:lineRule="auto"/>
        <w:rPr>
          <w:rFonts w:ascii="Arial" w:hAnsi="Arial" w:cs="Arial"/>
          <w:b/>
          <w:bCs/>
          <w:sz w:val="28"/>
          <w:szCs w:val="28"/>
          <w:lang w:val="nl-NL"/>
        </w:rPr>
      </w:pPr>
    </w:p>
    <w:p w14:paraId="54F8E413" w14:textId="77777777" w:rsidR="00703609" w:rsidRDefault="00703609" w:rsidP="00CD33A8">
      <w:pPr>
        <w:tabs>
          <w:tab w:val="left" w:pos="6540"/>
        </w:tabs>
        <w:spacing w:line="360" w:lineRule="auto"/>
        <w:rPr>
          <w:rFonts w:ascii="Arial" w:hAnsi="Arial" w:cs="Arial"/>
          <w:b/>
          <w:bCs/>
          <w:sz w:val="28"/>
          <w:szCs w:val="28"/>
          <w:lang w:val="nl-NL"/>
        </w:rPr>
      </w:pPr>
    </w:p>
    <w:p w14:paraId="576F9F8C" w14:textId="77777777" w:rsidR="00703609" w:rsidRDefault="00703609" w:rsidP="00CD33A8">
      <w:pPr>
        <w:tabs>
          <w:tab w:val="left" w:pos="6540"/>
        </w:tabs>
        <w:spacing w:line="360" w:lineRule="auto"/>
        <w:rPr>
          <w:rFonts w:ascii="Arial" w:hAnsi="Arial" w:cs="Arial"/>
          <w:b/>
          <w:bCs/>
          <w:sz w:val="28"/>
          <w:szCs w:val="28"/>
          <w:lang w:val="nl-NL"/>
        </w:rPr>
      </w:pPr>
    </w:p>
    <w:p w14:paraId="7D557BA5" w14:textId="1A7FF5C9"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4B6CA1">
        <w:rPr>
          <w:rFonts w:ascii="Arial" w:hAnsi="Arial" w:cs="Arial"/>
          <w:sz w:val="28"/>
          <w:szCs w:val="28"/>
          <w:lang w:val="nl-NL"/>
        </w:rPr>
        <w:t>Introduction to Independent Research</w:t>
      </w:r>
    </w:p>
    <w:p w14:paraId="537571AF" w14:textId="3EC685EE"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703609">
        <w:rPr>
          <w:rFonts w:ascii="Arial" w:hAnsi="Arial" w:cs="Arial"/>
          <w:sz w:val="28"/>
          <w:szCs w:val="28"/>
        </w:rPr>
        <w:t xml:space="preserve"> BMHP5019</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066DD665"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703609">
        <w:rPr>
          <w:rFonts w:ascii="Arial" w:hAnsi="Arial" w:cs="Arial"/>
          <w:sz w:val="28"/>
          <w:szCs w:val="28"/>
          <w:lang w:val="nl-NL"/>
        </w:rPr>
        <w:t xml:space="preserve"> Nadejda Canter</w:t>
      </w:r>
    </w:p>
    <w:p w14:paraId="39AA4413" w14:textId="18F2ADE2"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703609">
        <w:rPr>
          <w:rFonts w:ascii="Arial" w:hAnsi="Arial" w:cs="Arial"/>
          <w:sz w:val="28"/>
          <w:szCs w:val="28"/>
          <w:lang w:val="nl-NL"/>
        </w:rPr>
        <w:t xml:space="preserve"> 2324209</w:t>
      </w:r>
    </w:p>
    <w:p w14:paraId="5E81F6AD" w14:textId="388BD71A" w:rsidR="00074402" w:rsidRPr="004E5CD1" w:rsidRDefault="00D378C9" w:rsidP="00D378C9">
      <w:pPr>
        <w:tabs>
          <w:tab w:val="left" w:pos="6540"/>
        </w:tabs>
        <w:spacing w:line="360" w:lineRule="auto"/>
        <w:jc w:val="both"/>
        <w:rPr>
          <w:rFonts w:ascii="Arial" w:hAnsi="Arial" w:cs="Arial"/>
          <w:b/>
          <w:bCs/>
          <w:sz w:val="28"/>
          <w:szCs w:val="28"/>
          <w:lang w:val="nl-NL"/>
        </w:rPr>
      </w:pPr>
      <w:r w:rsidRPr="00D378C9">
        <w:rPr>
          <w:rFonts w:ascii="Arial" w:hAnsi="Arial" w:cs="Arial"/>
          <w:b/>
          <w:bCs/>
          <w:sz w:val="28"/>
          <w:szCs w:val="28"/>
          <w:lang w:val="nl-NL"/>
        </w:rPr>
        <w:t>Topic:</w:t>
      </w:r>
      <w:r>
        <w:rPr>
          <w:rFonts w:ascii="Arial" w:hAnsi="Arial" w:cs="Arial"/>
          <w:sz w:val="28"/>
          <w:szCs w:val="28"/>
          <w:lang w:val="nl-NL"/>
        </w:rPr>
        <w:t xml:space="preserve"> </w:t>
      </w:r>
      <w:r w:rsidRPr="004E5CD1">
        <w:rPr>
          <w:rFonts w:ascii="Arial" w:hAnsi="Arial" w:cs="Arial"/>
          <w:b/>
          <w:bCs/>
          <w:sz w:val="28"/>
          <w:szCs w:val="28"/>
          <w:lang w:val="nl-NL"/>
        </w:rPr>
        <w:t>The influence of childhood trauma on adult</w:t>
      </w:r>
      <w:r w:rsidRPr="004E5CD1">
        <w:rPr>
          <w:rFonts w:ascii="Arial" w:hAnsi="Arial" w:cs="Arial"/>
          <w:b/>
          <w:bCs/>
          <w:sz w:val="28"/>
          <w:szCs w:val="28"/>
          <w:lang w:val="nl-NL"/>
        </w:rPr>
        <w:t xml:space="preserve"> </w:t>
      </w:r>
      <w:r w:rsidRPr="004E5CD1">
        <w:rPr>
          <w:rFonts w:ascii="Arial" w:hAnsi="Arial" w:cs="Arial"/>
          <w:b/>
          <w:bCs/>
          <w:sz w:val="28"/>
          <w:szCs w:val="28"/>
          <w:lang w:val="nl-NL"/>
        </w:rPr>
        <w:t>physical health in the United Kingdom</w:t>
      </w:r>
    </w:p>
    <w:p w14:paraId="1A0B2D2B" w14:textId="72E96C20" w:rsidR="00074402"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Word count</w:t>
      </w:r>
      <w:r w:rsidR="00074402" w:rsidRPr="00CD33A8">
        <w:rPr>
          <w:rFonts w:ascii="Arial" w:hAnsi="Arial" w:cs="Arial"/>
          <w:sz w:val="28"/>
          <w:szCs w:val="28"/>
        </w:rPr>
        <w:t>:</w:t>
      </w:r>
      <w:r w:rsidR="00AA748E">
        <w:rPr>
          <w:rFonts w:ascii="Arial" w:hAnsi="Arial" w:cs="Arial"/>
          <w:sz w:val="28"/>
          <w:szCs w:val="28"/>
        </w:rPr>
        <w:t xml:space="preserve"> 3</w:t>
      </w:r>
      <w:r w:rsidR="00D378C9">
        <w:rPr>
          <w:rFonts w:ascii="Arial" w:hAnsi="Arial" w:cs="Arial"/>
          <w:sz w:val="28"/>
          <w:szCs w:val="28"/>
        </w:rPr>
        <w:t>526</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color w:val="auto"/>
          <w:sz w:val="24"/>
          <w:szCs w:val="22"/>
          <w:lang w:eastAsia="en-US"/>
        </w:rPr>
        <w:id w:val="2117632596"/>
        <w:docPartObj>
          <w:docPartGallery w:val="Table of Contents"/>
          <w:docPartUnique/>
        </w:docPartObj>
      </w:sdtPr>
      <w:sdtEndPr>
        <w:rPr>
          <w:b/>
          <w:bCs/>
        </w:rPr>
      </w:sdtEndPr>
      <w:sdtContent>
        <w:p w14:paraId="009B2230" w14:textId="7C791D03" w:rsidR="0011184F" w:rsidRPr="000A705A" w:rsidRDefault="0093412A" w:rsidP="000A705A">
          <w:pPr>
            <w:pStyle w:val="TOCHeading"/>
            <w:spacing w:line="360" w:lineRule="auto"/>
            <w:rPr>
              <w:rFonts w:ascii="Arial" w:hAnsi="Arial" w:cs="Arial"/>
              <w:b/>
              <w:bCs/>
              <w:color w:val="000000" w:themeColor="text1"/>
              <w:sz w:val="22"/>
              <w:szCs w:val="22"/>
            </w:rPr>
          </w:pPr>
          <w:r w:rsidRPr="0011184F">
            <w:rPr>
              <w:rFonts w:ascii="Arial" w:hAnsi="Arial" w:cs="Arial"/>
              <w:b/>
              <w:bCs/>
              <w:color w:val="000000" w:themeColor="text1"/>
              <w:sz w:val="22"/>
              <w:szCs w:val="22"/>
            </w:rPr>
            <w:t>Table of Contents</w:t>
          </w:r>
        </w:p>
        <w:p w14:paraId="2E6C2C75" w14:textId="4C810C7B" w:rsidR="00116C49" w:rsidRDefault="0093412A">
          <w:pPr>
            <w:pStyle w:val="TOC1"/>
            <w:tabs>
              <w:tab w:val="right" w:leader="dot" w:pos="9016"/>
            </w:tabs>
            <w:rPr>
              <w:rFonts w:asciiTheme="minorHAnsi" w:eastAsiaTheme="minorEastAsia" w:hAnsiTheme="minorHAnsi"/>
              <w:noProof/>
              <w:kern w:val="2"/>
              <w:szCs w:val="24"/>
              <w:lang w:eastAsia="en-GB"/>
              <w14:ligatures w14:val="standardContextual"/>
            </w:rPr>
          </w:pPr>
          <w:r w:rsidRPr="0011184F">
            <w:rPr>
              <w:rFonts w:ascii="Arial" w:hAnsi="Arial" w:cs="Arial"/>
              <w:sz w:val="22"/>
            </w:rPr>
            <w:fldChar w:fldCharType="begin"/>
          </w:r>
          <w:r w:rsidRPr="0011184F">
            <w:rPr>
              <w:rFonts w:ascii="Arial" w:hAnsi="Arial" w:cs="Arial"/>
              <w:sz w:val="22"/>
            </w:rPr>
            <w:instrText xml:space="preserve"> TOC \o "1-3" \h \z \u </w:instrText>
          </w:r>
          <w:r w:rsidRPr="0011184F">
            <w:rPr>
              <w:rFonts w:ascii="Arial" w:hAnsi="Arial" w:cs="Arial"/>
              <w:sz w:val="22"/>
            </w:rPr>
            <w:fldChar w:fldCharType="separate"/>
          </w:r>
          <w:hyperlink w:anchor="_Toc215139668" w:history="1">
            <w:r w:rsidR="00116C49" w:rsidRPr="00BA2E20">
              <w:rPr>
                <w:rStyle w:val="Hyperlink"/>
                <w:noProof/>
              </w:rPr>
              <w:t>Abstract</w:t>
            </w:r>
            <w:r w:rsidR="00116C49">
              <w:rPr>
                <w:noProof/>
                <w:webHidden/>
              </w:rPr>
              <w:tab/>
            </w:r>
            <w:r w:rsidR="00116C49">
              <w:rPr>
                <w:noProof/>
                <w:webHidden/>
              </w:rPr>
              <w:fldChar w:fldCharType="begin"/>
            </w:r>
            <w:r w:rsidR="00116C49">
              <w:rPr>
                <w:noProof/>
                <w:webHidden/>
              </w:rPr>
              <w:instrText xml:space="preserve"> PAGEREF _Toc215139668 \h </w:instrText>
            </w:r>
            <w:r w:rsidR="00116C49">
              <w:rPr>
                <w:noProof/>
                <w:webHidden/>
              </w:rPr>
            </w:r>
            <w:r w:rsidR="00116C49">
              <w:rPr>
                <w:noProof/>
                <w:webHidden/>
              </w:rPr>
              <w:fldChar w:fldCharType="separate"/>
            </w:r>
            <w:r w:rsidR="00116C49">
              <w:rPr>
                <w:noProof/>
                <w:webHidden/>
              </w:rPr>
              <w:t>4</w:t>
            </w:r>
            <w:r w:rsidR="00116C49">
              <w:rPr>
                <w:noProof/>
                <w:webHidden/>
              </w:rPr>
              <w:fldChar w:fldCharType="end"/>
            </w:r>
          </w:hyperlink>
        </w:p>
        <w:p w14:paraId="06F25C79" w14:textId="666AAE31"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69" w:history="1">
            <w:r w:rsidRPr="00BA2E20">
              <w:rPr>
                <w:rStyle w:val="Hyperlink"/>
                <w:noProof/>
              </w:rPr>
              <w:t>1. Introduction</w:t>
            </w:r>
            <w:r>
              <w:rPr>
                <w:noProof/>
                <w:webHidden/>
              </w:rPr>
              <w:tab/>
            </w:r>
            <w:r>
              <w:rPr>
                <w:noProof/>
                <w:webHidden/>
              </w:rPr>
              <w:fldChar w:fldCharType="begin"/>
            </w:r>
            <w:r>
              <w:rPr>
                <w:noProof/>
                <w:webHidden/>
              </w:rPr>
              <w:instrText xml:space="preserve"> PAGEREF _Toc215139669 \h </w:instrText>
            </w:r>
            <w:r>
              <w:rPr>
                <w:noProof/>
                <w:webHidden/>
              </w:rPr>
            </w:r>
            <w:r>
              <w:rPr>
                <w:noProof/>
                <w:webHidden/>
              </w:rPr>
              <w:fldChar w:fldCharType="separate"/>
            </w:r>
            <w:r>
              <w:rPr>
                <w:noProof/>
                <w:webHidden/>
              </w:rPr>
              <w:t>5</w:t>
            </w:r>
            <w:r>
              <w:rPr>
                <w:noProof/>
                <w:webHidden/>
              </w:rPr>
              <w:fldChar w:fldCharType="end"/>
            </w:r>
          </w:hyperlink>
        </w:p>
        <w:p w14:paraId="1AD24AE0" w14:textId="74189546"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70" w:history="1">
            <w:r w:rsidRPr="00BA2E20">
              <w:rPr>
                <w:rStyle w:val="Hyperlink"/>
                <w:noProof/>
              </w:rPr>
              <w:t>2. Background</w:t>
            </w:r>
            <w:r>
              <w:rPr>
                <w:noProof/>
                <w:webHidden/>
              </w:rPr>
              <w:tab/>
            </w:r>
            <w:r>
              <w:rPr>
                <w:noProof/>
                <w:webHidden/>
              </w:rPr>
              <w:fldChar w:fldCharType="begin"/>
            </w:r>
            <w:r>
              <w:rPr>
                <w:noProof/>
                <w:webHidden/>
              </w:rPr>
              <w:instrText xml:space="preserve"> PAGEREF _Toc215139670 \h </w:instrText>
            </w:r>
            <w:r>
              <w:rPr>
                <w:noProof/>
                <w:webHidden/>
              </w:rPr>
            </w:r>
            <w:r>
              <w:rPr>
                <w:noProof/>
                <w:webHidden/>
              </w:rPr>
              <w:fldChar w:fldCharType="separate"/>
            </w:r>
            <w:r>
              <w:rPr>
                <w:noProof/>
                <w:webHidden/>
              </w:rPr>
              <w:t>6</w:t>
            </w:r>
            <w:r>
              <w:rPr>
                <w:noProof/>
                <w:webHidden/>
              </w:rPr>
              <w:fldChar w:fldCharType="end"/>
            </w:r>
          </w:hyperlink>
        </w:p>
        <w:p w14:paraId="108F40B4" w14:textId="678F3E56"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71" w:history="1">
            <w:r w:rsidRPr="00BA2E20">
              <w:rPr>
                <w:rStyle w:val="Hyperlink"/>
                <w:noProof/>
              </w:rPr>
              <w:t>3. Methods</w:t>
            </w:r>
            <w:r>
              <w:rPr>
                <w:noProof/>
                <w:webHidden/>
              </w:rPr>
              <w:tab/>
            </w:r>
            <w:r>
              <w:rPr>
                <w:noProof/>
                <w:webHidden/>
              </w:rPr>
              <w:fldChar w:fldCharType="begin"/>
            </w:r>
            <w:r>
              <w:rPr>
                <w:noProof/>
                <w:webHidden/>
              </w:rPr>
              <w:instrText xml:space="preserve"> PAGEREF _Toc215139671 \h </w:instrText>
            </w:r>
            <w:r>
              <w:rPr>
                <w:noProof/>
                <w:webHidden/>
              </w:rPr>
            </w:r>
            <w:r>
              <w:rPr>
                <w:noProof/>
                <w:webHidden/>
              </w:rPr>
              <w:fldChar w:fldCharType="separate"/>
            </w:r>
            <w:r>
              <w:rPr>
                <w:noProof/>
                <w:webHidden/>
              </w:rPr>
              <w:t>8</w:t>
            </w:r>
            <w:r>
              <w:rPr>
                <w:noProof/>
                <w:webHidden/>
              </w:rPr>
              <w:fldChar w:fldCharType="end"/>
            </w:r>
          </w:hyperlink>
        </w:p>
        <w:p w14:paraId="62B1FE3F" w14:textId="1D35CEEF"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2" w:history="1">
            <w:r w:rsidRPr="00BA2E20">
              <w:rPr>
                <w:rStyle w:val="Hyperlink"/>
                <w:noProof/>
              </w:rPr>
              <w:t>3.1. Inclusion and Exclusion Criteria</w:t>
            </w:r>
            <w:r>
              <w:rPr>
                <w:noProof/>
                <w:webHidden/>
              </w:rPr>
              <w:tab/>
            </w:r>
            <w:r>
              <w:rPr>
                <w:noProof/>
                <w:webHidden/>
              </w:rPr>
              <w:fldChar w:fldCharType="begin"/>
            </w:r>
            <w:r>
              <w:rPr>
                <w:noProof/>
                <w:webHidden/>
              </w:rPr>
              <w:instrText xml:space="preserve"> PAGEREF _Toc215139672 \h </w:instrText>
            </w:r>
            <w:r>
              <w:rPr>
                <w:noProof/>
                <w:webHidden/>
              </w:rPr>
            </w:r>
            <w:r>
              <w:rPr>
                <w:noProof/>
                <w:webHidden/>
              </w:rPr>
              <w:fldChar w:fldCharType="separate"/>
            </w:r>
            <w:r>
              <w:rPr>
                <w:noProof/>
                <w:webHidden/>
              </w:rPr>
              <w:t>8</w:t>
            </w:r>
            <w:r>
              <w:rPr>
                <w:noProof/>
                <w:webHidden/>
              </w:rPr>
              <w:fldChar w:fldCharType="end"/>
            </w:r>
          </w:hyperlink>
        </w:p>
        <w:p w14:paraId="6173B451" w14:textId="0BAA765F"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3" w:history="1">
            <w:r w:rsidRPr="00BA2E20">
              <w:rPr>
                <w:rStyle w:val="Hyperlink"/>
                <w:noProof/>
              </w:rPr>
              <w:t>3.2. Study Selection Process</w:t>
            </w:r>
            <w:r>
              <w:rPr>
                <w:noProof/>
                <w:webHidden/>
              </w:rPr>
              <w:tab/>
            </w:r>
            <w:r>
              <w:rPr>
                <w:noProof/>
                <w:webHidden/>
              </w:rPr>
              <w:fldChar w:fldCharType="begin"/>
            </w:r>
            <w:r>
              <w:rPr>
                <w:noProof/>
                <w:webHidden/>
              </w:rPr>
              <w:instrText xml:space="preserve"> PAGEREF _Toc215139673 \h </w:instrText>
            </w:r>
            <w:r>
              <w:rPr>
                <w:noProof/>
                <w:webHidden/>
              </w:rPr>
            </w:r>
            <w:r>
              <w:rPr>
                <w:noProof/>
                <w:webHidden/>
              </w:rPr>
              <w:fldChar w:fldCharType="separate"/>
            </w:r>
            <w:r>
              <w:rPr>
                <w:noProof/>
                <w:webHidden/>
              </w:rPr>
              <w:t>9</w:t>
            </w:r>
            <w:r>
              <w:rPr>
                <w:noProof/>
                <w:webHidden/>
              </w:rPr>
              <w:fldChar w:fldCharType="end"/>
            </w:r>
          </w:hyperlink>
        </w:p>
        <w:p w14:paraId="2ED963D0" w14:textId="7D6A8B99"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4" w:history="1">
            <w:r w:rsidRPr="00BA2E20">
              <w:rPr>
                <w:rStyle w:val="Hyperlink"/>
                <w:noProof/>
              </w:rPr>
              <w:t>3.3. Data collection</w:t>
            </w:r>
            <w:r>
              <w:rPr>
                <w:noProof/>
                <w:webHidden/>
              </w:rPr>
              <w:tab/>
            </w:r>
            <w:r>
              <w:rPr>
                <w:noProof/>
                <w:webHidden/>
              </w:rPr>
              <w:fldChar w:fldCharType="begin"/>
            </w:r>
            <w:r>
              <w:rPr>
                <w:noProof/>
                <w:webHidden/>
              </w:rPr>
              <w:instrText xml:space="preserve"> PAGEREF _Toc215139674 \h </w:instrText>
            </w:r>
            <w:r>
              <w:rPr>
                <w:noProof/>
                <w:webHidden/>
              </w:rPr>
            </w:r>
            <w:r>
              <w:rPr>
                <w:noProof/>
                <w:webHidden/>
              </w:rPr>
              <w:fldChar w:fldCharType="separate"/>
            </w:r>
            <w:r>
              <w:rPr>
                <w:noProof/>
                <w:webHidden/>
              </w:rPr>
              <w:t>9</w:t>
            </w:r>
            <w:r>
              <w:rPr>
                <w:noProof/>
                <w:webHidden/>
              </w:rPr>
              <w:fldChar w:fldCharType="end"/>
            </w:r>
          </w:hyperlink>
        </w:p>
        <w:p w14:paraId="64D6FAFA" w14:textId="234D2587"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5" w:history="1">
            <w:r w:rsidRPr="00BA2E20">
              <w:rPr>
                <w:rStyle w:val="Hyperlink"/>
                <w:noProof/>
              </w:rPr>
              <w:t>3.4. Data analysis</w:t>
            </w:r>
            <w:r>
              <w:rPr>
                <w:noProof/>
                <w:webHidden/>
              </w:rPr>
              <w:tab/>
            </w:r>
            <w:r>
              <w:rPr>
                <w:noProof/>
                <w:webHidden/>
              </w:rPr>
              <w:fldChar w:fldCharType="begin"/>
            </w:r>
            <w:r>
              <w:rPr>
                <w:noProof/>
                <w:webHidden/>
              </w:rPr>
              <w:instrText xml:space="preserve"> PAGEREF _Toc215139675 \h </w:instrText>
            </w:r>
            <w:r>
              <w:rPr>
                <w:noProof/>
                <w:webHidden/>
              </w:rPr>
            </w:r>
            <w:r>
              <w:rPr>
                <w:noProof/>
                <w:webHidden/>
              </w:rPr>
              <w:fldChar w:fldCharType="separate"/>
            </w:r>
            <w:r>
              <w:rPr>
                <w:noProof/>
                <w:webHidden/>
              </w:rPr>
              <w:t>9</w:t>
            </w:r>
            <w:r>
              <w:rPr>
                <w:noProof/>
                <w:webHidden/>
              </w:rPr>
              <w:fldChar w:fldCharType="end"/>
            </w:r>
          </w:hyperlink>
        </w:p>
        <w:p w14:paraId="26672F8D" w14:textId="213438A5"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6" w:history="1">
            <w:r w:rsidRPr="00BA2E20">
              <w:rPr>
                <w:rStyle w:val="Hyperlink"/>
                <w:noProof/>
              </w:rPr>
              <w:t>3.5. Ethical considerations</w:t>
            </w:r>
            <w:r>
              <w:rPr>
                <w:noProof/>
                <w:webHidden/>
              </w:rPr>
              <w:tab/>
            </w:r>
            <w:r>
              <w:rPr>
                <w:noProof/>
                <w:webHidden/>
              </w:rPr>
              <w:fldChar w:fldCharType="begin"/>
            </w:r>
            <w:r>
              <w:rPr>
                <w:noProof/>
                <w:webHidden/>
              </w:rPr>
              <w:instrText xml:space="preserve"> PAGEREF _Toc215139676 \h </w:instrText>
            </w:r>
            <w:r>
              <w:rPr>
                <w:noProof/>
                <w:webHidden/>
              </w:rPr>
            </w:r>
            <w:r>
              <w:rPr>
                <w:noProof/>
                <w:webHidden/>
              </w:rPr>
              <w:fldChar w:fldCharType="separate"/>
            </w:r>
            <w:r>
              <w:rPr>
                <w:noProof/>
                <w:webHidden/>
              </w:rPr>
              <w:t>9</w:t>
            </w:r>
            <w:r>
              <w:rPr>
                <w:noProof/>
                <w:webHidden/>
              </w:rPr>
              <w:fldChar w:fldCharType="end"/>
            </w:r>
          </w:hyperlink>
        </w:p>
        <w:p w14:paraId="5F97E8D2" w14:textId="6F80116B"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77" w:history="1">
            <w:r w:rsidRPr="00BA2E20">
              <w:rPr>
                <w:rStyle w:val="Hyperlink"/>
                <w:noProof/>
              </w:rPr>
              <w:t>4. Results</w:t>
            </w:r>
            <w:r>
              <w:rPr>
                <w:noProof/>
                <w:webHidden/>
              </w:rPr>
              <w:tab/>
            </w:r>
            <w:r>
              <w:rPr>
                <w:noProof/>
                <w:webHidden/>
              </w:rPr>
              <w:fldChar w:fldCharType="begin"/>
            </w:r>
            <w:r>
              <w:rPr>
                <w:noProof/>
                <w:webHidden/>
              </w:rPr>
              <w:instrText xml:space="preserve"> PAGEREF _Toc215139677 \h </w:instrText>
            </w:r>
            <w:r>
              <w:rPr>
                <w:noProof/>
                <w:webHidden/>
              </w:rPr>
            </w:r>
            <w:r>
              <w:rPr>
                <w:noProof/>
                <w:webHidden/>
              </w:rPr>
              <w:fldChar w:fldCharType="separate"/>
            </w:r>
            <w:r>
              <w:rPr>
                <w:noProof/>
                <w:webHidden/>
              </w:rPr>
              <w:t>10</w:t>
            </w:r>
            <w:r>
              <w:rPr>
                <w:noProof/>
                <w:webHidden/>
              </w:rPr>
              <w:fldChar w:fldCharType="end"/>
            </w:r>
          </w:hyperlink>
        </w:p>
        <w:p w14:paraId="61CBADC2" w14:textId="06F5F7BA"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78" w:history="1">
            <w:r w:rsidRPr="00BA2E20">
              <w:rPr>
                <w:rStyle w:val="Hyperlink"/>
                <w:noProof/>
              </w:rPr>
              <w:t>4.1. Themes</w:t>
            </w:r>
            <w:r>
              <w:rPr>
                <w:noProof/>
                <w:webHidden/>
              </w:rPr>
              <w:tab/>
            </w:r>
            <w:r>
              <w:rPr>
                <w:noProof/>
                <w:webHidden/>
              </w:rPr>
              <w:fldChar w:fldCharType="begin"/>
            </w:r>
            <w:r>
              <w:rPr>
                <w:noProof/>
                <w:webHidden/>
              </w:rPr>
              <w:instrText xml:space="preserve"> PAGEREF _Toc215139678 \h </w:instrText>
            </w:r>
            <w:r>
              <w:rPr>
                <w:noProof/>
                <w:webHidden/>
              </w:rPr>
            </w:r>
            <w:r>
              <w:rPr>
                <w:noProof/>
                <w:webHidden/>
              </w:rPr>
              <w:fldChar w:fldCharType="separate"/>
            </w:r>
            <w:r>
              <w:rPr>
                <w:noProof/>
                <w:webHidden/>
              </w:rPr>
              <w:t>11</w:t>
            </w:r>
            <w:r>
              <w:rPr>
                <w:noProof/>
                <w:webHidden/>
              </w:rPr>
              <w:fldChar w:fldCharType="end"/>
            </w:r>
          </w:hyperlink>
        </w:p>
        <w:p w14:paraId="5DD5D3C6" w14:textId="57A7820E"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79" w:history="1">
            <w:r w:rsidRPr="00BA2E20">
              <w:rPr>
                <w:rStyle w:val="Hyperlink"/>
                <w:noProof/>
              </w:rPr>
              <w:t>5. Discussion</w:t>
            </w:r>
            <w:r>
              <w:rPr>
                <w:noProof/>
                <w:webHidden/>
              </w:rPr>
              <w:tab/>
            </w:r>
            <w:r>
              <w:rPr>
                <w:noProof/>
                <w:webHidden/>
              </w:rPr>
              <w:fldChar w:fldCharType="begin"/>
            </w:r>
            <w:r>
              <w:rPr>
                <w:noProof/>
                <w:webHidden/>
              </w:rPr>
              <w:instrText xml:space="preserve"> PAGEREF _Toc215139679 \h </w:instrText>
            </w:r>
            <w:r>
              <w:rPr>
                <w:noProof/>
                <w:webHidden/>
              </w:rPr>
            </w:r>
            <w:r>
              <w:rPr>
                <w:noProof/>
                <w:webHidden/>
              </w:rPr>
              <w:fldChar w:fldCharType="separate"/>
            </w:r>
            <w:r>
              <w:rPr>
                <w:noProof/>
                <w:webHidden/>
              </w:rPr>
              <w:t>13</w:t>
            </w:r>
            <w:r>
              <w:rPr>
                <w:noProof/>
                <w:webHidden/>
              </w:rPr>
              <w:fldChar w:fldCharType="end"/>
            </w:r>
          </w:hyperlink>
        </w:p>
        <w:p w14:paraId="6F2A4D23" w14:textId="235CAE05"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80" w:history="1">
            <w:r w:rsidRPr="00BA2E20">
              <w:rPr>
                <w:rStyle w:val="Hyperlink"/>
                <w:noProof/>
              </w:rPr>
              <w:t>6. Conclusion and Recommendations</w:t>
            </w:r>
            <w:r>
              <w:rPr>
                <w:noProof/>
                <w:webHidden/>
              </w:rPr>
              <w:tab/>
            </w:r>
            <w:r>
              <w:rPr>
                <w:noProof/>
                <w:webHidden/>
              </w:rPr>
              <w:fldChar w:fldCharType="begin"/>
            </w:r>
            <w:r>
              <w:rPr>
                <w:noProof/>
                <w:webHidden/>
              </w:rPr>
              <w:instrText xml:space="preserve"> PAGEREF _Toc215139680 \h </w:instrText>
            </w:r>
            <w:r>
              <w:rPr>
                <w:noProof/>
                <w:webHidden/>
              </w:rPr>
            </w:r>
            <w:r>
              <w:rPr>
                <w:noProof/>
                <w:webHidden/>
              </w:rPr>
              <w:fldChar w:fldCharType="separate"/>
            </w:r>
            <w:r>
              <w:rPr>
                <w:noProof/>
                <w:webHidden/>
              </w:rPr>
              <w:t>14</w:t>
            </w:r>
            <w:r>
              <w:rPr>
                <w:noProof/>
                <w:webHidden/>
              </w:rPr>
              <w:fldChar w:fldCharType="end"/>
            </w:r>
          </w:hyperlink>
        </w:p>
        <w:p w14:paraId="44DE1B5F" w14:textId="754C5A1B" w:rsidR="00116C49" w:rsidRDefault="00116C4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39681" w:history="1">
            <w:r w:rsidRPr="00BA2E20">
              <w:rPr>
                <w:rStyle w:val="Hyperlink"/>
                <w:noProof/>
              </w:rPr>
              <w:t>6.1. Recommendations</w:t>
            </w:r>
            <w:r>
              <w:rPr>
                <w:noProof/>
                <w:webHidden/>
              </w:rPr>
              <w:tab/>
            </w:r>
            <w:r>
              <w:rPr>
                <w:noProof/>
                <w:webHidden/>
              </w:rPr>
              <w:fldChar w:fldCharType="begin"/>
            </w:r>
            <w:r>
              <w:rPr>
                <w:noProof/>
                <w:webHidden/>
              </w:rPr>
              <w:instrText xml:space="preserve"> PAGEREF _Toc215139681 \h </w:instrText>
            </w:r>
            <w:r>
              <w:rPr>
                <w:noProof/>
                <w:webHidden/>
              </w:rPr>
            </w:r>
            <w:r>
              <w:rPr>
                <w:noProof/>
                <w:webHidden/>
              </w:rPr>
              <w:fldChar w:fldCharType="separate"/>
            </w:r>
            <w:r>
              <w:rPr>
                <w:noProof/>
                <w:webHidden/>
              </w:rPr>
              <w:t>15</w:t>
            </w:r>
            <w:r>
              <w:rPr>
                <w:noProof/>
                <w:webHidden/>
              </w:rPr>
              <w:fldChar w:fldCharType="end"/>
            </w:r>
          </w:hyperlink>
        </w:p>
        <w:p w14:paraId="17CCD578" w14:textId="15402CB4" w:rsidR="00116C49" w:rsidRDefault="00116C4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39682" w:history="1">
            <w:r w:rsidRPr="00BA2E20">
              <w:rPr>
                <w:rStyle w:val="Hyperlink"/>
                <w:noProof/>
              </w:rPr>
              <w:t>References</w:t>
            </w:r>
            <w:r>
              <w:rPr>
                <w:noProof/>
                <w:webHidden/>
              </w:rPr>
              <w:tab/>
            </w:r>
            <w:r>
              <w:rPr>
                <w:noProof/>
                <w:webHidden/>
              </w:rPr>
              <w:fldChar w:fldCharType="begin"/>
            </w:r>
            <w:r>
              <w:rPr>
                <w:noProof/>
                <w:webHidden/>
              </w:rPr>
              <w:instrText xml:space="preserve"> PAGEREF _Toc215139682 \h </w:instrText>
            </w:r>
            <w:r>
              <w:rPr>
                <w:noProof/>
                <w:webHidden/>
              </w:rPr>
            </w:r>
            <w:r>
              <w:rPr>
                <w:noProof/>
                <w:webHidden/>
              </w:rPr>
              <w:fldChar w:fldCharType="separate"/>
            </w:r>
            <w:r>
              <w:rPr>
                <w:noProof/>
                <w:webHidden/>
              </w:rPr>
              <w:t>16</w:t>
            </w:r>
            <w:r>
              <w:rPr>
                <w:noProof/>
                <w:webHidden/>
              </w:rPr>
              <w:fldChar w:fldCharType="end"/>
            </w:r>
          </w:hyperlink>
        </w:p>
        <w:p w14:paraId="0C2A4682" w14:textId="28261AC9" w:rsidR="0093412A" w:rsidRDefault="0093412A" w:rsidP="0011184F">
          <w:pPr>
            <w:spacing w:line="360" w:lineRule="auto"/>
          </w:pPr>
          <w:r w:rsidRPr="0011184F">
            <w:rPr>
              <w:rFonts w:ascii="Arial" w:hAnsi="Arial" w:cs="Arial"/>
              <w:b/>
              <w:bCs/>
              <w:sz w:val="22"/>
            </w:rPr>
            <w:fldChar w:fldCharType="end"/>
          </w:r>
        </w:p>
      </w:sdtContent>
    </w:sdt>
    <w:p w14:paraId="3D2720D7" w14:textId="77777777" w:rsidR="00703609" w:rsidRDefault="00703609" w:rsidP="00590245">
      <w:pPr>
        <w:pStyle w:val="Heading1"/>
      </w:pPr>
    </w:p>
    <w:p w14:paraId="6F7FF8D4" w14:textId="77777777" w:rsidR="00703609" w:rsidRDefault="00703609" w:rsidP="00590245">
      <w:pPr>
        <w:pStyle w:val="Heading1"/>
      </w:pPr>
    </w:p>
    <w:p w14:paraId="2A14E287" w14:textId="77777777" w:rsidR="00703609" w:rsidRDefault="00703609" w:rsidP="00590245">
      <w:pPr>
        <w:pStyle w:val="Heading1"/>
      </w:pPr>
    </w:p>
    <w:p w14:paraId="7022E006" w14:textId="77777777" w:rsidR="00703609" w:rsidRDefault="00703609" w:rsidP="00590245">
      <w:pPr>
        <w:pStyle w:val="Heading1"/>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630D3F83" w:rsidR="00CD33A8" w:rsidRPr="006865FC" w:rsidRDefault="00CD33A8" w:rsidP="006865FC">
      <w:pPr>
        <w:pStyle w:val="Heading1"/>
      </w:pPr>
      <w:bookmarkStart w:id="0" w:name="_Toc215139668"/>
      <w:r w:rsidRPr="006865FC">
        <w:lastRenderedPageBreak/>
        <w:t>Abstract</w:t>
      </w:r>
      <w:bookmarkEnd w:id="0"/>
    </w:p>
    <w:p w14:paraId="0D61BCA2" w14:textId="77777777" w:rsidR="00A23D9C" w:rsidRPr="006865FC" w:rsidRDefault="00A23D9C" w:rsidP="006865FC">
      <w:pPr>
        <w:spacing w:line="360" w:lineRule="auto"/>
        <w:jc w:val="both"/>
        <w:rPr>
          <w:rFonts w:ascii="Arial" w:hAnsi="Arial" w:cs="Arial"/>
          <w:sz w:val="22"/>
        </w:rPr>
      </w:pPr>
      <w:r w:rsidRPr="006865FC">
        <w:rPr>
          <w:rFonts w:ascii="Arial" w:hAnsi="Arial" w:cs="Arial"/>
          <w:b/>
          <w:bCs/>
          <w:sz w:val="22"/>
        </w:rPr>
        <w:t xml:space="preserve">Purpose: </w:t>
      </w:r>
      <w:r w:rsidR="00AB1A2C" w:rsidRPr="006865FC">
        <w:rPr>
          <w:rFonts w:ascii="Arial" w:hAnsi="Arial" w:cs="Arial"/>
          <w:sz w:val="22"/>
        </w:rPr>
        <w:t xml:space="preserve">This scoping review focuses on the effects of childhood trauma on the physical health outcomes of adults in the United Kingdom. The objective of the research is to generalize the existing literature to make sense of how adverse childhood experiences (ACEs) comprising abuse, neglect, household dysfunction, and socioeconomic hardship influence subsequent physiological and behavioural health outcomes. </w:t>
      </w:r>
    </w:p>
    <w:p w14:paraId="0D207295" w14:textId="75D0E4F2" w:rsidR="00AB1A2C" w:rsidRPr="006865FC" w:rsidRDefault="00A23D9C" w:rsidP="006865FC">
      <w:pPr>
        <w:spacing w:line="360" w:lineRule="auto"/>
        <w:jc w:val="both"/>
        <w:rPr>
          <w:rFonts w:ascii="Arial" w:hAnsi="Arial" w:cs="Arial"/>
          <w:sz w:val="22"/>
        </w:rPr>
      </w:pPr>
      <w:r w:rsidRPr="006865FC">
        <w:rPr>
          <w:rFonts w:ascii="Arial" w:hAnsi="Arial" w:cs="Arial"/>
          <w:b/>
          <w:bCs/>
          <w:sz w:val="22"/>
        </w:rPr>
        <w:t>Methodology:</w:t>
      </w:r>
      <w:r w:rsidRPr="006865FC">
        <w:rPr>
          <w:rFonts w:ascii="Arial" w:hAnsi="Arial" w:cs="Arial"/>
          <w:sz w:val="22"/>
        </w:rPr>
        <w:t xml:space="preserve"> </w:t>
      </w:r>
      <w:r w:rsidR="00AB1A2C" w:rsidRPr="006865FC">
        <w:rPr>
          <w:rFonts w:ascii="Arial" w:hAnsi="Arial" w:cs="Arial"/>
          <w:sz w:val="22"/>
        </w:rPr>
        <w:t>The review takes a secondary research design, where a scoping research review framework is implemented to map the existing evidence. Three peer-reviewed works published in 2015-2025 were found because of searches on the ProQuest, UWTSD Library, and Google Scholar. Systematic data extraction and thematic analysis of the extracted data were used to identify common patterns in studies.</w:t>
      </w:r>
    </w:p>
    <w:p w14:paraId="7A5D1B0C" w14:textId="73ACB334" w:rsidR="00AB1A2C" w:rsidRPr="006865FC" w:rsidRDefault="00A23D9C" w:rsidP="006865FC">
      <w:pPr>
        <w:spacing w:line="360" w:lineRule="auto"/>
        <w:jc w:val="both"/>
        <w:rPr>
          <w:rFonts w:ascii="Arial" w:hAnsi="Arial" w:cs="Arial"/>
          <w:sz w:val="22"/>
        </w:rPr>
      </w:pPr>
      <w:r w:rsidRPr="006865FC">
        <w:rPr>
          <w:rFonts w:ascii="Arial" w:hAnsi="Arial" w:cs="Arial"/>
          <w:b/>
          <w:bCs/>
          <w:sz w:val="22"/>
        </w:rPr>
        <w:t>Results:</w:t>
      </w:r>
      <w:r w:rsidRPr="006865FC">
        <w:rPr>
          <w:rFonts w:ascii="Arial" w:hAnsi="Arial" w:cs="Arial"/>
          <w:sz w:val="22"/>
        </w:rPr>
        <w:t xml:space="preserve"> </w:t>
      </w:r>
      <w:r w:rsidR="00AB1A2C" w:rsidRPr="006865FC">
        <w:rPr>
          <w:rFonts w:ascii="Arial" w:hAnsi="Arial" w:cs="Arial"/>
          <w:sz w:val="22"/>
        </w:rPr>
        <w:t>The research shows that childhood trauma is very common in the UK and closely related to poor physical health as an adult. The association between early adversity and chronic conditions is mediated by psychosocial effects, including loneliness, social exclusion, and economic instability. There is also evidence (biological) that childhood trauma is associated with the long-term inflammation and imbalance of the immune and endocrine system, which leads to risks of cardiometabolic, autoimmune, and stress-related diseases. Most of the studies are methodologically based on a cross section or retrospective research design which does not allow causal interpretation yet consistently shows strong relationships between trauma and morbidity.</w:t>
      </w:r>
    </w:p>
    <w:p w14:paraId="313ED97C" w14:textId="28B9D470" w:rsidR="00CD33A8" w:rsidRPr="006865FC" w:rsidRDefault="00A23D9C" w:rsidP="006865FC">
      <w:pPr>
        <w:spacing w:line="360" w:lineRule="auto"/>
        <w:jc w:val="both"/>
        <w:rPr>
          <w:rFonts w:ascii="Arial" w:hAnsi="Arial" w:cs="Arial"/>
          <w:sz w:val="22"/>
        </w:rPr>
      </w:pPr>
      <w:r w:rsidRPr="006865FC">
        <w:rPr>
          <w:rFonts w:ascii="Arial" w:hAnsi="Arial" w:cs="Arial"/>
          <w:b/>
          <w:bCs/>
          <w:sz w:val="22"/>
        </w:rPr>
        <w:t>Conclusion:</w:t>
      </w:r>
      <w:r w:rsidRPr="006865FC">
        <w:rPr>
          <w:rFonts w:ascii="Arial" w:hAnsi="Arial" w:cs="Arial"/>
          <w:sz w:val="22"/>
        </w:rPr>
        <w:t xml:space="preserve"> </w:t>
      </w:r>
      <w:r w:rsidR="00AB1A2C" w:rsidRPr="006865FC">
        <w:rPr>
          <w:rFonts w:ascii="Arial" w:hAnsi="Arial" w:cs="Arial"/>
          <w:sz w:val="22"/>
        </w:rPr>
        <w:t>The review also concludes that childhood trauma produces a considerable long-term influence on adult physical health, which is mediated by the interactions between psychosocial, behavioural, and biological processes. Longitudinal, interdisciplinary UK research to gain a better understanding of causal pathways and cumulative effects is still needed. The implications of the findings are the significance of implementing trauma-informed policy, early intervention, and integrated care strategies to decrease long-term health disparities and enhance adult health outcomes in the UK.</w:t>
      </w:r>
    </w:p>
    <w:p w14:paraId="2EC4841A" w14:textId="77777777" w:rsidR="00A23D9C" w:rsidRPr="006865FC" w:rsidRDefault="00A23D9C" w:rsidP="006865FC">
      <w:pPr>
        <w:spacing w:line="360" w:lineRule="auto"/>
        <w:jc w:val="both"/>
        <w:rPr>
          <w:rFonts w:ascii="Arial" w:hAnsi="Arial" w:cs="Arial"/>
          <w:sz w:val="22"/>
        </w:rPr>
      </w:pPr>
    </w:p>
    <w:p w14:paraId="32A37318" w14:textId="77777777" w:rsidR="00A23D9C" w:rsidRPr="006865FC" w:rsidRDefault="00A23D9C" w:rsidP="006865FC">
      <w:pPr>
        <w:spacing w:line="360" w:lineRule="auto"/>
        <w:jc w:val="both"/>
        <w:rPr>
          <w:rFonts w:ascii="Arial" w:hAnsi="Arial" w:cs="Arial"/>
          <w:sz w:val="22"/>
        </w:rPr>
      </w:pPr>
    </w:p>
    <w:p w14:paraId="1B134255" w14:textId="77777777" w:rsidR="00A23D9C" w:rsidRPr="006865FC" w:rsidRDefault="00A23D9C" w:rsidP="006865FC">
      <w:pPr>
        <w:spacing w:line="360" w:lineRule="auto"/>
        <w:jc w:val="both"/>
        <w:rPr>
          <w:rFonts w:ascii="Arial" w:hAnsi="Arial" w:cs="Arial"/>
          <w:sz w:val="22"/>
        </w:rPr>
      </w:pPr>
    </w:p>
    <w:p w14:paraId="73F8DDE6" w14:textId="77777777" w:rsidR="00A23D9C" w:rsidRPr="006865FC" w:rsidRDefault="00A23D9C" w:rsidP="006865FC">
      <w:pPr>
        <w:spacing w:line="360" w:lineRule="auto"/>
        <w:jc w:val="both"/>
        <w:rPr>
          <w:rFonts w:ascii="Arial" w:hAnsi="Arial" w:cs="Arial"/>
          <w:sz w:val="22"/>
        </w:rPr>
      </w:pPr>
    </w:p>
    <w:p w14:paraId="12D76753" w14:textId="3F3FAD65" w:rsidR="00B87E75" w:rsidRPr="006865FC" w:rsidRDefault="00116C49" w:rsidP="006865FC">
      <w:pPr>
        <w:pStyle w:val="Heading1"/>
      </w:pPr>
      <w:bookmarkStart w:id="1" w:name="_Toc215139669"/>
      <w:r w:rsidRPr="006865FC">
        <w:lastRenderedPageBreak/>
        <w:t>1</w:t>
      </w:r>
      <w:r w:rsidR="00AA748E" w:rsidRPr="006865FC">
        <w:t xml:space="preserve">. </w:t>
      </w:r>
      <w:r w:rsidR="00B87E75" w:rsidRPr="006865FC">
        <w:t>Introduction</w:t>
      </w:r>
      <w:bookmarkEnd w:id="1"/>
      <w:r w:rsidR="00B566A9" w:rsidRPr="006865FC">
        <w:t xml:space="preserve"> </w:t>
      </w:r>
    </w:p>
    <w:p w14:paraId="04F19009" w14:textId="2A79A796" w:rsidR="00AB1A2C" w:rsidRPr="006865FC" w:rsidRDefault="00AB1A2C" w:rsidP="006865FC">
      <w:pPr>
        <w:tabs>
          <w:tab w:val="left" w:pos="6540"/>
        </w:tabs>
        <w:spacing w:line="360" w:lineRule="auto"/>
        <w:jc w:val="both"/>
        <w:rPr>
          <w:rFonts w:ascii="Arial" w:hAnsi="Arial" w:cs="Arial"/>
          <w:sz w:val="22"/>
        </w:rPr>
      </w:pPr>
      <w:r w:rsidRPr="006865FC">
        <w:rPr>
          <w:rFonts w:ascii="Arial" w:hAnsi="Arial" w:cs="Arial"/>
          <w:sz w:val="22"/>
        </w:rPr>
        <w:t xml:space="preserve">Childhood trauma </w:t>
      </w:r>
      <w:r w:rsidR="00AA1D24" w:rsidRPr="006865FC">
        <w:rPr>
          <w:rFonts w:ascii="Arial" w:hAnsi="Arial" w:cs="Arial"/>
          <w:sz w:val="22"/>
        </w:rPr>
        <w:t>is</w:t>
      </w:r>
      <w:r w:rsidRPr="006865FC">
        <w:rPr>
          <w:rFonts w:ascii="Arial" w:hAnsi="Arial" w:cs="Arial"/>
          <w:sz w:val="22"/>
        </w:rPr>
        <w:t xml:space="preserve"> negative experiences that happen during the time of age, as the age of 18, and cause physical or emotional harm to a child. Such experiences can be physical, emotional, or sexual abuse, neglect, domestic violence, substance misuse or mental illness of a parent, or loss of a caregiver. The concept is often operationalized in the United Kingdom in the form of the Adverse Childhood Experiences (ACEs) framework that defines ten categories of early adversity. Adulthood physical health includes quantifiable health outcomes that include cardiovascular disease, metabolic disorders, chronic pain, immune dysfunction, and morbidity in general (</w:t>
      </w:r>
      <w:proofErr w:type="spellStart"/>
      <w:r w:rsidRPr="006865FC">
        <w:rPr>
          <w:rFonts w:ascii="Arial" w:hAnsi="Arial" w:cs="Arial"/>
          <w:sz w:val="22"/>
        </w:rPr>
        <w:t>Dalechek</w:t>
      </w:r>
      <w:proofErr w:type="spellEnd"/>
      <w:r w:rsidRPr="006865FC">
        <w:rPr>
          <w:rFonts w:ascii="Arial" w:hAnsi="Arial" w:cs="Arial"/>
          <w:sz w:val="22"/>
        </w:rPr>
        <w:t>, 2024).</w:t>
      </w:r>
    </w:p>
    <w:p w14:paraId="2B42BCE0" w14:textId="77777777" w:rsidR="00AB1A2C" w:rsidRPr="006865FC" w:rsidRDefault="00AB1A2C" w:rsidP="006865FC">
      <w:pPr>
        <w:tabs>
          <w:tab w:val="left" w:pos="6540"/>
        </w:tabs>
        <w:spacing w:line="360" w:lineRule="auto"/>
        <w:jc w:val="both"/>
        <w:rPr>
          <w:rFonts w:ascii="Arial" w:hAnsi="Arial" w:cs="Arial"/>
          <w:sz w:val="22"/>
        </w:rPr>
      </w:pPr>
      <w:r w:rsidRPr="006865FC">
        <w:rPr>
          <w:rFonts w:ascii="Arial" w:hAnsi="Arial" w:cs="Arial"/>
          <w:sz w:val="22"/>
        </w:rPr>
        <w:t>According to a meta-analysis study by Offer et al. (2022), the presence of physical abuse in childhood led to more people developing obesity (28). On the same note, Wu et al. (2010) observed that exposure to Cumulative Trauma Events (CTE) is a major contributor to the risk of substance use and health problems. In particular, the risk of any current tobacco use increases 18 percent, lifetime alcohol dependence increases 16 percent, and history of STDs increases 24 percent and physical health problems (29 percent increase in bone/muscle problems) with every one unit increase in CTEs. Thus, food addiction explained 45 percent of the correlation between childhood trauma and BMI.</w:t>
      </w:r>
    </w:p>
    <w:p w14:paraId="56B4C27D" w14:textId="1B411FB0" w:rsidR="00AB1A2C" w:rsidRPr="006865FC" w:rsidRDefault="00AB1A2C" w:rsidP="006865FC">
      <w:pPr>
        <w:tabs>
          <w:tab w:val="left" w:pos="6540"/>
        </w:tabs>
        <w:spacing w:line="360" w:lineRule="auto"/>
        <w:jc w:val="both"/>
        <w:rPr>
          <w:rFonts w:ascii="Arial" w:hAnsi="Arial" w:cs="Arial"/>
          <w:sz w:val="22"/>
        </w:rPr>
      </w:pPr>
      <w:r w:rsidRPr="006865FC">
        <w:rPr>
          <w:rFonts w:ascii="Arial" w:hAnsi="Arial" w:cs="Arial"/>
          <w:noProof/>
          <w:sz w:val="22"/>
        </w:rPr>
        <w:drawing>
          <wp:inline distT="0" distB="0" distL="0" distR="0" wp14:anchorId="2A590E57" wp14:editId="42964E28">
            <wp:extent cx="5730875" cy="2018030"/>
            <wp:effectExtent l="0" t="0" r="3175" b="1270"/>
            <wp:docPr id="1608551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018030"/>
                    </a:xfrm>
                    <a:prstGeom prst="rect">
                      <a:avLst/>
                    </a:prstGeom>
                    <a:noFill/>
                  </pic:spPr>
                </pic:pic>
              </a:graphicData>
            </a:graphic>
          </wp:inline>
        </w:drawing>
      </w:r>
    </w:p>
    <w:p w14:paraId="03CA223C" w14:textId="77777777" w:rsidR="00AA1D24" w:rsidRPr="006865FC" w:rsidRDefault="00AB1A2C" w:rsidP="006865FC">
      <w:pPr>
        <w:tabs>
          <w:tab w:val="left" w:pos="6540"/>
        </w:tabs>
        <w:spacing w:line="360" w:lineRule="auto"/>
        <w:jc w:val="center"/>
        <w:rPr>
          <w:rFonts w:ascii="Arial" w:hAnsi="Arial" w:cs="Arial"/>
          <w:b/>
          <w:bCs/>
          <w:sz w:val="22"/>
        </w:rPr>
      </w:pPr>
      <w:r w:rsidRPr="006865FC">
        <w:rPr>
          <w:rFonts w:ascii="Arial" w:hAnsi="Arial" w:cs="Arial"/>
          <w:b/>
          <w:bCs/>
          <w:sz w:val="22"/>
        </w:rPr>
        <w:t>Figure 1: The mediating effect of food addiction in the relationship between childhood trauma and BMI</w:t>
      </w:r>
    </w:p>
    <w:p w14:paraId="4E05CCE3" w14:textId="1BEB7391" w:rsidR="00433F88" w:rsidRPr="006865FC" w:rsidRDefault="00AB1A2C" w:rsidP="006865FC">
      <w:pPr>
        <w:tabs>
          <w:tab w:val="left" w:pos="6540"/>
        </w:tabs>
        <w:spacing w:line="360" w:lineRule="auto"/>
        <w:jc w:val="center"/>
        <w:rPr>
          <w:rFonts w:ascii="Arial" w:hAnsi="Arial" w:cs="Arial"/>
          <w:b/>
          <w:bCs/>
          <w:sz w:val="22"/>
        </w:rPr>
      </w:pPr>
      <w:r w:rsidRPr="006865FC">
        <w:rPr>
          <w:rFonts w:ascii="Arial" w:hAnsi="Arial" w:cs="Arial"/>
          <w:b/>
          <w:bCs/>
          <w:sz w:val="22"/>
        </w:rPr>
        <w:t>(Source: offer et al., 2022)</w:t>
      </w:r>
    </w:p>
    <w:p w14:paraId="49D1FFB4" w14:textId="7565CCBF" w:rsidR="00AB1A2C" w:rsidRPr="006865FC" w:rsidRDefault="00AB1A2C" w:rsidP="006865FC">
      <w:pPr>
        <w:spacing w:line="360" w:lineRule="auto"/>
        <w:jc w:val="both"/>
        <w:rPr>
          <w:rFonts w:ascii="Arial" w:hAnsi="Arial" w:cs="Arial"/>
          <w:b/>
          <w:bCs/>
          <w:sz w:val="22"/>
        </w:rPr>
      </w:pPr>
      <w:r w:rsidRPr="006865FC">
        <w:rPr>
          <w:rFonts w:ascii="Arial" w:hAnsi="Arial" w:cs="Arial"/>
          <w:b/>
          <w:bCs/>
          <w:sz w:val="22"/>
        </w:rPr>
        <w:t>Aim:</w:t>
      </w:r>
    </w:p>
    <w:p w14:paraId="05F21FC9" w14:textId="07B4E4D5" w:rsidR="00433F88" w:rsidRDefault="00AB1A2C" w:rsidP="006865FC">
      <w:pPr>
        <w:tabs>
          <w:tab w:val="left" w:pos="6540"/>
        </w:tabs>
        <w:spacing w:line="360" w:lineRule="auto"/>
        <w:jc w:val="both"/>
        <w:rPr>
          <w:rFonts w:ascii="Arial" w:hAnsi="Arial" w:cs="Arial"/>
          <w:sz w:val="22"/>
        </w:rPr>
      </w:pPr>
      <w:r w:rsidRPr="006865FC">
        <w:rPr>
          <w:rFonts w:ascii="Arial" w:hAnsi="Arial" w:cs="Arial"/>
          <w:sz w:val="22"/>
        </w:rPr>
        <w:t>The Proposed research seeks to investigate the relevance of childhood trauma in determining the physical health outcomes in the United Kingdom</w:t>
      </w:r>
      <w:r w:rsidR="006865FC">
        <w:rPr>
          <w:rFonts w:ascii="Arial" w:hAnsi="Arial" w:cs="Arial"/>
          <w:sz w:val="22"/>
        </w:rPr>
        <w:t>.</w:t>
      </w:r>
    </w:p>
    <w:p w14:paraId="4FE72515" w14:textId="77777777" w:rsidR="006865FC" w:rsidRDefault="006865FC" w:rsidP="006865FC">
      <w:pPr>
        <w:tabs>
          <w:tab w:val="left" w:pos="6540"/>
        </w:tabs>
        <w:spacing w:line="360" w:lineRule="auto"/>
        <w:jc w:val="both"/>
        <w:rPr>
          <w:rFonts w:ascii="Arial" w:hAnsi="Arial" w:cs="Arial"/>
          <w:sz w:val="22"/>
        </w:rPr>
      </w:pPr>
    </w:p>
    <w:p w14:paraId="4EDA4EA7" w14:textId="77777777" w:rsidR="006865FC" w:rsidRPr="006865FC" w:rsidRDefault="006865FC" w:rsidP="006865FC">
      <w:pPr>
        <w:tabs>
          <w:tab w:val="left" w:pos="6540"/>
        </w:tabs>
        <w:spacing w:line="360" w:lineRule="auto"/>
        <w:jc w:val="both"/>
        <w:rPr>
          <w:rFonts w:ascii="Arial" w:hAnsi="Arial" w:cs="Arial"/>
          <w:sz w:val="22"/>
        </w:rPr>
      </w:pPr>
    </w:p>
    <w:p w14:paraId="2508A2C0" w14:textId="576F286D" w:rsidR="00433F88" w:rsidRPr="006865FC" w:rsidRDefault="00433F88" w:rsidP="006865FC">
      <w:pPr>
        <w:spacing w:line="360" w:lineRule="auto"/>
        <w:jc w:val="both"/>
        <w:rPr>
          <w:rFonts w:ascii="Arial" w:hAnsi="Arial" w:cs="Arial"/>
          <w:b/>
          <w:bCs/>
          <w:sz w:val="22"/>
        </w:rPr>
      </w:pPr>
      <w:r w:rsidRPr="006865FC">
        <w:rPr>
          <w:rFonts w:ascii="Arial" w:hAnsi="Arial" w:cs="Arial"/>
          <w:b/>
          <w:bCs/>
          <w:sz w:val="22"/>
        </w:rPr>
        <w:lastRenderedPageBreak/>
        <w:t>Rationale</w:t>
      </w:r>
      <w:r w:rsidR="00E44F16" w:rsidRPr="006865FC">
        <w:rPr>
          <w:rFonts w:ascii="Arial" w:hAnsi="Arial" w:cs="Arial"/>
          <w:b/>
          <w:bCs/>
          <w:sz w:val="22"/>
        </w:rPr>
        <w:t>:</w:t>
      </w:r>
    </w:p>
    <w:p w14:paraId="57586DE6" w14:textId="77777777" w:rsidR="00433F88" w:rsidRPr="006865FC" w:rsidRDefault="00433F88" w:rsidP="006865FC">
      <w:pPr>
        <w:tabs>
          <w:tab w:val="left" w:pos="6540"/>
        </w:tabs>
        <w:spacing w:line="360" w:lineRule="auto"/>
        <w:jc w:val="both"/>
        <w:rPr>
          <w:rFonts w:ascii="Arial" w:hAnsi="Arial" w:cs="Arial"/>
          <w:sz w:val="22"/>
        </w:rPr>
      </w:pPr>
      <w:r w:rsidRPr="006865FC">
        <w:rPr>
          <w:rFonts w:ascii="Arial" w:hAnsi="Arial" w:cs="Arial"/>
          <w:sz w:val="22"/>
        </w:rPr>
        <w:t>Childhood trauma in the UK has significant impacts with long - term into adulthood, affecting both physical and mental health (Cai et al. 2023). Early problems affect the body and raise the possibility to develop chronic diseases later in life. Wang, Keyworth, and O'Connor (2025) show that trauma throws the immune, endocrine, and nervous systems off balance, making people more likely to develop problems like cardiovascular disease and inflammation. Increased unfavourable experiences during childhood correlate with elevated health risks. This is especially noticeable among women. In the UK, early trauma is a big reason why so many people struggle with their health, and it puts extra tension on public services. Understanding how childhood trauma affects people helps us create better ways to prevent harm and improve health services, ensuring fairer health outcomes for all communities across the UK.</w:t>
      </w:r>
    </w:p>
    <w:p w14:paraId="1D7B4E25" w14:textId="6725E5D0" w:rsidR="00B566A9" w:rsidRPr="006865FC" w:rsidRDefault="000F41FF" w:rsidP="006865FC">
      <w:pPr>
        <w:tabs>
          <w:tab w:val="left" w:pos="6540"/>
        </w:tabs>
        <w:spacing w:line="360" w:lineRule="auto"/>
        <w:jc w:val="both"/>
        <w:rPr>
          <w:rFonts w:ascii="Arial" w:hAnsi="Arial" w:cs="Arial"/>
          <w:sz w:val="22"/>
        </w:rPr>
      </w:pPr>
      <w:r w:rsidRPr="006865FC">
        <w:rPr>
          <w:rFonts w:ascii="Arial" w:hAnsi="Arial" w:cs="Arial"/>
          <w:b/>
          <w:bCs/>
          <w:sz w:val="22"/>
        </w:rPr>
        <w:t>Review question</w:t>
      </w:r>
      <w:r w:rsidRPr="006865FC">
        <w:rPr>
          <w:rFonts w:ascii="Arial" w:hAnsi="Arial" w:cs="Arial"/>
          <w:sz w:val="22"/>
        </w:rPr>
        <w:t>:</w:t>
      </w:r>
      <w:r w:rsidRPr="006865FC">
        <w:rPr>
          <w:rFonts w:ascii="Arial" w:hAnsi="Arial" w:cs="Arial"/>
          <w:b/>
          <w:bCs/>
          <w:sz w:val="22"/>
        </w:rPr>
        <w:t xml:space="preserve"> </w:t>
      </w:r>
      <w:bookmarkStart w:id="2" w:name="_Hlk213930984"/>
      <w:r w:rsidRPr="006865FC">
        <w:rPr>
          <w:rFonts w:ascii="Arial" w:hAnsi="Arial" w:cs="Arial"/>
          <w:sz w:val="22"/>
        </w:rPr>
        <w:t>How does childhood trauma affect physical health in adults living in the United Kingdom?</w:t>
      </w:r>
    </w:p>
    <w:bookmarkEnd w:id="2"/>
    <w:p w14:paraId="0BE63904" w14:textId="4356557A" w:rsidR="000F41FF" w:rsidRPr="006865FC" w:rsidRDefault="000F41FF" w:rsidP="006865FC">
      <w:pPr>
        <w:spacing w:line="360" w:lineRule="auto"/>
        <w:jc w:val="both"/>
        <w:rPr>
          <w:rFonts w:ascii="Arial" w:hAnsi="Arial" w:cs="Arial"/>
          <w:b/>
          <w:bCs/>
          <w:sz w:val="22"/>
        </w:rPr>
      </w:pPr>
      <w:r w:rsidRPr="006865FC">
        <w:rPr>
          <w:rFonts w:ascii="Arial" w:hAnsi="Arial" w:cs="Arial"/>
          <w:b/>
          <w:bCs/>
          <w:sz w:val="22"/>
        </w:rPr>
        <w:t>Objectives:</w:t>
      </w:r>
    </w:p>
    <w:p w14:paraId="663048D4" w14:textId="1A260501" w:rsidR="000F41FF" w:rsidRPr="006865FC" w:rsidRDefault="000F41FF" w:rsidP="006865FC">
      <w:pPr>
        <w:pStyle w:val="ListParagraph"/>
        <w:numPr>
          <w:ilvl w:val="0"/>
          <w:numId w:val="1"/>
        </w:numPr>
        <w:tabs>
          <w:tab w:val="left" w:pos="6540"/>
        </w:tabs>
        <w:spacing w:line="360" w:lineRule="auto"/>
        <w:jc w:val="both"/>
        <w:rPr>
          <w:rFonts w:ascii="Arial" w:hAnsi="Arial" w:cs="Arial"/>
          <w:sz w:val="22"/>
        </w:rPr>
      </w:pPr>
      <w:r w:rsidRPr="006865FC">
        <w:rPr>
          <w:rFonts w:ascii="Arial" w:hAnsi="Arial" w:cs="Arial"/>
          <w:sz w:val="22"/>
        </w:rPr>
        <w:t xml:space="preserve">Discuss childhood trauma and their effects. </w:t>
      </w:r>
    </w:p>
    <w:p w14:paraId="6566CC79" w14:textId="0F92FED1" w:rsidR="000F41FF" w:rsidRPr="006865FC" w:rsidRDefault="000F41FF" w:rsidP="006865FC">
      <w:pPr>
        <w:pStyle w:val="ListParagraph"/>
        <w:numPr>
          <w:ilvl w:val="0"/>
          <w:numId w:val="1"/>
        </w:numPr>
        <w:tabs>
          <w:tab w:val="left" w:pos="6540"/>
        </w:tabs>
        <w:spacing w:line="360" w:lineRule="auto"/>
        <w:jc w:val="both"/>
        <w:rPr>
          <w:rFonts w:ascii="Arial" w:hAnsi="Arial" w:cs="Arial"/>
          <w:sz w:val="22"/>
        </w:rPr>
      </w:pPr>
      <w:r w:rsidRPr="006865FC">
        <w:rPr>
          <w:rFonts w:ascii="Arial" w:hAnsi="Arial" w:cs="Arial"/>
          <w:sz w:val="22"/>
        </w:rPr>
        <w:t>Analyse how childhood trauma affects physical health in adults living in the United Kingdom.</w:t>
      </w:r>
    </w:p>
    <w:p w14:paraId="1CF5C07E" w14:textId="7928BDB5" w:rsidR="000F41FF" w:rsidRPr="006865FC" w:rsidRDefault="000F41FF" w:rsidP="006865FC">
      <w:pPr>
        <w:pStyle w:val="ListParagraph"/>
        <w:numPr>
          <w:ilvl w:val="0"/>
          <w:numId w:val="1"/>
        </w:numPr>
        <w:tabs>
          <w:tab w:val="left" w:pos="6540"/>
        </w:tabs>
        <w:spacing w:line="360" w:lineRule="auto"/>
        <w:jc w:val="both"/>
        <w:rPr>
          <w:rFonts w:ascii="Arial" w:hAnsi="Arial" w:cs="Arial"/>
          <w:sz w:val="22"/>
        </w:rPr>
      </w:pPr>
      <w:r w:rsidRPr="006865FC">
        <w:rPr>
          <w:rFonts w:ascii="Arial" w:hAnsi="Arial" w:cs="Arial"/>
          <w:sz w:val="22"/>
        </w:rPr>
        <w:t>Provide recommendations to minimise the effects of trauma in adults’ health living in the United Kingdom.</w:t>
      </w:r>
    </w:p>
    <w:p w14:paraId="2DDDA76E" w14:textId="77777777" w:rsidR="00D77C9B" w:rsidRPr="006865FC" w:rsidRDefault="00D77C9B" w:rsidP="006865FC">
      <w:pPr>
        <w:pStyle w:val="ListParagraph"/>
        <w:tabs>
          <w:tab w:val="left" w:pos="6540"/>
        </w:tabs>
        <w:spacing w:line="360" w:lineRule="auto"/>
        <w:jc w:val="both"/>
        <w:rPr>
          <w:rFonts w:ascii="Arial" w:hAnsi="Arial" w:cs="Arial"/>
          <w:sz w:val="22"/>
        </w:rPr>
      </w:pPr>
    </w:p>
    <w:p w14:paraId="4E69BAA6" w14:textId="77777777" w:rsidR="00D77C9B" w:rsidRPr="006865FC" w:rsidRDefault="00D77C9B" w:rsidP="006865FC">
      <w:pPr>
        <w:pStyle w:val="ListParagraph"/>
        <w:tabs>
          <w:tab w:val="left" w:pos="6540"/>
        </w:tabs>
        <w:spacing w:line="360" w:lineRule="auto"/>
        <w:jc w:val="both"/>
        <w:rPr>
          <w:rFonts w:ascii="Arial" w:hAnsi="Arial" w:cs="Arial"/>
          <w:sz w:val="22"/>
        </w:rPr>
      </w:pPr>
    </w:p>
    <w:p w14:paraId="7A9B400B" w14:textId="77777777" w:rsidR="00D77C9B" w:rsidRPr="006865FC" w:rsidRDefault="00D77C9B" w:rsidP="006865FC">
      <w:pPr>
        <w:pStyle w:val="ListParagraph"/>
        <w:tabs>
          <w:tab w:val="left" w:pos="6540"/>
        </w:tabs>
        <w:spacing w:line="360" w:lineRule="auto"/>
        <w:jc w:val="both"/>
        <w:rPr>
          <w:rFonts w:ascii="Arial" w:hAnsi="Arial" w:cs="Arial"/>
          <w:sz w:val="22"/>
        </w:rPr>
      </w:pPr>
    </w:p>
    <w:p w14:paraId="0F7D7609" w14:textId="58F5E4E4" w:rsidR="0026393A" w:rsidRPr="006865FC" w:rsidRDefault="00116C49" w:rsidP="006865FC">
      <w:pPr>
        <w:pStyle w:val="Heading1"/>
      </w:pPr>
      <w:bookmarkStart w:id="3" w:name="_Toc215139670"/>
      <w:r w:rsidRPr="006865FC">
        <w:t>2</w:t>
      </w:r>
      <w:r w:rsidR="00AA748E" w:rsidRPr="006865FC">
        <w:t xml:space="preserve">. </w:t>
      </w:r>
      <w:r w:rsidR="0026393A" w:rsidRPr="006865FC">
        <w:t>Background</w:t>
      </w:r>
      <w:bookmarkEnd w:id="3"/>
    </w:p>
    <w:p w14:paraId="232E6A2E" w14:textId="30463BB9" w:rsidR="0026393A" w:rsidRPr="006865FC" w:rsidRDefault="00AB1A2C" w:rsidP="006865FC">
      <w:pPr>
        <w:tabs>
          <w:tab w:val="left" w:pos="6540"/>
        </w:tabs>
        <w:spacing w:line="360" w:lineRule="auto"/>
        <w:jc w:val="both"/>
        <w:rPr>
          <w:rFonts w:ascii="Arial" w:hAnsi="Arial" w:cs="Arial"/>
          <w:sz w:val="22"/>
        </w:rPr>
      </w:pPr>
      <w:r w:rsidRPr="006865FC">
        <w:rPr>
          <w:rFonts w:ascii="Arial" w:hAnsi="Arial" w:cs="Arial"/>
          <w:sz w:val="22"/>
        </w:rPr>
        <w:t>Childhood trauma is becoming a growing concern of public health in the United Kingdom and its long-term effects on physical health in adults are becoming more known. The idea is often analysed in terms of the Adverse Childhood Experiences (ACEs) framework, where the effects of abuse, neglect, and household dysfunction in the early development stage are considered (Barajas-Gonzalez et al., 2021).</w:t>
      </w:r>
    </w:p>
    <w:p w14:paraId="60C3B588" w14:textId="0B55947C"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noProof/>
          <w:sz w:val="22"/>
        </w:rPr>
        <w:lastRenderedPageBreak/>
        <w:drawing>
          <wp:inline distT="0" distB="0" distL="0" distR="0" wp14:anchorId="38972425" wp14:editId="5C563B46">
            <wp:extent cx="5730875" cy="3469005"/>
            <wp:effectExtent l="0" t="0" r="3175" b="0"/>
            <wp:docPr id="585717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469005"/>
                    </a:xfrm>
                    <a:prstGeom prst="rect">
                      <a:avLst/>
                    </a:prstGeom>
                    <a:noFill/>
                  </pic:spPr>
                </pic:pic>
              </a:graphicData>
            </a:graphic>
          </wp:inline>
        </w:drawing>
      </w:r>
    </w:p>
    <w:p w14:paraId="4DF6ACB9" w14:textId="77777777" w:rsidR="005E2BED" w:rsidRPr="006865FC" w:rsidRDefault="005E2BED" w:rsidP="006865FC">
      <w:pPr>
        <w:tabs>
          <w:tab w:val="left" w:pos="6540"/>
        </w:tabs>
        <w:spacing w:line="360" w:lineRule="auto"/>
        <w:jc w:val="both"/>
        <w:rPr>
          <w:rFonts w:ascii="Arial" w:hAnsi="Arial" w:cs="Arial"/>
          <w:b/>
          <w:bCs/>
          <w:sz w:val="22"/>
        </w:rPr>
      </w:pPr>
      <w:r w:rsidRPr="006865FC">
        <w:rPr>
          <w:rFonts w:ascii="Arial" w:hAnsi="Arial" w:cs="Arial"/>
          <w:b/>
          <w:bCs/>
          <w:sz w:val="22"/>
        </w:rPr>
        <w:t>Figure 2: Immigration-Related Adverse Childhood Experiences Model. Note. ACEs = Adverse childhood experiences; ICE = Immigration and customs enforcement</w:t>
      </w:r>
    </w:p>
    <w:p w14:paraId="6B36D4E0" w14:textId="3404C734" w:rsidR="005E2BED" w:rsidRPr="006865FC" w:rsidRDefault="005E2BED" w:rsidP="006865FC">
      <w:pPr>
        <w:tabs>
          <w:tab w:val="left" w:pos="6540"/>
        </w:tabs>
        <w:spacing w:line="360" w:lineRule="auto"/>
        <w:jc w:val="both"/>
        <w:rPr>
          <w:rFonts w:ascii="Arial" w:hAnsi="Arial" w:cs="Arial"/>
          <w:b/>
          <w:bCs/>
          <w:sz w:val="22"/>
        </w:rPr>
      </w:pPr>
      <w:r w:rsidRPr="006865FC">
        <w:rPr>
          <w:rFonts w:ascii="Arial" w:hAnsi="Arial" w:cs="Arial"/>
          <w:b/>
          <w:bCs/>
          <w:sz w:val="22"/>
        </w:rPr>
        <w:t xml:space="preserve">                                          (Source: Barajas-Gonzalez et al., 2021)</w:t>
      </w:r>
    </w:p>
    <w:p w14:paraId="5BA1C9FF"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Two out of the four highest-ranking ACEs indicate violence in the home, and 60-72% of the sample of children in the Lived Experience category lived in a violence context (Knott, 2023).</w:t>
      </w:r>
    </w:p>
    <w:p w14:paraId="68CF18B2"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Recent studies are still indicating that early life stress affects biological mechanisms of stress-regulation, especially the hypothalamic-pituitary-adrenal (HPA) axis, resulting in a lasting inflammatory state, metabolic alterations, and immune dysfunction (</w:t>
      </w:r>
      <w:proofErr w:type="spellStart"/>
      <w:r w:rsidRPr="006865FC">
        <w:rPr>
          <w:rFonts w:ascii="Arial" w:hAnsi="Arial" w:cs="Arial"/>
          <w:sz w:val="22"/>
        </w:rPr>
        <w:t>Mbiydzenyuy</w:t>
      </w:r>
      <w:proofErr w:type="spellEnd"/>
      <w:r w:rsidRPr="006865FC">
        <w:rPr>
          <w:rFonts w:ascii="Arial" w:hAnsi="Arial" w:cs="Arial"/>
          <w:sz w:val="22"/>
        </w:rPr>
        <w:t xml:space="preserve"> and Qulu, 2024). These processes have been associated with some adult health outcomes as cardiovascular disease, hypertension, obesity, type 2 diabetes, and chronic respiratory conditions. A 2023 report by the NHS also indicated that patients with multiple ACEs develop multimorbidity earlier in their lives, before the age of 50, which points to the burden of health provision in the long term (Chandrasekar et al., 2023).</w:t>
      </w:r>
    </w:p>
    <w:p w14:paraId="476C6EC1" w14:textId="6BF3556E"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 xml:space="preserve">Social and economic factors also contribute to aggravating these risks. The government estimated that after housing costs, 4.3 million children or 30% of the total number of children in the UK were living in relative low-income households in 2022/23 (Brown, 2024). Children in underprivileged regions have higher chances of experiencing neglect, family disharmony, substance abuse, and violence in their localities, and this leads to conditions under which trauma is intergenerational. These disparities then lead to spatial differences in adult health where those population groups living in the North of England and some areas of Wales have </w:t>
      </w:r>
      <w:r w:rsidRPr="006865FC">
        <w:rPr>
          <w:rFonts w:ascii="Arial" w:hAnsi="Arial" w:cs="Arial"/>
          <w:sz w:val="22"/>
        </w:rPr>
        <w:lastRenderedPageBreak/>
        <w:t>higher chronic disease rates that are related to early adversity.  By analogy, local governments and protective alliances have increased the number of services on family resiliency, early recognition, and health education to the general population. This has not been able to materialize despite the improvements in evidence across disciplines. A thorough scoping review is thus important to generalise the existing knowledge, fill the gaps, and inform the practice and research in the UK.</w:t>
      </w:r>
    </w:p>
    <w:p w14:paraId="33FBA8CD" w14:textId="77777777" w:rsidR="00AA748E" w:rsidRPr="006865FC" w:rsidRDefault="00AA748E" w:rsidP="006865FC">
      <w:pPr>
        <w:tabs>
          <w:tab w:val="left" w:pos="6540"/>
        </w:tabs>
        <w:spacing w:line="360" w:lineRule="auto"/>
        <w:jc w:val="both"/>
        <w:rPr>
          <w:rFonts w:ascii="Arial" w:hAnsi="Arial" w:cs="Arial"/>
          <w:sz w:val="22"/>
        </w:rPr>
      </w:pPr>
    </w:p>
    <w:p w14:paraId="6FAAEA19" w14:textId="73F1ECE5" w:rsidR="00B566A9" w:rsidRPr="006865FC" w:rsidRDefault="00116C49" w:rsidP="006865FC">
      <w:pPr>
        <w:pStyle w:val="Heading1"/>
      </w:pPr>
      <w:bookmarkStart w:id="4" w:name="_Toc215139671"/>
      <w:r w:rsidRPr="006865FC">
        <w:t>3</w:t>
      </w:r>
      <w:r w:rsidR="00AA748E" w:rsidRPr="006865FC">
        <w:t xml:space="preserve">. </w:t>
      </w:r>
      <w:r w:rsidR="00B87E75" w:rsidRPr="006865FC">
        <w:t>Method</w:t>
      </w:r>
      <w:r w:rsidR="003E4ECF" w:rsidRPr="006865FC">
        <w:t>s</w:t>
      </w:r>
      <w:bookmarkEnd w:id="4"/>
    </w:p>
    <w:p w14:paraId="0AE3A856" w14:textId="43955CF6" w:rsidR="00B566A9" w:rsidRPr="006865FC" w:rsidRDefault="00B566A9" w:rsidP="006865FC">
      <w:pPr>
        <w:tabs>
          <w:tab w:val="left" w:pos="6540"/>
        </w:tabs>
        <w:spacing w:line="360" w:lineRule="auto"/>
        <w:jc w:val="both"/>
        <w:rPr>
          <w:rFonts w:ascii="Arial" w:hAnsi="Arial" w:cs="Arial"/>
          <w:sz w:val="22"/>
        </w:rPr>
      </w:pPr>
      <w:r w:rsidRPr="006865FC">
        <w:rPr>
          <w:rFonts w:ascii="Arial" w:hAnsi="Arial" w:cs="Arial"/>
          <w:sz w:val="22"/>
        </w:rPr>
        <w:t xml:space="preserve">The study will be based on secondary research and a scoping review (Mak and Thomas, 2022). Three to five articles will be selected from databases, such ProQuest, UWTSD Library and Google Scholar. </w:t>
      </w:r>
      <w:r w:rsidR="009770F0" w:rsidRPr="006865FC">
        <w:rPr>
          <w:rFonts w:ascii="Arial" w:hAnsi="Arial" w:cs="Arial"/>
          <w:sz w:val="22"/>
        </w:rPr>
        <w:t xml:space="preserve">Secondary research takes a different route. Instead of collecting new data, it draws from studies already published in peer-reviewed journals. It’s about analysing what’s out there, not </w:t>
      </w:r>
      <w:r w:rsidR="0080625B" w:rsidRPr="006865FC">
        <w:rPr>
          <w:rFonts w:ascii="Arial" w:hAnsi="Arial" w:cs="Arial"/>
          <w:sz w:val="22"/>
        </w:rPr>
        <w:t>collecting new data</w:t>
      </w:r>
      <w:r w:rsidR="009770F0" w:rsidRPr="006865FC">
        <w:rPr>
          <w:rFonts w:ascii="Arial" w:hAnsi="Arial" w:cs="Arial"/>
          <w:sz w:val="22"/>
        </w:rPr>
        <w:t xml:space="preserve">. (Ralph and Baltes,2022). A scoping </w:t>
      </w:r>
      <w:r w:rsidR="001B362C" w:rsidRPr="006865FC">
        <w:rPr>
          <w:rFonts w:ascii="Arial" w:hAnsi="Arial" w:cs="Arial"/>
          <w:sz w:val="22"/>
        </w:rPr>
        <w:t xml:space="preserve">review works in a systematic way to map out all the existing research on a topic. It sorts through the literature to spot major themes, highlights gaps in what we know, and helps decide if there’s enough material to justify a deeper, more detailed review (Arksey &amp; O’Malley, 2005). </w:t>
      </w:r>
    </w:p>
    <w:p w14:paraId="5ABDAA68" w14:textId="710336D7" w:rsidR="00B566A9" w:rsidRPr="006865FC" w:rsidRDefault="00B566A9" w:rsidP="006865FC">
      <w:pPr>
        <w:tabs>
          <w:tab w:val="left" w:pos="6540"/>
        </w:tabs>
        <w:spacing w:line="360" w:lineRule="auto"/>
        <w:jc w:val="both"/>
        <w:rPr>
          <w:rFonts w:ascii="Arial" w:hAnsi="Arial" w:cs="Arial"/>
          <w:sz w:val="22"/>
        </w:rPr>
      </w:pPr>
      <w:r w:rsidRPr="006865FC">
        <w:rPr>
          <w:rFonts w:ascii="Arial" w:hAnsi="Arial" w:cs="Arial"/>
          <w:b/>
          <w:bCs/>
          <w:sz w:val="22"/>
        </w:rPr>
        <w:t>Keywords:</w:t>
      </w:r>
      <w:r w:rsidRPr="006865FC">
        <w:rPr>
          <w:rFonts w:ascii="Arial" w:hAnsi="Arial" w:cs="Arial"/>
          <w:sz w:val="22"/>
        </w:rPr>
        <w:t xml:space="preserve"> “Childhood trauma”, “Adverse childhood experiences”, “Adult physical health”, “mental health”, “Chronic disease”, “Health inequalities”, “UK public health”, “Trauma-informed care”, “Immune system dysregulation”, “Endocrine and nervous system”, “Women’s health”, “Scoping review”, “Secondary research”, “Prevention strategies”, “Health policy”, “Long-term health outcomes”.</w:t>
      </w:r>
    </w:p>
    <w:p w14:paraId="0C0C9F73" w14:textId="370849E4" w:rsidR="008962C9" w:rsidRPr="006865FC" w:rsidRDefault="00116C49" w:rsidP="006865FC">
      <w:pPr>
        <w:pStyle w:val="Heading2"/>
      </w:pPr>
      <w:bookmarkStart w:id="5" w:name="_Toc215139672"/>
      <w:r w:rsidRPr="006865FC">
        <w:t>3</w:t>
      </w:r>
      <w:r w:rsidR="00D77C9B" w:rsidRPr="006865FC">
        <w:t xml:space="preserve">.1. </w:t>
      </w:r>
      <w:r w:rsidR="008962C9" w:rsidRPr="006865FC">
        <w:t>Inclusion and Exclusion Criteria</w:t>
      </w:r>
      <w:bookmarkEnd w:id="5"/>
    </w:p>
    <w:p w14:paraId="5B4DAD3B" w14:textId="77777777" w:rsidR="008962C9" w:rsidRPr="008962C9" w:rsidRDefault="008962C9" w:rsidP="006865FC">
      <w:pPr>
        <w:tabs>
          <w:tab w:val="left" w:pos="6540"/>
        </w:tabs>
        <w:spacing w:line="360" w:lineRule="auto"/>
        <w:jc w:val="both"/>
        <w:rPr>
          <w:rFonts w:ascii="Arial" w:hAnsi="Arial" w:cs="Arial"/>
          <w:sz w:val="22"/>
        </w:rPr>
      </w:pPr>
      <w:r w:rsidRPr="008962C9">
        <w:rPr>
          <w:rFonts w:ascii="Arial" w:hAnsi="Arial" w:cs="Arial"/>
          <w:sz w:val="22"/>
        </w:rPr>
        <w:t>Strict inclusion criteria will be used to make the findings relevant and up to date. Studies must:</w:t>
      </w:r>
    </w:p>
    <w:p w14:paraId="4DFBA1F3" w14:textId="77777777" w:rsidR="008962C9" w:rsidRPr="008962C9" w:rsidRDefault="008962C9" w:rsidP="006865FC">
      <w:pPr>
        <w:numPr>
          <w:ilvl w:val="0"/>
          <w:numId w:val="3"/>
        </w:numPr>
        <w:tabs>
          <w:tab w:val="left" w:pos="6540"/>
        </w:tabs>
        <w:spacing w:line="360" w:lineRule="auto"/>
        <w:jc w:val="both"/>
        <w:rPr>
          <w:rFonts w:ascii="Arial" w:hAnsi="Arial" w:cs="Arial"/>
          <w:sz w:val="22"/>
        </w:rPr>
      </w:pPr>
      <w:r w:rsidRPr="008962C9">
        <w:rPr>
          <w:rFonts w:ascii="Arial" w:hAnsi="Arial" w:cs="Arial"/>
          <w:sz w:val="22"/>
        </w:rPr>
        <w:t>Be published between 2015 and 2025.</w:t>
      </w:r>
    </w:p>
    <w:p w14:paraId="4980C83C" w14:textId="77777777" w:rsidR="008962C9" w:rsidRPr="008962C9" w:rsidRDefault="008962C9" w:rsidP="006865FC">
      <w:pPr>
        <w:numPr>
          <w:ilvl w:val="0"/>
          <w:numId w:val="3"/>
        </w:numPr>
        <w:tabs>
          <w:tab w:val="left" w:pos="6540"/>
        </w:tabs>
        <w:spacing w:line="360" w:lineRule="auto"/>
        <w:jc w:val="both"/>
        <w:rPr>
          <w:rFonts w:ascii="Arial" w:hAnsi="Arial" w:cs="Arial"/>
          <w:sz w:val="22"/>
        </w:rPr>
      </w:pPr>
      <w:r w:rsidRPr="008962C9">
        <w:rPr>
          <w:rFonts w:ascii="Arial" w:hAnsi="Arial" w:cs="Arial"/>
          <w:sz w:val="22"/>
        </w:rPr>
        <w:t>Target the United Kingdom adults.</w:t>
      </w:r>
    </w:p>
    <w:p w14:paraId="6C8E8148" w14:textId="77777777" w:rsidR="008962C9" w:rsidRPr="008962C9" w:rsidRDefault="008962C9" w:rsidP="006865FC">
      <w:pPr>
        <w:numPr>
          <w:ilvl w:val="0"/>
          <w:numId w:val="3"/>
        </w:numPr>
        <w:tabs>
          <w:tab w:val="left" w:pos="6540"/>
        </w:tabs>
        <w:spacing w:line="360" w:lineRule="auto"/>
        <w:jc w:val="both"/>
        <w:rPr>
          <w:rFonts w:ascii="Arial" w:hAnsi="Arial" w:cs="Arial"/>
          <w:sz w:val="22"/>
        </w:rPr>
      </w:pPr>
      <w:r w:rsidRPr="008962C9">
        <w:rPr>
          <w:rFonts w:ascii="Arial" w:hAnsi="Arial" w:cs="Arial"/>
          <w:sz w:val="22"/>
        </w:rPr>
        <w:t>Test the hypothesis concerning effects of childhood trauma or ACEs on physical health outcomes in adults.</w:t>
      </w:r>
    </w:p>
    <w:p w14:paraId="32029F0B" w14:textId="77777777" w:rsidR="008962C9" w:rsidRPr="008962C9" w:rsidRDefault="008962C9" w:rsidP="006865FC">
      <w:pPr>
        <w:tabs>
          <w:tab w:val="left" w:pos="6540"/>
        </w:tabs>
        <w:spacing w:line="360" w:lineRule="auto"/>
        <w:jc w:val="both"/>
        <w:rPr>
          <w:rFonts w:ascii="Arial" w:hAnsi="Arial" w:cs="Arial"/>
          <w:sz w:val="22"/>
        </w:rPr>
      </w:pPr>
      <w:r w:rsidRPr="008962C9">
        <w:rPr>
          <w:rFonts w:ascii="Arial" w:hAnsi="Arial" w:cs="Arial"/>
          <w:sz w:val="22"/>
        </w:rPr>
        <w:t>Be peer-reviewed original studies or superior secondary reviews.</w:t>
      </w:r>
    </w:p>
    <w:p w14:paraId="299C3473" w14:textId="77777777" w:rsidR="008962C9" w:rsidRPr="008962C9" w:rsidRDefault="008962C9" w:rsidP="006865FC">
      <w:pPr>
        <w:numPr>
          <w:ilvl w:val="0"/>
          <w:numId w:val="4"/>
        </w:numPr>
        <w:tabs>
          <w:tab w:val="left" w:pos="6540"/>
        </w:tabs>
        <w:spacing w:line="360" w:lineRule="auto"/>
        <w:jc w:val="both"/>
        <w:rPr>
          <w:rFonts w:ascii="Arial" w:hAnsi="Arial" w:cs="Arial"/>
          <w:sz w:val="22"/>
        </w:rPr>
      </w:pPr>
      <w:r w:rsidRPr="008962C9">
        <w:rPr>
          <w:rFonts w:ascii="Arial" w:hAnsi="Arial" w:cs="Arial"/>
          <w:sz w:val="22"/>
        </w:rPr>
        <w:t>The exclusion criteria will eliminate:</w:t>
      </w:r>
    </w:p>
    <w:p w14:paraId="6894F63E" w14:textId="77777777" w:rsidR="008962C9" w:rsidRPr="008962C9" w:rsidRDefault="008962C9" w:rsidP="006865FC">
      <w:pPr>
        <w:numPr>
          <w:ilvl w:val="0"/>
          <w:numId w:val="4"/>
        </w:numPr>
        <w:tabs>
          <w:tab w:val="left" w:pos="6540"/>
        </w:tabs>
        <w:spacing w:line="360" w:lineRule="auto"/>
        <w:jc w:val="both"/>
        <w:rPr>
          <w:rFonts w:ascii="Arial" w:hAnsi="Arial" w:cs="Arial"/>
          <w:sz w:val="22"/>
        </w:rPr>
      </w:pPr>
      <w:r w:rsidRPr="008962C9">
        <w:rPr>
          <w:rFonts w:ascii="Arial" w:hAnsi="Arial" w:cs="Arial"/>
          <w:sz w:val="22"/>
        </w:rPr>
        <w:t>Articles published before 2015.</w:t>
      </w:r>
    </w:p>
    <w:p w14:paraId="35B799E4" w14:textId="77777777" w:rsidR="008962C9" w:rsidRPr="008962C9" w:rsidRDefault="008962C9" w:rsidP="006865FC">
      <w:pPr>
        <w:numPr>
          <w:ilvl w:val="0"/>
          <w:numId w:val="4"/>
        </w:numPr>
        <w:tabs>
          <w:tab w:val="left" w:pos="6540"/>
        </w:tabs>
        <w:spacing w:line="360" w:lineRule="auto"/>
        <w:jc w:val="both"/>
        <w:rPr>
          <w:rFonts w:ascii="Arial" w:hAnsi="Arial" w:cs="Arial"/>
          <w:sz w:val="22"/>
        </w:rPr>
      </w:pPr>
      <w:r w:rsidRPr="008962C9">
        <w:rPr>
          <w:rFonts w:ascii="Arial" w:hAnsi="Arial" w:cs="Arial"/>
          <w:sz w:val="22"/>
        </w:rPr>
        <w:t>Grey literature, opinion pieces, books, and non-academic websites.</w:t>
      </w:r>
    </w:p>
    <w:p w14:paraId="5F9792D9" w14:textId="77777777" w:rsidR="008962C9" w:rsidRPr="008962C9" w:rsidRDefault="008962C9" w:rsidP="006865FC">
      <w:pPr>
        <w:numPr>
          <w:ilvl w:val="0"/>
          <w:numId w:val="4"/>
        </w:numPr>
        <w:tabs>
          <w:tab w:val="left" w:pos="6540"/>
        </w:tabs>
        <w:spacing w:line="360" w:lineRule="auto"/>
        <w:jc w:val="both"/>
        <w:rPr>
          <w:rFonts w:ascii="Arial" w:hAnsi="Arial" w:cs="Arial"/>
          <w:sz w:val="22"/>
        </w:rPr>
      </w:pPr>
      <w:r w:rsidRPr="008962C9">
        <w:rPr>
          <w:rFonts w:ascii="Arial" w:hAnsi="Arial" w:cs="Arial"/>
          <w:sz w:val="22"/>
        </w:rPr>
        <w:lastRenderedPageBreak/>
        <w:t>Research undertaken beyond the UK.</w:t>
      </w:r>
    </w:p>
    <w:p w14:paraId="54E97290" w14:textId="77777777" w:rsidR="008962C9" w:rsidRPr="008962C9" w:rsidRDefault="008962C9" w:rsidP="006865FC">
      <w:pPr>
        <w:tabs>
          <w:tab w:val="left" w:pos="6540"/>
        </w:tabs>
        <w:spacing w:line="360" w:lineRule="auto"/>
        <w:jc w:val="both"/>
        <w:rPr>
          <w:rFonts w:ascii="Arial" w:hAnsi="Arial" w:cs="Arial"/>
          <w:sz w:val="22"/>
        </w:rPr>
      </w:pPr>
      <w:r w:rsidRPr="008962C9">
        <w:rPr>
          <w:rFonts w:ascii="Arial" w:hAnsi="Arial" w:cs="Arial"/>
          <w:sz w:val="22"/>
        </w:rPr>
        <w:t>Research that focuses on mental health without the consideration of the outcome of physical health.</w:t>
      </w:r>
    </w:p>
    <w:p w14:paraId="1ADCCF16" w14:textId="3F16E3DB" w:rsidR="008962C9" w:rsidRPr="006865FC" w:rsidRDefault="00116C49" w:rsidP="006865FC">
      <w:pPr>
        <w:pStyle w:val="Heading2"/>
      </w:pPr>
      <w:bookmarkStart w:id="6" w:name="_heading=h.47eqv182qlqc" w:colFirst="0" w:colLast="0"/>
      <w:bookmarkStart w:id="7" w:name="_Toc215139673"/>
      <w:bookmarkEnd w:id="6"/>
      <w:r w:rsidRPr="006865FC">
        <w:t>3</w:t>
      </w:r>
      <w:r w:rsidR="00D77C9B" w:rsidRPr="006865FC">
        <w:t xml:space="preserve">.2. </w:t>
      </w:r>
      <w:r w:rsidR="008962C9" w:rsidRPr="006865FC">
        <w:t>Study Selection Process</w:t>
      </w:r>
      <w:bookmarkEnd w:id="7"/>
    </w:p>
    <w:p w14:paraId="2401517E" w14:textId="77777777" w:rsidR="008962C9" w:rsidRPr="006865FC" w:rsidRDefault="008962C9" w:rsidP="006865FC">
      <w:pPr>
        <w:tabs>
          <w:tab w:val="left" w:pos="6540"/>
        </w:tabs>
        <w:spacing w:line="360" w:lineRule="auto"/>
        <w:jc w:val="both"/>
        <w:rPr>
          <w:rFonts w:ascii="Arial" w:hAnsi="Arial" w:cs="Arial"/>
          <w:sz w:val="22"/>
        </w:rPr>
      </w:pPr>
      <w:r w:rsidRPr="008962C9">
        <w:rPr>
          <w:rFonts w:ascii="Arial" w:hAnsi="Arial" w:cs="Arial"/>
          <w:sz w:val="22"/>
        </w:rPr>
        <w:t>A title and abstract screening will be conducted as the initial operation to shortlist the search results to remove irrelevant studies. The rest of the articles will be acquired and evaluated against the inclusion criteria. Only a few quality articles 3 will be chosen to be thorough in the scope of this assignment. The principles of PRISMA-</w:t>
      </w:r>
      <w:proofErr w:type="spellStart"/>
      <w:r w:rsidRPr="008962C9">
        <w:rPr>
          <w:rFonts w:ascii="Arial" w:hAnsi="Arial" w:cs="Arial"/>
          <w:sz w:val="22"/>
        </w:rPr>
        <w:t>ScR</w:t>
      </w:r>
      <w:proofErr w:type="spellEnd"/>
      <w:r w:rsidRPr="008962C9">
        <w:rPr>
          <w:rFonts w:ascii="Arial" w:hAnsi="Arial" w:cs="Arial"/>
          <w:sz w:val="22"/>
        </w:rPr>
        <w:t xml:space="preserve"> framework will be applied to the study selection process and guarantee transparency and replicability of reporting.</w:t>
      </w:r>
    </w:p>
    <w:p w14:paraId="3A7225C7" w14:textId="0CB5DF77" w:rsidR="00D77C9B" w:rsidRPr="006865FC" w:rsidRDefault="00116C49" w:rsidP="006865FC">
      <w:pPr>
        <w:pStyle w:val="Heading2"/>
      </w:pPr>
      <w:bookmarkStart w:id="8" w:name="_Toc215139674"/>
      <w:r w:rsidRPr="006865FC">
        <w:t>3</w:t>
      </w:r>
      <w:r w:rsidR="00D77C9B" w:rsidRPr="006865FC">
        <w:t>.3. Data collection</w:t>
      </w:r>
      <w:bookmarkEnd w:id="8"/>
    </w:p>
    <w:p w14:paraId="48200E12" w14:textId="77777777" w:rsidR="00D77C9B" w:rsidRPr="00D77C9B" w:rsidRDefault="00D77C9B" w:rsidP="006865FC">
      <w:pPr>
        <w:tabs>
          <w:tab w:val="left" w:pos="6540"/>
        </w:tabs>
        <w:spacing w:line="360" w:lineRule="auto"/>
        <w:jc w:val="both"/>
        <w:rPr>
          <w:rFonts w:ascii="Arial" w:hAnsi="Arial" w:cs="Arial"/>
          <w:sz w:val="22"/>
        </w:rPr>
      </w:pPr>
      <w:r w:rsidRPr="00D77C9B">
        <w:rPr>
          <w:rFonts w:ascii="Arial" w:hAnsi="Arial" w:cs="Arial"/>
          <w:sz w:val="22"/>
        </w:rPr>
        <w:t>The data will be gathered based on systematic and structured methods to enable uniformity in the chosen studies. The key information will be extracted and organised to be compared and interpreted by each included article. This will consist of the author(s), and year of publication to determine the recency and credibility of the evidence and the study aims and design to determine the approach of the study. Sampling will be also noted in terms of age, sex, and geographies of the participants to determine their applicability to the UK adult population. The type of childhood trauma studied in each study will be recorded along with the objective measurement of physical health results, which will allow a clear image of the associations studied. Lastly, the most important findings and their general implications to the public health and clinical practice will be summarised. The entire extracted data will be summarized into a tabular data extraction table to facilitate the consistent comparison and thematic analysis across research.</w:t>
      </w:r>
    </w:p>
    <w:p w14:paraId="2F8A2076" w14:textId="1E5476A3" w:rsidR="00B566A9" w:rsidRPr="006865FC" w:rsidRDefault="00116C49" w:rsidP="006865FC">
      <w:pPr>
        <w:pStyle w:val="Heading2"/>
      </w:pPr>
      <w:bookmarkStart w:id="9" w:name="_Toc215139675"/>
      <w:r w:rsidRPr="006865FC">
        <w:rPr>
          <w:rStyle w:val="Heading2Char"/>
          <w:b/>
          <w:bCs/>
        </w:rPr>
        <w:t>3</w:t>
      </w:r>
      <w:r w:rsidR="00D77C9B" w:rsidRPr="006865FC">
        <w:rPr>
          <w:rStyle w:val="Heading2Char"/>
          <w:b/>
          <w:bCs/>
        </w:rPr>
        <w:t xml:space="preserve">.4. </w:t>
      </w:r>
      <w:r w:rsidR="00B566A9" w:rsidRPr="006865FC">
        <w:rPr>
          <w:rStyle w:val="Heading2Char"/>
          <w:b/>
          <w:bCs/>
        </w:rPr>
        <w:t>Data analysis</w:t>
      </w:r>
      <w:bookmarkEnd w:id="9"/>
    </w:p>
    <w:p w14:paraId="0E8B4C7C" w14:textId="4E2DF61D" w:rsidR="00340C15" w:rsidRPr="006865FC" w:rsidRDefault="00340C15" w:rsidP="006865FC">
      <w:pPr>
        <w:tabs>
          <w:tab w:val="left" w:pos="6540"/>
        </w:tabs>
        <w:spacing w:line="360" w:lineRule="auto"/>
        <w:jc w:val="both"/>
        <w:rPr>
          <w:rFonts w:ascii="Arial" w:hAnsi="Arial" w:cs="Arial"/>
          <w:sz w:val="22"/>
        </w:rPr>
      </w:pPr>
      <w:r w:rsidRPr="006865FC">
        <w:rPr>
          <w:rFonts w:ascii="Arial" w:hAnsi="Arial" w:cs="Arial"/>
          <w:sz w:val="22"/>
        </w:rPr>
        <w:t>The research will take a thematic analysis as described by Braun and Clarke (2021). This method entails familiarization with the data by reading it repeatedly, coming up with starting codes, discerning patterns, and classifying codes into general themes. Examples of themes can be biological pathways, social determinants, gender differences, or inequality in health because of childhood trauma. Thematic analysis suits the scoping review since it can bring together the various findings and place them within meaningful categories that display the emerging trends in the literature.</w:t>
      </w:r>
    </w:p>
    <w:p w14:paraId="610C1A3E" w14:textId="30A75467" w:rsidR="00B566A9" w:rsidRPr="006865FC" w:rsidRDefault="00116C49" w:rsidP="006865FC">
      <w:pPr>
        <w:pStyle w:val="Heading2"/>
      </w:pPr>
      <w:bookmarkStart w:id="10" w:name="_Toc215139676"/>
      <w:r w:rsidRPr="006865FC">
        <w:t>3</w:t>
      </w:r>
      <w:r w:rsidR="00D77C9B" w:rsidRPr="006865FC">
        <w:t xml:space="preserve">.5. </w:t>
      </w:r>
      <w:r w:rsidR="00B566A9" w:rsidRPr="006865FC">
        <w:t>Ethical considerations</w:t>
      </w:r>
      <w:bookmarkEnd w:id="10"/>
      <w:r w:rsidR="00B566A9" w:rsidRPr="006865FC">
        <w:t xml:space="preserve"> </w:t>
      </w:r>
    </w:p>
    <w:p w14:paraId="029E0836" w14:textId="1D0AAC8C" w:rsidR="00340C15" w:rsidRPr="006865FC" w:rsidRDefault="00340C15" w:rsidP="006865FC">
      <w:pPr>
        <w:tabs>
          <w:tab w:val="left" w:pos="6540"/>
        </w:tabs>
        <w:spacing w:line="360" w:lineRule="auto"/>
        <w:jc w:val="both"/>
        <w:rPr>
          <w:rFonts w:ascii="Arial" w:hAnsi="Arial" w:cs="Arial"/>
          <w:sz w:val="22"/>
        </w:rPr>
      </w:pPr>
      <w:r w:rsidRPr="006865FC">
        <w:rPr>
          <w:rFonts w:ascii="Arial" w:hAnsi="Arial" w:cs="Arial"/>
          <w:sz w:val="22"/>
        </w:rPr>
        <w:t xml:space="preserve">Though this study does not entail human subjects, the issue of ethics is important. The researcher will be very specific, transparent and honest in the reporting. The necessary academic referencing style will be used when citing all sources, and no information will be distorted. The BHBIA (2020) offers ethical instructions to be adhered to and achieve </w:t>
      </w:r>
      <w:r w:rsidRPr="006865FC">
        <w:rPr>
          <w:rFonts w:ascii="Arial" w:hAnsi="Arial" w:cs="Arial"/>
          <w:sz w:val="22"/>
        </w:rPr>
        <w:lastRenderedPageBreak/>
        <w:t>responsible treatment of secondary data, prevent plagiarism, and truthful interpretation of evidence.</w:t>
      </w:r>
    </w:p>
    <w:p w14:paraId="41068D89" w14:textId="77777777" w:rsidR="00AA748E" w:rsidRPr="006865FC" w:rsidRDefault="00AA748E" w:rsidP="006865FC">
      <w:pPr>
        <w:tabs>
          <w:tab w:val="left" w:pos="6540"/>
        </w:tabs>
        <w:spacing w:line="360" w:lineRule="auto"/>
        <w:jc w:val="both"/>
        <w:rPr>
          <w:rFonts w:ascii="Arial" w:hAnsi="Arial" w:cs="Arial"/>
          <w:color w:val="EE0000"/>
          <w:sz w:val="22"/>
        </w:rPr>
      </w:pPr>
    </w:p>
    <w:p w14:paraId="581C99BF" w14:textId="0FD1AC11" w:rsidR="00B87E75" w:rsidRPr="006865FC" w:rsidRDefault="00116C49" w:rsidP="006865FC">
      <w:pPr>
        <w:pStyle w:val="Heading1"/>
      </w:pPr>
      <w:bookmarkStart w:id="11" w:name="_Toc215139677"/>
      <w:r w:rsidRPr="006865FC">
        <w:t>4</w:t>
      </w:r>
      <w:r w:rsidR="00D77C9B" w:rsidRPr="006865FC">
        <w:t xml:space="preserve">. </w:t>
      </w:r>
      <w:r w:rsidR="00B87E75" w:rsidRPr="006865FC">
        <w:t>Results</w:t>
      </w:r>
      <w:bookmarkEnd w:id="11"/>
    </w:p>
    <w:p w14:paraId="1337E1EC" w14:textId="5D1F5691" w:rsidR="001B362C" w:rsidRPr="006865FC" w:rsidRDefault="001B362C" w:rsidP="006865FC">
      <w:pPr>
        <w:spacing w:line="360" w:lineRule="auto"/>
        <w:jc w:val="both"/>
        <w:rPr>
          <w:rFonts w:ascii="Arial" w:hAnsi="Arial" w:cs="Arial"/>
          <w:sz w:val="22"/>
        </w:rPr>
      </w:pPr>
      <w:r w:rsidRPr="006865FC">
        <w:rPr>
          <w:rFonts w:ascii="Arial" w:hAnsi="Arial" w:cs="Arial"/>
          <w:sz w:val="22"/>
        </w:rPr>
        <w:t>The table below outlines the main features of the studies included in this scoping review.</w:t>
      </w:r>
    </w:p>
    <w:tbl>
      <w:tblPr>
        <w:tblStyle w:val="TableGrid"/>
        <w:tblW w:w="9782" w:type="dxa"/>
        <w:tblInd w:w="-431" w:type="dxa"/>
        <w:tblLook w:val="04A0" w:firstRow="1" w:lastRow="0" w:firstColumn="1" w:lastColumn="0" w:noHBand="0" w:noVBand="1"/>
      </w:tblPr>
      <w:tblGrid>
        <w:gridCol w:w="1390"/>
        <w:gridCol w:w="2920"/>
        <w:gridCol w:w="2984"/>
        <w:gridCol w:w="2488"/>
      </w:tblGrid>
      <w:tr w:rsidR="001B362C" w:rsidRPr="006865FC" w14:paraId="33266671" w14:textId="77777777" w:rsidTr="00FC05FE">
        <w:trPr>
          <w:trHeight w:val="1201"/>
        </w:trPr>
        <w:tc>
          <w:tcPr>
            <w:tcW w:w="1277" w:type="dxa"/>
          </w:tcPr>
          <w:p w14:paraId="58B2D511" w14:textId="3AA76E27" w:rsidR="001B362C" w:rsidRPr="006865FC" w:rsidRDefault="001B362C" w:rsidP="006865FC">
            <w:pPr>
              <w:spacing w:line="360" w:lineRule="auto"/>
              <w:jc w:val="both"/>
              <w:rPr>
                <w:rFonts w:ascii="Arial" w:hAnsi="Arial" w:cs="Arial"/>
                <w:b/>
                <w:bCs/>
                <w:sz w:val="22"/>
              </w:rPr>
            </w:pPr>
            <w:r w:rsidRPr="006865FC">
              <w:rPr>
                <w:rFonts w:ascii="Arial" w:hAnsi="Arial" w:cs="Arial"/>
                <w:b/>
                <w:bCs/>
                <w:sz w:val="22"/>
              </w:rPr>
              <w:t>Author/s and publication year</w:t>
            </w:r>
          </w:p>
        </w:tc>
        <w:tc>
          <w:tcPr>
            <w:tcW w:w="2977" w:type="dxa"/>
          </w:tcPr>
          <w:p w14:paraId="04FF3938" w14:textId="77777777" w:rsidR="00FC05FE" w:rsidRPr="006865FC" w:rsidRDefault="00D52769" w:rsidP="006865FC">
            <w:pPr>
              <w:spacing w:line="360" w:lineRule="auto"/>
              <w:jc w:val="both"/>
              <w:rPr>
                <w:rFonts w:ascii="Arial" w:hAnsi="Arial" w:cs="Arial"/>
                <w:b/>
                <w:bCs/>
                <w:sz w:val="22"/>
              </w:rPr>
            </w:pPr>
            <w:r w:rsidRPr="006865FC">
              <w:rPr>
                <w:rFonts w:ascii="Arial" w:hAnsi="Arial" w:cs="Arial"/>
                <w:b/>
                <w:bCs/>
                <w:sz w:val="22"/>
              </w:rPr>
              <w:t xml:space="preserve">           </w:t>
            </w:r>
          </w:p>
          <w:p w14:paraId="5FA4DB9E" w14:textId="6690AA41" w:rsidR="001B362C" w:rsidRPr="006865FC" w:rsidRDefault="00FC05FE" w:rsidP="006865FC">
            <w:pPr>
              <w:spacing w:line="360" w:lineRule="auto"/>
              <w:jc w:val="both"/>
              <w:rPr>
                <w:rFonts w:ascii="Arial" w:hAnsi="Arial" w:cs="Arial"/>
                <w:b/>
                <w:bCs/>
                <w:sz w:val="22"/>
              </w:rPr>
            </w:pPr>
            <w:r w:rsidRPr="006865FC">
              <w:rPr>
                <w:rFonts w:ascii="Arial" w:hAnsi="Arial" w:cs="Arial"/>
                <w:b/>
                <w:bCs/>
                <w:sz w:val="22"/>
              </w:rPr>
              <w:t xml:space="preserve">               </w:t>
            </w:r>
            <w:r w:rsidR="00D52769" w:rsidRPr="006865FC">
              <w:rPr>
                <w:rFonts w:ascii="Arial" w:hAnsi="Arial" w:cs="Arial"/>
                <w:b/>
                <w:bCs/>
                <w:sz w:val="22"/>
              </w:rPr>
              <w:t xml:space="preserve"> </w:t>
            </w:r>
            <w:r w:rsidR="001B362C" w:rsidRPr="006865FC">
              <w:rPr>
                <w:rFonts w:ascii="Arial" w:hAnsi="Arial" w:cs="Arial"/>
                <w:b/>
                <w:bCs/>
                <w:sz w:val="22"/>
              </w:rPr>
              <w:t xml:space="preserve">Aim </w:t>
            </w:r>
          </w:p>
        </w:tc>
        <w:tc>
          <w:tcPr>
            <w:tcW w:w="3004" w:type="dxa"/>
          </w:tcPr>
          <w:p w14:paraId="3372B186" w14:textId="77777777" w:rsidR="00FC05FE" w:rsidRPr="006865FC" w:rsidRDefault="00FC05FE" w:rsidP="006865FC">
            <w:pPr>
              <w:spacing w:line="360" w:lineRule="auto"/>
              <w:jc w:val="both"/>
              <w:rPr>
                <w:rFonts w:ascii="Arial" w:hAnsi="Arial" w:cs="Arial"/>
                <w:b/>
                <w:bCs/>
                <w:sz w:val="22"/>
              </w:rPr>
            </w:pPr>
          </w:p>
          <w:p w14:paraId="528A328F" w14:textId="5D02B8C1" w:rsidR="001B362C" w:rsidRPr="006865FC" w:rsidRDefault="001B362C" w:rsidP="006865FC">
            <w:pPr>
              <w:spacing w:line="360" w:lineRule="auto"/>
              <w:jc w:val="both"/>
              <w:rPr>
                <w:rFonts w:ascii="Arial" w:hAnsi="Arial" w:cs="Arial"/>
                <w:b/>
                <w:bCs/>
                <w:sz w:val="22"/>
              </w:rPr>
            </w:pPr>
            <w:r w:rsidRPr="006865FC">
              <w:rPr>
                <w:rFonts w:ascii="Arial" w:hAnsi="Arial" w:cs="Arial"/>
                <w:b/>
                <w:bCs/>
                <w:sz w:val="22"/>
              </w:rPr>
              <w:t>Methodology and methods</w:t>
            </w:r>
          </w:p>
        </w:tc>
        <w:tc>
          <w:tcPr>
            <w:tcW w:w="2524" w:type="dxa"/>
          </w:tcPr>
          <w:p w14:paraId="7A1EEE6D" w14:textId="77777777" w:rsidR="00FC05FE" w:rsidRPr="006865FC" w:rsidRDefault="00D52769" w:rsidP="006865FC">
            <w:pPr>
              <w:spacing w:line="360" w:lineRule="auto"/>
              <w:jc w:val="both"/>
              <w:rPr>
                <w:rFonts w:ascii="Arial" w:hAnsi="Arial" w:cs="Arial"/>
                <w:b/>
                <w:bCs/>
                <w:sz w:val="22"/>
              </w:rPr>
            </w:pPr>
            <w:r w:rsidRPr="006865FC">
              <w:rPr>
                <w:rFonts w:ascii="Arial" w:hAnsi="Arial" w:cs="Arial"/>
                <w:b/>
                <w:bCs/>
                <w:sz w:val="22"/>
              </w:rPr>
              <w:t xml:space="preserve">       </w:t>
            </w:r>
          </w:p>
          <w:p w14:paraId="1AC282F3" w14:textId="4316CEA7" w:rsidR="001B362C" w:rsidRPr="006865FC" w:rsidRDefault="00FC05FE" w:rsidP="006865FC">
            <w:pPr>
              <w:spacing w:line="360" w:lineRule="auto"/>
              <w:jc w:val="both"/>
              <w:rPr>
                <w:rFonts w:ascii="Arial" w:hAnsi="Arial" w:cs="Arial"/>
                <w:b/>
                <w:bCs/>
                <w:sz w:val="22"/>
              </w:rPr>
            </w:pPr>
            <w:r w:rsidRPr="006865FC">
              <w:rPr>
                <w:rFonts w:ascii="Arial" w:hAnsi="Arial" w:cs="Arial"/>
                <w:b/>
                <w:bCs/>
                <w:sz w:val="22"/>
              </w:rPr>
              <w:t xml:space="preserve">          </w:t>
            </w:r>
            <w:r w:rsidR="00D52769" w:rsidRPr="006865FC">
              <w:rPr>
                <w:rFonts w:ascii="Arial" w:hAnsi="Arial" w:cs="Arial"/>
                <w:b/>
                <w:bCs/>
                <w:sz w:val="22"/>
              </w:rPr>
              <w:t xml:space="preserve"> </w:t>
            </w:r>
            <w:r w:rsidR="001B362C" w:rsidRPr="006865FC">
              <w:rPr>
                <w:rFonts w:ascii="Arial" w:hAnsi="Arial" w:cs="Arial"/>
                <w:b/>
                <w:bCs/>
                <w:sz w:val="22"/>
              </w:rPr>
              <w:t xml:space="preserve">Findings </w:t>
            </w:r>
          </w:p>
        </w:tc>
      </w:tr>
      <w:tr w:rsidR="001B362C" w:rsidRPr="006865FC" w14:paraId="74C62857" w14:textId="77777777" w:rsidTr="0044282E">
        <w:tc>
          <w:tcPr>
            <w:tcW w:w="1277" w:type="dxa"/>
          </w:tcPr>
          <w:p w14:paraId="2AC73318" w14:textId="0C474AF4" w:rsidR="001B362C" w:rsidRPr="006865FC" w:rsidRDefault="001B362C" w:rsidP="006865FC">
            <w:pPr>
              <w:spacing w:line="360" w:lineRule="auto"/>
              <w:jc w:val="both"/>
              <w:rPr>
                <w:rFonts w:ascii="Arial" w:hAnsi="Arial" w:cs="Arial"/>
                <w:sz w:val="22"/>
              </w:rPr>
            </w:pPr>
          </w:p>
          <w:p w14:paraId="13A5C52E" w14:textId="16C5547D" w:rsidR="0080625B" w:rsidRPr="006865FC" w:rsidRDefault="004051FA" w:rsidP="006865FC">
            <w:pPr>
              <w:spacing w:line="360" w:lineRule="auto"/>
              <w:jc w:val="both"/>
              <w:rPr>
                <w:rFonts w:ascii="Arial" w:hAnsi="Arial" w:cs="Arial"/>
                <w:sz w:val="22"/>
              </w:rPr>
            </w:pPr>
            <w:r w:rsidRPr="006865FC">
              <w:rPr>
                <w:rFonts w:ascii="Arial" w:hAnsi="Arial" w:cs="Arial"/>
                <w:sz w:val="22"/>
              </w:rPr>
              <w:t>Allen et al. (2020)</w:t>
            </w:r>
          </w:p>
          <w:p w14:paraId="6334BF6F" w14:textId="541C1BF0" w:rsidR="0080625B" w:rsidRPr="006865FC" w:rsidRDefault="0080625B" w:rsidP="006865FC">
            <w:pPr>
              <w:spacing w:line="360" w:lineRule="auto"/>
              <w:jc w:val="both"/>
              <w:rPr>
                <w:rFonts w:ascii="Arial" w:hAnsi="Arial" w:cs="Arial"/>
                <w:sz w:val="22"/>
              </w:rPr>
            </w:pPr>
          </w:p>
        </w:tc>
        <w:tc>
          <w:tcPr>
            <w:tcW w:w="2977" w:type="dxa"/>
          </w:tcPr>
          <w:p w14:paraId="6F9B0153" w14:textId="69398888" w:rsidR="004F352D" w:rsidRPr="006865FC" w:rsidRDefault="004F352D" w:rsidP="006865FC">
            <w:pPr>
              <w:spacing w:line="360" w:lineRule="auto"/>
              <w:jc w:val="both"/>
              <w:rPr>
                <w:rFonts w:ascii="Arial" w:hAnsi="Arial" w:cs="Arial"/>
                <w:sz w:val="22"/>
              </w:rPr>
            </w:pPr>
            <w:r w:rsidRPr="006865FC">
              <w:rPr>
                <w:rFonts w:ascii="Arial" w:hAnsi="Arial" w:cs="Arial"/>
                <w:sz w:val="22"/>
              </w:rPr>
              <w:t xml:space="preserve">To </w:t>
            </w:r>
            <w:r w:rsidR="007D0956" w:rsidRPr="006865FC">
              <w:rPr>
                <w:rFonts w:ascii="Arial" w:hAnsi="Arial" w:cs="Arial"/>
                <w:sz w:val="22"/>
              </w:rPr>
              <w:t xml:space="preserve">examine associations between </w:t>
            </w:r>
            <w:r w:rsidR="004051FA" w:rsidRPr="006865FC">
              <w:rPr>
                <w:rFonts w:ascii="Arial" w:hAnsi="Arial" w:cs="Arial"/>
                <w:sz w:val="22"/>
              </w:rPr>
              <w:t>loneliness, social exclusion and pain in the UK adult population.</w:t>
            </w:r>
          </w:p>
          <w:p w14:paraId="79A102FA" w14:textId="77777777" w:rsidR="001B362C" w:rsidRPr="006865FC" w:rsidRDefault="001B362C" w:rsidP="006865FC">
            <w:pPr>
              <w:spacing w:line="360" w:lineRule="auto"/>
              <w:jc w:val="both"/>
              <w:rPr>
                <w:rFonts w:ascii="Arial" w:hAnsi="Arial" w:cs="Arial"/>
                <w:sz w:val="22"/>
              </w:rPr>
            </w:pPr>
          </w:p>
        </w:tc>
        <w:tc>
          <w:tcPr>
            <w:tcW w:w="3004" w:type="dxa"/>
          </w:tcPr>
          <w:p w14:paraId="30FC221D" w14:textId="27EC2802" w:rsidR="001B362C" w:rsidRPr="006865FC" w:rsidRDefault="004051FA" w:rsidP="006865FC">
            <w:pPr>
              <w:spacing w:line="360" w:lineRule="auto"/>
              <w:jc w:val="both"/>
              <w:rPr>
                <w:rFonts w:ascii="Arial" w:hAnsi="Arial" w:cs="Arial"/>
                <w:sz w:val="22"/>
              </w:rPr>
            </w:pPr>
            <w:r w:rsidRPr="006865FC">
              <w:rPr>
                <w:rFonts w:ascii="Arial" w:hAnsi="Arial" w:cs="Arial"/>
                <w:sz w:val="22"/>
              </w:rPr>
              <w:t xml:space="preserve">Cross-sectional study using Uk Biobank data. This study was an analysis </w:t>
            </w:r>
            <w:r w:rsidR="004F352D" w:rsidRPr="006865FC">
              <w:rPr>
                <w:rFonts w:ascii="Arial" w:hAnsi="Arial" w:cs="Arial"/>
                <w:sz w:val="22"/>
              </w:rPr>
              <w:t>87,545</w:t>
            </w:r>
            <w:r w:rsidRPr="006865FC">
              <w:rPr>
                <w:rFonts w:ascii="Arial" w:hAnsi="Arial" w:cs="Arial"/>
                <w:sz w:val="22"/>
              </w:rPr>
              <w:t xml:space="preserve"> participant (mean [± SD] age = 55.68 [7.78], 55.0% female, 97.4% White) enrolled in the UK Biobank.</w:t>
            </w:r>
          </w:p>
        </w:tc>
        <w:tc>
          <w:tcPr>
            <w:tcW w:w="2524" w:type="dxa"/>
          </w:tcPr>
          <w:p w14:paraId="53B57E96" w14:textId="63C3884F" w:rsidR="001B362C" w:rsidRPr="006865FC" w:rsidRDefault="004051FA" w:rsidP="006865FC">
            <w:pPr>
              <w:spacing w:line="360" w:lineRule="auto"/>
              <w:jc w:val="both"/>
              <w:rPr>
                <w:rFonts w:ascii="Arial" w:hAnsi="Arial" w:cs="Arial"/>
                <w:sz w:val="22"/>
              </w:rPr>
            </w:pPr>
            <w:r w:rsidRPr="006865FC">
              <w:rPr>
                <w:rFonts w:ascii="Arial" w:hAnsi="Arial" w:cs="Arial"/>
                <w:sz w:val="22"/>
              </w:rPr>
              <w:t>Loneliness and social exclusion were strongly associated with higher pain prevalence and severity. Socially isolated individuals exhibited increased risk of chronic pain, highlighting psychosocial factors as key determinants of adult physical health.</w:t>
            </w:r>
          </w:p>
        </w:tc>
      </w:tr>
      <w:tr w:rsidR="001B362C" w:rsidRPr="006865FC" w14:paraId="43245B4B" w14:textId="77777777" w:rsidTr="0044282E">
        <w:tc>
          <w:tcPr>
            <w:tcW w:w="1277" w:type="dxa"/>
          </w:tcPr>
          <w:p w14:paraId="5B2308AC" w14:textId="77777777" w:rsidR="004051FA" w:rsidRPr="006865FC" w:rsidRDefault="00C57C28" w:rsidP="006865FC">
            <w:pPr>
              <w:spacing w:line="360" w:lineRule="auto"/>
              <w:jc w:val="both"/>
              <w:rPr>
                <w:rFonts w:ascii="Arial" w:hAnsi="Arial" w:cs="Arial"/>
                <w:sz w:val="22"/>
              </w:rPr>
            </w:pPr>
            <w:r w:rsidRPr="006865FC">
              <w:rPr>
                <w:rFonts w:ascii="Arial" w:hAnsi="Arial" w:cs="Arial"/>
                <w:sz w:val="22"/>
              </w:rPr>
              <w:t xml:space="preserve"> </w:t>
            </w:r>
          </w:p>
          <w:p w14:paraId="7896C086" w14:textId="2B46EDF1" w:rsidR="001B362C" w:rsidRPr="006865FC" w:rsidRDefault="004051FA" w:rsidP="006865FC">
            <w:pPr>
              <w:spacing w:line="360" w:lineRule="auto"/>
              <w:jc w:val="both"/>
              <w:rPr>
                <w:rFonts w:ascii="Arial" w:hAnsi="Arial" w:cs="Arial"/>
                <w:b/>
                <w:bCs/>
                <w:sz w:val="22"/>
              </w:rPr>
            </w:pPr>
            <w:r w:rsidRPr="006865FC">
              <w:rPr>
                <w:rFonts w:ascii="Arial" w:hAnsi="Arial" w:cs="Arial"/>
                <w:sz w:val="22"/>
              </w:rPr>
              <w:t>Bellis et al. (2025)</w:t>
            </w:r>
          </w:p>
          <w:p w14:paraId="19EB8C68" w14:textId="77777777" w:rsidR="00CB617D" w:rsidRPr="006865FC" w:rsidRDefault="00CB617D" w:rsidP="006865FC">
            <w:pPr>
              <w:spacing w:line="360" w:lineRule="auto"/>
              <w:jc w:val="both"/>
              <w:rPr>
                <w:rFonts w:ascii="Arial" w:hAnsi="Arial" w:cs="Arial"/>
                <w:b/>
                <w:bCs/>
                <w:sz w:val="22"/>
              </w:rPr>
            </w:pPr>
          </w:p>
          <w:p w14:paraId="5AB9CF92" w14:textId="77777777" w:rsidR="00CB617D" w:rsidRPr="006865FC" w:rsidRDefault="00CB617D" w:rsidP="006865FC">
            <w:pPr>
              <w:spacing w:line="360" w:lineRule="auto"/>
              <w:jc w:val="both"/>
              <w:rPr>
                <w:rFonts w:ascii="Arial" w:hAnsi="Arial" w:cs="Arial"/>
                <w:b/>
                <w:bCs/>
                <w:sz w:val="22"/>
              </w:rPr>
            </w:pPr>
          </w:p>
          <w:p w14:paraId="7B6EC7C4" w14:textId="77777777" w:rsidR="00CB617D" w:rsidRPr="006865FC" w:rsidRDefault="00CB617D" w:rsidP="006865FC">
            <w:pPr>
              <w:spacing w:line="360" w:lineRule="auto"/>
              <w:jc w:val="both"/>
              <w:rPr>
                <w:rFonts w:ascii="Arial" w:hAnsi="Arial" w:cs="Arial"/>
                <w:b/>
                <w:bCs/>
                <w:sz w:val="22"/>
              </w:rPr>
            </w:pPr>
          </w:p>
          <w:p w14:paraId="7106885D" w14:textId="37CF83D9" w:rsidR="00CB617D" w:rsidRPr="006865FC" w:rsidRDefault="00CB617D" w:rsidP="006865FC">
            <w:pPr>
              <w:spacing w:line="360" w:lineRule="auto"/>
              <w:jc w:val="both"/>
              <w:rPr>
                <w:rFonts w:ascii="Arial" w:hAnsi="Arial" w:cs="Arial"/>
                <w:b/>
                <w:bCs/>
                <w:sz w:val="22"/>
              </w:rPr>
            </w:pPr>
          </w:p>
        </w:tc>
        <w:tc>
          <w:tcPr>
            <w:tcW w:w="2977" w:type="dxa"/>
          </w:tcPr>
          <w:p w14:paraId="22AA543E" w14:textId="4B390A6B" w:rsidR="001B362C" w:rsidRPr="006865FC" w:rsidRDefault="004051FA" w:rsidP="006865FC">
            <w:pPr>
              <w:spacing w:line="360" w:lineRule="auto"/>
              <w:jc w:val="both"/>
              <w:rPr>
                <w:rFonts w:ascii="Arial" w:hAnsi="Arial" w:cs="Arial"/>
                <w:sz w:val="22"/>
              </w:rPr>
            </w:pPr>
            <w:r w:rsidRPr="006865FC">
              <w:rPr>
                <w:rFonts w:ascii="Arial" w:hAnsi="Arial" w:cs="Arial"/>
                <w:sz w:val="22"/>
              </w:rPr>
              <w:t>To determine the individual and combined effects of Adverse Childhood Experiences (ACEs) and child poverty on adult health and economic outcomes.</w:t>
            </w:r>
          </w:p>
        </w:tc>
        <w:tc>
          <w:tcPr>
            <w:tcW w:w="3004" w:type="dxa"/>
          </w:tcPr>
          <w:p w14:paraId="17C06A31" w14:textId="77777777" w:rsidR="004051FA" w:rsidRPr="006865FC" w:rsidRDefault="004051FA" w:rsidP="006865FC">
            <w:pPr>
              <w:spacing w:line="360" w:lineRule="auto"/>
              <w:jc w:val="both"/>
              <w:rPr>
                <w:rFonts w:ascii="Arial" w:hAnsi="Arial" w:cs="Arial"/>
                <w:sz w:val="22"/>
              </w:rPr>
            </w:pPr>
            <w:r w:rsidRPr="006865FC">
              <w:rPr>
                <w:rFonts w:ascii="Arial" w:hAnsi="Arial" w:cs="Arial"/>
                <w:sz w:val="22"/>
              </w:rPr>
              <w:t>A cross-sectional household survey was conducted across five local authority/administrative areas. Analysis used a sample of 5,330 adults≥18 years old.</w:t>
            </w:r>
          </w:p>
          <w:p w14:paraId="7B6E9D1F" w14:textId="0297020A" w:rsidR="001B362C" w:rsidRPr="006865FC" w:rsidRDefault="001B362C" w:rsidP="006865FC">
            <w:pPr>
              <w:spacing w:line="360" w:lineRule="auto"/>
              <w:jc w:val="both"/>
              <w:rPr>
                <w:rFonts w:ascii="Arial" w:hAnsi="Arial" w:cs="Arial"/>
                <w:sz w:val="22"/>
              </w:rPr>
            </w:pPr>
          </w:p>
        </w:tc>
        <w:tc>
          <w:tcPr>
            <w:tcW w:w="2524" w:type="dxa"/>
          </w:tcPr>
          <w:p w14:paraId="5D8E9CDB" w14:textId="55C9E7D1" w:rsidR="001B362C" w:rsidRPr="006865FC" w:rsidRDefault="004051FA" w:rsidP="006865FC">
            <w:pPr>
              <w:spacing w:line="360" w:lineRule="auto"/>
              <w:jc w:val="both"/>
              <w:rPr>
                <w:rFonts w:ascii="Arial" w:hAnsi="Arial" w:cs="Arial"/>
                <w:sz w:val="22"/>
              </w:rPr>
            </w:pPr>
            <w:r w:rsidRPr="006865FC">
              <w:rPr>
                <w:rFonts w:ascii="Arial" w:hAnsi="Arial" w:cs="Arial"/>
                <w:sz w:val="22"/>
              </w:rPr>
              <w:t>ACEs and childhood poverty each predicted poorer adult physical and mental health, with combined exposure significantly compounding risk. Adults with high ACEs showed greater chronic illness, healthcare use and economic disadvantage.</w:t>
            </w:r>
          </w:p>
        </w:tc>
      </w:tr>
      <w:tr w:rsidR="001B362C" w:rsidRPr="006865FC" w14:paraId="38495D92" w14:textId="77777777" w:rsidTr="0044282E">
        <w:tc>
          <w:tcPr>
            <w:tcW w:w="1277" w:type="dxa"/>
          </w:tcPr>
          <w:p w14:paraId="6EB132D6" w14:textId="50AD8006" w:rsidR="001B362C" w:rsidRPr="006865FC" w:rsidRDefault="001B362C" w:rsidP="006865FC">
            <w:pPr>
              <w:spacing w:line="360" w:lineRule="auto"/>
              <w:jc w:val="both"/>
              <w:rPr>
                <w:rFonts w:ascii="Arial" w:hAnsi="Arial" w:cs="Arial"/>
                <w:b/>
                <w:bCs/>
                <w:sz w:val="22"/>
              </w:rPr>
            </w:pPr>
          </w:p>
          <w:p w14:paraId="3393AB13" w14:textId="3EB2015F" w:rsidR="00CB617D" w:rsidRPr="006865FC" w:rsidRDefault="000B7DFD" w:rsidP="006865FC">
            <w:pPr>
              <w:spacing w:line="360" w:lineRule="auto"/>
              <w:jc w:val="both"/>
              <w:rPr>
                <w:rFonts w:ascii="Arial" w:hAnsi="Arial" w:cs="Arial"/>
                <w:sz w:val="22"/>
              </w:rPr>
            </w:pPr>
            <w:r w:rsidRPr="006865FC">
              <w:rPr>
                <w:rFonts w:ascii="Arial" w:hAnsi="Arial" w:cs="Arial"/>
                <w:sz w:val="22"/>
              </w:rPr>
              <w:lastRenderedPageBreak/>
              <w:t>Baumeister et al. (2016)</w:t>
            </w:r>
          </w:p>
          <w:p w14:paraId="5B42F12C" w14:textId="77777777" w:rsidR="00CB617D" w:rsidRPr="006865FC" w:rsidRDefault="00CB617D" w:rsidP="006865FC">
            <w:pPr>
              <w:spacing w:line="360" w:lineRule="auto"/>
              <w:jc w:val="both"/>
              <w:rPr>
                <w:rFonts w:ascii="Arial" w:hAnsi="Arial" w:cs="Arial"/>
                <w:b/>
                <w:bCs/>
                <w:sz w:val="22"/>
              </w:rPr>
            </w:pPr>
          </w:p>
          <w:p w14:paraId="375C0C5E" w14:textId="77777777" w:rsidR="00CB617D" w:rsidRPr="006865FC" w:rsidRDefault="00CB617D" w:rsidP="006865FC">
            <w:pPr>
              <w:spacing w:line="360" w:lineRule="auto"/>
              <w:jc w:val="both"/>
              <w:rPr>
                <w:rFonts w:ascii="Arial" w:hAnsi="Arial" w:cs="Arial"/>
                <w:b/>
                <w:bCs/>
                <w:sz w:val="22"/>
              </w:rPr>
            </w:pPr>
          </w:p>
          <w:p w14:paraId="51F62D55" w14:textId="77777777" w:rsidR="00CB617D" w:rsidRPr="006865FC" w:rsidRDefault="00CB617D" w:rsidP="006865FC">
            <w:pPr>
              <w:spacing w:line="360" w:lineRule="auto"/>
              <w:jc w:val="both"/>
              <w:rPr>
                <w:rFonts w:ascii="Arial" w:hAnsi="Arial" w:cs="Arial"/>
                <w:b/>
                <w:bCs/>
                <w:sz w:val="22"/>
              </w:rPr>
            </w:pPr>
          </w:p>
          <w:p w14:paraId="6F78F223" w14:textId="77777777" w:rsidR="00CB617D" w:rsidRPr="006865FC" w:rsidRDefault="00CB617D" w:rsidP="006865FC">
            <w:pPr>
              <w:spacing w:line="360" w:lineRule="auto"/>
              <w:jc w:val="both"/>
              <w:rPr>
                <w:rFonts w:ascii="Arial" w:hAnsi="Arial" w:cs="Arial"/>
                <w:b/>
                <w:bCs/>
                <w:sz w:val="22"/>
              </w:rPr>
            </w:pPr>
          </w:p>
          <w:p w14:paraId="64CF2F00" w14:textId="630E5493" w:rsidR="00CB617D" w:rsidRPr="006865FC" w:rsidRDefault="00CB617D" w:rsidP="006865FC">
            <w:pPr>
              <w:spacing w:line="360" w:lineRule="auto"/>
              <w:jc w:val="both"/>
              <w:rPr>
                <w:rFonts w:ascii="Arial" w:hAnsi="Arial" w:cs="Arial"/>
                <w:b/>
                <w:bCs/>
                <w:sz w:val="22"/>
              </w:rPr>
            </w:pPr>
          </w:p>
        </w:tc>
        <w:tc>
          <w:tcPr>
            <w:tcW w:w="2977" w:type="dxa"/>
          </w:tcPr>
          <w:p w14:paraId="7B4AFC45" w14:textId="5F345CF9" w:rsidR="001B362C" w:rsidRPr="006865FC" w:rsidRDefault="000B7DFD" w:rsidP="006865FC">
            <w:pPr>
              <w:spacing w:line="360" w:lineRule="auto"/>
              <w:jc w:val="both"/>
              <w:rPr>
                <w:rFonts w:ascii="Arial" w:hAnsi="Arial" w:cs="Arial"/>
                <w:sz w:val="22"/>
              </w:rPr>
            </w:pPr>
            <w:r w:rsidRPr="006865FC">
              <w:rPr>
                <w:rFonts w:ascii="Arial" w:hAnsi="Arial" w:cs="Arial"/>
                <w:sz w:val="22"/>
              </w:rPr>
              <w:lastRenderedPageBreak/>
              <w:t xml:space="preserve">To analyse whether childhood trauma is </w:t>
            </w:r>
            <w:r w:rsidRPr="006865FC">
              <w:rPr>
                <w:rFonts w:ascii="Arial" w:hAnsi="Arial" w:cs="Arial"/>
                <w:sz w:val="22"/>
              </w:rPr>
              <w:lastRenderedPageBreak/>
              <w:t>associated with elevated inflammatory markers in adulthood.</w:t>
            </w:r>
          </w:p>
        </w:tc>
        <w:tc>
          <w:tcPr>
            <w:tcW w:w="3004" w:type="dxa"/>
          </w:tcPr>
          <w:p w14:paraId="06BCEB24" w14:textId="4E75ECC5" w:rsidR="001B362C" w:rsidRPr="006865FC" w:rsidRDefault="000B7DFD" w:rsidP="006865FC">
            <w:pPr>
              <w:spacing w:line="360" w:lineRule="auto"/>
              <w:jc w:val="both"/>
              <w:rPr>
                <w:rFonts w:ascii="Arial" w:hAnsi="Arial" w:cs="Arial"/>
                <w:sz w:val="22"/>
              </w:rPr>
            </w:pPr>
            <w:r w:rsidRPr="006865FC">
              <w:rPr>
                <w:rFonts w:ascii="Arial" w:hAnsi="Arial" w:cs="Arial"/>
                <w:sz w:val="22"/>
              </w:rPr>
              <w:lastRenderedPageBreak/>
              <w:t xml:space="preserve">Meta-analysis of studies measuring CRP, IL-6, and </w:t>
            </w:r>
            <w:r w:rsidRPr="006865FC">
              <w:rPr>
                <w:rFonts w:ascii="Arial" w:hAnsi="Arial" w:cs="Arial"/>
                <w:sz w:val="22"/>
              </w:rPr>
              <w:lastRenderedPageBreak/>
              <w:t>TNF-α in adults with and without childhood trauma.</w:t>
            </w:r>
          </w:p>
        </w:tc>
        <w:tc>
          <w:tcPr>
            <w:tcW w:w="2524" w:type="dxa"/>
          </w:tcPr>
          <w:p w14:paraId="18957229" w14:textId="31ABD502" w:rsidR="001B362C" w:rsidRPr="006865FC" w:rsidRDefault="0044282E" w:rsidP="006865FC">
            <w:pPr>
              <w:spacing w:line="360" w:lineRule="auto"/>
              <w:jc w:val="both"/>
              <w:rPr>
                <w:rFonts w:ascii="Arial" w:hAnsi="Arial" w:cs="Arial"/>
                <w:sz w:val="22"/>
              </w:rPr>
            </w:pPr>
            <w:r w:rsidRPr="006865FC">
              <w:rPr>
                <w:rFonts w:ascii="Arial" w:hAnsi="Arial" w:cs="Arial"/>
                <w:sz w:val="22"/>
              </w:rPr>
              <w:lastRenderedPageBreak/>
              <w:t xml:space="preserve">Childhood trauma was linked to significantly </w:t>
            </w:r>
            <w:r w:rsidRPr="006865FC">
              <w:rPr>
                <w:rFonts w:ascii="Arial" w:hAnsi="Arial" w:cs="Arial"/>
                <w:sz w:val="22"/>
              </w:rPr>
              <w:lastRenderedPageBreak/>
              <w:t>elevated inflammatory biomarkers in adulthood, suggesting long-term physiological dysregulation that increases vulnerability to chronic disease.</w:t>
            </w:r>
          </w:p>
        </w:tc>
      </w:tr>
    </w:tbl>
    <w:p w14:paraId="7A7E2E25" w14:textId="77777777" w:rsidR="00FC05FE" w:rsidRPr="006865FC" w:rsidRDefault="00FC05FE" w:rsidP="006865FC">
      <w:pPr>
        <w:pStyle w:val="Heading2"/>
      </w:pPr>
    </w:p>
    <w:p w14:paraId="44B0B0F5" w14:textId="3DBA11F2" w:rsidR="000A705A" w:rsidRPr="006865FC" w:rsidRDefault="00116C49" w:rsidP="006865FC">
      <w:pPr>
        <w:pStyle w:val="Heading2"/>
      </w:pPr>
      <w:bookmarkStart w:id="12" w:name="_Toc215139678"/>
      <w:r w:rsidRPr="006865FC">
        <w:t>4</w:t>
      </w:r>
      <w:r w:rsidR="000A705A" w:rsidRPr="006865FC">
        <w:t>.1. Themes</w:t>
      </w:r>
      <w:bookmarkEnd w:id="12"/>
      <w:r w:rsidR="000A705A" w:rsidRPr="006865FC">
        <w:t xml:space="preserve"> </w:t>
      </w:r>
    </w:p>
    <w:p w14:paraId="788BAAAE" w14:textId="7867E45D" w:rsidR="001B362C" w:rsidRPr="006865FC" w:rsidRDefault="00FC05FE" w:rsidP="006865FC">
      <w:pPr>
        <w:spacing w:line="360" w:lineRule="auto"/>
        <w:jc w:val="both"/>
        <w:rPr>
          <w:rFonts w:ascii="Arial" w:hAnsi="Arial" w:cs="Arial"/>
          <w:sz w:val="22"/>
        </w:rPr>
      </w:pPr>
      <w:r w:rsidRPr="006865FC">
        <w:rPr>
          <w:rFonts w:ascii="Arial" w:hAnsi="Arial" w:cs="Arial"/>
          <w:sz w:val="22"/>
        </w:rPr>
        <w:t>Following a systematic analysis of the findings, four major themes were generated, providing a structured understanding of the core issues revealed in the data.</w:t>
      </w:r>
      <w:r w:rsidR="001B59C3" w:rsidRPr="006865FC">
        <w:rPr>
          <w:rFonts w:ascii="Arial" w:hAnsi="Arial" w:cs="Arial"/>
          <w:sz w:val="22"/>
        </w:rPr>
        <w:t xml:space="preserve"> </w:t>
      </w:r>
    </w:p>
    <w:tbl>
      <w:tblPr>
        <w:tblStyle w:val="TableGrid"/>
        <w:tblW w:w="9640" w:type="dxa"/>
        <w:tblInd w:w="-431" w:type="dxa"/>
        <w:tblLook w:val="04A0" w:firstRow="1" w:lastRow="0" w:firstColumn="1" w:lastColumn="0" w:noHBand="0" w:noVBand="1"/>
      </w:tblPr>
      <w:tblGrid>
        <w:gridCol w:w="1560"/>
        <w:gridCol w:w="8080"/>
      </w:tblGrid>
      <w:tr w:rsidR="004F5954" w:rsidRPr="006865FC" w14:paraId="54623B5B" w14:textId="77777777" w:rsidTr="00F75056">
        <w:tc>
          <w:tcPr>
            <w:tcW w:w="9640" w:type="dxa"/>
            <w:gridSpan w:val="2"/>
          </w:tcPr>
          <w:p w14:paraId="5573BE8E" w14:textId="1F5F8E27" w:rsidR="004F5954" w:rsidRPr="006865FC" w:rsidRDefault="004F5954" w:rsidP="006865FC">
            <w:pPr>
              <w:spacing w:line="360" w:lineRule="auto"/>
              <w:jc w:val="both"/>
              <w:rPr>
                <w:rFonts w:ascii="Arial" w:hAnsi="Arial" w:cs="Arial"/>
                <w:sz w:val="22"/>
              </w:rPr>
            </w:pPr>
            <w:r w:rsidRPr="006865FC">
              <w:rPr>
                <w:rFonts w:ascii="Arial" w:hAnsi="Arial" w:cs="Arial"/>
                <w:b/>
                <w:bCs/>
                <w:sz w:val="22"/>
              </w:rPr>
              <w:t xml:space="preserve">                                                                Themes </w:t>
            </w:r>
          </w:p>
        </w:tc>
      </w:tr>
      <w:tr w:rsidR="007D0956" w:rsidRPr="006865FC" w14:paraId="33077EAB" w14:textId="77777777" w:rsidTr="0044282E">
        <w:tc>
          <w:tcPr>
            <w:tcW w:w="1560" w:type="dxa"/>
          </w:tcPr>
          <w:p w14:paraId="578BEFDE" w14:textId="785C3F3B" w:rsidR="007D0956" w:rsidRPr="006865FC" w:rsidRDefault="007D0956" w:rsidP="006865FC">
            <w:pPr>
              <w:spacing w:line="360" w:lineRule="auto"/>
              <w:jc w:val="both"/>
              <w:rPr>
                <w:rFonts w:ascii="Arial" w:hAnsi="Arial" w:cs="Arial"/>
                <w:sz w:val="22"/>
              </w:rPr>
            </w:pPr>
            <w:r w:rsidRPr="006865FC">
              <w:rPr>
                <w:rFonts w:ascii="Arial" w:hAnsi="Arial" w:cs="Arial"/>
                <w:sz w:val="22"/>
              </w:rPr>
              <w:t>Theme 1</w:t>
            </w:r>
          </w:p>
        </w:tc>
        <w:tc>
          <w:tcPr>
            <w:tcW w:w="8080" w:type="dxa"/>
          </w:tcPr>
          <w:p w14:paraId="2E7E0160" w14:textId="5927DB84" w:rsidR="007D0956" w:rsidRPr="006865FC" w:rsidRDefault="000B7DFD" w:rsidP="006865FC">
            <w:pPr>
              <w:spacing w:line="360" w:lineRule="auto"/>
              <w:jc w:val="both"/>
              <w:rPr>
                <w:rFonts w:ascii="Arial" w:hAnsi="Arial" w:cs="Arial"/>
                <w:sz w:val="22"/>
              </w:rPr>
            </w:pPr>
            <w:r w:rsidRPr="006865FC">
              <w:rPr>
                <w:rFonts w:ascii="Arial" w:hAnsi="Arial" w:cs="Arial"/>
                <w:sz w:val="22"/>
              </w:rPr>
              <w:t>Prevalence and Typologies of Childhood Trauma in UK Populations</w:t>
            </w:r>
          </w:p>
        </w:tc>
      </w:tr>
      <w:tr w:rsidR="007D0956" w:rsidRPr="006865FC" w14:paraId="64A21AF9" w14:textId="77777777" w:rsidTr="0044282E">
        <w:tc>
          <w:tcPr>
            <w:tcW w:w="1560" w:type="dxa"/>
          </w:tcPr>
          <w:p w14:paraId="419321D7" w14:textId="599CAE88" w:rsidR="007D0956" w:rsidRPr="006865FC" w:rsidRDefault="007D0956" w:rsidP="006865FC">
            <w:pPr>
              <w:spacing w:line="360" w:lineRule="auto"/>
              <w:jc w:val="both"/>
              <w:rPr>
                <w:rFonts w:ascii="Arial" w:hAnsi="Arial" w:cs="Arial"/>
                <w:sz w:val="22"/>
              </w:rPr>
            </w:pPr>
            <w:r w:rsidRPr="006865FC">
              <w:rPr>
                <w:rFonts w:ascii="Arial" w:hAnsi="Arial" w:cs="Arial"/>
                <w:sz w:val="22"/>
              </w:rPr>
              <w:t>Theme 2</w:t>
            </w:r>
          </w:p>
        </w:tc>
        <w:tc>
          <w:tcPr>
            <w:tcW w:w="8080" w:type="dxa"/>
          </w:tcPr>
          <w:p w14:paraId="44860607" w14:textId="11D6F087" w:rsidR="007D0956" w:rsidRPr="006865FC" w:rsidRDefault="007D0956" w:rsidP="006865FC">
            <w:pPr>
              <w:spacing w:line="360" w:lineRule="auto"/>
              <w:jc w:val="both"/>
              <w:rPr>
                <w:rFonts w:ascii="Arial" w:hAnsi="Arial" w:cs="Arial"/>
                <w:sz w:val="22"/>
              </w:rPr>
            </w:pPr>
            <w:r w:rsidRPr="006865FC">
              <w:rPr>
                <w:rFonts w:ascii="Arial" w:hAnsi="Arial" w:cs="Arial"/>
                <w:sz w:val="22"/>
              </w:rPr>
              <w:t>Methodological Approaches in UK Childhood Trauma Research</w:t>
            </w:r>
          </w:p>
        </w:tc>
      </w:tr>
      <w:tr w:rsidR="007D0956" w:rsidRPr="006865FC" w14:paraId="7445C35B" w14:textId="77777777" w:rsidTr="0044282E">
        <w:tc>
          <w:tcPr>
            <w:tcW w:w="1560" w:type="dxa"/>
          </w:tcPr>
          <w:p w14:paraId="39F1B9E5" w14:textId="21520C4A" w:rsidR="007D0956" w:rsidRPr="006865FC" w:rsidRDefault="007D0956" w:rsidP="006865FC">
            <w:pPr>
              <w:spacing w:line="360" w:lineRule="auto"/>
              <w:jc w:val="both"/>
              <w:rPr>
                <w:rFonts w:ascii="Arial" w:hAnsi="Arial" w:cs="Arial"/>
                <w:sz w:val="22"/>
              </w:rPr>
            </w:pPr>
            <w:r w:rsidRPr="006865FC">
              <w:rPr>
                <w:rFonts w:ascii="Arial" w:hAnsi="Arial" w:cs="Arial"/>
                <w:sz w:val="22"/>
              </w:rPr>
              <w:t xml:space="preserve">Theme 3 </w:t>
            </w:r>
          </w:p>
        </w:tc>
        <w:tc>
          <w:tcPr>
            <w:tcW w:w="8080" w:type="dxa"/>
          </w:tcPr>
          <w:p w14:paraId="09754E33" w14:textId="53DD3226" w:rsidR="007D0956" w:rsidRPr="006865FC" w:rsidRDefault="007D0956" w:rsidP="006865FC">
            <w:pPr>
              <w:spacing w:line="360" w:lineRule="auto"/>
              <w:jc w:val="both"/>
              <w:rPr>
                <w:rFonts w:ascii="Arial" w:hAnsi="Arial" w:cs="Arial"/>
                <w:sz w:val="22"/>
              </w:rPr>
            </w:pPr>
            <w:r w:rsidRPr="006865FC">
              <w:rPr>
                <w:rFonts w:ascii="Arial" w:hAnsi="Arial" w:cs="Arial"/>
                <w:sz w:val="22"/>
              </w:rPr>
              <w:t>Evidence Gaps, Theoretical Limitations, and Policy/Practice Implications</w:t>
            </w:r>
          </w:p>
        </w:tc>
      </w:tr>
      <w:tr w:rsidR="007D0956" w:rsidRPr="006865FC" w14:paraId="2E459348" w14:textId="77777777" w:rsidTr="0044282E">
        <w:tc>
          <w:tcPr>
            <w:tcW w:w="1560" w:type="dxa"/>
          </w:tcPr>
          <w:p w14:paraId="3364692E" w14:textId="63AE2BD4" w:rsidR="007D0956" w:rsidRPr="006865FC" w:rsidRDefault="007D0956" w:rsidP="006865FC">
            <w:pPr>
              <w:spacing w:line="360" w:lineRule="auto"/>
              <w:jc w:val="both"/>
              <w:rPr>
                <w:rFonts w:ascii="Arial" w:hAnsi="Arial" w:cs="Arial"/>
                <w:sz w:val="22"/>
              </w:rPr>
            </w:pPr>
            <w:r w:rsidRPr="006865FC">
              <w:rPr>
                <w:rFonts w:ascii="Arial" w:hAnsi="Arial" w:cs="Arial"/>
                <w:sz w:val="22"/>
              </w:rPr>
              <w:t xml:space="preserve">Theme 4 </w:t>
            </w:r>
          </w:p>
        </w:tc>
        <w:tc>
          <w:tcPr>
            <w:tcW w:w="8080" w:type="dxa"/>
          </w:tcPr>
          <w:p w14:paraId="2E23CB93" w14:textId="5ACEBB8A" w:rsidR="007D0956" w:rsidRPr="006865FC" w:rsidRDefault="007D0956" w:rsidP="006865FC">
            <w:pPr>
              <w:spacing w:line="360" w:lineRule="auto"/>
              <w:jc w:val="both"/>
              <w:rPr>
                <w:rFonts w:ascii="Arial" w:hAnsi="Arial" w:cs="Arial"/>
                <w:sz w:val="22"/>
              </w:rPr>
            </w:pPr>
            <w:r w:rsidRPr="006865FC">
              <w:rPr>
                <w:rFonts w:ascii="Arial" w:hAnsi="Arial" w:cs="Arial"/>
                <w:sz w:val="22"/>
              </w:rPr>
              <w:t>Prevalence and Typologies of Childhood Trauma in UK Populations</w:t>
            </w:r>
          </w:p>
        </w:tc>
      </w:tr>
    </w:tbl>
    <w:p w14:paraId="5AE067E2" w14:textId="77777777" w:rsidR="001B59C3" w:rsidRPr="006865FC" w:rsidRDefault="001B59C3" w:rsidP="006865FC">
      <w:pPr>
        <w:spacing w:line="360" w:lineRule="auto"/>
        <w:jc w:val="both"/>
        <w:rPr>
          <w:rFonts w:ascii="Arial" w:hAnsi="Arial" w:cs="Arial"/>
          <w:sz w:val="22"/>
        </w:rPr>
      </w:pPr>
    </w:p>
    <w:p w14:paraId="31195B2C" w14:textId="2CADFE8C" w:rsidR="004B6CA1" w:rsidRPr="006865FC" w:rsidRDefault="001B59C3" w:rsidP="006865FC">
      <w:pPr>
        <w:spacing w:line="360" w:lineRule="auto"/>
        <w:jc w:val="both"/>
        <w:rPr>
          <w:rFonts w:ascii="Arial" w:hAnsi="Arial" w:cs="Arial"/>
          <w:b/>
          <w:bCs/>
          <w:color w:val="000000" w:themeColor="text1"/>
          <w:sz w:val="22"/>
        </w:rPr>
      </w:pPr>
      <w:r w:rsidRPr="006865FC">
        <w:rPr>
          <w:rFonts w:ascii="Arial" w:hAnsi="Arial" w:cs="Arial"/>
          <w:b/>
          <w:bCs/>
          <w:color w:val="000000" w:themeColor="text1"/>
          <w:sz w:val="22"/>
        </w:rPr>
        <w:t xml:space="preserve">Theme </w:t>
      </w:r>
      <w:r w:rsidR="004B6CA1" w:rsidRPr="006865FC">
        <w:rPr>
          <w:rFonts w:ascii="Arial" w:hAnsi="Arial" w:cs="Arial"/>
          <w:b/>
          <w:bCs/>
          <w:color w:val="000000" w:themeColor="text1"/>
          <w:sz w:val="22"/>
        </w:rPr>
        <w:t xml:space="preserve">1: </w:t>
      </w:r>
      <w:r w:rsidR="000B7DFD" w:rsidRPr="006865FC">
        <w:rPr>
          <w:rFonts w:ascii="Arial" w:hAnsi="Arial" w:cs="Arial"/>
          <w:b/>
          <w:bCs/>
          <w:color w:val="000000" w:themeColor="text1"/>
          <w:sz w:val="22"/>
        </w:rPr>
        <w:t>Prevalence and Typologies of Childhood Trauma in UK Populations</w:t>
      </w:r>
    </w:p>
    <w:p w14:paraId="06E6AE4D" w14:textId="6FB95845" w:rsidR="004B6CA1" w:rsidRDefault="004B6CA1" w:rsidP="006865FC">
      <w:pPr>
        <w:spacing w:line="360" w:lineRule="auto"/>
        <w:jc w:val="both"/>
        <w:rPr>
          <w:rFonts w:ascii="Arial" w:hAnsi="Arial" w:cs="Arial"/>
          <w:color w:val="000000" w:themeColor="text1"/>
          <w:sz w:val="22"/>
        </w:rPr>
      </w:pPr>
      <w:r w:rsidRPr="006865FC">
        <w:rPr>
          <w:rFonts w:ascii="Arial" w:hAnsi="Arial" w:cs="Arial"/>
          <w:color w:val="000000" w:themeColor="text1"/>
          <w:sz w:val="22"/>
        </w:rPr>
        <w:t>Allen et al. (2020) demonstrate that persons who had early adversity exposure exhibit an increased tendency to face social exclusion in adulthood, such as emotional isolation and low local interaction. It is known that these psychosocial patterns lead to chronic physical health issues via stress, decreased access to support and heightened susceptibility to unhealthy coping behaviours. Bellis et al. (2025) contribute to this knowledge even more by showing that the overall health of adults with childhood adversity and a lower likelihood of maintaining employment and economic stability are reported. They report that early trauma has a profound effect on life-course health patterns, which affect physical operating and mental health in later life. Baumeister et al. (2016) offer a biological take on the topic that demonstrates that childhood trauma is linked to increased inflammatory reactions in adulthood. This inflammatory sign has a broad group of long-term physical disorders associated with it, such as cardiometabolic, autoimmune and stress-related diseases. Combined, the studies bring out that interrelated behavioural, psychosocial and physiological mechanisms mediate the impacts of trauma experienced early. They show that the effects of childhood adversity go well beyond emotional or psychological effects and have a worthwhile contribution to morbidity and health disparity among adults.</w:t>
      </w:r>
    </w:p>
    <w:p w14:paraId="5D4574BA" w14:textId="77777777" w:rsidR="006865FC" w:rsidRPr="006865FC" w:rsidRDefault="006865FC" w:rsidP="006865FC">
      <w:pPr>
        <w:spacing w:line="360" w:lineRule="auto"/>
        <w:jc w:val="both"/>
        <w:rPr>
          <w:rFonts w:ascii="Arial" w:hAnsi="Arial" w:cs="Arial"/>
          <w:color w:val="000000" w:themeColor="text1"/>
          <w:sz w:val="22"/>
        </w:rPr>
      </w:pPr>
    </w:p>
    <w:p w14:paraId="109DC174" w14:textId="1789D92A" w:rsidR="004B6CA1" w:rsidRPr="006865FC" w:rsidRDefault="007D0956" w:rsidP="006865FC">
      <w:pPr>
        <w:spacing w:line="360" w:lineRule="auto"/>
        <w:jc w:val="both"/>
        <w:rPr>
          <w:rFonts w:ascii="Arial" w:hAnsi="Arial" w:cs="Arial"/>
          <w:b/>
          <w:bCs/>
          <w:color w:val="000000" w:themeColor="text1"/>
          <w:sz w:val="22"/>
        </w:rPr>
      </w:pPr>
      <w:r w:rsidRPr="006865FC">
        <w:rPr>
          <w:rFonts w:ascii="Arial" w:hAnsi="Arial" w:cs="Arial"/>
          <w:b/>
          <w:bCs/>
          <w:color w:val="000000" w:themeColor="text1"/>
          <w:sz w:val="22"/>
        </w:rPr>
        <w:lastRenderedPageBreak/>
        <w:t xml:space="preserve">Theme 2: </w:t>
      </w:r>
      <w:r w:rsidR="004B6CA1" w:rsidRPr="006865FC">
        <w:rPr>
          <w:rFonts w:ascii="Arial" w:hAnsi="Arial" w:cs="Arial"/>
          <w:b/>
          <w:bCs/>
          <w:color w:val="000000" w:themeColor="text1"/>
          <w:sz w:val="22"/>
        </w:rPr>
        <w:t>Methodological Approaches in UK Childhood Trauma Research</w:t>
      </w:r>
    </w:p>
    <w:p w14:paraId="0F133E89" w14:textId="0100681A" w:rsidR="004B6CA1" w:rsidRPr="006865FC" w:rsidRDefault="004B6CA1" w:rsidP="006865FC">
      <w:pPr>
        <w:spacing w:line="360" w:lineRule="auto"/>
        <w:jc w:val="both"/>
        <w:rPr>
          <w:rFonts w:ascii="Arial" w:hAnsi="Arial" w:cs="Arial"/>
          <w:color w:val="000000" w:themeColor="text1"/>
          <w:sz w:val="22"/>
        </w:rPr>
      </w:pPr>
      <w:r w:rsidRPr="006865FC">
        <w:rPr>
          <w:rFonts w:ascii="Arial" w:hAnsi="Arial" w:cs="Arial"/>
          <w:color w:val="000000" w:themeColor="text1"/>
          <w:sz w:val="22"/>
        </w:rPr>
        <w:t>The findings represent a diversity of methodological designs that are employed to examine the relationships between psychiatric trauma and adult health in the UK. Allen et al. (2020) use a massive population sample, where retrospective self-reported measures of trauma are applied to examine the connections with psychosocial outcomes in adulthood. They have high statistical power and allow investigating a wide range of types of traumas but cannot do so due to the dependence on the recollection of participants and the lack of detailed socioeconomic data about childhood. A structured household survey used by Bellis et al. (2025) aims to capture patterns of local demographic and deprivation, including the measures of childhood socioeconomic experiences along the validated ACE instruments. Their approach enhances the comprehension of the relationship between trauma and poverty, but the cross-sectional nature limits causal interpretation. Baumeister et al. (2016) leverage systematic review and meta-analytic research approaches by drawing conclusions on the synthesis of the findings of numerous studies examining the biological mechanisms. Their methodology offers good arguments to support the physiological consequences of traumatic experiences but is limited by differences in the methodology of defining trauma, sample traits and biomarker measures of included studies. The combination of these methodologies represents the prevailing use of retrospective and cross-sectional designs in the trauma research carried out in the UK. These methods are useful, but they note the necessity of longitudinal and mixed-method studies incorporating the biological, psychological and social aspects of changes over the course of time.</w:t>
      </w:r>
    </w:p>
    <w:p w14:paraId="7052B481" w14:textId="7536678E" w:rsidR="004B6CA1" w:rsidRPr="006865FC" w:rsidRDefault="007D0956" w:rsidP="006865FC">
      <w:pPr>
        <w:spacing w:line="360" w:lineRule="auto"/>
        <w:jc w:val="both"/>
        <w:rPr>
          <w:rFonts w:ascii="Arial" w:hAnsi="Arial" w:cs="Arial"/>
          <w:b/>
          <w:bCs/>
          <w:color w:val="000000" w:themeColor="text1"/>
          <w:sz w:val="22"/>
        </w:rPr>
      </w:pPr>
      <w:r w:rsidRPr="006865FC">
        <w:rPr>
          <w:rFonts w:ascii="Arial" w:hAnsi="Arial" w:cs="Arial"/>
          <w:b/>
          <w:bCs/>
          <w:color w:val="000000" w:themeColor="text1"/>
          <w:sz w:val="22"/>
        </w:rPr>
        <w:t xml:space="preserve">Theme 3: </w:t>
      </w:r>
      <w:r w:rsidR="004B6CA1" w:rsidRPr="006865FC">
        <w:rPr>
          <w:rFonts w:ascii="Arial" w:hAnsi="Arial" w:cs="Arial"/>
          <w:b/>
          <w:bCs/>
          <w:color w:val="000000" w:themeColor="text1"/>
          <w:sz w:val="22"/>
        </w:rPr>
        <w:t>Evidence Gaps, Theoretical Limitations, and Policy/Practice Implications</w:t>
      </w:r>
    </w:p>
    <w:p w14:paraId="15588DEE" w14:textId="1D434FB2" w:rsidR="004B6CA1" w:rsidRPr="006865FC" w:rsidRDefault="004B6CA1" w:rsidP="006865FC">
      <w:pPr>
        <w:spacing w:line="360" w:lineRule="auto"/>
        <w:jc w:val="both"/>
        <w:rPr>
          <w:rFonts w:ascii="Arial" w:hAnsi="Arial" w:cs="Arial"/>
          <w:color w:val="000000" w:themeColor="text1"/>
          <w:sz w:val="22"/>
        </w:rPr>
      </w:pPr>
      <w:r w:rsidRPr="006865FC">
        <w:rPr>
          <w:rFonts w:ascii="Arial" w:hAnsi="Arial" w:cs="Arial"/>
          <w:color w:val="000000" w:themeColor="text1"/>
          <w:sz w:val="22"/>
        </w:rPr>
        <w:t xml:space="preserve">Allen et al. (2020) admit that retrospective and self-reported data on trauma restriction exist and are unable to determine the causal pathways, and they do not fully control childhood socioeconomic and family context. There is also a need for more representation of minority groups in their work to enhance generalisability. Bellis et al. (2025) highlight the disadvantages of measuring poverty in childhood and the inadequate research into the mechanisms of intergenerational reproduction of trauma and disadvantage. Their results indicate that there is a need to do studies that not only indicate the existence of adversity but also the levels of such adversity, its persistence and environmental situation. Baumeister et al. (2016) find methodological gaps in the research of biological processes, such as the definitions of trauma and laboratory procedures. This complicates the capability of making accurate conclusions on biological pathways. A combination of these constraints prompts the necessity of longitudinal studies, harmonisation of trauma measures, and biological, social and behavioural data integration. Research findings within the studies are very robust in backing the concept of </w:t>
      </w:r>
      <w:r w:rsidRPr="006865FC">
        <w:rPr>
          <w:rFonts w:ascii="Arial" w:hAnsi="Arial" w:cs="Arial"/>
          <w:color w:val="000000" w:themeColor="text1"/>
          <w:sz w:val="22"/>
        </w:rPr>
        <w:lastRenderedPageBreak/>
        <w:t>trauma-informed care in healthcare, early intervention to lessen the adverse effects, and social inequalities-focused policies. They mention the importance of the global actions of public health that acknowledge the lifelong and systemic impact of childhood trauma.</w:t>
      </w:r>
    </w:p>
    <w:p w14:paraId="6539946E" w14:textId="340524F9" w:rsidR="004B6CA1" w:rsidRPr="006865FC" w:rsidRDefault="007D0956" w:rsidP="006865FC">
      <w:pPr>
        <w:spacing w:line="360" w:lineRule="auto"/>
        <w:jc w:val="both"/>
        <w:rPr>
          <w:rFonts w:ascii="Arial" w:hAnsi="Arial" w:cs="Arial"/>
          <w:b/>
          <w:bCs/>
          <w:color w:val="000000" w:themeColor="text1"/>
          <w:sz w:val="22"/>
        </w:rPr>
      </w:pPr>
      <w:r w:rsidRPr="006865FC">
        <w:rPr>
          <w:rFonts w:ascii="Arial" w:hAnsi="Arial" w:cs="Arial"/>
          <w:b/>
          <w:bCs/>
          <w:color w:val="000000" w:themeColor="text1"/>
          <w:sz w:val="22"/>
        </w:rPr>
        <w:t xml:space="preserve">Theme 4: </w:t>
      </w:r>
      <w:r w:rsidR="004B6CA1" w:rsidRPr="006865FC">
        <w:rPr>
          <w:rFonts w:ascii="Arial" w:hAnsi="Arial" w:cs="Arial"/>
          <w:b/>
          <w:bCs/>
          <w:color w:val="000000" w:themeColor="text1"/>
          <w:sz w:val="22"/>
        </w:rPr>
        <w:t>Prevalence and Typologies of Childhood Trauma in UK Populations</w:t>
      </w:r>
    </w:p>
    <w:p w14:paraId="5045E699" w14:textId="6D002A48" w:rsidR="004B6CA1" w:rsidRPr="006865FC" w:rsidRDefault="004B6CA1" w:rsidP="006865FC">
      <w:pPr>
        <w:spacing w:line="360" w:lineRule="auto"/>
        <w:jc w:val="both"/>
        <w:rPr>
          <w:rFonts w:ascii="Arial" w:hAnsi="Arial" w:cs="Arial"/>
          <w:color w:val="000000" w:themeColor="text1"/>
          <w:sz w:val="22"/>
        </w:rPr>
      </w:pPr>
      <w:r w:rsidRPr="006865FC">
        <w:rPr>
          <w:rFonts w:ascii="Arial" w:hAnsi="Arial" w:cs="Arial"/>
          <w:color w:val="000000" w:themeColor="text1"/>
          <w:sz w:val="22"/>
        </w:rPr>
        <w:t>The UK research continuously demonstrates that childhood trauma is a broad category of adversities that cover emotional, physical and sexual abuse, neglect, dysfunction in the home and structural deprivation. According to Allen et al. (2020), childhood adversity is not a feature of clinical or marginalised populations, as all report experiences of abuse and neglect when it is included in large UK population datasets. Their discussion further reveals that various types of traumas tend to co-exist, indicating the overlapping and complex character of childhood adversity. Bellis et al. (2025) add to this complexity and show that childhood trauma often overlaps with socioeconomic disadvantage, as people brought up in deprived families are more prone to experience several negative childhood events. Despite the evidence provided by other countries, Baumeister et al. (2016) posit the domestication of trauma into the domains of abuse and neglect and prove the applicability of these typologies to the interpretation of long-term health consequences. The combined studies indicate that childhood trauma in the UK is extensive, multidimensional, and closely related to the social and economic surroundings.</w:t>
      </w:r>
    </w:p>
    <w:p w14:paraId="63C8ECBA" w14:textId="77777777" w:rsidR="00AA748E" w:rsidRPr="006865FC" w:rsidRDefault="00AA748E" w:rsidP="006865FC">
      <w:pPr>
        <w:spacing w:line="360" w:lineRule="auto"/>
        <w:jc w:val="both"/>
        <w:rPr>
          <w:rFonts w:ascii="Arial" w:hAnsi="Arial" w:cs="Arial"/>
          <w:color w:val="000000" w:themeColor="text1"/>
          <w:sz w:val="22"/>
        </w:rPr>
      </w:pPr>
    </w:p>
    <w:p w14:paraId="5C43254D" w14:textId="49C8AD3C" w:rsidR="00B87E75" w:rsidRPr="006865FC" w:rsidRDefault="00116C49" w:rsidP="006865FC">
      <w:pPr>
        <w:pStyle w:val="Heading1"/>
      </w:pPr>
      <w:bookmarkStart w:id="13" w:name="_Toc215139679"/>
      <w:r w:rsidRPr="006865FC">
        <w:t>5</w:t>
      </w:r>
      <w:r w:rsidR="00D77C9B" w:rsidRPr="006865FC">
        <w:t xml:space="preserve">. </w:t>
      </w:r>
      <w:r w:rsidR="00B87E75" w:rsidRPr="006865FC">
        <w:t>Discussion</w:t>
      </w:r>
      <w:bookmarkEnd w:id="13"/>
    </w:p>
    <w:p w14:paraId="098FD1F8" w14:textId="0FF1481F"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 xml:space="preserve">The review investigates the impact of childhood trauma on physical health in adults in the UK, and the results firmly substantiate the conclusion that childhood adversity has tangible and far-reaching effects. Through the studies reviewed, childhood trauma was found to be a multidimensional experience beyond individual incidences into emotional and physical damage, lack of care, disrupted caregiving conditions and socioeconomic deprivation. This goes in line with the wider UK and international literature that adverse childhood experiences (ACEs) </w:t>
      </w:r>
      <w:r w:rsidR="00183D41" w:rsidRPr="006865FC">
        <w:rPr>
          <w:rFonts w:ascii="Arial" w:hAnsi="Arial" w:cs="Arial"/>
          <w:sz w:val="22"/>
        </w:rPr>
        <w:t xml:space="preserve">lead to negative outcomes in adulthood. For instance, a study by Umar et al (2025) show that ACEs lead to post-traumatic stress disorder -PTSD, in adulthood. </w:t>
      </w:r>
      <w:r w:rsidRPr="006865FC">
        <w:rPr>
          <w:rFonts w:ascii="Arial" w:hAnsi="Arial" w:cs="Arial"/>
          <w:sz w:val="22"/>
        </w:rPr>
        <w:t>The results of the studies performed by Allen et al. (2020), Bellis et al. (2025), and Baumeister et al. (2016) support the review question by showing that childhood trauma exposure leads to worse physical health outcomes in adults on psychosocial mechanisms, behavioural risk factors and persisting biological stress reactions. This is reflected in their findings, which indicate that prior adversity is linked to immune dysfunction, cardiometabolic disorders, and decreased general functioning in adulthood.</w:t>
      </w:r>
    </w:p>
    <w:p w14:paraId="6D76CADE"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lastRenderedPageBreak/>
        <w:t xml:space="preserve">These findings have significant implications for health and social care. To begin with, they underline the necessity of trauma-informed primary care, mental health, and community services. The identification of the importance of early adversity may enhance the assessment practice, better patient-practitioner relationship and intervention planning. Second, the results highlight the importance of early-years support, protective measures, and specific prevention strategies to decrease the exposure to trauma and poverty among children. Interventions involving physical and mental health care uphold great significance as there are high biopsychosocial relationships evident in the literature. </w:t>
      </w:r>
    </w:p>
    <w:p w14:paraId="01519433" w14:textId="4DDDBB45"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Nevertheless, there are several limitations that will have to be recognised. The majority of UK research available is retrospective self-reports that bring in recall bias and limit the power to establish causality. Cross-sectional designs like the ones employed by Allen et al. (2020) and Bellis et al. (2025) only measure associations but cannot be used to study developmental paths. Depending on large datasets of volunteers can also reduce representativeness, especially for ethnic minority and marginalised groups. Moreover, divergence in the definition and measures of trauma, as pointed out by Baumeister et al. (2016), lowers comparability between studies.</w:t>
      </w:r>
    </w:p>
    <w:p w14:paraId="06F3EFFA" w14:textId="31AF0B38" w:rsidR="0000099B"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In general, although the results provide a strong piece of evidence in favour of the linkage between childhood trauma and physical health in adulthood, further longitudinal, multi-disciplinary and socio-culturally inclusive studies are necessary to comprehensively comprehend causal factors comprehensively and respond to them in the most effective way possible in terms of influencing overall population health.</w:t>
      </w:r>
    </w:p>
    <w:p w14:paraId="4EBA84EF" w14:textId="77777777" w:rsidR="0000099B" w:rsidRPr="006865FC" w:rsidRDefault="0000099B" w:rsidP="006865FC">
      <w:pPr>
        <w:tabs>
          <w:tab w:val="left" w:pos="6540"/>
        </w:tabs>
        <w:spacing w:line="360" w:lineRule="auto"/>
        <w:jc w:val="both"/>
        <w:rPr>
          <w:rFonts w:ascii="Arial" w:hAnsi="Arial" w:cs="Arial"/>
          <w:sz w:val="22"/>
        </w:rPr>
      </w:pPr>
    </w:p>
    <w:p w14:paraId="669A3948" w14:textId="5A32E448" w:rsidR="005E2BED" w:rsidRPr="006865FC" w:rsidRDefault="00116C49" w:rsidP="006865FC">
      <w:pPr>
        <w:pStyle w:val="Heading1"/>
      </w:pPr>
      <w:bookmarkStart w:id="14" w:name="_Toc215139680"/>
      <w:r w:rsidRPr="006865FC">
        <w:t>6</w:t>
      </w:r>
      <w:r w:rsidR="00D77C9B" w:rsidRPr="006865FC">
        <w:t xml:space="preserve">. </w:t>
      </w:r>
      <w:r w:rsidR="005E2BED" w:rsidRPr="006865FC">
        <w:t>Conclusion and Recommendations</w:t>
      </w:r>
      <w:bookmarkEnd w:id="14"/>
      <w:r w:rsidR="005E2BED" w:rsidRPr="006865FC">
        <w:t xml:space="preserve"> </w:t>
      </w:r>
    </w:p>
    <w:p w14:paraId="4594601D"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The scoping review investigated the impact of childhood trauma on the physical health of adults in the United Kingdom, basing on the results of three main studies. The data proves that the problem of childhood trauma is still prevalent in the UK population, and it is closely linked with poor physical health outcomes in adulthood. The analysed literature shows that childhood adversity is multidimensional, which includes emotional, physical, and sexual abuse, neglect, dysfunction in the household, and socioeconomic deprivation. These misfortunes often co-exist and determine patterns of vulnerability throughout life. The findings also emphasise the fact that trauma has a psychosocial, behavioural, and biological pathway to affect adult physical health, which includes such pathways as social isolation, chronic stress, unhealthy coping behaviour, and long-term physiological dysregulation, including an increase in inflammation.</w:t>
      </w:r>
    </w:p>
    <w:p w14:paraId="68381405"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lastRenderedPageBreak/>
        <w:t>Nonetheless, the evidence always shows that early adversity has a very strong correlation with long-term physical diseases, including cardiovascular disease, metabolic diseases, immune dysfunction, and multimorbidity. There are knowledge gaps regarding how trauma is cumulative, persistent and at what time and how trauma interacts with structural inequalities. These shortcomings suggest the need to conduct more longitudinal, multifaceted, and interdisciplinary research based in the UK.</w:t>
      </w:r>
    </w:p>
    <w:p w14:paraId="4A64FBB4" w14:textId="764CB768" w:rsidR="005E2BED" w:rsidRPr="006865FC" w:rsidRDefault="005E2BED" w:rsidP="006865FC">
      <w:pPr>
        <w:pStyle w:val="Heading2"/>
      </w:pPr>
      <w:r w:rsidRPr="006865FC">
        <w:t xml:space="preserve"> </w:t>
      </w:r>
      <w:bookmarkStart w:id="15" w:name="_Toc215139681"/>
      <w:r w:rsidR="00116C49" w:rsidRPr="006865FC">
        <w:t>6</w:t>
      </w:r>
      <w:r w:rsidR="00D77C9B" w:rsidRPr="006865FC">
        <w:t xml:space="preserve">.1. </w:t>
      </w:r>
      <w:r w:rsidRPr="006865FC">
        <w:t>Recommendations</w:t>
      </w:r>
      <w:bookmarkEnd w:id="15"/>
    </w:p>
    <w:p w14:paraId="1F18F3D9"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b/>
          <w:bCs/>
          <w:i/>
          <w:iCs/>
          <w:sz w:val="22"/>
        </w:rPr>
        <w:t>1. Empower trauma-informed policy and practice in UK health and social care:</w:t>
      </w:r>
      <w:r w:rsidRPr="006865FC">
        <w:rPr>
          <w:rFonts w:ascii="Arial" w:hAnsi="Arial" w:cs="Arial"/>
          <w:sz w:val="22"/>
        </w:rPr>
        <w:t xml:space="preserve"> The results justify the development of trauma-informed strategies in the NHS, in the context of the public health services, and community-based cases. More empathetic care, patient engagement, and risk identification can be achieved by training staff to realise the long-term impact of ACEs (Goddard, 2021).</w:t>
      </w:r>
    </w:p>
    <w:p w14:paraId="1B4F7BF0"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b/>
          <w:bCs/>
          <w:i/>
          <w:iCs/>
          <w:sz w:val="22"/>
        </w:rPr>
        <w:t>2. Prevention should be of high priority:</w:t>
      </w:r>
      <w:r w:rsidRPr="006865FC">
        <w:rPr>
          <w:rFonts w:ascii="Arial" w:hAnsi="Arial" w:cs="Arial"/>
          <w:sz w:val="22"/>
        </w:rPr>
        <w:t xml:space="preserve"> The policies ought to aim at alleviating child poverty, assisting the crisis families, and establishing safe and stable environments. The long-term health burden linked to trauma can be decreased by investment in early years services, parenting programmes and school-based mental health support (</w:t>
      </w:r>
      <w:proofErr w:type="spellStart"/>
      <w:r w:rsidRPr="006865FC">
        <w:rPr>
          <w:rFonts w:ascii="Arial" w:hAnsi="Arial" w:cs="Arial"/>
          <w:sz w:val="22"/>
        </w:rPr>
        <w:t>Majebi</w:t>
      </w:r>
      <w:proofErr w:type="spellEnd"/>
      <w:r w:rsidRPr="006865FC">
        <w:rPr>
          <w:rFonts w:ascii="Arial" w:hAnsi="Arial" w:cs="Arial"/>
          <w:sz w:val="22"/>
        </w:rPr>
        <w:t xml:space="preserve">, </w:t>
      </w:r>
      <w:proofErr w:type="spellStart"/>
      <w:r w:rsidRPr="006865FC">
        <w:rPr>
          <w:rFonts w:ascii="Arial" w:hAnsi="Arial" w:cs="Arial"/>
          <w:sz w:val="22"/>
        </w:rPr>
        <w:t>Adelodun</w:t>
      </w:r>
      <w:proofErr w:type="spellEnd"/>
      <w:r w:rsidRPr="006865FC">
        <w:rPr>
          <w:rFonts w:ascii="Arial" w:hAnsi="Arial" w:cs="Arial"/>
          <w:sz w:val="22"/>
        </w:rPr>
        <w:t>, and Anyanwu, 2024).</w:t>
      </w:r>
    </w:p>
    <w:p w14:paraId="53527131" w14:textId="3E7C82E5"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b/>
          <w:bCs/>
          <w:i/>
          <w:iCs/>
          <w:sz w:val="22"/>
        </w:rPr>
        <w:t>3. Foster multidisciplinary, integrated medical care:</w:t>
      </w:r>
      <w:r w:rsidRPr="006865FC">
        <w:rPr>
          <w:rFonts w:ascii="Arial" w:hAnsi="Arial" w:cs="Arial"/>
          <w:sz w:val="22"/>
        </w:rPr>
        <w:t xml:space="preserve"> Adults who experienced childhood trauma tend to have complicated physical and psychosocial needs. The way forward would be to establish collaborative models which connect primary care, mental health services, social care, and community organisations to address these interlaced issues (Noel et al., 2022).</w:t>
      </w:r>
    </w:p>
    <w:p w14:paraId="1CCD37D3"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b/>
          <w:bCs/>
          <w:i/>
          <w:iCs/>
          <w:sz w:val="22"/>
        </w:rPr>
        <w:t>4. Fund prospective longitudinal, biologically informed research:</w:t>
      </w:r>
      <w:r w:rsidRPr="006865FC">
        <w:rPr>
          <w:rFonts w:ascii="Arial" w:hAnsi="Arial" w:cs="Arial"/>
          <w:sz w:val="22"/>
        </w:rPr>
        <w:t xml:space="preserve"> To elucidate the causal pathways, UK studies should involve biomarkers, in-depth socioeconomic information, a wide range of participants, and long-term follow-ups to gain full knowledge of the mechanisms through which trauma is related to adult health (Brodbeck et al., 2022).</w:t>
      </w:r>
    </w:p>
    <w:p w14:paraId="07E35706" w14:textId="77777777" w:rsidR="005E2BED" w:rsidRPr="006865FC" w:rsidRDefault="005E2BED" w:rsidP="006865FC">
      <w:pPr>
        <w:tabs>
          <w:tab w:val="left" w:pos="6540"/>
        </w:tabs>
        <w:spacing w:line="360" w:lineRule="auto"/>
        <w:jc w:val="both"/>
        <w:rPr>
          <w:rFonts w:ascii="Arial" w:hAnsi="Arial" w:cs="Arial"/>
          <w:sz w:val="22"/>
        </w:rPr>
      </w:pPr>
      <w:r w:rsidRPr="006865FC">
        <w:rPr>
          <w:rFonts w:ascii="Arial" w:hAnsi="Arial" w:cs="Arial"/>
          <w:sz w:val="22"/>
        </w:rPr>
        <w:t>Comprehensively, the issue of childhood trauma is a clinical one, yet a focus of public health to diminish inequalities and enhance long-term health outcomes in the UK.</w:t>
      </w:r>
    </w:p>
    <w:p w14:paraId="2EA79F39" w14:textId="77777777" w:rsidR="00CB0F43" w:rsidRPr="006865FC" w:rsidRDefault="00CB0F43" w:rsidP="006865FC">
      <w:pPr>
        <w:tabs>
          <w:tab w:val="left" w:pos="6540"/>
        </w:tabs>
        <w:spacing w:line="360" w:lineRule="auto"/>
        <w:jc w:val="both"/>
        <w:rPr>
          <w:rFonts w:ascii="Arial" w:hAnsi="Arial" w:cs="Arial"/>
          <w:sz w:val="22"/>
        </w:rPr>
      </w:pPr>
    </w:p>
    <w:p w14:paraId="036B27EE" w14:textId="77777777" w:rsidR="004B6CA1" w:rsidRPr="006865FC" w:rsidRDefault="004B6CA1" w:rsidP="006865FC">
      <w:pPr>
        <w:tabs>
          <w:tab w:val="left" w:pos="6540"/>
        </w:tabs>
        <w:spacing w:line="360" w:lineRule="auto"/>
        <w:jc w:val="both"/>
        <w:rPr>
          <w:rFonts w:ascii="Arial" w:hAnsi="Arial" w:cs="Arial"/>
          <w:sz w:val="22"/>
        </w:rPr>
      </w:pPr>
    </w:p>
    <w:p w14:paraId="6EAD5275" w14:textId="77777777" w:rsidR="00542D6B" w:rsidRPr="0011184F" w:rsidRDefault="00542D6B" w:rsidP="0011184F">
      <w:pPr>
        <w:tabs>
          <w:tab w:val="left" w:pos="6540"/>
        </w:tabs>
        <w:spacing w:line="360" w:lineRule="auto"/>
        <w:jc w:val="both"/>
        <w:rPr>
          <w:rFonts w:ascii="Arial" w:hAnsi="Arial" w:cs="Arial"/>
          <w:sz w:val="22"/>
        </w:rPr>
      </w:pPr>
    </w:p>
    <w:p w14:paraId="0EB0C306" w14:textId="77777777" w:rsidR="004B6CA1" w:rsidRDefault="004B6CA1" w:rsidP="0011184F">
      <w:pPr>
        <w:tabs>
          <w:tab w:val="left" w:pos="6540"/>
        </w:tabs>
        <w:spacing w:line="360" w:lineRule="auto"/>
        <w:jc w:val="both"/>
        <w:rPr>
          <w:rFonts w:ascii="Arial" w:hAnsi="Arial" w:cs="Arial"/>
          <w:sz w:val="22"/>
        </w:rPr>
      </w:pPr>
    </w:p>
    <w:p w14:paraId="5DA2FB7F" w14:textId="6E5E68E2" w:rsidR="00FB387E" w:rsidRDefault="0093412A" w:rsidP="00AA748E">
      <w:pPr>
        <w:pStyle w:val="Heading1"/>
      </w:pPr>
      <w:bookmarkStart w:id="16" w:name="_Toc215139682"/>
      <w:r w:rsidRPr="0011184F">
        <w:lastRenderedPageBreak/>
        <w:t>References</w:t>
      </w:r>
      <w:bookmarkEnd w:id="16"/>
    </w:p>
    <w:p w14:paraId="1186461B" w14:textId="77777777" w:rsidR="00542D6B" w:rsidRPr="000F4741" w:rsidRDefault="00542D6B" w:rsidP="000F4741">
      <w:pPr>
        <w:tabs>
          <w:tab w:val="left" w:pos="6540"/>
        </w:tabs>
        <w:spacing w:line="360" w:lineRule="auto"/>
        <w:jc w:val="both"/>
        <w:rPr>
          <w:rFonts w:ascii="Arial" w:hAnsi="Arial" w:cs="Arial"/>
          <w:sz w:val="22"/>
        </w:rPr>
      </w:pPr>
    </w:p>
    <w:p w14:paraId="37BDA6E5" w14:textId="77777777" w:rsidR="00542D6B" w:rsidRPr="000F4741" w:rsidRDefault="00542D6B" w:rsidP="000F4741">
      <w:pPr>
        <w:spacing w:line="360" w:lineRule="auto"/>
        <w:jc w:val="both"/>
        <w:rPr>
          <w:rFonts w:ascii="Arial" w:hAnsi="Arial" w:cs="Arial"/>
          <w:sz w:val="22"/>
        </w:rPr>
      </w:pPr>
      <w:r w:rsidRPr="000F4741">
        <w:rPr>
          <w:rFonts w:ascii="Arial" w:hAnsi="Arial" w:cs="Arial"/>
          <w:sz w:val="22"/>
        </w:rPr>
        <w:t xml:space="preserve">Allen, S.F. </w:t>
      </w:r>
      <w:r w:rsidRPr="000F4741">
        <w:rPr>
          <w:rFonts w:ascii="Arial" w:hAnsi="Arial" w:cs="Arial"/>
          <w:i/>
          <w:iCs/>
          <w:sz w:val="22"/>
        </w:rPr>
        <w:t>et al.</w:t>
      </w:r>
      <w:r w:rsidRPr="000F4741">
        <w:rPr>
          <w:rFonts w:ascii="Arial" w:hAnsi="Arial" w:cs="Arial"/>
          <w:sz w:val="22"/>
        </w:rPr>
        <w:t xml:space="preserve"> (2020) ‘The associations between loneliness, social exclusion and pain in the general population: A N=502,528 cross-sectional UK Biobank study’, </w:t>
      </w:r>
      <w:r w:rsidRPr="000F4741">
        <w:rPr>
          <w:rFonts w:ascii="Arial" w:hAnsi="Arial" w:cs="Arial"/>
          <w:i/>
          <w:iCs/>
          <w:sz w:val="22"/>
        </w:rPr>
        <w:t>Journal of psychiatric research</w:t>
      </w:r>
      <w:r w:rsidRPr="000F4741">
        <w:rPr>
          <w:rFonts w:ascii="Arial" w:hAnsi="Arial" w:cs="Arial"/>
          <w:sz w:val="22"/>
        </w:rPr>
        <w:t xml:space="preserve">, 130, pp. 68–74. Available at: </w:t>
      </w:r>
      <w:hyperlink r:id="rId12" w:history="1">
        <w:r w:rsidRPr="000F4741">
          <w:rPr>
            <w:rStyle w:val="Hyperlink"/>
            <w:rFonts w:ascii="Arial" w:hAnsi="Arial" w:cs="Arial"/>
            <w:sz w:val="22"/>
          </w:rPr>
          <w:t>https://doi.org/10.1016/j.jpsychires.2020.06.028</w:t>
        </w:r>
      </w:hyperlink>
      <w:r w:rsidRPr="000F4741">
        <w:rPr>
          <w:rFonts w:ascii="Arial" w:hAnsi="Arial" w:cs="Arial"/>
          <w:sz w:val="22"/>
        </w:rPr>
        <w:t xml:space="preserve"> </w:t>
      </w:r>
    </w:p>
    <w:p w14:paraId="01B8663A" w14:textId="77777777" w:rsidR="00542D6B" w:rsidRPr="000F4741" w:rsidRDefault="00542D6B" w:rsidP="000F4741">
      <w:pPr>
        <w:tabs>
          <w:tab w:val="left" w:pos="6540"/>
        </w:tabs>
        <w:spacing w:line="360" w:lineRule="auto"/>
        <w:jc w:val="both"/>
        <w:rPr>
          <w:rFonts w:ascii="Arial" w:hAnsi="Arial" w:cs="Arial"/>
          <w:sz w:val="22"/>
        </w:rPr>
      </w:pPr>
      <w:r w:rsidRPr="000F4741">
        <w:rPr>
          <w:rFonts w:ascii="Arial" w:hAnsi="Arial" w:cs="Arial"/>
          <w:sz w:val="22"/>
        </w:rPr>
        <w:t xml:space="preserve">Arksey, H. and </w:t>
      </w:r>
      <w:proofErr w:type="spellStart"/>
      <w:r w:rsidRPr="000F4741">
        <w:rPr>
          <w:rFonts w:ascii="Arial" w:hAnsi="Arial" w:cs="Arial"/>
          <w:sz w:val="22"/>
        </w:rPr>
        <w:t>O'malley</w:t>
      </w:r>
      <w:proofErr w:type="spellEnd"/>
      <w:r w:rsidRPr="000F4741">
        <w:rPr>
          <w:rFonts w:ascii="Arial" w:hAnsi="Arial" w:cs="Arial"/>
          <w:sz w:val="22"/>
        </w:rPr>
        <w:t xml:space="preserve">, L., 2005. Scoping studies: towards a methodological framework. </w:t>
      </w:r>
      <w:r w:rsidRPr="000F4741">
        <w:rPr>
          <w:rFonts w:ascii="Arial" w:hAnsi="Arial" w:cs="Arial"/>
          <w:i/>
          <w:iCs/>
          <w:sz w:val="22"/>
        </w:rPr>
        <w:t>International journal of social research methodology</w:t>
      </w:r>
      <w:r w:rsidRPr="000F4741">
        <w:rPr>
          <w:rFonts w:ascii="Arial" w:hAnsi="Arial" w:cs="Arial"/>
          <w:sz w:val="22"/>
        </w:rPr>
        <w:t xml:space="preserve">, </w:t>
      </w:r>
      <w:r w:rsidRPr="000F4741">
        <w:rPr>
          <w:rFonts w:ascii="Arial" w:hAnsi="Arial" w:cs="Arial"/>
          <w:i/>
          <w:iCs/>
          <w:sz w:val="22"/>
        </w:rPr>
        <w:t>8</w:t>
      </w:r>
      <w:r w:rsidRPr="000F4741">
        <w:rPr>
          <w:rFonts w:ascii="Arial" w:hAnsi="Arial" w:cs="Arial"/>
          <w:sz w:val="22"/>
        </w:rPr>
        <w:t>(1), pp.19-32.</w:t>
      </w:r>
      <w:r w:rsidRPr="000F4741">
        <w:rPr>
          <w:rFonts w:ascii="Arial" w:hAnsi="Arial" w:cs="Arial"/>
          <w:sz w:val="22"/>
          <w:u w:val="single"/>
        </w:rPr>
        <w:t xml:space="preserve"> </w:t>
      </w:r>
      <w:r w:rsidRPr="000F4741">
        <w:rPr>
          <w:rFonts w:ascii="Arial" w:hAnsi="Arial" w:cs="Arial"/>
          <w:sz w:val="22"/>
        </w:rPr>
        <w:t>Available at:</w:t>
      </w:r>
      <w:hyperlink r:id="rId13">
        <w:r w:rsidRPr="000F4741">
          <w:rPr>
            <w:rStyle w:val="Hyperlink"/>
            <w:rFonts w:ascii="Arial" w:hAnsi="Arial" w:cs="Arial"/>
            <w:sz w:val="22"/>
          </w:rPr>
          <w:t xml:space="preserve"> </w:t>
        </w:r>
      </w:hyperlink>
      <w:r w:rsidRPr="000F4741">
        <w:rPr>
          <w:rFonts w:ascii="Arial" w:hAnsi="Arial" w:cs="Arial"/>
          <w:sz w:val="22"/>
          <w:u w:val="single"/>
        </w:rPr>
        <w:t xml:space="preserve"> </w:t>
      </w:r>
      <w:hyperlink r:id="rId14" w:history="1">
        <w:r w:rsidRPr="000F4741">
          <w:rPr>
            <w:rStyle w:val="Hyperlink"/>
            <w:rFonts w:ascii="Arial" w:hAnsi="Arial" w:cs="Arial"/>
            <w:sz w:val="22"/>
          </w:rPr>
          <w:t>https://doi.org/10.1080/1364557032000119616</w:t>
        </w:r>
      </w:hyperlink>
      <w:r w:rsidRPr="000F4741">
        <w:rPr>
          <w:rFonts w:ascii="Arial" w:hAnsi="Arial" w:cs="Arial"/>
          <w:sz w:val="22"/>
          <w:u w:val="single"/>
        </w:rPr>
        <w:t xml:space="preserve"> </w:t>
      </w:r>
    </w:p>
    <w:p w14:paraId="1A367A0B" w14:textId="77777777" w:rsidR="00542D6B" w:rsidRPr="000F4741" w:rsidRDefault="00542D6B" w:rsidP="000F4741">
      <w:pPr>
        <w:tabs>
          <w:tab w:val="left" w:pos="6540"/>
        </w:tabs>
        <w:spacing w:line="360" w:lineRule="auto"/>
        <w:jc w:val="both"/>
        <w:rPr>
          <w:rFonts w:ascii="Arial" w:hAnsi="Arial" w:cs="Arial"/>
          <w:sz w:val="22"/>
          <w:u w:val="single"/>
        </w:rPr>
      </w:pPr>
      <w:r w:rsidRPr="000F4741">
        <w:rPr>
          <w:rFonts w:ascii="Arial" w:hAnsi="Arial" w:cs="Arial"/>
          <w:sz w:val="22"/>
        </w:rPr>
        <w:t xml:space="preserve">Barajas-Gonzalez, R.G., </w:t>
      </w:r>
      <w:proofErr w:type="spellStart"/>
      <w:r w:rsidRPr="000F4741">
        <w:rPr>
          <w:rFonts w:ascii="Arial" w:hAnsi="Arial" w:cs="Arial"/>
          <w:sz w:val="22"/>
        </w:rPr>
        <w:t>Ayón</w:t>
      </w:r>
      <w:proofErr w:type="spellEnd"/>
      <w:r w:rsidRPr="000F4741">
        <w:rPr>
          <w:rFonts w:ascii="Arial" w:hAnsi="Arial" w:cs="Arial"/>
          <w:sz w:val="22"/>
        </w:rPr>
        <w:t xml:space="preserve">, C., Brabeck, K., Rojas-Flores, L. and Valdez, C.R., 2021. An ecological expansion of the adverse childhood experiences (ACEs) framework to include threat and deprivation associated with US immigration policies and enforcement practices: An examination of the Latinx immigrant experience. </w:t>
      </w:r>
      <w:r w:rsidRPr="000F4741">
        <w:rPr>
          <w:rFonts w:ascii="Arial" w:hAnsi="Arial" w:cs="Arial"/>
          <w:i/>
          <w:iCs/>
          <w:sz w:val="22"/>
        </w:rPr>
        <w:t>Social Science &amp; Medicine</w:t>
      </w:r>
      <w:r w:rsidRPr="000F4741">
        <w:rPr>
          <w:rFonts w:ascii="Arial" w:hAnsi="Arial" w:cs="Arial"/>
          <w:sz w:val="22"/>
        </w:rPr>
        <w:t xml:space="preserve">, </w:t>
      </w:r>
      <w:r w:rsidRPr="000F4741">
        <w:rPr>
          <w:rFonts w:ascii="Arial" w:hAnsi="Arial" w:cs="Arial"/>
          <w:i/>
          <w:iCs/>
          <w:sz w:val="22"/>
        </w:rPr>
        <w:t>282</w:t>
      </w:r>
      <w:r w:rsidRPr="000F4741">
        <w:rPr>
          <w:rFonts w:ascii="Arial" w:hAnsi="Arial" w:cs="Arial"/>
          <w:sz w:val="22"/>
        </w:rPr>
        <w:t>, p.114126.</w:t>
      </w:r>
      <w:r w:rsidRPr="000F4741">
        <w:rPr>
          <w:rFonts w:ascii="Arial" w:hAnsi="Arial" w:cs="Arial"/>
          <w:sz w:val="22"/>
          <w:u w:val="single"/>
        </w:rPr>
        <w:t xml:space="preserve"> </w:t>
      </w:r>
      <w:r w:rsidRPr="000F4741">
        <w:rPr>
          <w:rFonts w:ascii="Arial" w:hAnsi="Arial" w:cs="Arial"/>
          <w:sz w:val="22"/>
        </w:rPr>
        <w:t>Available at:</w:t>
      </w:r>
      <w:hyperlink r:id="rId15">
        <w:r w:rsidRPr="000F4741">
          <w:rPr>
            <w:rStyle w:val="Hyperlink"/>
            <w:rFonts w:ascii="Arial" w:hAnsi="Arial" w:cs="Arial"/>
            <w:sz w:val="22"/>
          </w:rPr>
          <w:t xml:space="preserve"> </w:t>
        </w:r>
      </w:hyperlink>
      <w:hyperlink r:id="rId16">
        <w:r w:rsidRPr="000F4741">
          <w:rPr>
            <w:rStyle w:val="Hyperlink"/>
            <w:rFonts w:ascii="Arial" w:hAnsi="Arial" w:cs="Arial"/>
            <w:sz w:val="22"/>
          </w:rPr>
          <w:t>https://doi.org/10.1016/j.socscimed.2021.114126</w:t>
        </w:r>
      </w:hyperlink>
      <w:r w:rsidRPr="000F4741">
        <w:rPr>
          <w:rFonts w:ascii="Arial" w:hAnsi="Arial" w:cs="Arial"/>
          <w:sz w:val="22"/>
          <w:u w:val="single"/>
        </w:rPr>
        <w:t xml:space="preserve"> </w:t>
      </w:r>
    </w:p>
    <w:p w14:paraId="36F4A99A" w14:textId="77777777" w:rsidR="00542D6B" w:rsidRPr="00781BEE" w:rsidRDefault="00542D6B" w:rsidP="000F4741">
      <w:pPr>
        <w:tabs>
          <w:tab w:val="left" w:pos="6540"/>
        </w:tabs>
        <w:spacing w:line="360" w:lineRule="auto"/>
        <w:jc w:val="both"/>
        <w:rPr>
          <w:rFonts w:ascii="Arial" w:hAnsi="Arial" w:cs="Arial"/>
          <w:sz w:val="22"/>
        </w:rPr>
      </w:pPr>
      <w:r w:rsidRPr="00781BEE">
        <w:rPr>
          <w:rFonts w:ascii="Arial" w:hAnsi="Arial" w:cs="Arial"/>
          <w:sz w:val="22"/>
        </w:rPr>
        <w:t xml:space="preserve">Baumeister, D. </w:t>
      </w:r>
      <w:r w:rsidRPr="00781BEE">
        <w:rPr>
          <w:rFonts w:ascii="Arial" w:hAnsi="Arial" w:cs="Arial"/>
          <w:i/>
          <w:iCs/>
          <w:sz w:val="22"/>
        </w:rPr>
        <w:t>et al.</w:t>
      </w:r>
      <w:r w:rsidRPr="00781BEE">
        <w:rPr>
          <w:rFonts w:ascii="Arial" w:hAnsi="Arial" w:cs="Arial"/>
          <w:sz w:val="22"/>
        </w:rPr>
        <w:t xml:space="preserve"> (2016) ‘Childhood trauma and adulthood inflammation: a meta-analysis of peripheral C-reactive protein, interleukin-6 and tumour necrosis factor-α’, </w:t>
      </w:r>
      <w:r w:rsidRPr="00781BEE">
        <w:rPr>
          <w:rFonts w:ascii="Arial" w:hAnsi="Arial" w:cs="Arial"/>
          <w:i/>
          <w:iCs/>
          <w:sz w:val="22"/>
        </w:rPr>
        <w:t>Molecular psychiatry</w:t>
      </w:r>
      <w:r w:rsidRPr="00781BEE">
        <w:rPr>
          <w:rFonts w:ascii="Arial" w:hAnsi="Arial" w:cs="Arial"/>
          <w:sz w:val="22"/>
        </w:rPr>
        <w:t xml:space="preserve">, 21(5), pp. 642–649. Available at: </w:t>
      </w:r>
      <w:hyperlink r:id="rId17" w:history="1">
        <w:r w:rsidRPr="00781BEE">
          <w:rPr>
            <w:rStyle w:val="Hyperlink"/>
            <w:rFonts w:ascii="Arial" w:hAnsi="Arial" w:cs="Arial"/>
            <w:sz w:val="22"/>
          </w:rPr>
          <w:t>https://doi.org/10.1038/mp.2015.67</w:t>
        </w:r>
      </w:hyperlink>
      <w:r w:rsidRPr="000F4741">
        <w:rPr>
          <w:rFonts w:ascii="Arial" w:hAnsi="Arial" w:cs="Arial"/>
          <w:sz w:val="22"/>
        </w:rPr>
        <w:t xml:space="preserve"> </w:t>
      </w:r>
    </w:p>
    <w:p w14:paraId="631B4CDD" w14:textId="77777777" w:rsidR="00542D6B" w:rsidRPr="00781BEE" w:rsidRDefault="00542D6B" w:rsidP="000F4741">
      <w:pPr>
        <w:tabs>
          <w:tab w:val="left" w:pos="6540"/>
        </w:tabs>
        <w:spacing w:line="360" w:lineRule="auto"/>
        <w:jc w:val="both"/>
        <w:rPr>
          <w:rFonts w:ascii="Arial" w:hAnsi="Arial" w:cs="Arial"/>
          <w:sz w:val="22"/>
        </w:rPr>
      </w:pPr>
      <w:r w:rsidRPr="00781BEE">
        <w:rPr>
          <w:rFonts w:ascii="Arial" w:hAnsi="Arial" w:cs="Arial"/>
          <w:sz w:val="22"/>
        </w:rPr>
        <w:t xml:space="preserve">Bellis, M.A. </w:t>
      </w:r>
      <w:r w:rsidRPr="00781BEE">
        <w:rPr>
          <w:rFonts w:ascii="Arial" w:hAnsi="Arial" w:cs="Arial"/>
          <w:i/>
          <w:iCs/>
          <w:sz w:val="22"/>
        </w:rPr>
        <w:t>et al.</w:t>
      </w:r>
      <w:r w:rsidRPr="00781BEE">
        <w:rPr>
          <w:rFonts w:ascii="Arial" w:hAnsi="Arial" w:cs="Arial"/>
          <w:sz w:val="22"/>
        </w:rPr>
        <w:t xml:space="preserve"> (2025) ‘Relative and combined contributions of adverse childhood experiences and self-reported child poverty to health and economic outcomes in adults – a retrospective study in a UK region’, </w:t>
      </w:r>
      <w:r w:rsidRPr="00781BEE">
        <w:rPr>
          <w:rFonts w:ascii="Arial" w:hAnsi="Arial" w:cs="Arial"/>
          <w:i/>
          <w:iCs/>
          <w:sz w:val="22"/>
        </w:rPr>
        <w:t>BMC public health</w:t>
      </w:r>
      <w:r w:rsidRPr="00781BEE">
        <w:rPr>
          <w:rFonts w:ascii="Arial" w:hAnsi="Arial" w:cs="Arial"/>
          <w:sz w:val="22"/>
        </w:rPr>
        <w:t xml:space="preserve">, 25(1). Available at: </w:t>
      </w:r>
      <w:hyperlink r:id="rId18" w:history="1">
        <w:r w:rsidRPr="00781BEE">
          <w:rPr>
            <w:rStyle w:val="Hyperlink"/>
            <w:rFonts w:ascii="Arial" w:hAnsi="Arial" w:cs="Arial"/>
            <w:sz w:val="22"/>
          </w:rPr>
          <w:t>https://doi.org/10.1186/s12889-025-23938-z</w:t>
        </w:r>
      </w:hyperlink>
      <w:r w:rsidRPr="000F4741">
        <w:rPr>
          <w:rFonts w:ascii="Arial" w:hAnsi="Arial" w:cs="Arial"/>
          <w:sz w:val="22"/>
        </w:rPr>
        <w:t xml:space="preserve"> </w:t>
      </w:r>
    </w:p>
    <w:p w14:paraId="2960A4E9" w14:textId="77777777" w:rsidR="00542D6B" w:rsidRPr="000F4741" w:rsidRDefault="00542D6B" w:rsidP="000F4741">
      <w:pPr>
        <w:tabs>
          <w:tab w:val="left" w:pos="6540"/>
        </w:tabs>
        <w:spacing w:line="360" w:lineRule="auto"/>
        <w:jc w:val="both"/>
        <w:rPr>
          <w:rFonts w:ascii="Arial" w:hAnsi="Arial" w:cs="Arial"/>
          <w:sz w:val="22"/>
        </w:rPr>
      </w:pPr>
      <w:r w:rsidRPr="000F4741">
        <w:rPr>
          <w:rFonts w:ascii="Arial" w:hAnsi="Arial" w:cs="Arial"/>
          <w:sz w:val="22"/>
        </w:rPr>
        <w:t>Braun, V. and Clarke, V., 2021. Thematic analysis: A practical guide. Available at:</w:t>
      </w:r>
      <w:hyperlink r:id="rId19">
        <w:r w:rsidRPr="000F4741">
          <w:rPr>
            <w:rStyle w:val="Hyperlink"/>
            <w:rFonts w:ascii="Arial" w:hAnsi="Arial" w:cs="Arial"/>
            <w:sz w:val="22"/>
          </w:rPr>
          <w:t xml:space="preserve"> </w:t>
        </w:r>
      </w:hyperlink>
      <w:hyperlink r:id="rId20">
        <w:r w:rsidRPr="000F4741">
          <w:rPr>
            <w:rStyle w:val="Hyperlink"/>
            <w:rFonts w:ascii="Arial" w:hAnsi="Arial" w:cs="Arial"/>
            <w:sz w:val="22"/>
          </w:rPr>
          <w:t>https://www.torrossa.com/it/resources/an/5282292</w:t>
        </w:r>
      </w:hyperlink>
      <w:r w:rsidRPr="000F4741">
        <w:rPr>
          <w:rFonts w:ascii="Arial" w:hAnsi="Arial" w:cs="Arial"/>
          <w:sz w:val="22"/>
          <w:u w:val="single"/>
        </w:rPr>
        <w:t xml:space="preserve"> </w:t>
      </w:r>
    </w:p>
    <w:p w14:paraId="7BA34453" w14:textId="77777777" w:rsidR="00542D6B" w:rsidRDefault="00542D6B" w:rsidP="0011184F">
      <w:pPr>
        <w:tabs>
          <w:tab w:val="left" w:pos="6540"/>
        </w:tabs>
        <w:spacing w:line="360" w:lineRule="auto"/>
        <w:jc w:val="both"/>
        <w:rPr>
          <w:rFonts w:ascii="Arial" w:hAnsi="Arial" w:cs="Arial"/>
          <w:sz w:val="22"/>
        </w:rPr>
      </w:pPr>
      <w:r w:rsidRPr="00FB387E">
        <w:rPr>
          <w:rFonts w:ascii="Arial" w:hAnsi="Arial" w:cs="Arial"/>
          <w:sz w:val="22"/>
        </w:rPr>
        <w:t>British Healthcare Business Intelligence Association (2020) BHBIA Data Analytics Guidelines Secondary Data-Ethical Principles. Available at: https:</w:t>
      </w:r>
      <w:hyperlink r:id="rId21">
        <w:r w:rsidRPr="00FB387E">
          <w:rPr>
            <w:rStyle w:val="Hyperlink"/>
            <w:rFonts w:ascii="Arial" w:hAnsi="Arial" w:cs="Arial"/>
            <w:sz w:val="22"/>
          </w:rPr>
          <w:t xml:space="preserve"> www.bhbia.org.uk/assest/Downloads/Guidelines/4_secondry data ethical principles_aug2020_fv.PDF</w:t>
        </w:r>
      </w:hyperlink>
      <w:r w:rsidRPr="00FB387E">
        <w:rPr>
          <w:rFonts w:ascii="Arial" w:hAnsi="Arial" w:cs="Arial"/>
          <w:sz w:val="22"/>
        </w:rPr>
        <w:t xml:space="preserve">  </w:t>
      </w:r>
      <w:r w:rsidRPr="0011184F">
        <w:rPr>
          <w:rFonts w:ascii="Arial" w:hAnsi="Arial" w:cs="Arial"/>
          <w:sz w:val="22"/>
        </w:rPr>
        <w:t>(</w:t>
      </w:r>
      <w:r w:rsidRPr="00FB387E">
        <w:rPr>
          <w:rFonts w:ascii="Arial" w:hAnsi="Arial" w:cs="Arial"/>
          <w:sz w:val="22"/>
        </w:rPr>
        <w:t xml:space="preserve">Accessed: </w:t>
      </w:r>
      <w:r>
        <w:rPr>
          <w:rFonts w:ascii="Arial" w:hAnsi="Arial" w:cs="Arial"/>
          <w:sz w:val="22"/>
        </w:rPr>
        <w:t>18</w:t>
      </w:r>
      <w:r w:rsidRPr="00FB387E">
        <w:rPr>
          <w:rFonts w:ascii="Arial" w:hAnsi="Arial" w:cs="Arial"/>
          <w:sz w:val="22"/>
        </w:rPr>
        <w:t>th November, 2025</w:t>
      </w:r>
      <w:r w:rsidRPr="0011184F">
        <w:rPr>
          <w:rFonts w:ascii="Arial" w:hAnsi="Arial" w:cs="Arial"/>
          <w:sz w:val="22"/>
        </w:rPr>
        <w:t>)</w:t>
      </w:r>
      <w:r w:rsidRPr="00FB387E">
        <w:rPr>
          <w:rFonts w:ascii="Arial" w:hAnsi="Arial" w:cs="Arial"/>
          <w:sz w:val="22"/>
        </w:rPr>
        <w:t xml:space="preserve"> </w:t>
      </w:r>
    </w:p>
    <w:p w14:paraId="41812182" w14:textId="77777777" w:rsidR="00542D6B" w:rsidRPr="000F4741" w:rsidRDefault="00542D6B" w:rsidP="000F4741">
      <w:pPr>
        <w:tabs>
          <w:tab w:val="left" w:pos="6540"/>
        </w:tabs>
        <w:spacing w:line="360" w:lineRule="auto"/>
        <w:jc w:val="both"/>
        <w:rPr>
          <w:rFonts w:ascii="Arial" w:hAnsi="Arial" w:cs="Arial"/>
          <w:sz w:val="22"/>
        </w:rPr>
      </w:pPr>
      <w:r w:rsidRPr="000F4741">
        <w:rPr>
          <w:rFonts w:ascii="Arial" w:hAnsi="Arial" w:cs="Arial"/>
          <w:sz w:val="22"/>
        </w:rPr>
        <w:t xml:space="preserve">Brodbeck, J. </w:t>
      </w:r>
      <w:r w:rsidRPr="000F4741">
        <w:rPr>
          <w:rFonts w:ascii="Arial" w:hAnsi="Arial" w:cs="Arial"/>
          <w:i/>
          <w:iCs/>
          <w:sz w:val="22"/>
        </w:rPr>
        <w:t>et al.</w:t>
      </w:r>
      <w:r w:rsidRPr="000F4741">
        <w:rPr>
          <w:rFonts w:ascii="Arial" w:hAnsi="Arial" w:cs="Arial"/>
          <w:sz w:val="22"/>
        </w:rPr>
        <w:t xml:space="preserve"> (2022) ‘Investigating emotion regulation and social information processing as mechanisms linking adverse childhood experiences with psychosocial functioning in young </w:t>
      </w:r>
      <w:proofErr w:type="spellStart"/>
      <w:r w:rsidRPr="000F4741">
        <w:rPr>
          <w:rFonts w:ascii="Arial" w:hAnsi="Arial" w:cs="Arial"/>
          <w:sz w:val="22"/>
        </w:rPr>
        <w:t>swiss</w:t>
      </w:r>
      <w:proofErr w:type="spellEnd"/>
      <w:r w:rsidRPr="000F4741">
        <w:rPr>
          <w:rFonts w:ascii="Arial" w:hAnsi="Arial" w:cs="Arial"/>
          <w:sz w:val="22"/>
        </w:rPr>
        <w:t xml:space="preserve"> adults: the FACE epidemiological accelerated cohort study’, </w:t>
      </w:r>
      <w:r w:rsidRPr="000F4741">
        <w:rPr>
          <w:rFonts w:ascii="Arial" w:hAnsi="Arial" w:cs="Arial"/>
          <w:i/>
          <w:iCs/>
          <w:sz w:val="22"/>
        </w:rPr>
        <w:t>BMC Psychology</w:t>
      </w:r>
      <w:r w:rsidRPr="000F4741">
        <w:rPr>
          <w:rFonts w:ascii="Arial" w:hAnsi="Arial" w:cs="Arial"/>
          <w:sz w:val="22"/>
        </w:rPr>
        <w:t xml:space="preserve">, 10(1). Available at: </w:t>
      </w:r>
      <w:hyperlink r:id="rId22" w:history="1">
        <w:r w:rsidRPr="000F4741">
          <w:rPr>
            <w:rStyle w:val="Hyperlink"/>
            <w:rFonts w:ascii="Arial" w:hAnsi="Arial" w:cs="Arial"/>
            <w:sz w:val="22"/>
          </w:rPr>
          <w:t>https://doi.org/10.1186/s40359-022-00798-5</w:t>
        </w:r>
      </w:hyperlink>
      <w:r>
        <w:rPr>
          <w:rFonts w:ascii="Arial" w:hAnsi="Arial" w:cs="Arial"/>
          <w:sz w:val="22"/>
        </w:rPr>
        <w:t xml:space="preserve"> </w:t>
      </w:r>
    </w:p>
    <w:p w14:paraId="11EF4DB9" w14:textId="77777777" w:rsidR="00542D6B" w:rsidRDefault="00542D6B" w:rsidP="0011184F">
      <w:pPr>
        <w:tabs>
          <w:tab w:val="left" w:pos="6540"/>
        </w:tabs>
        <w:spacing w:line="360" w:lineRule="auto"/>
        <w:jc w:val="both"/>
        <w:rPr>
          <w:rFonts w:ascii="Arial" w:hAnsi="Arial" w:cs="Arial"/>
          <w:sz w:val="22"/>
        </w:rPr>
      </w:pPr>
      <w:r w:rsidRPr="00FB387E">
        <w:rPr>
          <w:rFonts w:ascii="Arial" w:hAnsi="Arial" w:cs="Arial"/>
          <w:sz w:val="22"/>
        </w:rPr>
        <w:t xml:space="preserve">Brown, T. (2024). </w:t>
      </w:r>
      <w:r w:rsidRPr="00FB387E">
        <w:rPr>
          <w:rFonts w:ascii="Arial" w:hAnsi="Arial" w:cs="Arial"/>
          <w:i/>
          <w:iCs/>
          <w:sz w:val="22"/>
        </w:rPr>
        <w:t>Child poverty: Statistics, Causes and the UK’s Policy Response</w:t>
      </w:r>
      <w:r w:rsidRPr="00FB387E">
        <w:rPr>
          <w:rFonts w:ascii="Arial" w:hAnsi="Arial" w:cs="Arial"/>
          <w:sz w:val="22"/>
        </w:rPr>
        <w:t>. House of Lords Library. Available at:</w:t>
      </w:r>
      <w:hyperlink r:id="rId23">
        <w:r w:rsidRPr="00FB387E">
          <w:rPr>
            <w:rStyle w:val="Hyperlink"/>
            <w:rFonts w:ascii="Arial" w:hAnsi="Arial" w:cs="Arial"/>
            <w:sz w:val="22"/>
          </w:rPr>
          <w:t xml:space="preserve"> </w:t>
        </w:r>
      </w:hyperlink>
      <w:hyperlink r:id="rId24">
        <w:r w:rsidRPr="00FB387E">
          <w:rPr>
            <w:rStyle w:val="Hyperlink"/>
            <w:rFonts w:ascii="Arial" w:hAnsi="Arial" w:cs="Arial"/>
            <w:sz w:val="22"/>
          </w:rPr>
          <w:t>https://lordslibrary.parliament.uk/child-poverty-statistics-causes-and-the-uks-policy-response/</w:t>
        </w:r>
      </w:hyperlink>
      <w:r w:rsidRPr="00FB387E">
        <w:rPr>
          <w:rFonts w:ascii="Arial" w:hAnsi="Arial" w:cs="Arial"/>
          <w:sz w:val="22"/>
        </w:rPr>
        <w:t xml:space="preserve"> </w:t>
      </w:r>
      <w:r>
        <w:rPr>
          <w:rFonts w:ascii="Arial" w:hAnsi="Arial" w:cs="Arial"/>
          <w:sz w:val="22"/>
        </w:rPr>
        <w:t>(Accessed: 18</w:t>
      </w:r>
      <w:r w:rsidRPr="000D54DF">
        <w:rPr>
          <w:rFonts w:ascii="Arial" w:hAnsi="Arial" w:cs="Arial"/>
          <w:sz w:val="22"/>
          <w:vertAlign w:val="superscript"/>
        </w:rPr>
        <w:t>th</w:t>
      </w:r>
      <w:r>
        <w:rPr>
          <w:rFonts w:ascii="Arial" w:hAnsi="Arial" w:cs="Arial"/>
          <w:sz w:val="22"/>
        </w:rPr>
        <w:t xml:space="preserve"> November 2025)</w:t>
      </w:r>
    </w:p>
    <w:p w14:paraId="24856F5A" w14:textId="77777777" w:rsidR="00542D6B" w:rsidRDefault="00542D6B" w:rsidP="000D54DF">
      <w:pPr>
        <w:tabs>
          <w:tab w:val="left" w:pos="6540"/>
        </w:tabs>
        <w:spacing w:line="360" w:lineRule="auto"/>
        <w:jc w:val="both"/>
        <w:rPr>
          <w:rFonts w:ascii="Arial" w:hAnsi="Arial" w:cs="Arial"/>
          <w:sz w:val="22"/>
        </w:rPr>
      </w:pPr>
      <w:r w:rsidRPr="000D54DF">
        <w:rPr>
          <w:rFonts w:ascii="Arial" w:hAnsi="Arial" w:cs="Arial"/>
          <w:sz w:val="22"/>
        </w:rPr>
        <w:lastRenderedPageBreak/>
        <w:t xml:space="preserve">Cai, J. </w:t>
      </w:r>
      <w:r w:rsidRPr="000D54DF">
        <w:rPr>
          <w:rFonts w:ascii="Arial" w:hAnsi="Arial" w:cs="Arial"/>
          <w:i/>
          <w:iCs/>
          <w:sz w:val="22"/>
        </w:rPr>
        <w:t>et al.</w:t>
      </w:r>
      <w:r w:rsidRPr="000D54DF">
        <w:rPr>
          <w:rFonts w:ascii="Arial" w:hAnsi="Arial" w:cs="Arial"/>
          <w:sz w:val="22"/>
        </w:rPr>
        <w:t xml:space="preserve"> (2023) ‘Long</w:t>
      </w:r>
      <w:r w:rsidRPr="000D54DF">
        <w:rPr>
          <w:rFonts w:ascii="Cambria Math" w:hAnsi="Cambria Math" w:cs="Cambria Math"/>
          <w:sz w:val="22"/>
        </w:rPr>
        <w:t>‐</w:t>
      </w:r>
      <w:r w:rsidRPr="000D54DF">
        <w:rPr>
          <w:rFonts w:ascii="Arial" w:hAnsi="Arial" w:cs="Arial"/>
          <w:sz w:val="22"/>
        </w:rPr>
        <w:t xml:space="preserve">term effects of childhood trauma subtypes on adult brain function’, </w:t>
      </w:r>
      <w:r w:rsidRPr="000D54DF">
        <w:rPr>
          <w:rFonts w:ascii="Arial" w:hAnsi="Arial" w:cs="Arial"/>
          <w:i/>
          <w:iCs/>
          <w:sz w:val="22"/>
        </w:rPr>
        <w:t xml:space="preserve">Brain and </w:t>
      </w:r>
      <w:proofErr w:type="spellStart"/>
      <w:r w:rsidRPr="000D54DF">
        <w:rPr>
          <w:rFonts w:ascii="Arial" w:hAnsi="Arial" w:cs="Arial"/>
          <w:i/>
          <w:iCs/>
          <w:sz w:val="22"/>
        </w:rPr>
        <w:t>behavior</w:t>
      </w:r>
      <w:proofErr w:type="spellEnd"/>
      <w:r w:rsidRPr="000D54DF">
        <w:rPr>
          <w:rFonts w:ascii="Arial" w:hAnsi="Arial" w:cs="Arial"/>
          <w:sz w:val="22"/>
        </w:rPr>
        <w:t xml:space="preserve">, 13(5), pp. e2981-n/a. Available at: </w:t>
      </w:r>
      <w:hyperlink r:id="rId25" w:history="1">
        <w:r w:rsidRPr="000D54DF">
          <w:rPr>
            <w:rStyle w:val="Hyperlink"/>
            <w:rFonts w:ascii="Arial" w:hAnsi="Arial" w:cs="Arial"/>
            <w:sz w:val="22"/>
          </w:rPr>
          <w:t>https://doi.org/10.1002/brb3.2981</w:t>
        </w:r>
      </w:hyperlink>
    </w:p>
    <w:p w14:paraId="2E0D8B90" w14:textId="77777777" w:rsidR="00542D6B" w:rsidRPr="000D54DF" w:rsidRDefault="00542D6B" w:rsidP="000D54DF">
      <w:pPr>
        <w:tabs>
          <w:tab w:val="left" w:pos="6540"/>
        </w:tabs>
        <w:spacing w:line="360" w:lineRule="auto"/>
        <w:jc w:val="both"/>
        <w:rPr>
          <w:rFonts w:ascii="Arial" w:hAnsi="Arial" w:cs="Arial"/>
          <w:sz w:val="22"/>
        </w:rPr>
      </w:pPr>
      <w:r>
        <w:rPr>
          <w:rFonts w:ascii="Arial" w:hAnsi="Arial" w:cs="Arial"/>
          <w:sz w:val="22"/>
        </w:rPr>
        <w:t xml:space="preserve"> </w:t>
      </w:r>
      <w:r w:rsidRPr="000D54DF">
        <w:rPr>
          <w:rFonts w:ascii="Arial" w:hAnsi="Arial" w:cs="Arial"/>
          <w:sz w:val="22"/>
        </w:rPr>
        <w:t xml:space="preserve">Chandrasekar, R. </w:t>
      </w:r>
      <w:r w:rsidRPr="000D54DF">
        <w:rPr>
          <w:rFonts w:ascii="Arial" w:hAnsi="Arial" w:cs="Arial"/>
          <w:i/>
          <w:iCs/>
          <w:sz w:val="22"/>
        </w:rPr>
        <w:t>et al.</w:t>
      </w:r>
      <w:r w:rsidRPr="000D54DF">
        <w:rPr>
          <w:rFonts w:ascii="Arial" w:hAnsi="Arial" w:cs="Arial"/>
          <w:sz w:val="22"/>
        </w:rPr>
        <w:t xml:space="preserve"> (2023) ‘Adverse childhood experiences and the development of multimorbidity across adulthood—a national 70-year cohort study’, </w:t>
      </w:r>
      <w:r w:rsidRPr="000D54DF">
        <w:rPr>
          <w:rFonts w:ascii="Arial" w:hAnsi="Arial" w:cs="Arial"/>
          <w:i/>
          <w:iCs/>
          <w:sz w:val="22"/>
        </w:rPr>
        <w:t>Age and ageing</w:t>
      </w:r>
      <w:r w:rsidRPr="000D54DF">
        <w:rPr>
          <w:rFonts w:ascii="Arial" w:hAnsi="Arial" w:cs="Arial"/>
          <w:sz w:val="22"/>
        </w:rPr>
        <w:t xml:space="preserve">, 52(4). Available at: </w:t>
      </w:r>
      <w:hyperlink r:id="rId26" w:history="1">
        <w:r w:rsidRPr="00F35E77">
          <w:rPr>
            <w:rStyle w:val="Hyperlink"/>
            <w:rFonts w:ascii="Arial" w:hAnsi="Arial" w:cs="Arial"/>
            <w:sz w:val="22"/>
          </w:rPr>
          <w:t>https://doi.org/10.1093/ageing/afad062</w:t>
        </w:r>
      </w:hyperlink>
      <w:r>
        <w:rPr>
          <w:rFonts w:ascii="Arial" w:hAnsi="Arial" w:cs="Arial"/>
          <w:sz w:val="22"/>
        </w:rPr>
        <w:t xml:space="preserve"> </w:t>
      </w:r>
    </w:p>
    <w:p w14:paraId="58AFF22C" w14:textId="77777777" w:rsidR="00542D6B" w:rsidRPr="00FB387E" w:rsidRDefault="00542D6B" w:rsidP="0011184F">
      <w:pPr>
        <w:tabs>
          <w:tab w:val="left" w:pos="6540"/>
        </w:tabs>
        <w:spacing w:line="360" w:lineRule="auto"/>
        <w:jc w:val="both"/>
        <w:rPr>
          <w:rFonts w:ascii="Arial" w:hAnsi="Arial" w:cs="Arial"/>
          <w:sz w:val="22"/>
        </w:rPr>
      </w:pPr>
      <w:proofErr w:type="spellStart"/>
      <w:r w:rsidRPr="00FB387E">
        <w:rPr>
          <w:rFonts w:ascii="Arial" w:hAnsi="Arial" w:cs="Arial"/>
          <w:sz w:val="22"/>
        </w:rPr>
        <w:t>Dalechek</w:t>
      </w:r>
      <w:proofErr w:type="spellEnd"/>
      <w:r w:rsidRPr="00FB387E">
        <w:rPr>
          <w:rFonts w:ascii="Arial" w:hAnsi="Arial" w:cs="Arial"/>
          <w:sz w:val="22"/>
        </w:rPr>
        <w:t xml:space="preserve">, D.E., 2024. The relationship between early life trauma, anxiety, and the experience of chronic pain in adulthood, and the role of inflammatory biomarker C-reactive protein. </w:t>
      </w:r>
    </w:p>
    <w:p w14:paraId="70EA5A2C" w14:textId="77777777" w:rsidR="00542D6B" w:rsidRPr="000D54DF" w:rsidRDefault="00542D6B" w:rsidP="000D54DF">
      <w:pPr>
        <w:tabs>
          <w:tab w:val="left" w:pos="6540"/>
        </w:tabs>
        <w:spacing w:line="360" w:lineRule="auto"/>
        <w:jc w:val="both"/>
        <w:rPr>
          <w:rFonts w:ascii="Arial" w:hAnsi="Arial" w:cs="Arial"/>
          <w:sz w:val="22"/>
        </w:rPr>
      </w:pPr>
      <w:r w:rsidRPr="000D54DF">
        <w:rPr>
          <w:rFonts w:ascii="Arial" w:hAnsi="Arial" w:cs="Arial"/>
          <w:sz w:val="22"/>
        </w:rPr>
        <w:t xml:space="preserve">Goddard, A. (2021) ‘Adverse Childhood Experiences and Trauma-Informed Care’, </w:t>
      </w:r>
      <w:r w:rsidRPr="000D54DF">
        <w:rPr>
          <w:rFonts w:ascii="Arial" w:hAnsi="Arial" w:cs="Arial"/>
          <w:i/>
          <w:iCs/>
          <w:sz w:val="22"/>
        </w:rPr>
        <w:t xml:space="preserve">Journal of </w:t>
      </w:r>
      <w:proofErr w:type="spellStart"/>
      <w:r w:rsidRPr="000D54DF">
        <w:rPr>
          <w:rFonts w:ascii="Arial" w:hAnsi="Arial" w:cs="Arial"/>
          <w:i/>
          <w:iCs/>
          <w:sz w:val="22"/>
        </w:rPr>
        <w:t>pediatric</w:t>
      </w:r>
      <w:proofErr w:type="spellEnd"/>
      <w:r w:rsidRPr="000D54DF">
        <w:rPr>
          <w:rFonts w:ascii="Arial" w:hAnsi="Arial" w:cs="Arial"/>
          <w:i/>
          <w:iCs/>
          <w:sz w:val="22"/>
        </w:rPr>
        <w:t xml:space="preserve"> health care</w:t>
      </w:r>
      <w:r w:rsidRPr="000D54DF">
        <w:rPr>
          <w:rFonts w:ascii="Arial" w:hAnsi="Arial" w:cs="Arial"/>
          <w:sz w:val="22"/>
        </w:rPr>
        <w:t xml:space="preserve">, 35(2), pp. 145–155. Available at: </w:t>
      </w:r>
      <w:hyperlink r:id="rId27" w:history="1">
        <w:r w:rsidRPr="000D54DF">
          <w:rPr>
            <w:rStyle w:val="Hyperlink"/>
            <w:rFonts w:ascii="Arial" w:hAnsi="Arial" w:cs="Arial"/>
            <w:sz w:val="22"/>
          </w:rPr>
          <w:t>https://doi.org/10.1016/j.pedhc.2020.09.001</w:t>
        </w:r>
      </w:hyperlink>
      <w:r>
        <w:rPr>
          <w:rFonts w:ascii="Arial" w:hAnsi="Arial" w:cs="Arial"/>
          <w:sz w:val="22"/>
        </w:rPr>
        <w:t xml:space="preserve"> </w:t>
      </w:r>
    </w:p>
    <w:p w14:paraId="6992422B" w14:textId="77777777" w:rsidR="00542D6B" w:rsidRDefault="00542D6B" w:rsidP="0011184F">
      <w:pPr>
        <w:tabs>
          <w:tab w:val="left" w:pos="6540"/>
        </w:tabs>
        <w:spacing w:line="360" w:lineRule="auto"/>
        <w:jc w:val="both"/>
        <w:rPr>
          <w:rFonts w:ascii="Arial" w:hAnsi="Arial" w:cs="Arial"/>
          <w:sz w:val="22"/>
        </w:rPr>
      </w:pPr>
      <w:r w:rsidRPr="00FB387E">
        <w:rPr>
          <w:rFonts w:ascii="Arial" w:hAnsi="Arial" w:cs="Arial"/>
          <w:sz w:val="22"/>
        </w:rPr>
        <w:t xml:space="preserve">Knott, G. (2023). </w:t>
      </w:r>
      <w:r w:rsidRPr="00FB387E">
        <w:rPr>
          <w:rFonts w:ascii="Arial" w:hAnsi="Arial" w:cs="Arial"/>
          <w:i/>
          <w:iCs/>
          <w:sz w:val="22"/>
        </w:rPr>
        <w:t>Adverse Childhood Experiences (ACEs) Report UK 2023</w:t>
      </w:r>
      <w:r w:rsidRPr="00FB387E">
        <w:rPr>
          <w:rFonts w:ascii="Arial" w:hAnsi="Arial" w:cs="Arial"/>
          <w:sz w:val="22"/>
        </w:rPr>
        <w:t>.</w:t>
      </w:r>
      <w:r w:rsidRPr="0011184F">
        <w:rPr>
          <w:rFonts w:ascii="Arial" w:hAnsi="Arial" w:cs="Arial"/>
          <w:sz w:val="22"/>
        </w:rPr>
        <w:t>Paces Connection</w:t>
      </w:r>
      <w:r w:rsidRPr="00FB387E">
        <w:rPr>
          <w:rFonts w:ascii="Arial" w:hAnsi="Arial" w:cs="Arial"/>
          <w:sz w:val="22"/>
        </w:rPr>
        <w:t>. Available at:</w:t>
      </w:r>
      <w:hyperlink r:id="rId28">
        <w:r w:rsidRPr="00FB387E">
          <w:rPr>
            <w:rStyle w:val="Hyperlink"/>
            <w:rFonts w:ascii="Arial" w:hAnsi="Arial" w:cs="Arial"/>
            <w:sz w:val="22"/>
          </w:rPr>
          <w:t xml:space="preserve"> </w:t>
        </w:r>
      </w:hyperlink>
      <w:hyperlink r:id="rId29">
        <w:r w:rsidRPr="00FB387E">
          <w:rPr>
            <w:rStyle w:val="Hyperlink"/>
            <w:rFonts w:ascii="Arial" w:hAnsi="Arial" w:cs="Arial"/>
            <w:sz w:val="22"/>
          </w:rPr>
          <w:t>https://www.pacesconnection.com/blog/adverse-childhood-experiences-aces-report-uk-2023</w:t>
        </w:r>
      </w:hyperlink>
      <w:r w:rsidRPr="00FB387E">
        <w:rPr>
          <w:rFonts w:ascii="Arial" w:hAnsi="Arial" w:cs="Arial"/>
          <w:sz w:val="22"/>
        </w:rPr>
        <w:t xml:space="preserve"> </w:t>
      </w:r>
    </w:p>
    <w:p w14:paraId="2B0152F3" w14:textId="77777777" w:rsidR="00542D6B" w:rsidRPr="00542D6B" w:rsidRDefault="00542D6B" w:rsidP="00542D6B">
      <w:pPr>
        <w:tabs>
          <w:tab w:val="left" w:pos="6540"/>
        </w:tabs>
        <w:spacing w:line="360" w:lineRule="auto"/>
        <w:jc w:val="both"/>
        <w:rPr>
          <w:rFonts w:ascii="Arial" w:hAnsi="Arial" w:cs="Arial"/>
          <w:sz w:val="22"/>
        </w:rPr>
      </w:pPr>
      <w:proofErr w:type="spellStart"/>
      <w:r w:rsidRPr="00542D6B">
        <w:rPr>
          <w:rFonts w:ascii="Arial" w:hAnsi="Arial" w:cs="Arial"/>
          <w:sz w:val="22"/>
        </w:rPr>
        <w:t>Leizhi</w:t>
      </w:r>
      <w:proofErr w:type="spellEnd"/>
      <w:r w:rsidRPr="00542D6B">
        <w:rPr>
          <w:rFonts w:ascii="Arial" w:hAnsi="Arial" w:cs="Arial"/>
          <w:sz w:val="22"/>
        </w:rPr>
        <w:t xml:space="preserve"> Wang, Chris Keyworth and Daryl B. O’Connor (2025) ‘Effects of childhood trauma on mental health outcomes, suicide risk factors and stress appraisals in adulthood’, </w:t>
      </w:r>
      <w:proofErr w:type="spellStart"/>
      <w:r w:rsidRPr="00542D6B">
        <w:rPr>
          <w:rFonts w:ascii="Arial" w:hAnsi="Arial" w:cs="Arial"/>
          <w:i/>
          <w:iCs/>
          <w:sz w:val="22"/>
        </w:rPr>
        <w:t>PloS</w:t>
      </w:r>
      <w:proofErr w:type="spellEnd"/>
      <w:r w:rsidRPr="00542D6B">
        <w:rPr>
          <w:rFonts w:ascii="Arial" w:hAnsi="Arial" w:cs="Arial"/>
          <w:i/>
          <w:iCs/>
          <w:sz w:val="22"/>
        </w:rPr>
        <w:t xml:space="preserve"> one</w:t>
      </w:r>
      <w:r w:rsidRPr="00542D6B">
        <w:rPr>
          <w:rFonts w:ascii="Arial" w:hAnsi="Arial" w:cs="Arial"/>
          <w:sz w:val="22"/>
        </w:rPr>
        <w:t>, 20(6).</w:t>
      </w:r>
    </w:p>
    <w:p w14:paraId="6CD7FA42" w14:textId="77777777" w:rsidR="00542D6B" w:rsidRDefault="00542D6B" w:rsidP="0011184F">
      <w:pPr>
        <w:tabs>
          <w:tab w:val="left" w:pos="6540"/>
        </w:tabs>
        <w:spacing w:line="360" w:lineRule="auto"/>
        <w:jc w:val="both"/>
        <w:rPr>
          <w:rFonts w:ascii="Arial" w:hAnsi="Arial" w:cs="Arial"/>
          <w:sz w:val="22"/>
        </w:rPr>
      </w:pPr>
      <w:proofErr w:type="spellStart"/>
      <w:r w:rsidRPr="00183D41">
        <w:rPr>
          <w:rFonts w:ascii="Arial" w:hAnsi="Arial" w:cs="Arial"/>
          <w:sz w:val="22"/>
        </w:rPr>
        <w:t>Majebi</w:t>
      </w:r>
      <w:proofErr w:type="spellEnd"/>
      <w:r w:rsidRPr="00183D41">
        <w:rPr>
          <w:rFonts w:ascii="Arial" w:hAnsi="Arial" w:cs="Arial"/>
          <w:sz w:val="22"/>
        </w:rPr>
        <w:t xml:space="preserve">, N.L., </w:t>
      </w:r>
      <w:proofErr w:type="spellStart"/>
      <w:r w:rsidRPr="00183D41">
        <w:rPr>
          <w:rFonts w:ascii="Arial" w:hAnsi="Arial" w:cs="Arial"/>
          <w:sz w:val="22"/>
        </w:rPr>
        <w:t>Adelodun</w:t>
      </w:r>
      <w:proofErr w:type="spellEnd"/>
      <w:r w:rsidRPr="00183D41">
        <w:rPr>
          <w:rFonts w:ascii="Arial" w:hAnsi="Arial" w:cs="Arial"/>
          <w:sz w:val="22"/>
        </w:rPr>
        <w:t xml:space="preserve">, M.O. and Anyanwu, E.C., 2024. Early childhood trauma and </w:t>
      </w:r>
      <w:proofErr w:type="spellStart"/>
      <w:r w:rsidRPr="00183D41">
        <w:rPr>
          <w:rFonts w:ascii="Arial" w:hAnsi="Arial" w:cs="Arial"/>
          <w:sz w:val="22"/>
        </w:rPr>
        <w:t>behavioral</w:t>
      </w:r>
      <w:proofErr w:type="spellEnd"/>
      <w:r w:rsidRPr="00183D41">
        <w:rPr>
          <w:rFonts w:ascii="Arial" w:hAnsi="Arial" w:cs="Arial"/>
          <w:sz w:val="22"/>
        </w:rPr>
        <w:t xml:space="preserve"> disorders: The role of healthcare access in breaking the cycle. </w:t>
      </w:r>
      <w:r w:rsidRPr="00183D41">
        <w:rPr>
          <w:rFonts w:ascii="Arial" w:hAnsi="Arial" w:cs="Arial"/>
          <w:i/>
          <w:iCs/>
          <w:sz w:val="22"/>
        </w:rPr>
        <w:t>Comprehensive Research and Reviews in Science and Technology</w:t>
      </w:r>
      <w:r w:rsidRPr="00183D41">
        <w:rPr>
          <w:rFonts w:ascii="Arial" w:hAnsi="Arial" w:cs="Arial"/>
          <w:sz w:val="22"/>
        </w:rPr>
        <w:t>, </w:t>
      </w:r>
      <w:r w:rsidRPr="00183D41">
        <w:rPr>
          <w:rFonts w:ascii="Arial" w:hAnsi="Arial" w:cs="Arial"/>
          <w:i/>
          <w:iCs/>
          <w:sz w:val="22"/>
        </w:rPr>
        <w:t>2</w:t>
      </w:r>
      <w:r w:rsidRPr="00183D41">
        <w:rPr>
          <w:rFonts w:ascii="Arial" w:hAnsi="Arial" w:cs="Arial"/>
          <w:sz w:val="22"/>
        </w:rPr>
        <w:t>(1), pp.080-090.</w:t>
      </w:r>
    </w:p>
    <w:p w14:paraId="34A8A8D8" w14:textId="77777777" w:rsidR="00542D6B" w:rsidRDefault="00542D6B" w:rsidP="0011184F">
      <w:pPr>
        <w:tabs>
          <w:tab w:val="left" w:pos="6540"/>
        </w:tabs>
        <w:spacing w:line="360" w:lineRule="auto"/>
        <w:jc w:val="both"/>
        <w:rPr>
          <w:rFonts w:ascii="Arial" w:hAnsi="Arial" w:cs="Arial"/>
          <w:sz w:val="22"/>
        </w:rPr>
      </w:pPr>
      <w:r w:rsidRPr="00B809BD">
        <w:rPr>
          <w:rFonts w:ascii="Arial" w:hAnsi="Arial" w:cs="Arial"/>
          <w:sz w:val="22"/>
        </w:rPr>
        <w:t>Mak, S. and Thomas, A., 2022. Steps for conducting a scoping review. </w:t>
      </w:r>
      <w:r w:rsidRPr="00B809BD">
        <w:rPr>
          <w:rFonts w:ascii="Arial" w:hAnsi="Arial" w:cs="Arial"/>
          <w:i/>
          <w:iCs/>
          <w:sz w:val="22"/>
        </w:rPr>
        <w:t>Journal of graduate medical education</w:t>
      </w:r>
      <w:r w:rsidRPr="00B809BD">
        <w:rPr>
          <w:rFonts w:ascii="Arial" w:hAnsi="Arial" w:cs="Arial"/>
          <w:sz w:val="22"/>
        </w:rPr>
        <w:t>, </w:t>
      </w:r>
      <w:r w:rsidRPr="00B809BD">
        <w:rPr>
          <w:rFonts w:ascii="Arial" w:hAnsi="Arial" w:cs="Arial"/>
          <w:i/>
          <w:iCs/>
          <w:sz w:val="22"/>
        </w:rPr>
        <w:t>14</w:t>
      </w:r>
      <w:r w:rsidRPr="00B809BD">
        <w:rPr>
          <w:rFonts w:ascii="Arial" w:hAnsi="Arial" w:cs="Arial"/>
          <w:sz w:val="22"/>
        </w:rPr>
        <w:t>(5), pp.565-567.</w:t>
      </w:r>
    </w:p>
    <w:p w14:paraId="45622B7A" w14:textId="77777777" w:rsidR="00542D6B" w:rsidRDefault="00542D6B" w:rsidP="00B809BD">
      <w:pPr>
        <w:tabs>
          <w:tab w:val="left" w:pos="6540"/>
        </w:tabs>
        <w:spacing w:line="360" w:lineRule="auto"/>
        <w:jc w:val="both"/>
        <w:rPr>
          <w:rFonts w:ascii="Arial" w:hAnsi="Arial" w:cs="Arial"/>
          <w:sz w:val="22"/>
        </w:rPr>
      </w:pPr>
      <w:proofErr w:type="spellStart"/>
      <w:r w:rsidRPr="00B809BD">
        <w:rPr>
          <w:rFonts w:ascii="Arial" w:hAnsi="Arial" w:cs="Arial"/>
          <w:sz w:val="22"/>
        </w:rPr>
        <w:t>Mbiydzenyuy</w:t>
      </w:r>
      <w:proofErr w:type="spellEnd"/>
      <w:r w:rsidRPr="00B809BD">
        <w:rPr>
          <w:rFonts w:ascii="Arial" w:hAnsi="Arial" w:cs="Arial"/>
          <w:sz w:val="22"/>
        </w:rPr>
        <w:t xml:space="preserve">, N.E. and Qulu, L.-A. (2024) ‘Stress, hypothalamic-pituitary-adrenal axis, hypothalamic-pituitary-gonadal axis, and aggression’, </w:t>
      </w:r>
      <w:r w:rsidRPr="00B809BD">
        <w:rPr>
          <w:rFonts w:ascii="Arial" w:hAnsi="Arial" w:cs="Arial"/>
          <w:i/>
          <w:iCs/>
          <w:sz w:val="22"/>
        </w:rPr>
        <w:t>Metabolic brain disease</w:t>
      </w:r>
      <w:r w:rsidRPr="00B809BD">
        <w:rPr>
          <w:rFonts w:ascii="Arial" w:hAnsi="Arial" w:cs="Arial"/>
          <w:sz w:val="22"/>
        </w:rPr>
        <w:t xml:space="preserve">, 39(8), pp. 1613–1636. Available at: </w:t>
      </w:r>
      <w:hyperlink r:id="rId30" w:history="1">
        <w:r w:rsidRPr="00B809BD">
          <w:rPr>
            <w:rStyle w:val="Hyperlink"/>
            <w:rFonts w:ascii="Arial" w:hAnsi="Arial" w:cs="Arial"/>
            <w:sz w:val="22"/>
          </w:rPr>
          <w:t>https://doi.org/10.1007/s11011-024-01393-w</w:t>
        </w:r>
      </w:hyperlink>
      <w:r>
        <w:rPr>
          <w:rFonts w:ascii="Arial" w:hAnsi="Arial" w:cs="Arial"/>
          <w:sz w:val="22"/>
        </w:rPr>
        <w:t xml:space="preserve"> </w:t>
      </w:r>
    </w:p>
    <w:p w14:paraId="622ACC52" w14:textId="77777777" w:rsidR="00542D6B" w:rsidRPr="00B809BD" w:rsidRDefault="00542D6B" w:rsidP="00B809BD">
      <w:pPr>
        <w:tabs>
          <w:tab w:val="left" w:pos="6540"/>
        </w:tabs>
        <w:spacing w:line="360" w:lineRule="auto"/>
        <w:jc w:val="both"/>
        <w:rPr>
          <w:rFonts w:ascii="Arial" w:hAnsi="Arial" w:cs="Arial"/>
          <w:sz w:val="22"/>
        </w:rPr>
      </w:pPr>
      <w:proofErr w:type="spellStart"/>
      <w:r w:rsidRPr="00B809BD">
        <w:rPr>
          <w:rFonts w:ascii="Arial" w:hAnsi="Arial" w:cs="Arial"/>
          <w:sz w:val="22"/>
        </w:rPr>
        <w:t>Mercera</w:t>
      </w:r>
      <w:proofErr w:type="spellEnd"/>
      <w:r w:rsidRPr="00B809BD">
        <w:rPr>
          <w:rFonts w:ascii="Arial" w:hAnsi="Arial" w:cs="Arial"/>
          <w:sz w:val="22"/>
        </w:rPr>
        <w:t xml:space="preserve">, G. </w:t>
      </w:r>
      <w:r w:rsidRPr="00B809BD">
        <w:rPr>
          <w:rFonts w:ascii="Arial" w:hAnsi="Arial" w:cs="Arial"/>
          <w:i/>
          <w:iCs/>
          <w:sz w:val="22"/>
        </w:rPr>
        <w:t>et al.</w:t>
      </w:r>
      <w:r w:rsidRPr="00B809BD">
        <w:rPr>
          <w:rFonts w:ascii="Arial" w:hAnsi="Arial" w:cs="Arial"/>
          <w:sz w:val="22"/>
        </w:rPr>
        <w:t xml:space="preserve"> (2024) ‘Prevalence of Adverse Childhood Experiences in Adolescents with Special Educational and Care Needs in the Netherlands: A Case-File Study of Three Special Educational and Care Settings’, </w:t>
      </w:r>
      <w:r w:rsidRPr="00B809BD">
        <w:rPr>
          <w:rFonts w:ascii="Arial" w:hAnsi="Arial" w:cs="Arial"/>
          <w:i/>
          <w:iCs/>
          <w:sz w:val="22"/>
        </w:rPr>
        <w:t>Journal of child &amp; adolescent trauma</w:t>
      </w:r>
      <w:r w:rsidRPr="00B809BD">
        <w:rPr>
          <w:rFonts w:ascii="Arial" w:hAnsi="Arial" w:cs="Arial"/>
          <w:sz w:val="22"/>
        </w:rPr>
        <w:t xml:space="preserve">, 17(2), pp. 541–554. Available at: </w:t>
      </w:r>
      <w:hyperlink r:id="rId31" w:history="1">
        <w:r w:rsidRPr="00B809BD">
          <w:rPr>
            <w:rStyle w:val="Hyperlink"/>
            <w:rFonts w:ascii="Arial" w:hAnsi="Arial" w:cs="Arial"/>
            <w:sz w:val="22"/>
          </w:rPr>
          <w:t>https://doi.org/10.1007/s40653-024-00613-w</w:t>
        </w:r>
      </w:hyperlink>
      <w:r>
        <w:rPr>
          <w:rFonts w:ascii="Arial" w:hAnsi="Arial" w:cs="Arial"/>
          <w:sz w:val="22"/>
        </w:rPr>
        <w:t xml:space="preserve"> </w:t>
      </w:r>
    </w:p>
    <w:p w14:paraId="1EED604D" w14:textId="77777777" w:rsidR="00542D6B" w:rsidRPr="00542D6B" w:rsidRDefault="00542D6B" w:rsidP="00542D6B">
      <w:pPr>
        <w:tabs>
          <w:tab w:val="left" w:pos="6540"/>
        </w:tabs>
        <w:spacing w:line="360" w:lineRule="auto"/>
        <w:jc w:val="both"/>
        <w:rPr>
          <w:rFonts w:ascii="Arial" w:hAnsi="Arial" w:cs="Arial"/>
          <w:sz w:val="22"/>
        </w:rPr>
      </w:pPr>
      <w:r w:rsidRPr="00542D6B">
        <w:rPr>
          <w:rFonts w:ascii="Arial" w:hAnsi="Arial" w:cs="Arial"/>
          <w:sz w:val="22"/>
        </w:rPr>
        <w:t xml:space="preserve">Noel, L. </w:t>
      </w:r>
      <w:r w:rsidRPr="00542D6B">
        <w:rPr>
          <w:rFonts w:ascii="Arial" w:hAnsi="Arial" w:cs="Arial"/>
          <w:i/>
          <w:iCs/>
          <w:sz w:val="22"/>
        </w:rPr>
        <w:t>et al.</w:t>
      </w:r>
      <w:r w:rsidRPr="00542D6B">
        <w:rPr>
          <w:rFonts w:ascii="Arial" w:hAnsi="Arial" w:cs="Arial"/>
          <w:sz w:val="22"/>
        </w:rPr>
        <w:t xml:space="preserve"> (2022) ‘Interprofessional collaboration between social workers and community health workers to address health and mental health in the United States: A systematised review’, </w:t>
      </w:r>
      <w:r w:rsidRPr="00542D6B">
        <w:rPr>
          <w:rFonts w:ascii="Arial" w:hAnsi="Arial" w:cs="Arial"/>
          <w:i/>
          <w:iCs/>
          <w:sz w:val="22"/>
        </w:rPr>
        <w:t>Health &amp; social care in the community</w:t>
      </w:r>
      <w:r w:rsidRPr="00542D6B">
        <w:rPr>
          <w:rFonts w:ascii="Arial" w:hAnsi="Arial" w:cs="Arial"/>
          <w:sz w:val="22"/>
        </w:rPr>
        <w:t xml:space="preserve">, 30(6), pp. e6240–e6254. Available at: </w:t>
      </w:r>
      <w:hyperlink r:id="rId32" w:history="1">
        <w:r w:rsidRPr="00542D6B">
          <w:rPr>
            <w:rStyle w:val="Hyperlink"/>
            <w:rFonts w:ascii="Arial" w:hAnsi="Arial" w:cs="Arial"/>
            <w:sz w:val="22"/>
          </w:rPr>
          <w:t>https://doi.org/10.1111/hsc.14061</w:t>
        </w:r>
      </w:hyperlink>
      <w:r>
        <w:rPr>
          <w:rFonts w:ascii="Arial" w:hAnsi="Arial" w:cs="Arial"/>
          <w:sz w:val="22"/>
        </w:rPr>
        <w:t xml:space="preserve"> </w:t>
      </w:r>
    </w:p>
    <w:p w14:paraId="13941CC7" w14:textId="77777777" w:rsidR="00542D6B" w:rsidRPr="00542D6B" w:rsidRDefault="00542D6B" w:rsidP="00542D6B">
      <w:pPr>
        <w:tabs>
          <w:tab w:val="left" w:pos="6540"/>
        </w:tabs>
        <w:spacing w:line="360" w:lineRule="auto"/>
        <w:jc w:val="both"/>
        <w:rPr>
          <w:rFonts w:ascii="Arial" w:hAnsi="Arial" w:cs="Arial"/>
          <w:sz w:val="22"/>
        </w:rPr>
      </w:pPr>
      <w:r w:rsidRPr="00542D6B">
        <w:rPr>
          <w:rFonts w:ascii="Arial" w:hAnsi="Arial" w:cs="Arial"/>
          <w:sz w:val="22"/>
        </w:rPr>
        <w:lastRenderedPageBreak/>
        <w:t xml:space="preserve">Offer, S. </w:t>
      </w:r>
      <w:r w:rsidRPr="00542D6B">
        <w:rPr>
          <w:rFonts w:ascii="Arial" w:hAnsi="Arial" w:cs="Arial"/>
          <w:i/>
          <w:iCs/>
          <w:sz w:val="22"/>
        </w:rPr>
        <w:t>et al.</w:t>
      </w:r>
      <w:r w:rsidRPr="00542D6B">
        <w:rPr>
          <w:rFonts w:ascii="Arial" w:hAnsi="Arial" w:cs="Arial"/>
          <w:sz w:val="22"/>
        </w:rPr>
        <w:t xml:space="preserve"> (2022) ‘The association between childhood trauma and overweight and obesity in young adults: the mediating role of food addiction’, </w:t>
      </w:r>
      <w:r w:rsidRPr="00542D6B">
        <w:rPr>
          <w:rFonts w:ascii="Arial" w:hAnsi="Arial" w:cs="Arial"/>
          <w:i/>
          <w:iCs/>
          <w:sz w:val="22"/>
        </w:rPr>
        <w:t>Eating and weight disorders</w:t>
      </w:r>
      <w:r w:rsidRPr="00542D6B">
        <w:rPr>
          <w:rFonts w:ascii="Arial" w:hAnsi="Arial" w:cs="Arial"/>
          <w:sz w:val="22"/>
        </w:rPr>
        <w:t xml:space="preserve">, 27(8), pp. 3257–3266. Available at: </w:t>
      </w:r>
      <w:hyperlink r:id="rId33" w:history="1">
        <w:r w:rsidRPr="00542D6B">
          <w:rPr>
            <w:rStyle w:val="Hyperlink"/>
            <w:rFonts w:ascii="Arial" w:hAnsi="Arial" w:cs="Arial"/>
            <w:sz w:val="22"/>
          </w:rPr>
          <w:t>https://doi.org/10.1007/s40519-022-01454-y</w:t>
        </w:r>
      </w:hyperlink>
      <w:r>
        <w:rPr>
          <w:rFonts w:ascii="Arial" w:hAnsi="Arial" w:cs="Arial"/>
          <w:sz w:val="22"/>
        </w:rPr>
        <w:t xml:space="preserve"> </w:t>
      </w:r>
    </w:p>
    <w:p w14:paraId="3420B79D" w14:textId="77777777" w:rsidR="00542D6B" w:rsidRPr="00542D6B" w:rsidRDefault="00542D6B" w:rsidP="00542D6B">
      <w:pPr>
        <w:tabs>
          <w:tab w:val="left" w:pos="6540"/>
        </w:tabs>
        <w:spacing w:line="360" w:lineRule="auto"/>
        <w:jc w:val="both"/>
        <w:rPr>
          <w:rFonts w:ascii="Arial" w:hAnsi="Arial" w:cs="Arial"/>
          <w:sz w:val="22"/>
        </w:rPr>
      </w:pPr>
      <w:r w:rsidRPr="00542D6B">
        <w:rPr>
          <w:rFonts w:ascii="Arial" w:hAnsi="Arial" w:cs="Arial"/>
          <w:sz w:val="22"/>
        </w:rPr>
        <w:t xml:space="preserve">Ralph, P. and Baltes, S. (2022) ‘Paving the way for mature secondary research: the seven types of literature review’, in </w:t>
      </w:r>
      <w:r w:rsidRPr="00542D6B">
        <w:rPr>
          <w:rFonts w:ascii="Arial" w:hAnsi="Arial" w:cs="Arial"/>
          <w:i/>
          <w:iCs/>
          <w:sz w:val="22"/>
        </w:rPr>
        <w:t>Proceedings of the 30th ACM Joint European Software Engineering Conference and Symposium on the Foundations of Software Engineering</w:t>
      </w:r>
      <w:r w:rsidRPr="00542D6B">
        <w:rPr>
          <w:rFonts w:ascii="Arial" w:hAnsi="Arial" w:cs="Arial"/>
          <w:sz w:val="22"/>
        </w:rPr>
        <w:t xml:space="preserve">. New York, NY, USA: ACM, pp. 1632–1636. Available at: </w:t>
      </w:r>
      <w:hyperlink r:id="rId34" w:history="1">
        <w:r w:rsidRPr="00542D6B">
          <w:rPr>
            <w:rStyle w:val="Hyperlink"/>
            <w:rFonts w:ascii="Arial" w:hAnsi="Arial" w:cs="Arial"/>
            <w:sz w:val="22"/>
          </w:rPr>
          <w:t>https://doi.org/10.1145/3540250.3560877</w:t>
        </w:r>
      </w:hyperlink>
      <w:r>
        <w:rPr>
          <w:rFonts w:ascii="Arial" w:hAnsi="Arial" w:cs="Arial"/>
          <w:sz w:val="22"/>
        </w:rPr>
        <w:t xml:space="preserve"> </w:t>
      </w:r>
    </w:p>
    <w:p w14:paraId="6630DA26" w14:textId="77777777" w:rsidR="00542D6B" w:rsidRPr="00542D6B" w:rsidRDefault="00542D6B" w:rsidP="00542D6B">
      <w:pPr>
        <w:tabs>
          <w:tab w:val="left" w:pos="6540"/>
        </w:tabs>
        <w:spacing w:line="360" w:lineRule="auto"/>
        <w:jc w:val="both"/>
        <w:rPr>
          <w:rFonts w:ascii="Arial" w:hAnsi="Arial" w:cs="Arial"/>
          <w:sz w:val="22"/>
        </w:rPr>
      </w:pPr>
      <w:r w:rsidRPr="00542D6B">
        <w:rPr>
          <w:rFonts w:ascii="Arial" w:hAnsi="Arial" w:cs="Arial"/>
          <w:sz w:val="22"/>
        </w:rPr>
        <w:t>Umar, M. et al. (2025) ‘The impact of adverse childhood experiences in the development of post-traumatic stress disorder in adults over 18 years of age: a systematic review’, </w:t>
      </w:r>
      <w:r w:rsidRPr="00542D6B">
        <w:rPr>
          <w:rFonts w:ascii="Arial" w:hAnsi="Arial" w:cs="Arial"/>
          <w:i/>
          <w:iCs/>
          <w:sz w:val="22"/>
        </w:rPr>
        <w:t>BMC psychiatry</w:t>
      </w:r>
      <w:r w:rsidRPr="00542D6B">
        <w:rPr>
          <w:rFonts w:ascii="Arial" w:hAnsi="Arial" w:cs="Arial"/>
          <w:sz w:val="22"/>
        </w:rPr>
        <w:t>, 25(1). Available at: </w:t>
      </w:r>
      <w:hyperlink r:id="rId35" w:tgtFrame="_blank" w:tooltip="Original URL: https://doi.org/10.1186/s12888-025-07090-x. Click or tap if you trust this link." w:history="1">
        <w:r w:rsidRPr="00542D6B">
          <w:rPr>
            <w:rStyle w:val="Hyperlink"/>
            <w:rFonts w:ascii="Arial" w:hAnsi="Arial" w:cs="Arial"/>
            <w:sz w:val="22"/>
          </w:rPr>
          <w:t>https://doi.org/10.1186/s12888-025-07090-x</w:t>
        </w:r>
      </w:hyperlink>
      <w:r>
        <w:rPr>
          <w:rFonts w:ascii="Arial" w:hAnsi="Arial" w:cs="Arial"/>
          <w:sz w:val="22"/>
        </w:rPr>
        <w:t xml:space="preserve"> </w:t>
      </w:r>
    </w:p>
    <w:p w14:paraId="7B2DD505" w14:textId="77777777" w:rsidR="00542D6B" w:rsidRDefault="00542D6B" w:rsidP="00542D6B">
      <w:pPr>
        <w:tabs>
          <w:tab w:val="left" w:pos="6540"/>
        </w:tabs>
        <w:spacing w:line="360" w:lineRule="auto"/>
        <w:jc w:val="both"/>
        <w:rPr>
          <w:rFonts w:ascii="Arial" w:hAnsi="Arial" w:cs="Arial"/>
          <w:sz w:val="22"/>
        </w:rPr>
      </w:pPr>
      <w:r w:rsidRPr="00542D6B">
        <w:rPr>
          <w:rFonts w:ascii="Arial" w:hAnsi="Arial" w:cs="Arial"/>
          <w:sz w:val="22"/>
        </w:rPr>
        <w:t xml:space="preserve">Wu, N.S. </w:t>
      </w:r>
      <w:r w:rsidRPr="00542D6B">
        <w:rPr>
          <w:rFonts w:ascii="Arial" w:hAnsi="Arial" w:cs="Arial"/>
          <w:i/>
          <w:iCs/>
          <w:sz w:val="22"/>
        </w:rPr>
        <w:t>et al.</w:t>
      </w:r>
      <w:r w:rsidRPr="00542D6B">
        <w:rPr>
          <w:rFonts w:ascii="Arial" w:hAnsi="Arial" w:cs="Arial"/>
          <w:sz w:val="22"/>
        </w:rPr>
        <w:t xml:space="preserve"> (2010) ‘Childhood trauma and health outcomes in adults with comorbid substance abuse and mental health disorders’, </w:t>
      </w:r>
      <w:r w:rsidRPr="00542D6B">
        <w:rPr>
          <w:rFonts w:ascii="Arial" w:hAnsi="Arial" w:cs="Arial"/>
          <w:i/>
          <w:iCs/>
          <w:sz w:val="22"/>
        </w:rPr>
        <w:t xml:space="preserve">Addictive </w:t>
      </w:r>
      <w:proofErr w:type="spellStart"/>
      <w:r w:rsidRPr="00542D6B">
        <w:rPr>
          <w:rFonts w:ascii="Arial" w:hAnsi="Arial" w:cs="Arial"/>
          <w:i/>
          <w:iCs/>
          <w:sz w:val="22"/>
        </w:rPr>
        <w:t>behaviors</w:t>
      </w:r>
      <w:proofErr w:type="spellEnd"/>
      <w:r w:rsidRPr="00542D6B">
        <w:rPr>
          <w:rFonts w:ascii="Arial" w:hAnsi="Arial" w:cs="Arial"/>
          <w:sz w:val="22"/>
        </w:rPr>
        <w:t xml:space="preserve">, 35(1), pp. 68–71. Available at: </w:t>
      </w:r>
      <w:hyperlink r:id="rId36" w:history="1">
        <w:r w:rsidRPr="00542D6B">
          <w:rPr>
            <w:rStyle w:val="Hyperlink"/>
            <w:rFonts w:ascii="Arial" w:hAnsi="Arial" w:cs="Arial"/>
            <w:sz w:val="22"/>
          </w:rPr>
          <w:t>https://doi.org/10.1016/j.addbeh.2009.09.003</w:t>
        </w:r>
      </w:hyperlink>
      <w:r>
        <w:rPr>
          <w:rFonts w:ascii="Arial" w:hAnsi="Arial" w:cs="Arial"/>
          <w:sz w:val="22"/>
        </w:rPr>
        <w:t xml:space="preserve"> </w:t>
      </w:r>
    </w:p>
    <w:p w14:paraId="3CB14836" w14:textId="77777777" w:rsidR="00542D6B" w:rsidRPr="00FB387E" w:rsidRDefault="00542D6B" w:rsidP="0011184F">
      <w:pPr>
        <w:tabs>
          <w:tab w:val="left" w:pos="6540"/>
        </w:tabs>
        <w:spacing w:line="360" w:lineRule="auto"/>
        <w:jc w:val="both"/>
        <w:rPr>
          <w:rFonts w:ascii="Arial" w:hAnsi="Arial" w:cs="Arial"/>
          <w:sz w:val="22"/>
        </w:rPr>
      </w:pPr>
      <w:bookmarkStart w:id="17" w:name="_Hlk215085254"/>
    </w:p>
    <w:bookmarkEnd w:id="17"/>
    <w:p w14:paraId="7C031094" w14:textId="77777777" w:rsidR="00FB387E" w:rsidRPr="00FB387E" w:rsidRDefault="00FB387E" w:rsidP="0011184F">
      <w:pPr>
        <w:tabs>
          <w:tab w:val="left" w:pos="6540"/>
        </w:tabs>
        <w:spacing w:line="360" w:lineRule="auto"/>
        <w:jc w:val="both"/>
        <w:rPr>
          <w:rFonts w:ascii="Arial" w:hAnsi="Arial" w:cs="Arial"/>
          <w:sz w:val="22"/>
        </w:rPr>
      </w:pPr>
    </w:p>
    <w:p w14:paraId="4F368FB3" w14:textId="77777777" w:rsidR="00FB387E" w:rsidRPr="0011184F" w:rsidRDefault="00FB387E" w:rsidP="0011184F">
      <w:pPr>
        <w:tabs>
          <w:tab w:val="left" w:pos="6540"/>
        </w:tabs>
        <w:spacing w:line="360" w:lineRule="auto"/>
        <w:jc w:val="both"/>
        <w:rPr>
          <w:rFonts w:ascii="Arial" w:hAnsi="Arial" w:cs="Arial"/>
          <w:sz w:val="22"/>
        </w:rPr>
      </w:pPr>
    </w:p>
    <w:sectPr w:rsidR="00FB387E" w:rsidRPr="0011184F" w:rsidSect="00E620E7">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4C516" w14:textId="77777777" w:rsidR="00B63BC1" w:rsidRDefault="00B63BC1" w:rsidP="003E4ECF">
      <w:pPr>
        <w:spacing w:after="0" w:line="240" w:lineRule="auto"/>
      </w:pPr>
      <w:r>
        <w:separator/>
      </w:r>
    </w:p>
  </w:endnote>
  <w:endnote w:type="continuationSeparator" w:id="0">
    <w:p w14:paraId="4F416D58" w14:textId="77777777" w:rsidR="00B63BC1" w:rsidRDefault="00B63BC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EDF00" w14:textId="77777777" w:rsidR="00B63BC1" w:rsidRDefault="00B63BC1" w:rsidP="003E4ECF">
      <w:pPr>
        <w:spacing w:after="0" w:line="240" w:lineRule="auto"/>
      </w:pPr>
      <w:r>
        <w:separator/>
      </w:r>
    </w:p>
  </w:footnote>
  <w:footnote w:type="continuationSeparator" w:id="0">
    <w:p w14:paraId="5E989D9C" w14:textId="77777777" w:rsidR="00B63BC1" w:rsidRDefault="00B63BC1"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B8C"/>
    <w:multiLevelType w:val="hybridMultilevel"/>
    <w:tmpl w:val="CF3A7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E2947"/>
    <w:multiLevelType w:val="hybridMultilevel"/>
    <w:tmpl w:val="40EC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F1F2A"/>
    <w:multiLevelType w:val="multilevel"/>
    <w:tmpl w:val="09961B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4D41C2A"/>
    <w:multiLevelType w:val="multilevel"/>
    <w:tmpl w:val="9E9EC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B353FA"/>
    <w:multiLevelType w:val="hybridMultilevel"/>
    <w:tmpl w:val="02641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C1877"/>
    <w:multiLevelType w:val="multilevel"/>
    <w:tmpl w:val="70DAE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0219800">
    <w:abstractNumId w:val="1"/>
  </w:num>
  <w:num w:numId="2" w16cid:durableId="181359619">
    <w:abstractNumId w:val="2"/>
  </w:num>
  <w:num w:numId="3" w16cid:durableId="1550920904">
    <w:abstractNumId w:val="3"/>
  </w:num>
  <w:num w:numId="4" w16cid:durableId="1489056975">
    <w:abstractNumId w:val="5"/>
  </w:num>
  <w:num w:numId="5" w16cid:durableId="259024454">
    <w:abstractNumId w:val="0"/>
  </w:num>
  <w:num w:numId="6" w16cid:durableId="1398355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99B"/>
    <w:rsid w:val="000572BF"/>
    <w:rsid w:val="00074402"/>
    <w:rsid w:val="00080A81"/>
    <w:rsid w:val="000A705A"/>
    <w:rsid w:val="000B7DFD"/>
    <w:rsid w:val="000D54DF"/>
    <w:rsid w:val="000F41FF"/>
    <w:rsid w:val="000F4741"/>
    <w:rsid w:val="0011184F"/>
    <w:rsid w:val="00116C49"/>
    <w:rsid w:val="00183D41"/>
    <w:rsid w:val="001A105A"/>
    <w:rsid w:val="001B362C"/>
    <w:rsid w:val="001B59C3"/>
    <w:rsid w:val="001D6D8F"/>
    <w:rsid w:val="001D7C03"/>
    <w:rsid w:val="001F7161"/>
    <w:rsid w:val="00216C85"/>
    <w:rsid w:val="00227E29"/>
    <w:rsid w:val="0026393A"/>
    <w:rsid w:val="00273EDD"/>
    <w:rsid w:val="00286183"/>
    <w:rsid w:val="002C3965"/>
    <w:rsid w:val="00321C4C"/>
    <w:rsid w:val="00340C15"/>
    <w:rsid w:val="003472BF"/>
    <w:rsid w:val="00363AFF"/>
    <w:rsid w:val="00392BBC"/>
    <w:rsid w:val="003A1176"/>
    <w:rsid w:val="003B4FBF"/>
    <w:rsid w:val="003B6F82"/>
    <w:rsid w:val="003E4ECF"/>
    <w:rsid w:val="003F5212"/>
    <w:rsid w:val="004051FA"/>
    <w:rsid w:val="00405F6B"/>
    <w:rsid w:val="00433F88"/>
    <w:rsid w:val="0044282E"/>
    <w:rsid w:val="004A736E"/>
    <w:rsid w:val="004B1B24"/>
    <w:rsid w:val="004B6CA1"/>
    <w:rsid w:val="004E1E67"/>
    <w:rsid w:val="004E5CD1"/>
    <w:rsid w:val="004E6638"/>
    <w:rsid w:val="004F0F57"/>
    <w:rsid w:val="004F352D"/>
    <w:rsid w:val="004F5954"/>
    <w:rsid w:val="005264E8"/>
    <w:rsid w:val="00542D6B"/>
    <w:rsid w:val="00590245"/>
    <w:rsid w:val="005D2365"/>
    <w:rsid w:val="005E2BED"/>
    <w:rsid w:val="006865FC"/>
    <w:rsid w:val="006925AA"/>
    <w:rsid w:val="006A0155"/>
    <w:rsid w:val="006F62A5"/>
    <w:rsid w:val="00703609"/>
    <w:rsid w:val="0070799F"/>
    <w:rsid w:val="00725177"/>
    <w:rsid w:val="00781BEE"/>
    <w:rsid w:val="007D0956"/>
    <w:rsid w:val="007D5C2D"/>
    <w:rsid w:val="0080625B"/>
    <w:rsid w:val="00814A9E"/>
    <w:rsid w:val="0085232B"/>
    <w:rsid w:val="00886CE6"/>
    <w:rsid w:val="008962C9"/>
    <w:rsid w:val="008B5106"/>
    <w:rsid w:val="008E34CC"/>
    <w:rsid w:val="0090040D"/>
    <w:rsid w:val="009300E3"/>
    <w:rsid w:val="0093412A"/>
    <w:rsid w:val="009770F0"/>
    <w:rsid w:val="009A1EFC"/>
    <w:rsid w:val="009D052C"/>
    <w:rsid w:val="009D1D1E"/>
    <w:rsid w:val="00A035FD"/>
    <w:rsid w:val="00A23D9C"/>
    <w:rsid w:val="00AA1D24"/>
    <w:rsid w:val="00AA748E"/>
    <w:rsid w:val="00AB1A2C"/>
    <w:rsid w:val="00AD1581"/>
    <w:rsid w:val="00B511F1"/>
    <w:rsid w:val="00B566A9"/>
    <w:rsid w:val="00B63BC1"/>
    <w:rsid w:val="00B809BD"/>
    <w:rsid w:val="00B80C96"/>
    <w:rsid w:val="00B87E75"/>
    <w:rsid w:val="00BE66CE"/>
    <w:rsid w:val="00BF2ECD"/>
    <w:rsid w:val="00C57C28"/>
    <w:rsid w:val="00CA567E"/>
    <w:rsid w:val="00CB0F43"/>
    <w:rsid w:val="00CB3665"/>
    <w:rsid w:val="00CB617D"/>
    <w:rsid w:val="00CD33A8"/>
    <w:rsid w:val="00D32E9A"/>
    <w:rsid w:val="00D378C9"/>
    <w:rsid w:val="00D52769"/>
    <w:rsid w:val="00D607BD"/>
    <w:rsid w:val="00D77C9B"/>
    <w:rsid w:val="00DA3164"/>
    <w:rsid w:val="00DA68B1"/>
    <w:rsid w:val="00DE6AD6"/>
    <w:rsid w:val="00E1795F"/>
    <w:rsid w:val="00E44F16"/>
    <w:rsid w:val="00E569FD"/>
    <w:rsid w:val="00E620E7"/>
    <w:rsid w:val="00F212F2"/>
    <w:rsid w:val="00F36776"/>
    <w:rsid w:val="00F66E1B"/>
    <w:rsid w:val="00F97293"/>
    <w:rsid w:val="00FB03FA"/>
    <w:rsid w:val="00FB387E"/>
    <w:rsid w:val="00FC05FE"/>
    <w:rsid w:val="00FE17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42D6B"/>
    <w:pPr>
      <w:keepNext/>
      <w:keepLines/>
      <w:spacing w:before="240" w:after="0" w:line="360" w:lineRule="auto"/>
      <w:jc w:val="both"/>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AA748E"/>
    <w:pPr>
      <w:keepNext/>
      <w:keepLines/>
      <w:spacing w:before="40" w:after="0" w:line="360" w:lineRule="auto"/>
      <w:jc w:val="both"/>
      <w:outlineLvl w:val="1"/>
    </w:pPr>
    <w:rPr>
      <w:rFonts w:ascii="Arial" w:eastAsiaTheme="majorEastAsia" w:hAnsi="Arial" w:cs="Arial"/>
      <w:b/>
      <w:bCs/>
      <w:iCs/>
      <w:color w:val="000000" w:themeColor="text1"/>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D6B"/>
    <w:rPr>
      <w:rFonts w:ascii="Arial" w:eastAsiaTheme="majorEastAsia" w:hAnsi="Arial" w:cs="Arial"/>
      <w:b/>
      <w:sz w:val="22"/>
    </w:rPr>
  </w:style>
  <w:style w:type="character" w:customStyle="1" w:styleId="Heading2Char">
    <w:name w:val="Heading 2 Char"/>
    <w:basedOn w:val="DefaultParagraphFont"/>
    <w:link w:val="Heading2"/>
    <w:uiPriority w:val="9"/>
    <w:rsid w:val="00AA748E"/>
    <w:rPr>
      <w:rFonts w:ascii="Arial" w:eastAsiaTheme="majorEastAsia" w:hAnsi="Arial" w:cs="Arial"/>
      <w:b/>
      <w:bCs/>
      <w:iCs/>
      <w:color w:val="000000" w:themeColor="text1"/>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0F41FF"/>
    <w:pPr>
      <w:ind w:left="720"/>
      <w:contextualSpacing/>
    </w:pPr>
  </w:style>
  <w:style w:type="table" w:styleId="TableGrid">
    <w:name w:val="Table Grid"/>
    <w:basedOn w:val="TableNormal"/>
    <w:uiPriority w:val="39"/>
    <w:rsid w:val="001B3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25B"/>
    <w:rPr>
      <w:color w:val="0563C1" w:themeColor="hyperlink"/>
      <w:u w:val="single"/>
    </w:rPr>
  </w:style>
  <w:style w:type="character" w:styleId="UnresolvedMention">
    <w:name w:val="Unresolved Mention"/>
    <w:basedOn w:val="DefaultParagraphFont"/>
    <w:uiPriority w:val="99"/>
    <w:semiHidden/>
    <w:unhideWhenUsed/>
    <w:rsid w:val="0080625B"/>
    <w:rPr>
      <w:color w:val="605E5C"/>
      <w:shd w:val="clear" w:color="auto" w:fill="E1DFDD"/>
    </w:rPr>
  </w:style>
  <w:style w:type="paragraph" w:styleId="TOCHeading">
    <w:name w:val="TOC Heading"/>
    <w:basedOn w:val="Heading1"/>
    <w:next w:val="Normal"/>
    <w:uiPriority w:val="39"/>
    <w:unhideWhenUsed/>
    <w:qFormat/>
    <w:rsid w:val="0093412A"/>
    <w:pPr>
      <w:spacing w:line="259" w:lineRule="auto"/>
      <w:jc w:val="left"/>
      <w:outlineLvl w:val="9"/>
    </w:pPr>
    <w:rPr>
      <w:rFonts w:asciiTheme="majorHAnsi" w:hAnsiTheme="majorHAnsi" w:cstheme="majorBidi"/>
      <w:b w:val="0"/>
      <w:color w:val="2F5496" w:themeColor="accent1" w:themeShade="BF"/>
      <w:sz w:val="32"/>
      <w:szCs w:val="32"/>
      <w:lang w:eastAsia="en-GB"/>
    </w:rPr>
  </w:style>
  <w:style w:type="paragraph" w:styleId="TOC1">
    <w:name w:val="toc 1"/>
    <w:basedOn w:val="Normal"/>
    <w:next w:val="Normal"/>
    <w:autoRedefine/>
    <w:uiPriority w:val="39"/>
    <w:unhideWhenUsed/>
    <w:rsid w:val="0093412A"/>
    <w:pPr>
      <w:spacing w:after="100"/>
    </w:pPr>
  </w:style>
  <w:style w:type="paragraph" w:styleId="TOC2">
    <w:name w:val="toc 2"/>
    <w:basedOn w:val="Normal"/>
    <w:next w:val="Normal"/>
    <w:autoRedefine/>
    <w:uiPriority w:val="39"/>
    <w:unhideWhenUsed/>
    <w:rsid w:val="0093412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364557032000119616" TargetMode="External"/><Relationship Id="rId18" Type="http://schemas.openxmlformats.org/officeDocument/2006/relationships/hyperlink" Target="https://doi.org/10.1186/s12889-025-23938-z" TargetMode="External"/><Relationship Id="rId26" Type="http://schemas.openxmlformats.org/officeDocument/2006/relationships/hyperlink" Target="https://doi.org/10.1093/ageing/afad062" TargetMode="External"/><Relationship Id="rId39" Type="http://schemas.openxmlformats.org/officeDocument/2006/relationships/theme" Target="theme/theme1.xml"/><Relationship Id="rId21" Type="http://schemas.openxmlformats.org/officeDocument/2006/relationships/hyperlink" Target="http://www.bhbia.org.uk/assest/Downloads/Guidelines/4_secondry%20data%20ethical%20principles_aug2020_fv.PDF" TargetMode="External"/><Relationship Id="rId34" Type="http://schemas.openxmlformats.org/officeDocument/2006/relationships/hyperlink" Target="https://doi.org/10.1145/3540250.3560877" TargetMode="External"/><Relationship Id="rId7" Type="http://schemas.openxmlformats.org/officeDocument/2006/relationships/endnotes" Target="endnotes.xml"/><Relationship Id="rId12" Type="http://schemas.openxmlformats.org/officeDocument/2006/relationships/hyperlink" Target="https://doi.org/10.1016/j.jpsychires.2020.06.028" TargetMode="External"/><Relationship Id="rId17" Type="http://schemas.openxmlformats.org/officeDocument/2006/relationships/hyperlink" Target="https://doi.org/10.1038/mp.2015.67" TargetMode="External"/><Relationship Id="rId25" Type="http://schemas.openxmlformats.org/officeDocument/2006/relationships/hyperlink" Target="https://doi.org/10.1002/brb3.2981" TargetMode="External"/><Relationship Id="rId33" Type="http://schemas.openxmlformats.org/officeDocument/2006/relationships/hyperlink" Target="https://doi.org/10.1007/s40519-022-01454-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socscimed.2021.114126" TargetMode="External"/><Relationship Id="rId20" Type="http://schemas.openxmlformats.org/officeDocument/2006/relationships/hyperlink" Target="https://www.torrossa.com/it/resources/an/5282292" TargetMode="External"/><Relationship Id="rId29" Type="http://schemas.openxmlformats.org/officeDocument/2006/relationships/hyperlink" Target="https://www.pacesconnection.com/blog/adverse-childhood-experiences-aces-report-uk-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ordslibrary.parliament.uk/child-poverty-statistics-causes-and-the-uks-policy-response/" TargetMode="External"/><Relationship Id="rId32" Type="http://schemas.openxmlformats.org/officeDocument/2006/relationships/hyperlink" Target="https://doi.org/10.1111/hsc.14061"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socscimed.2021.114126" TargetMode="External"/><Relationship Id="rId23" Type="http://schemas.openxmlformats.org/officeDocument/2006/relationships/hyperlink" Target="https://lordslibrary.parliament.uk/child-poverty-statistics-causes-and-the-uks-policy-response/" TargetMode="External"/><Relationship Id="rId28" Type="http://schemas.openxmlformats.org/officeDocument/2006/relationships/hyperlink" Target="https://www.pacesconnection.com/blog/adverse-childhood-experiences-aces-report-uk-2023" TargetMode="External"/><Relationship Id="rId36" Type="http://schemas.openxmlformats.org/officeDocument/2006/relationships/hyperlink" Target="https://doi.org/10.1016/j.addbeh.2009.09.003" TargetMode="External"/><Relationship Id="rId10" Type="http://schemas.openxmlformats.org/officeDocument/2006/relationships/image" Target="media/image2.png"/><Relationship Id="rId19" Type="http://schemas.openxmlformats.org/officeDocument/2006/relationships/hyperlink" Target="https://www.torrossa.com/it/resources/an/5282292" TargetMode="External"/><Relationship Id="rId31" Type="http://schemas.openxmlformats.org/officeDocument/2006/relationships/hyperlink" Target="https://doi.org/10.1007/s40653-024-00613-w"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80/1364557032000119616" TargetMode="External"/><Relationship Id="rId22" Type="http://schemas.openxmlformats.org/officeDocument/2006/relationships/hyperlink" Target="https://doi.org/10.1186/s40359-022-00798-5" TargetMode="External"/><Relationship Id="rId27" Type="http://schemas.openxmlformats.org/officeDocument/2006/relationships/hyperlink" Target="https://doi.org/10.1016/j.pedhc.2020.09.001" TargetMode="External"/><Relationship Id="rId30" Type="http://schemas.openxmlformats.org/officeDocument/2006/relationships/hyperlink" Target="https://doi.org/10.1007/s11011-024-01393-w" TargetMode="External"/><Relationship Id="rId35" Type="http://schemas.openxmlformats.org/officeDocument/2006/relationships/hyperlink" Target="https://eur01.safelinks.protection.outlook.com/?url=https%3A%2F%2Fdoi.org%2F10.1186%2Fs12888-025-07090-x&amp;data=05%7C02%7C2324209%40student.uwtsd.ac.uk%7Ca5d540a3188b4b790b4d08de2dad1110%7C4e0f11f9046e45059cb8db2152311e21%7C0%7C0%7C638998418517481595%7CUnknown%7CTWFpbGZsb3d8eyJFbXB0eU1hcGkiOnRydWUsIlYiOiIwLjAuMDAwMCIsIlAiOiJXaW4zMiIsIkFOIjoiTWFpbCIsIldUIjoyfQ%3D%3D%7C0%7C%7C%7C&amp;sdata=Y45UC7%2BaPQ0mdQmUJ5lXBi1L8tFH6dnen1Jh1MvXZsY%3D&amp;reserved=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FA896-6599-437E-9024-3CECAB7D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17</Pages>
  <Words>5454</Words>
  <Characters>31092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Nadia Canter</cp:lastModifiedBy>
  <cp:revision>29</cp:revision>
  <dcterms:created xsi:type="dcterms:W3CDTF">2021-10-31T12:16:00Z</dcterms:created>
  <dcterms:modified xsi:type="dcterms:W3CDTF">2025-12-04T10:38:00Z</dcterms:modified>
</cp:coreProperties>
</file>