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D3B2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u w:val="single"/>
        </w:rPr>
        <w:t>A critical evaluation and the identification of the next teaching and learning steps focusing on a case study of an individual learner or a group of learners, based on an observed critical incident. </w:t>
      </w:r>
    </w:p>
    <w:p w14:paraId="0483546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D4A02A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Within this essay, I will discuss and focus on a critical incident observed during my bridging days at school A, whilst looking at literature, theories and reflecting on how I would deal with such an incident in my own teaching. To ensure anonymity the school, pupils, and teacher names remain confidential throughout this essay.</w:t>
      </w:r>
    </w:p>
    <w:p w14:paraId="5B55B27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01AB5BB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According to Tripp (2011), there are two highlighted uses for teachers to use critical incidents. Firstly, to understand and control their classroom and secondly, research can be applied to the highlighted incident allowing the situation to be understood. Furthermore, Tripp (2011) suggests that an incident may have hidden aspects, such as a child raising their hand repeatedly in class without understanding or knowing the answer to a question. The hidden aspect of such an incident could be an attempt for attention by the child as they may not be receiving any within their home or are neglected.</w:t>
      </w:r>
    </w:p>
    <w:p w14:paraId="25EB2E7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A6245AD"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One critical incident will be focussed on within the essay whilst expanding on areas that interlink to the incident in particular the areas of bilingualism, Additional Learning Needs, and household effects on a child.  </w:t>
      </w:r>
    </w:p>
    <w:p w14:paraId="3717E26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2A555A1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According to a report published by Estyn (2016), the school in which I was situated for the bridging days, has over 900 pupils and scored high across the inspection carried out by Estyn with Good and Excellent awarded across all categories within the inspection. </w:t>
      </w:r>
    </w:p>
    <w:p w14:paraId="276EFC6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67D6BF08"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Over the two bridging days, ten lessons were observed in total with students ranging between eleven and eighteen years of age. A day was allocated before the two bridging days in which School A provided sessions such as familiarisation of environments, an overview of safeguarding and behavioural policies, and any information the school believed we required to know before stepping into the classroom. The first day within the bridging days involved following a year seven group around for the whole day. Specifically, the critical incident witnessed happened during </w:t>
      </w:r>
      <w:r w:rsidRPr="00F6678D">
        <w:rPr>
          <w:rFonts w:ascii="Arial" w:hAnsi="Arial" w:cs="Arial"/>
          <w:color w:val="0E101A"/>
        </w:rPr>
        <w:lastRenderedPageBreak/>
        <w:t xml:space="preserve">the first lesson of the day on a Monday morning in a Welsh lesson. The male pupil observed was one of eighteen students within the group, twelve of those male and six </w:t>
      </w:r>
      <w:proofErr w:type="gramStart"/>
      <w:r w:rsidRPr="00F6678D">
        <w:rPr>
          <w:rFonts w:ascii="Arial" w:hAnsi="Arial" w:cs="Arial"/>
          <w:color w:val="0E101A"/>
        </w:rPr>
        <w:t>female</w:t>
      </w:r>
      <w:proofErr w:type="gramEnd"/>
      <w:r w:rsidRPr="00F6678D">
        <w:rPr>
          <w:rFonts w:ascii="Arial" w:hAnsi="Arial" w:cs="Arial"/>
          <w:color w:val="0E101A"/>
        </w:rPr>
        <w:t xml:space="preserve">. The teacher clearly used a calming strategy as the class entered the lesson due to their boisterous behavior and entering the classroom wound up. The task or calming strategy involved all pupils having ten minutes to read their novel in medium Welsh. The task clearly calmed the class, although one pupil that shall be referred to as student A appeared reluctant to undertake the reading activity. The teacher asked the pupil on two occasions to attempt to read, although each time the student attempted, he quickly became distracted by anything other than the task. In turn, the incident forced the teacher to react moving her attention away from listening to other students to provide additional support for student A. Without the support from the teacher, the student struggled, showing frustration and anger towards the task at hand. In the end, the pupil raised his hand and verbally stated that he did not understand the novel he currently had which resulted in the teacher providing a simpler novel whilst remaining seated next to the student to support him, although the frustration showed 1 fixed mindset of ‘I can’t read Welsh’ whilst building frustration, refusing any </w:t>
      </w:r>
      <w:proofErr w:type="gramStart"/>
      <w:r w:rsidRPr="00F6678D">
        <w:rPr>
          <w:rFonts w:ascii="Arial" w:hAnsi="Arial" w:cs="Arial"/>
          <w:color w:val="0E101A"/>
        </w:rPr>
        <w:t>support</w:t>
      </w:r>
      <w:proofErr w:type="gramEnd"/>
      <w:r w:rsidRPr="00F6678D">
        <w:rPr>
          <w:rFonts w:ascii="Arial" w:hAnsi="Arial" w:cs="Arial"/>
          <w:color w:val="0E101A"/>
        </w:rPr>
        <w:t xml:space="preserve"> and remained reluctant to participate in any further tasks for the remainder of the lesson. A conversation at the end of the lesson with the teacher suggested a similar pattern had been seen with the siblings of the child and that he came from a home that lacked support and had no Welsh language skills.</w:t>
      </w:r>
    </w:p>
    <w:p w14:paraId="346B832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i/>
          <w:iCs/>
          <w:color w:val="0E101A"/>
          <w:u w:val="single"/>
        </w:rPr>
        <w:t> </w:t>
      </w:r>
    </w:p>
    <w:p w14:paraId="1B934291" w14:textId="77777777" w:rsidR="00F6678D" w:rsidRPr="00F6678D" w:rsidRDefault="00F6678D" w:rsidP="00F6678D">
      <w:pPr>
        <w:spacing w:line="360" w:lineRule="auto"/>
        <w:jc w:val="both"/>
        <w:rPr>
          <w:rFonts w:ascii="Arial" w:hAnsi="Arial" w:cs="Arial"/>
          <w:color w:val="0E101A"/>
        </w:rPr>
      </w:pPr>
      <w:r w:rsidRPr="00F6678D">
        <w:rPr>
          <w:rFonts w:ascii="Arial" w:hAnsi="Arial" w:cs="Arial"/>
          <w:i/>
          <w:iCs/>
          <w:color w:val="0E101A"/>
          <w:u w:val="single"/>
        </w:rPr>
        <w:t>Literature Review </w:t>
      </w:r>
    </w:p>
    <w:p w14:paraId="7B6D6E84"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There are many different aspects to review when a child shows a lack of engagement within the classroom environment. Throughout the review, the discussion of literature will focus on bilingualism and the barriers faced by children from non-Welsh speaking homes, and the impact peers and seating plans can have in developing their understanding of the language.</w:t>
      </w:r>
    </w:p>
    <w:p w14:paraId="3035C6D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1A1A474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The 9th of February 2011 marked a historic day within Wales, whereby the National Assembly for Wales implemented the Welsh Language (Wales) Measure (Law Wales, 2020) ensuring the Welsh language became a national language alongside the English language and establishing Wales as a bilingual nation. Therefore, the language by law became mandatory language within schools placing itself at the heart of the curriculum for Wales under the area of learning and experiences of Languages, </w:t>
      </w:r>
      <w:r w:rsidRPr="00F6678D">
        <w:rPr>
          <w:rFonts w:ascii="Arial" w:hAnsi="Arial" w:cs="Arial"/>
          <w:color w:val="0E101A"/>
        </w:rPr>
        <w:lastRenderedPageBreak/>
        <w:t>Literacy, and Communication, stated within the four What Matters Statements for schools to provide opportunities to develop and ensure all learners progress appropriately in the use of the Welsh language (HWB, 2022). </w:t>
      </w:r>
    </w:p>
    <w:p w14:paraId="7D2D3D7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B9BF3CB"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According to the Cambridge Dictionary (2022), the term bilingual can be defined as ‘</w:t>
      </w:r>
      <w:r w:rsidRPr="00F6678D">
        <w:rPr>
          <w:rFonts w:ascii="Arial" w:hAnsi="Arial" w:cs="Arial"/>
          <w:i/>
          <w:iCs/>
          <w:color w:val="0E101A"/>
        </w:rPr>
        <w:t>the ability to use two languages equally well and proficiently</w:t>
      </w:r>
      <w:r w:rsidRPr="00F6678D">
        <w:rPr>
          <w:rFonts w:ascii="Arial" w:hAnsi="Arial" w:cs="Arial"/>
          <w:color w:val="0E101A"/>
        </w:rPr>
        <w:t>’. One possible reason that triggered the critical incident observed would be the lack of understanding the child had for the Welsh language. </w:t>
      </w:r>
    </w:p>
    <w:p w14:paraId="38E48C7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2EC686C"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Exposure to the Welsh language for several children can only be accessed through their school (Thomas, 2012). Jaeger, E (2016 pp. 163-187) discusses several studies within her article stating how the impact of Bronfenbrenner’s ecological system theoretical view affects literacy development within a child whilst furthermore highlighting several microsystems such as peer, school, and community and how home interactions can impact and effect a child positively and negatively. A survey conducted by the Welsh Government (2020) on parental ability in Welsh, highlights three-quarters of students who come from homes without the spoken Welsh language began their own learning of the language within statutory education, underlining the importance all within education have on a student’s language development. According to psychologist B. F. Skinner suggested within his </w:t>
      </w:r>
      <w:proofErr w:type="spellStart"/>
      <w:r w:rsidRPr="00F6678D">
        <w:rPr>
          <w:rFonts w:ascii="Arial" w:hAnsi="Arial" w:cs="Arial"/>
          <w:color w:val="0E101A"/>
        </w:rPr>
        <w:t>behaviorist</w:t>
      </w:r>
      <w:proofErr w:type="spellEnd"/>
      <w:r w:rsidRPr="00F6678D">
        <w:rPr>
          <w:rFonts w:ascii="Arial" w:hAnsi="Arial" w:cs="Arial"/>
          <w:color w:val="0E101A"/>
        </w:rPr>
        <w:t xml:space="preserve"> theory (</w:t>
      </w:r>
      <w:proofErr w:type="spellStart"/>
      <w:r w:rsidRPr="00F6678D">
        <w:rPr>
          <w:rFonts w:ascii="Arial" w:hAnsi="Arial" w:cs="Arial"/>
          <w:color w:val="0E101A"/>
        </w:rPr>
        <w:t>Lemetyinen</w:t>
      </w:r>
      <w:proofErr w:type="spellEnd"/>
      <w:r w:rsidRPr="00F6678D">
        <w:rPr>
          <w:rFonts w:ascii="Arial" w:hAnsi="Arial" w:cs="Arial"/>
          <w:color w:val="0E101A"/>
        </w:rPr>
        <w:t>, 2012) that the development of a language to be that of a learned behavior most commonly beginning in early childhood and that of a response to one’s environment highlighting the barriers faced by children who are being educated in a Welsh medium school from a non-Welsh speaking home, refugees or further ALN that hinders their ability to learn and understand a new language. Furthermore, a resemblance between the Swiss psychologist Jean Piaget’s (</w:t>
      </w:r>
      <w:proofErr w:type="spellStart"/>
      <w:r w:rsidRPr="00F6678D">
        <w:rPr>
          <w:rFonts w:ascii="Arial" w:hAnsi="Arial" w:cs="Arial"/>
          <w:color w:val="0E101A"/>
        </w:rPr>
        <w:t>Guedim</w:t>
      </w:r>
      <w:proofErr w:type="spellEnd"/>
      <w:r w:rsidRPr="00F6678D">
        <w:rPr>
          <w:rFonts w:ascii="Arial" w:hAnsi="Arial" w:cs="Arial"/>
          <w:color w:val="0E101A"/>
        </w:rPr>
        <w:t>, 2020) constructivist theory can be seen to coincide with Skinner’s theory of how the ability to understand and develop knowledge of a language can be heavily influenced by social and environmental factors.</w:t>
      </w:r>
    </w:p>
    <w:p w14:paraId="326ED8D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61828A1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Furthermore, Cummins (2008) highlights language proficiency as a requirement of being bilingual and can be placed into two categories, Basic Interpersonal Communicative Skills (BICS) and Cognitive Academic Language Proficiency (CALP). Cummins suggests those embarking on their path in being bilingual would require two </w:t>
      </w:r>
      <w:r w:rsidRPr="00F6678D">
        <w:rPr>
          <w:rFonts w:ascii="Arial" w:hAnsi="Arial" w:cs="Arial"/>
          <w:color w:val="0E101A"/>
        </w:rPr>
        <w:lastRenderedPageBreak/>
        <w:t>years until they are able to meet the first category BICS and communicate and understand social and a further three years to become CALP establishing an academic level required to succeed. Further research by Thomas and Collier (1997) suggests a child from a home with no support in language skills or a background of schooling in a different language can take seven to ten years to be efficient within that language at the same level as their peers.</w:t>
      </w:r>
    </w:p>
    <w:p w14:paraId="67F9C06B"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7357BE0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Ismail (2011) explains that students consign strenuous demands and academic attainment when completing numerous tasks in different activities such as essays and research tasks. On the other hand, for learners to be able to understand and decipher the structure and language forms of the Welsh language, a focus on learning the rules of the language and basic understanding must be established. In response to such strenuous demands, the Welsh Government in line with the Welsh in Education Strategic Plan (WESP) (CCC, 2022) has established Immersion Community Hubs based within schools, reflecting the languages and the areas of learning within the new Curriculum for Wales to develop the basic knowledge and skills of the Welsh language and support objectives of targeting one million speakers of the Welsh language by 2050 (Welsh Government, 2017). Further research suggests language immersion in education to be successful in establishing positive developmental benefits in cognitive skills, academic achievement, and literacy and language development (Williams, 2019). Furthermore, Williams (2019) suggests support through immersing learners whilst learning a language can produce positive outcomes through the development of writing, reading skills, and confidence. Research participants such as Rhys and Thomas (2013) argue that learners from non-Welsh speaking homes are however not disadvantaged by receiving their education through the medium of their second language with research suggesting learners are not disadvantaged cognitively, Young et al (2017). Further studies like Rhys and Thomas (2013) observe bilingual learners when learning a language have a delay in acquiring the second language compared to their peers that concentrate on only one language confidently. Although Binks and Thomas (2019) argue the delay disappears once confidence is established in both languages. Evidence collected through a survey conducted by the Welsh Government (2020) aligned with research, quoted ninety percent of children from non-Welsh speaking homes had reached their expected </w:t>
      </w:r>
      <w:r w:rsidRPr="00F6678D">
        <w:rPr>
          <w:rFonts w:ascii="Arial" w:hAnsi="Arial" w:cs="Arial"/>
          <w:color w:val="0E101A"/>
        </w:rPr>
        <w:lastRenderedPageBreak/>
        <w:t>outcomes within core subjects, a similar result to those children in English medium schools and Welsh speaking. </w:t>
      </w:r>
    </w:p>
    <w:p w14:paraId="0823229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6F2A5F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The Covid pandemic disrupted education for students, creating challenges for disadvantaged and vulnerable learners, particularly students from deprived households and those with Additional Learning Needs (ALN). According to Estyn (2021), the Welsh language skills of students that received little or no spoken Welsh language within their home deteriorated throughout the pandemic, especially those students who are based in a Welsh medium school. Furthermore, Estyn highlighted students have regressed in their literacy, numeracy, and social communicational skills. Social distancing measures due to the COVID-19 pandemic led to the closures of schools. Education shifted overnight by firstly months of no education, to secondly a paradigm shift in the manner educators delivered education to an online system. The psychologist Caroline Dweck (2006) discusses the individual ability to work hard, and take challenges, and risks due to individuals having a growth mindset. Further studies by Liu (2014) can be seen to align with Dweck’s mindset views, of those within the study with a higher level of growth mindset can be seen to have the ability to cope with challenges and adversity. Those students who learn through a fixed mindset struggled to adjust and adapt compared to those with a growth mindset who adapted to the transition from face-to-face to using e-learning tools with no one size fits all pedagogy for learning online, due to factors such as age, subjects, and different teaching approaches (Doucet et al, 2020). </w:t>
      </w:r>
    </w:p>
    <w:p w14:paraId="65D4D30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0B0DADC"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Davies (2012, p.21) stated that ‘</w:t>
      </w:r>
      <w:r w:rsidRPr="00F6678D">
        <w:rPr>
          <w:rFonts w:ascii="Arial" w:hAnsi="Arial" w:cs="Arial"/>
          <w:i/>
          <w:iCs/>
          <w:color w:val="0E101A"/>
        </w:rPr>
        <w:t>new technologies do not merely alter the way people live but also influence the way people think</w:t>
      </w:r>
      <w:r w:rsidRPr="00F6678D">
        <w:rPr>
          <w:rFonts w:ascii="Arial" w:hAnsi="Arial" w:cs="Arial"/>
          <w:color w:val="0E101A"/>
        </w:rPr>
        <w:t xml:space="preserve">. The exposure to new literacies found in technologies can be argued by </w:t>
      </w:r>
      <w:proofErr w:type="spellStart"/>
      <w:r w:rsidRPr="00F6678D">
        <w:rPr>
          <w:rFonts w:ascii="Arial" w:hAnsi="Arial" w:cs="Arial"/>
          <w:color w:val="0E101A"/>
        </w:rPr>
        <w:t>Roelofse</w:t>
      </w:r>
      <w:proofErr w:type="spellEnd"/>
      <w:r w:rsidRPr="00F6678D">
        <w:rPr>
          <w:rFonts w:ascii="Arial" w:hAnsi="Arial" w:cs="Arial"/>
          <w:color w:val="0E101A"/>
        </w:rPr>
        <w:t xml:space="preserve"> (2013) to impact the way a second language is learned. </w:t>
      </w:r>
    </w:p>
    <w:p w14:paraId="0BC8F48E"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Several terms such as ‘digital exclusion’, ‘digital divide’, and ‘digital inequality can be found within the literature and described as the discrepancy in societies' availability to access or lack of digital technologies (Sanders, 2020). According to the Children’s Commissioner (2020), nine percent of families within the United Kingdom did not have access to the internet throughout the pandemic. Further research by The Sutton Trust (2021) through a teacher-aided survey highlighted the shocking numbers of the one million eight hundred thousand children who were without adequate access to devices </w:t>
      </w:r>
      <w:r w:rsidRPr="00F6678D">
        <w:rPr>
          <w:rFonts w:ascii="Arial" w:hAnsi="Arial" w:cs="Arial"/>
          <w:color w:val="0E101A"/>
        </w:rPr>
        <w:lastRenderedPageBreak/>
        <w:t xml:space="preserve">during the pandemic. Lutz (2019) suggested a digital divide had presented inequalities in accessing devices and presented a gap between those children that do and do not have any means of technology or digital equipment. Montagnier et al. (2002) acknowledged Lutz's (2019) suggestions, although additionally refer to the ‘digital divide as the contrast between access to computers and the internet whilst further highlighting the divide for those who cannot take advantage of technology and those who can. Although the British government attempted to resolve the digital divide through purchasing technologies and attempted to allow two-thirds of senior leaders within schools reported to need further equipment for pupils from a deprived and disadvantaged background as they waited for additional support from the government (The Sutton Trust, 2021). It can be argued that the lack of access to devices for those who needed them during the pandemic, stripped away article twenty-eight of the United Nations Convention on the Rights of the Child (UNCRC, 2022) for all children to have access to education. Furthermore, Green (2020) recognized that a gap not only remained in accessing technologies but also in the use of technology for children and their education. An average of one lesson a day is being accessed by only seventy-one percent of children within the United Kingdom, highlighting a significant fall in participating lessons when compared to the usual face-to-face lessons received in schools. The lack of interpersonal interaction children had during the pandemic according to </w:t>
      </w:r>
      <w:proofErr w:type="spellStart"/>
      <w:r w:rsidRPr="00F6678D">
        <w:rPr>
          <w:rFonts w:ascii="Arial" w:hAnsi="Arial" w:cs="Arial"/>
          <w:color w:val="0E101A"/>
        </w:rPr>
        <w:t>Picciani</w:t>
      </w:r>
      <w:proofErr w:type="spellEnd"/>
      <w:r w:rsidRPr="00F6678D">
        <w:rPr>
          <w:rFonts w:ascii="Arial" w:hAnsi="Arial" w:cs="Arial"/>
          <w:color w:val="0E101A"/>
        </w:rPr>
        <w:t xml:space="preserve"> (2002) led to disconnection and isolation from their learning and therefore barriers were created for students to engage with not only learning but also their peers (Xu &amp; Jaggers, 2014).</w:t>
      </w:r>
    </w:p>
    <w:p w14:paraId="375A9BC4"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2A16802D"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A correlation can be found between peer engagement, learning engagement, and self-efficacy (</w:t>
      </w:r>
      <w:proofErr w:type="spellStart"/>
      <w:r w:rsidRPr="00F6678D">
        <w:rPr>
          <w:rFonts w:ascii="Arial" w:hAnsi="Arial" w:cs="Arial"/>
          <w:color w:val="0E101A"/>
        </w:rPr>
        <w:t>Sokmen</w:t>
      </w:r>
      <w:proofErr w:type="spellEnd"/>
      <w:r w:rsidRPr="00F6678D">
        <w:rPr>
          <w:rFonts w:ascii="Arial" w:hAnsi="Arial" w:cs="Arial"/>
          <w:color w:val="0E101A"/>
        </w:rPr>
        <w:t>, 2019). The theorist Albert Bandura (1997a, p3) describes self-efficacy as an ‘individual belief in one’s capabilities to organize and execute the courses of action required in producing given attainments. The psychosocial model of the Social Cognitive Theory (Bandura, 1997b) can explain the positive and negative impacts on a child’s environment that can be grouped into two factors, environmental and personal. Firstly, environmental factors can be found within social support, and secondly, personal factors include self-efficacy and a major factor that contributes to the ability to change behavior (</w:t>
      </w:r>
      <w:proofErr w:type="spellStart"/>
      <w:r w:rsidRPr="00F6678D">
        <w:rPr>
          <w:rFonts w:ascii="Arial" w:hAnsi="Arial" w:cs="Arial"/>
          <w:color w:val="0E101A"/>
        </w:rPr>
        <w:t>Komendantova</w:t>
      </w:r>
      <w:proofErr w:type="spellEnd"/>
      <w:r w:rsidRPr="00F6678D">
        <w:rPr>
          <w:rFonts w:ascii="Arial" w:hAnsi="Arial" w:cs="Arial"/>
          <w:color w:val="0E101A"/>
        </w:rPr>
        <w:t xml:space="preserve"> et al., 2018). Studies have shown support from peers to achieve learning engagement (Fredricks et al. 2019). Through peer support in the classroom, students can access further academic support, </w:t>
      </w:r>
      <w:r w:rsidRPr="00F6678D">
        <w:rPr>
          <w:rFonts w:ascii="Arial" w:hAnsi="Arial" w:cs="Arial"/>
          <w:color w:val="0E101A"/>
        </w:rPr>
        <w:lastRenderedPageBreak/>
        <w:t xml:space="preserve">confidence in their learning, learning </w:t>
      </w:r>
      <w:proofErr w:type="spellStart"/>
      <w:r w:rsidRPr="00F6678D">
        <w:rPr>
          <w:rFonts w:ascii="Arial" w:hAnsi="Arial" w:cs="Arial"/>
          <w:color w:val="0E101A"/>
        </w:rPr>
        <w:t>behaviors</w:t>
      </w:r>
      <w:proofErr w:type="spellEnd"/>
      <w:r w:rsidRPr="00F6678D">
        <w:rPr>
          <w:rFonts w:ascii="Arial" w:hAnsi="Arial" w:cs="Arial"/>
          <w:color w:val="0E101A"/>
        </w:rPr>
        <w:t>, and language development. Tullis and Goldstone (2020) highlight the importance of a seating plan in the classroom, identifying students to improve accuracy and understanding through discussions with their peers. However, without support from peers’ students show less engagement and show fear in accomplishing activities (Kiefer et al. 2015). </w:t>
      </w:r>
    </w:p>
    <w:p w14:paraId="3C400D3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00490DF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u w:val="single"/>
        </w:rPr>
        <w:t>Reflection</w:t>
      </w:r>
    </w:p>
    <w:p w14:paraId="0DAA9687"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The reflection of the incident discussed within the essay can be expanded through Brookfield’s (1998) four perspective lenses. The first of the lenses reflects on that your own experiences, where I had several suggestions surrounding the incident. I thoroughly enjoyed the lesson as a whole, the teacher dealt with incidents as they occurred although in the case of the discussed incident with the student additional scaffolding measures based on the theory of Vygotsky’s Zone of Proximal Development and Scaffolding (ZPD) (McLeod, 2019) could have been used. The theory discussed a zone where a child’s learning can be placed between the actual development and the potential development required for a child to develop individually and with peers. The student stated the reading book to be too hard after support from the teacher, if the reading book provided to the student was challenged within the ZPD and allowed the child to undertake the task the incident could have resulted in a different outcome. Although it can be argued that a year seven student had only been in the school for a few weeks and the teacher may not have had the opportunity to understand the ability of the child or assess them.  </w:t>
      </w:r>
    </w:p>
    <w:p w14:paraId="645D76EF"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70A89860"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Secondly, from the perspective of student A, I can understand how his frustration had built because of his lack of understanding of the literature. Furthermore, after several lessons observing the student, he could be seen on numerous occasions reliant on his peers to understand tasks. Being in a large classroom the separation between pupils (see Appendix 4) disadvantages the student as he could not ask peers for support or see examples of their work. Therefore, the frustration shown could be understood when the student can be seen to be heavily reliant on peer support, however, independent learning could be a further target for the student to develop through exposure to further independent learning tasks.</w:t>
      </w:r>
    </w:p>
    <w:p w14:paraId="0EEAA053"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5A1556F5"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lastRenderedPageBreak/>
        <w:t>           Thirdly, a discussion with the teacher at the end of the lesson provided a further reflection of the teacher’s perspective. The teacher suggested siblings of student A endure similar issues of lack of understanding of the Welsh language and that the student came from a non-Welsh speaking home that lacked support. As a result, the teacher suggested the pupil would soon be inducted into the Welsh language immersion intervention that targets basic skills within the language. The teacher highlighted further support such as Team Around the family and school interventions that would be available to the student if required.</w:t>
      </w:r>
    </w:p>
    <w:p w14:paraId="7FB5E7CA"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008A3B14"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Finally, reflecting on the incident through Skinner’s Operant Conditioning Theory identifies how changes in behavior are a result of an individual’s responses to stimuli that occur in their environment (McLeod, 2018). Therefore, student A’s behavior changed possibly because of stimuli such as the seating plan as he could not seek peer support as well as the frustration built due to lack of understanding which created a poor reaction. </w:t>
      </w:r>
    </w:p>
    <w:p w14:paraId="52092A22"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44A23936"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Reviewing the critical incident from Brookfield’s four lenses’ (1998) perspectives have allowed myself to develop my own understanding of the deeper issues faced by children within the classroom and in turn, develop my own professional development highlighting different adversities to overcome as a teacher. Students are unpredictable and react in different forms with the teachers having to adapt to each reaction. Additionally, one reaction or negative behaviour from students should not take priority over the rest of a class, however, the incident or student cannot dictate or disrupt the learning of others. The teacher within the incident did not allow this to happen and displayed actions made by the teacher can maintain or decrease the behaviour shown. </w:t>
      </w:r>
    </w:p>
    <w:p w14:paraId="1E79B046"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3D6C373C"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xml:space="preserve">           To conclude, the incident observed highlighted the negative impact a child’s home environment may have on their ability to learn, in this case, a child from a non-Welsh speaking home. The lack of support from home and further aspects of possible impairment towards learning the Welsh language concluded to be the reason for the critical incident although evidence suggests with immersion interventions and time learning the language would aspire. Regardless of access to learning the language eventually ninety percent of students achieve their expected outcomes leaving ten </w:t>
      </w:r>
      <w:r w:rsidRPr="00F6678D">
        <w:rPr>
          <w:rFonts w:ascii="Arial" w:hAnsi="Arial" w:cs="Arial"/>
          <w:color w:val="0E101A"/>
        </w:rPr>
        <w:lastRenderedPageBreak/>
        <w:t>percent of students that do not achieve their outcomes suggesting further barriers such as the Covid pandemic, ALN, and classroom management impede those students’ endeavours.</w:t>
      </w:r>
    </w:p>
    <w:p w14:paraId="7B8FCF69" w14:textId="77777777" w:rsidR="00F6678D" w:rsidRPr="00F6678D" w:rsidRDefault="00F6678D" w:rsidP="00F6678D">
      <w:pPr>
        <w:spacing w:line="360" w:lineRule="auto"/>
        <w:jc w:val="both"/>
        <w:rPr>
          <w:rFonts w:ascii="Arial" w:hAnsi="Arial" w:cs="Arial"/>
          <w:color w:val="0E101A"/>
        </w:rPr>
      </w:pPr>
      <w:r w:rsidRPr="00F6678D">
        <w:rPr>
          <w:rFonts w:ascii="Arial" w:hAnsi="Arial" w:cs="Arial"/>
          <w:color w:val="0E101A"/>
        </w:rPr>
        <w:t> </w:t>
      </w:r>
    </w:p>
    <w:p w14:paraId="5714EE72" w14:textId="3946452D" w:rsidR="00F6678D" w:rsidRDefault="00F6678D" w:rsidP="00F6678D">
      <w:pPr>
        <w:spacing w:line="360" w:lineRule="auto"/>
        <w:jc w:val="both"/>
        <w:rPr>
          <w:color w:val="0E101A"/>
        </w:rPr>
      </w:pPr>
      <w:r w:rsidRPr="00F6678D">
        <w:rPr>
          <w:rFonts w:ascii="Arial" w:hAnsi="Arial" w:cs="Arial"/>
          <w:color w:val="0E101A"/>
        </w:rPr>
        <w:t>           Moving forward within my own professional development, the opportunity provided within the bridging days has highlighted aspects such as the importance of seating plans and scaffolding. Through implementing such aspects within my own teaching, I feel the students within the classroom would only benefit positively and strive towards achieving the goals set within the new curriculum for Wales (2022) of being ambitious capable learners</w:t>
      </w:r>
      <w:r w:rsidRPr="00F6678D">
        <w:rPr>
          <w:color w:val="0E101A"/>
        </w:rPr>
        <w:t>.</w:t>
      </w:r>
    </w:p>
    <w:p w14:paraId="57D8A404" w14:textId="77777777" w:rsidR="00F45264" w:rsidRPr="00F6678D" w:rsidRDefault="00F45264" w:rsidP="00F6678D">
      <w:pPr>
        <w:spacing w:line="360" w:lineRule="auto"/>
        <w:jc w:val="both"/>
        <w:rPr>
          <w:color w:val="0E101A"/>
        </w:rPr>
      </w:pPr>
    </w:p>
    <w:p w14:paraId="161385A0" w14:textId="7A18C26D" w:rsidR="00866D71" w:rsidRPr="00A53DBA" w:rsidRDefault="00A53DBA" w:rsidP="00866D71">
      <w:pPr>
        <w:spacing w:line="360" w:lineRule="auto"/>
        <w:jc w:val="both"/>
        <w:rPr>
          <w:rFonts w:ascii="Arial" w:hAnsi="Arial" w:cs="Arial"/>
          <w:u w:val="single"/>
        </w:rPr>
      </w:pPr>
      <w:r>
        <w:rPr>
          <w:rFonts w:ascii="Arial" w:hAnsi="Arial" w:cs="Arial"/>
          <w:u w:val="single"/>
        </w:rPr>
        <w:t xml:space="preserve">References </w:t>
      </w:r>
    </w:p>
    <w:p w14:paraId="3F8BE532"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Bandura A. (1997a). </w:t>
      </w:r>
      <w:r w:rsidRPr="006D383D">
        <w:rPr>
          <w:rStyle w:val="Emphasis"/>
          <w:rFonts w:ascii="Arial" w:hAnsi="Arial" w:cs="Arial"/>
          <w:color w:val="000000" w:themeColor="text1"/>
          <w:shd w:val="clear" w:color="auto" w:fill="FFFFFF"/>
        </w:rPr>
        <w:t>Self-Efficacy: The Exercise of Control.</w:t>
      </w:r>
      <w:r w:rsidRPr="006D383D">
        <w:rPr>
          <w:rFonts w:ascii="Arial" w:hAnsi="Arial" w:cs="Arial"/>
          <w:color w:val="000000" w:themeColor="text1"/>
          <w:shd w:val="clear" w:color="auto" w:fill="FFFFFF"/>
        </w:rPr>
        <w:t xml:space="preserve"> New York: Freeman. </w:t>
      </w:r>
      <w:r w:rsidRPr="006D383D">
        <w:rPr>
          <w:rFonts w:ascii="Arial" w:hAnsi="Arial" w:cs="Arial"/>
          <w:color w:val="000000" w:themeColor="text1"/>
        </w:rPr>
        <w:t xml:space="preserve">Available at; </w:t>
      </w:r>
      <w:hyperlink r:id="rId7" w:history="1">
        <w:r w:rsidRPr="006D383D">
          <w:rPr>
            <w:rStyle w:val="Hyperlink"/>
            <w:rFonts w:ascii="Arial" w:hAnsi="Arial" w:cs="Arial"/>
          </w:rPr>
          <w:t>https://connect.springerpub.com/content/sgrjcp/13/2/158.     Accessed 17/10/22</w:t>
        </w:r>
      </w:hyperlink>
    </w:p>
    <w:p w14:paraId="74E47598"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Bandura A. (1997b). </w:t>
      </w:r>
      <w:r w:rsidRPr="006D383D">
        <w:rPr>
          <w:rStyle w:val="ref-title"/>
          <w:rFonts w:ascii="Arial" w:hAnsi="Arial" w:cs="Arial"/>
          <w:color w:val="000000" w:themeColor="text1"/>
          <w:shd w:val="clear" w:color="auto" w:fill="FFFFFF"/>
        </w:rPr>
        <w:t xml:space="preserve">Self-efficacy: toward a unifying theory of </w:t>
      </w:r>
      <w:proofErr w:type="spellStart"/>
      <w:r w:rsidRPr="006D383D">
        <w:rPr>
          <w:rStyle w:val="ref-title"/>
          <w:rFonts w:ascii="Arial" w:hAnsi="Arial" w:cs="Arial"/>
          <w:color w:val="000000" w:themeColor="text1"/>
          <w:shd w:val="clear" w:color="auto" w:fill="FFFFFF"/>
        </w:rPr>
        <w:t>behavioral</w:t>
      </w:r>
      <w:proofErr w:type="spellEnd"/>
      <w:r w:rsidRPr="006D383D">
        <w:rPr>
          <w:rStyle w:val="ref-title"/>
          <w:rFonts w:ascii="Arial" w:hAnsi="Arial" w:cs="Arial"/>
          <w:color w:val="000000" w:themeColor="text1"/>
          <w:shd w:val="clear" w:color="auto" w:fill="FFFFFF"/>
        </w:rPr>
        <w:t xml:space="preserve"> change.</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Psychol. Rev.</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84</w:t>
      </w:r>
      <w:r w:rsidRPr="006D383D">
        <w:rPr>
          <w:rFonts w:ascii="Arial" w:hAnsi="Arial" w:cs="Arial"/>
          <w:color w:val="000000" w:themeColor="text1"/>
          <w:shd w:val="clear" w:color="auto" w:fill="FFFFFF"/>
        </w:rPr>
        <w:t xml:space="preserve"> 191–215. 10.1037/0033-295X.84.2.191. </w:t>
      </w:r>
      <w:r w:rsidRPr="006D383D">
        <w:rPr>
          <w:rFonts w:ascii="Arial" w:hAnsi="Arial" w:cs="Arial"/>
          <w:color w:val="000000" w:themeColor="text1"/>
        </w:rPr>
        <w:t xml:space="preserve">Available at; </w:t>
      </w:r>
      <w:hyperlink r:id="rId8" w:history="1">
        <w:r w:rsidRPr="006D383D">
          <w:rPr>
            <w:rStyle w:val="Hyperlink"/>
            <w:rFonts w:ascii="Arial" w:hAnsi="Arial" w:cs="Arial"/>
            <w:color w:val="000000" w:themeColor="text1"/>
          </w:rPr>
          <w:t>https://psycnet.apa.org/record/1977-25733-001</w:t>
        </w:r>
      </w:hyperlink>
      <w:r w:rsidRPr="006D383D">
        <w:rPr>
          <w:rFonts w:ascii="Arial" w:hAnsi="Arial" w:cs="Arial"/>
          <w:color w:val="000000" w:themeColor="text1"/>
        </w:rPr>
        <w:t xml:space="preserve"> Accessed 17/10/22</w:t>
      </w:r>
    </w:p>
    <w:p w14:paraId="7B803E87"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Binks, H. L. and Thomas, E. M. (2019) Long-term outcomes for bilinguals in minority language contexts: Welsh-English teenagers’ performance on measures of grammatical gender and plural morphology in Welsh. Applied Psycholinguistics, 40 (4), 1019-1049. Available at; </w:t>
      </w:r>
      <w:hyperlink r:id="rId9" w:history="1">
        <w:r w:rsidRPr="006D383D">
          <w:rPr>
            <w:rStyle w:val="Hyperlink"/>
            <w:rFonts w:ascii="Arial" w:hAnsi="Arial" w:cs="Arial"/>
          </w:rPr>
          <w:t>https://www.cambridge.org/core/journals/applied-psycholinguistics/article/longterm-outcomes-for-bilinguals-in-minority-language-contexts-welshenglish-teenagers-performance-on-measures-of-grammatical-gender-and-plural-morphology-in-welsh/55A7DB1FD5F83BF47425526F11499469/share/c7f6b2b89c7cc98fb1716f0757cbd6e35beed069</w:t>
        </w:r>
      </w:hyperlink>
      <w:r w:rsidRPr="006D383D">
        <w:rPr>
          <w:rFonts w:ascii="Arial" w:hAnsi="Arial" w:cs="Arial"/>
          <w:color w:val="000000" w:themeColor="text1"/>
        </w:rPr>
        <w:t xml:space="preserve"> Accessed 18/10/22</w:t>
      </w:r>
    </w:p>
    <w:p w14:paraId="01EBBA0E"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Brookfield, S (1998, p115-118). Becoming a critically </w:t>
      </w:r>
      <w:proofErr w:type="spellStart"/>
      <w:r w:rsidRPr="006D383D">
        <w:rPr>
          <w:rFonts w:ascii="Arial" w:hAnsi="Arial" w:cs="Arial"/>
          <w:color w:val="000000" w:themeColor="text1"/>
        </w:rPr>
        <w:t>refective</w:t>
      </w:r>
      <w:proofErr w:type="spellEnd"/>
      <w:r w:rsidRPr="006D383D">
        <w:rPr>
          <w:rFonts w:ascii="Arial" w:hAnsi="Arial" w:cs="Arial"/>
          <w:color w:val="000000" w:themeColor="text1"/>
        </w:rPr>
        <w:t xml:space="preserve"> teacher. Available at: </w:t>
      </w:r>
      <w:hyperlink r:id="rId10" w:history="1">
        <w:r w:rsidRPr="006D383D">
          <w:rPr>
            <w:rStyle w:val="Hyperlink"/>
            <w:rFonts w:ascii="Arial" w:hAnsi="Arial" w:cs="Arial"/>
          </w:rPr>
          <w:t>https://link-springer-com.ezproxy.uwtsd.ac.uk/article/10.1023/A:1007464807699</w:t>
        </w:r>
      </w:hyperlink>
      <w:r w:rsidRPr="006D383D">
        <w:rPr>
          <w:rFonts w:ascii="Arial" w:hAnsi="Arial" w:cs="Arial"/>
          <w:color w:val="000000" w:themeColor="text1"/>
        </w:rPr>
        <w:t xml:space="preserve"> Accessed 21/10/22</w:t>
      </w:r>
    </w:p>
    <w:p w14:paraId="4B4D6C0C"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333333"/>
        </w:rPr>
        <w:lastRenderedPageBreak/>
        <w:t xml:space="preserve">Brookfield, S. D. (2017). Becoming a critically reflective teacher (2nd ed.). San Francisco, CA: Jossey Bass. Available at; </w:t>
      </w:r>
      <w:hyperlink r:id="rId11" w:history="1">
        <w:r w:rsidRPr="006D383D">
          <w:rPr>
            <w:rStyle w:val="Hyperlink"/>
            <w:rFonts w:ascii="Arial" w:hAnsi="Arial" w:cs="Arial"/>
          </w:rPr>
          <w:t>https://journals.sfu.ca/jalt/index.php/jalt/article/view/165</w:t>
        </w:r>
      </w:hyperlink>
      <w:r w:rsidRPr="006D383D">
        <w:rPr>
          <w:rFonts w:ascii="Arial" w:hAnsi="Arial" w:cs="Arial"/>
          <w:color w:val="333333"/>
        </w:rPr>
        <w:t xml:space="preserve"> Accessed 21/10/22</w:t>
      </w:r>
    </w:p>
    <w:p w14:paraId="7436F4B5"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Cambridge Dictionary (2022), Definition of Bilingualism. Available at; </w:t>
      </w:r>
      <w:hyperlink r:id="rId12" w:history="1">
        <w:r w:rsidRPr="006D383D">
          <w:rPr>
            <w:rStyle w:val="Hyperlink"/>
            <w:rFonts w:ascii="Arial" w:hAnsi="Arial" w:cs="Arial"/>
            <w:color w:val="000000" w:themeColor="text1"/>
          </w:rPr>
          <w:t>https://dictionary.cambridge.org/dictionary/english/bilingual</w:t>
        </w:r>
      </w:hyperlink>
      <w:r w:rsidRPr="006D383D">
        <w:rPr>
          <w:rFonts w:ascii="Arial" w:hAnsi="Arial" w:cs="Arial"/>
          <w:color w:val="000000" w:themeColor="text1"/>
        </w:rPr>
        <w:t xml:space="preserve"> Accessed: 11/10/22</w:t>
      </w:r>
    </w:p>
    <w:p w14:paraId="7B56A741" w14:textId="77777777" w:rsidR="006D383D" w:rsidRPr="006D383D" w:rsidRDefault="006D383D" w:rsidP="00866D71">
      <w:pPr>
        <w:pStyle w:val="NoSpacing"/>
        <w:numPr>
          <w:ilvl w:val="0"/>
          <w:numId w:val="4"/>
        </w:numPr>
        <w:spacing w:line="360" w:lineRule="auto"/>
        <w:jc w:val="both"/>
        <w:rPr>
          <w:rFonts w:ascii="Arial" w:hAnsi="Arial" w:cs="Arial"/>
        </w:rPr>
      </w:pPr>
      <w:r w:rsidRPr="006D383D">
        <w:rPr>
          <w:rFonts w:ascii="Arial" w:hAnsi="Arial" w:cs="Arial"/>
        </w:rPr>
        <w:t xml:space="preserve">CCC, (2022). Welsh in Education Strategic Plan (WESP). Available at; </w:t>
      </w:r>
      <w:hyperlink r:id="rId13" w:history="1">
        <w:r w:rsidRPr="006D383D">
          <w:rPr>
            <w:rStyle w:val="Hyperlink"/>
            <w:rFonts w:ascii="Arial" w:hAnsi="Arial" w:cs="Arial"/>
          </w:rPr>
          <w:t>https://www.carmarthenshire.gov.wales/home/council-services/education-schools/bilingual-education/welsh-in-education-strategic-plan-wesp/</w:t>
        </w:r>
      </w:hyperlink>
      <w:r w:rsidRPr="006D383D">
        <w:rPr>
          <w:rFonts w:ascii="Arial" w:hAnsi="Arial" w:cs="Arial"/>
        </w:rPr>
        <w:t xml:space="preserve"> Accessed 12/10/22</w:t>
      </w:r>
    </w:p>
    <w:p w14:paraId="465B7135"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Children’s commissioner (2020). Children without internet access during lockdown. Available at; </w:t>
      </w:r>
      <w:hyperlink r:id="rId14" w:history="1">
        <w:r w:rsidRPr="006D383D">
          <w:rPr>
            <w:rStyle w:val="Hyperlink"/>
            <w:rFonts w:ascii="Arial" w:hAnsi="Arial" w:cs="Arial"/>
            <w:color w:val="000000" w:themeColor="text1"/>
          </w:rPr>
          <w:t>https://www.childrenscommissioner.gov.uk/2020/08/18/children-without-internet-access-during-lockdown/</w:t>
        </w:r>
      </w:hyperlink>
      <w:r w:rsidRPr="006D383D">
        <w:rPr>
          <w:rFonts w:ascii="Arial" w:hAnsi="Arial" w:cs="Arial"/>
          <w:color w:val="000000" w:themeColor="text1"/>
        </w:rPr>
        <w:t xml:space="preserve"> Accessed 15/10/22</w:t>
      </w:r>
    </w:p>
    <w:p w14:paraId="3D12DD30" w14:textId="77777777" w:rsidR="006D383D" w:rsidRPr="006D383D" w:rsidRDefault="006D383D" w:rsidP="00866D71">
      <w:pPr>
        <w:pStyle w:val="NoSpacing"/>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Cummins, J (2008). </w:t>
      </w:r>
      <w:proofErr w:type="spellStart"/>
      <w:r w:rsidRPr="006D383D">
        <w:rPr>
          <w:rFonts w:ascii="Arial" w:hAnsi="Arial" w:cs="Arial"/>
          <w:color w:val="000000" w:themeColor="text1"/>
        </w:rPr>
        <w:t>Bics</w:t>
      </w:r>
      <w:proofErr w:type="spellEnd"/>
      <w:r w:rsidRPr="006D383D">
        <w:rPr>
          <w:rFonts w:ascii="Arial" w:hAnsi="Arial" w:cs="Arial"/>
          <w:color w:val="000000" w:themeColor="text1"/>
        </w:rPr>
        <w:t xml:space="preserve"> and Calp; Empirical and theoretical status of the distinction. Available; </w:t>
      </w:r>
      <w:hyperlink r:id="rId15" w:history="1">
        <w:r w:rsidRPr="006D383D">
          <w:rPr>
            <w:rStyle w:val="Hyperlink"/>
            <w:rFonts w:ascii="Arial" w:hAnsi="Arial" w:cs="Arial"/>
          </w:rPr>
          <w:t>file:///Users/richarddavies/Downloads/BICS_and_CALP_Empirical_and_theoretical_status_of_.pdf</w:t>
        </w:r>
      </w:hyperlink>
      <w:r w:rsidRPr="006D383D">
        <w:rPr>
          <w:rFonts w:ascii="Arial" w:hAnsi="Arial" w:cs="Arial"/>
          <w:color w:val="000000" w:themeColor="text1"/>
        </w:rPr>
        <w:t xml:space="preserve"> Accessed 19/10/22</w:t>
      </w:r>
    </w:p>
    <w:p w14:paraId="17BC5999"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Davies, J., 2012, ‘Facework on Facebook as a new literacy practice’, Computers &amp; Education 59, 19–29. Available at; </w:t>
      </w:r>
      <w:hyperlink r:id="rId16" w:history="1">
        <w:r w:rsidRPr="006D383D">
          <w:rPr>
            <w:rStyle w:val="Hyperlink"/>
            <w:rFonts w:ascii="Arial" w:hAnsi="Arial" w:cs="Arial"/>
          </w:rPr>
          <w:t>https://doi.org/10.1016/j.compedu.2011.11.007</w:t>
        </w:r>
      </w:hyperlink>
      <w:r w:rsidRPr="006D383D">
        <w:rPr>
          <w:rFonts w:ascii="Arial" w:hAnsi="Arial" w:cs="Arial"/>
          <w:color w:val="000000" w:themeColor="text1"/>
        </w:rPr>
        <w:t xml:space="preserve"> Accessed 19/10/22</w:t>
      </w:r>
    </w:p>
    <w:p w14:paraId="2FC61049" w14:textId="77777777" w:rsidR="006D383D" w:rsidRPr="006D383D" w:rsidRDefault="006D383D" w:rsidP="00866D71">
      <w:pPr>
        <w:pStyle w:val="NoSpacing"/>
        <w:numPr>
          <w:ilvl w:val="0"/>
          <w:numId w:val="2"/>
        </w:numPr>
        <w:spacing w:line="360" w:lineRule="auto"/>
        <w:jc w:val="both"/>
        <w:rPr>
          <w:rFonts w:ascii="Arial" w:hAnsi="Arial" w:cs="Arial"/>
          <w:i/>
          <w:iCs/>
          <w:color w:val="000000" w:themeColor="text1"/>
        </w:rPr>
      </w:pPr>
      <w:r w:rsidRPr="006D383D">
        <w:rPr>
          <w:rFonts w:ascii="Arial" w:hAnsi="Arial" w:cs="Arial"/>
          <w:color w:val="000000" w:themeColor="text1"/>
          <w:shd w:val="clear" w:color="auto" w:fill="FFFFFF"/>
        </w:rPr>
        <w:t xml:space="preserve">Doucet A., </w:t>
      </w:r>
      <w:proofErr w:type="spellStart"/>
      <w:r w:rsidRPr="006D383D">
        <w:rPr>
          <w:rFonts w:ascii="Arial" w:hAnsi="Arial" w:cs="Arial"/>
          <w:color w:val="000000" w:themeColor="text1"/>
          <w:shd w:val="clear" w:color="auto" w:fill="FFFFFF"/>
        </w:rPr>
        <w:t>Netolicky</w:t>
      </w:r>
      <w:proofErr w:type="spellEnd"/>
      <w:r w:rsidRPr="006D383D">
        <w:rPr>
          <w:rFonts w:ascii="Arial" w:hAnsi="Arial" w:cs="Arial"/>
          <w:color w:val="000000" w:themeColor="text1"/>
          <w:shd w:val="clear" w:color="auto" w:fill="FFFFFF"/>
        </w:rPr>
        <w:t xml:space="preserve"> D., </w:t>
      </w:r>
      <w:proofErr w:type="spellStart"/>
      <w:r w:rsidRPr="006D383D">
        <w:rPr>
          <w:rFonts w:ascii="Arial" w:hAnsi="Arial" w:cs="Arial"/>
          <w:color w:val="000000" w:themeColor="text1"/>
          <w:shd w:val="clear" w:color="auto" w:fill="FFFFFF"/>
        </w:rPr>
        <w:t>Timmers</w:t>
      </w:r>
      <w:proofErr w:type="spellEnd"/>
      <w:r w:rsidRPr="006D383D">
        <w:rPr>
          <w:rFonts w:ascii="Arial" w:hAnsi="Arial" w:cs="Arial"/>
          <w:color w:val="000000" w:themeColor="text1"/>
          <w:shd w:val="clear" w:color="auto" w:fill="FFFFFF"/>
        </w:rPr>
        <w:t xml:space="preserve"> K., </w:t>
      </w:r>
      <w:proofErr w:type="spellStart"/>
      <w:r w:rsidRPr="006D383D">
        <w:rPr>
          <w:rFonts w:ascii="Arial" w:hAnsi="Arial" w:cs="Arial"/>
          <w:color w:val="000000" w:themeColor="text1"/>
          <w:shd w:val="clear" w:color="auto" w:fill="FFFFFF"/>
        </w:rPr>
        <w:t>Tuscano</w:t>
      </w:r>
      <w:proofErr w:type="spellEnd"/>
      <w:r w:rsidRPr="006D383D">
        <w:rPr>
          <w:rFonts w:ascii="Arial" w:hAnsi="Arial" w:cs="Arial"/>
          <w:color w:val="000000" w:themeColor="text1"/>
          <w:shd w:val="clear" w:color="auto" w:fill="FFFFFF"/>
        </w:rPr>
        <w:t xml:space="preserve"> F. J. (2020).</w:t>
      </w:r>
      <w:r w:rsidRPr="006D383D">
        <w:rPr>
          <w:rFonts w:ascii="Arial" w:hAnsi="Arial" w:cs="Arial"/>
          <w:i/>
          <w:iCs/>
          <w:color w:val="000000" w:themeColor="text1"/>
          <w:shd w:val="clear" w:color="auto" w:fill="FFFFFF"/>
        </w:rPr>
        <w:t> </w:t>
      </w:r>
      <w:r w:rsidRPr="006D383D">
        <w:rPr>
          <w:rStyle w:val="Emphasis"/>
          <w:rFonts w:ascii="Arial" w:hAnsi="Arial" w:cs="Arial"/>
          <w:i w:val="0"/>
          <w:iCs w:val="0"/>
          <w:color w:val="000000" w:themeColor="text1"/>
          <w:shd w:val="clear" w:color="auto" w:fill="FFFFFF"/>
        </w:rPr>
        <w:t>Thinking about pedagogy in an unfolding pandemic</w:t>
      </w:r>
      <w:r w:rsidRPr="006D383D">
        <w:rPr>
          <w:rFonts w:ascii="Arial" w:hAnsi="Arial" w:cs="Arial"/>
          <w:i/>
          <w:iCs/>
          <w:color w:val="000000" w:themeColor="text1"/>
          <w:shd w:val="clear" w:color="auto" w:fill="FFFFFF"/>
        </w:rPr>
        <w:t> </w:t>
      </w:r>
      <w:r w:rsidRPr="006D383D">
        <w:rPr>
          <w:rFonts w:ascii="Arial" w:hAnsi="Arial" w:cs="Arial"/>
          <w:color w:val="000000" w:themeColor="text1"/>
          <w:shd w:val="clear" w:color="auto" w:fill="FFFFFF"/>
        </w:rPr>
        <w:t>(An Independent Report on Approaches to Distance Learning during COVID-19 School Closure). Work of Education International and UNESCO. Available at; </w:t>
      </w:r>
      <w:hyperlink r:id="rId17" w:history="1">
        <w:r w:rsidRPr="006D383D">
          <w:rPr>
            <w:rStyle w:val="Hyperlink"/>
            <w:rFonts w:ascii="Arial" w:hAnsi="Arial" w:cs="Arial"/>
            <w:color w:val="000000" w:themeColor="text1"/>
            <w:shd w:val="clear" w:color="auto" w:fill="FFFFFF"/>
          </w:rPr>
          <w:t>https://issuu.com/educationinternational/docs/2020_research_covid-19_eng</w:t>
        </w:r>
      </w:hyperlink>
      <w:r w:rsidRPr="006D383D">
        <w:rPr>
          <w:rFonts w:ascii="Arial" w:hAnsi="Arial" w:cs="Arial"/>
          <w:color w:val="000000" w:themeColor="text1"/>
        </w:rPr>
        <w:t xml:space="preserve"> Accessed on 16/10/22.</w:t>
      </w:r>
    </w:p>
    <w:p w14:paraId="5C6B81DB" w14:textId="77777777" w:rsidR="006D383D" w:rsidRPr="006D383D" w:rsidRDefault="006D383D" w:rsidP="00866D71">
      <w:pPr>
        <w:pStyle w:val="ListParagraph"/>
        <w:numPr>
          <w:ilvl w:val="0"/>
          <w:numId w:val="6"/>
        </w:numPr>
        <w:spacing w:line="360" w:lineRule="auto"/>
        <w:jc w:val="both"/>
        <w:rPr>
          <w:rFonts w:ascii="Arial" w:hAnsi="Arial" w:cs="Arial"/>
        </w:rPr>
      </w:pPr>
      <w:r w:rsidRPr="006D383D">
        <w:rPr>
          <w:rFonts w:ascii="Arial" w:hAnsi="Arial" w:cs="Arial"/>
        </w:rPr>
        <w:t xml:space="preserve">Dweck, C. S. (2006). Mindset: The New Psychology of Success. New York, NY: Random House. Available at; </w:t>
      </w:r>
      <w:hyperlink r:id="rId18" w:history="1">
        <w:r w:rsidRPr="006D383D">
          <w:rPr>
            <w:rStyle w:val="Hyperlink"/>
            <w:rFonts w:ascii="Arial" w:hAnsi="Arial" w:cs="Arial"/>
          </w:rPr>
          <w:t>https://www.frontiersin.org/articles/10.3389/fpsyg.2021.621094/full Accessed 19/10/22</w:t>
        </w:r>
      </w:hyperlink>
    </w:p>
    <w:p w14:paraId="23619763"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lastRenderedPageBreak/>
        <w:t xml:space="preserve">Estyn (2021). Annual report 2020-21. Available at; </w:t>
      </w:r>
      <w:hyperlink r:id="rId19" w:history="1">
        <w:r w:rsidRPr="006D383D">
          <w:rPr>
            <w:rStyle w:val="Hyperlink"/>
            <w:rFonts w:ascii="Arial" w:hAnsi="Arial" w:cs="Arial"/>
            <w:color w:val="000000" w:themeColor="text1"/>
          </w:rPr>
          <w:t>https://www.estyn.gov.wales/annual-report/2020-2021?msclkid=0d33c48cb98311ecbd7b9753783c713c</w:t>
        </w:r>
      </w:hyperlink>
      <w:r w:rsidRPr="006D383D">
        <w:rPr>
          <w:rFonts w:ascii="Arial" w:hAnsi="Arial" w:cs="Arial"/>
          <w:color w:val="000000" w:themeColor="text1"/>
        </w:rPr>
        <w:t xml:space="preserve"> Accessed; 11/10/22</w:t>
      </w:r>
    </w:p>
    <w:p w14:paraId="71F968DC"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Estyn, (2016), A report on ‘School A’. Available at, </w:t>
      </w:r>
      <w:hyperlink r:id="rId20" w:history="1">
        <w:r w:rsidRPr="006D383D">
          <w:rPr>
            <w:rStyle w:val="Hyperlink"/>
            <w:rFonts w:ascii="Arial" w:hAnsi="Arial" w:cs="Arial"/>
          </w:rPr>
          <w:t>https://www.estyn.gov.wales/system/files/2020-08/Ysgol%2520y%2520Preseli%2520en.pdf</w:t>
        </w:r>
      </w:hyperlink>
      <w:r w:rsidRPr="006D383D">
        <w:rPr>
          <w:rFonts w:ascii="Arial" w:hAnsi="Arial" w:cs="Arial"/>
          <w:color w:val="000000" w:themeColor="text1"/>
        </w:rPr>
        <w:t xml:space="preserve"> Accessed 19/10/22</w:t>
      </w:r>
    </w:p>
    <w:p w14:paraId="0838AD19"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 xml:space="preserve">Fredricks J. A., Parr A. K., </w:t>
      </w:r>
      <w:proofErr w:type="spellStart"/>
      <w:r w:rsidRPr="006D383D">
        <w:rPr>
          <w:rFonts w:ascii="Arial" w:hAnsi="Arial" w:cs="Arial"/>
          <w:color w:val="000000" w:themeColor="text1"/>
          <w:shd w:val="clear" w:color="auto" w:fill="FFFFFF"/>
        </w:rPr>
        <w:t>Amemiya</w:t>
      </w:r>
      <w:proofErr w:type="spellEnd"/>
      <w:r w:rsidRPr="006D383D">
        <w:rPr>
          <w:rFonts w:ascii="Arial" w:hAnsi="Arial" w:cs="Arial"/>
          <w:color w:val="000000" w:themeColor="text1"/>
          <w:shd w:val="clear" w:color="auto" w:fill="FFFFFF"/>
        </w:rPr>
        <w:t xml:space="preserve"> J. L., Wang M., </w:t>
      </w:r>
      <w:proofErr w:type="spellStart"/>
      <w:r w:rsidRPr="006D383D">
        <w:rPr>
          <w:rFonts w:ascii="Arial" w:hAnsi="Arial" w:cs="Arial"/>
          <w:color w:val="000000" w:themeColor="text1"/>
          <w:shd w:val="clear" w:color="auto" w:fill="FFFFFF"/>
        </w:rPr>
        <w:t>Brauer</w:t>
      </w:r>
      <w:proofErr w:type="spellEnd"/>
      <w:r w:rsidRPr="006D383D">
        <w:rPr>
          <w:rFonts w:ascii="Arial" w:hAnsi="Arial" w:cs="Arial"/>
          <w:color w:val="000000" w:themeColor="text1"/>
          <w:shd w:val="clear" w:color="auto" w:fill="FFFFFF"/>
        </w:rPr>
        <w:t xml:space="preserve"> S. (2019). </w:t>
      </w:r>
      <w:r w:rsidRPr="006D383D">
        <w:rPr>
          <w:rStyle w:val="ref-title"/>
          <w:rFonts w:ascii="Arial" w:hAnsi="Arial" w:cs="Arial"/>
          <w:color w:val="000000" w:themeColor="text1"/>
          <w:shd w:val="clear" w:color="auto" w:fill="FFFFFF"/>
        </w:rPr>
        <w:t>What matters for urban adolescents’ engagement and disengagement in school: a mixed-methods study.</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 xml:space="preserve">J. </w:t>
      </w:r>
      <w:proofErr w:type="spellStart"/>
      <w:r w:rsidRPr="006D383D">
        <w:rPr>
          <w:rStyle w:val="Emphasis"/>
          <w:rFonts w:ascii="Arial" w:hAnsi="Arial" w:cs="Arial"/>
          <w:color w:val="000000" w:themeColor="text1"/>
          <w:shd w:val="clear" w:color="auto" w:fill="FFFFFF"/>
        </w:rPr>
        <w:t>Adoles</w:t>
      </w:r>
      <w:proofErr w:type="spellEnd"/>
      <w:r w:rsidRPr="006D383D">
        <w:rPr>
          <w:rStyle w:val="Emphasis"/>
          <w:rFonts w:ascii="Arial" w:hAnsi="Arial" w:cs="Arial"/>
          <w:color w:val="000000" w:themeColor="text1"/>
          <w:shd w:val="clear" w:color="auto" w:fill="FFFFFF"/>
        </w:rPr>
        <w:t>. Res.</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2019</w:t>
      </w:r>
      <w:r w:rsidRPr="006D383D">
        <w:rPr>
          <w:rFonts w:ascii="Arial" w:hAnsi="Arial" w:cs="Arial"/>
          <w:color w:val="000000" w:themeColor="text1"/>
          <w:shd w:val="clear" w:color="auto" w:fill="FFFFFF"/>
        </w:rPr>
        <w:t> 1–</w:t>
      </w:r>
      <w:proofErr w:type="gramStart"/>
      <w:r w:rsidRPr="006D383D">
        <w:rPr>
          <w:rFonts w:ascii="Arial" w:hAnsi="Arial" w:cs="Arial"/>
          <w:color w:val="000000" w:themeColor="text1"/>
          <w:shd w:val="clear" w:color="auto" w:fill="FFFFFF"/>
        </w:rPr>
        <w:t>37.</w:t>
      </w:r>
      <w:r w:rsidRPr="006D383D">
        <w:rPr>
          <w:rFonts w:ascii="Arial" w:hAnsi="Arial" w:cs="Arial"/>
          <w:color w:val="000000" w:themeColor="text1"/>
        </w:rPr>
        <w:t>.</w:t>
      </w:r>
      <w:proofErr w:type="gramEnd"/>
      <w:r w:rsidRPr="006D383D">
        <w:rPr>
          <w:rFonts w:ascii="Arial" w:hAnsi="Arial" w:cs="Arial"/>
          <w:color w:val="000000" w:themeColor="text1"/>
        </w:rPr>
        <w:t xml:space="preserve"> Available at; </w:t>
      </w:r>
      <w:hyperlink r:id="rId21" w:history="1">
        <w:r w:rsidRPr="006D383D">
          <w:rPr>
            <w:rStyle w:val="Hyperlink"/>
            <w:rFonts w:ascii="Arial" w:hAnsi="Arial" w:cs="Arial"/>
            <w:color w:val="000000" w:themeColor="text1"/>
          </w:rPr>
          <w:t>https://journals.sagepub.com/doi/full/10.1177/0743558419830638 Accessed 18/10/22</w:t>
        </w:r>
      </w:hyperlink>
    </w:p>
    <w:p w14:paraId="01553E3A"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shd w:val="clear" w:color="auto" w:fill="FFFFFF"/>
          <w:lang w:eastAsia="en-GB"/>
        </w:rPr>
        <w:t>Green, F. (2020), “Schoolwork in lockdown: new evidence on the epidemic of educational poverty”, </w:t>
      </w:r>
      <w:r w:rsidRPr="006D383D">
        <w:rPr>
          <w:rFonts w:ascii="Arial" w:eastAsia="Times New Roman" w:hAnsi="Arial" w:cs="Arial"/>
          <w:i/>
          <w:iCs/>
          <w:color w:val="000000" w:themeColor="text1"/>
          <w:shd w:val="clear" w:color="auto" w:fill="FFFFFF"/>
          <w:lang w:eastAsia="en-GB"/>
        </w:rPr>
        <w:t>LLAKES Research Paper 67</w:t>
      </w:r>
      <w:r w:rsidRPr="006D383D">
        <w:rPr>
          <w:rFonts w:ascii="Arial" w:eastAsia="Times New Roman" w:hAnsi="Arial" w:cs="Arial"/>
          <w:color w:val="000000" w:themeColor="text1"/>
          <w:shd w:val="clear" w:color="auto" w:fill="FFFFFF"/>
          <w:lang w:eastAsia="en-GB"/>
        </w:rPr>
        <w:t xml:space="preserve">. Available at; </w:t>
      </w:r>
      <w:hyperlink r:id="rId22" w:history="1">
        <w:r w:rsidRPr="006D383D">
          <w:rPr>
            <w:rStyle w:val="Hyperlink"/>
            <w:rFonts w:ascii="Arial" w:eastAsia="Times New Roman" w:hAnsi="Arial" w:cs="Arial"/>
            <w:shd w:val="clear" w:color="auto" w:fill="FFFFFF"/>
            <w:lang w:eastAsia="en-GB"/>
          </w:rPr>
          <w:t>https://www.children.org/global-poverty/global-poverty-facts/facts-about-world-poverty-and-education?rs_id=451&amp;utm_campaign=rkd-fy23grant&amp;utm_medium=cpc+grant&amp;utm_source=google&amp;gclid=CjwKCAjwzNOaBhAcEiwAD7Tb6P3dVi3ldDc4SF3kP7R9B74uUX384wPxHHGJu4UDvtIrEJ01jhf1dxoCBS4QAvD_BwE</w:t>
        </w:r>
      </w:hyperlink>
      <w:r w:rsidRPr="006D383D">
        <w:rPr>
          <w:rFonts w:ascii="Arial" w:eastAsia="Times New Roman" w:hAnsi="Arial" w:cs="Arial"/>
          <w:color w:val="000000" w:themeColor="text1"/>
          <w:shd w:val="clear" w:color="auto" w:fill="FFFFFF"/>
          <w:lang w:eastAsia="en-GB"/>
        </w:rPr>
        <w:t xml:space="preserve"> Accessed 10/10/22</w:t>
      </w:r>
    </w:p>
    <w:p w14:paraId="3E40D5A4" w14:textId="77777777" w:rsidR="006D383D" w:rsidRPr="006D383D" w:rsidRDefault="006D383D" w:rsidP="00866D71">
      <w:pPr>
        <w:pStyle w:val="NoSpacing"/>
        <w:numPr>
          <w:ilvl w:val="0"/>
          <w:numId w:val="4"/>
        </w:numPr>
        <w:spacing w:line="360" w:lineRule="auto"/>
        <w:jc w:val="both"/>
        <w:rPr>
          <w:rFonts w:ascii="Arial" w:hAnsi="Arial" w:cs="Arial"/>
        </w:rPr>
      </w:pPr>
      <w:proofErr w:type="spellStart"/>
      <w:r w:rsidRPr="006D383D">
        <w:rPr>
          <w:rFonts w:ascii="Arial" w:hAnsi="Arial" w:cs="Arial"/>
        </w:rPr>
        <w:t>Guedim</w:t>
      </w:r>
      <w:proofErr w:type="spellEnd"/>
      <w:r w:rsidRPr="006D383D">
        <w:rPr>
          <w:rFonts w:ascii="Arial" w:hAnsi="Arial" w:cs="Arial"/>
        </w:rPr>
        <w:t xml:space="preserve">, Z (2020). 5 Theories of Language Development: How Languages Came to be. Available at; </w:t>
      </w:r>
      <w:hyperlink r:id="rId23" w:history="1">
        <w:r w:rsidRPr="006D383D">
          <w:rPr>
            <w:rStyle w:val="Hyperlink"/>
            <w:rFonts w:ascii="Arial" w:hAnsi="Arial" w:cs="Arial"/>
          </w:rPr>
          <w:t>https://edgy.app/theories-of-language-development</w:t>
        </w:r>
      </w:hyperlink>
      <w:r w:rsidRPr="006D383D">
        <w:rPr>
          <w:rFonts w:ascii="Arial" w:hAnsi="Arial" w:cs="Arial"/>
        </w:rPr>
        <w:t xml:space="preserve"> Accessed 16/10/22 </w:t>
      </w:r>
    </w:p>
    <w:p w14:paraId="5850D29D" w14:textId="77777777" w:rsidR="006D383D" w:rsidRPr="006D383D" w:rsidRDefault="006D383D" w:rsidP="00866D71">
      <w:pPr>
        <w:pStyle w:val="NoSpacing"/>
        <w:numPr>
          <w:ilvl w:val="0"/>
          <w:numId w:val="2"/>
        </w:numPr>
        <w:spacing w:line="360" w:lineRule="auto"/>
        <w:jc w:val="both"/>
        <w:rPr>
          <w:rFonts w:ascii="Arial" w:hAnsi="Arial" w:cs="Arial"/>
        </w:rPr>
      </w:pPr>
      <w:r w:rsidRPr="006D383D">
        <w:rPr>
          <w:rFonts w:ascii="Arial" w:hAnsi="Arial" w:cs="Arial"/>
          <w:shd w:val="clear" w:color="auto" w:fill="FFFFFF"/>
        </w:rPr>
        <w:t xml:space="preserve">HWB, (2022). Areas of learning and experience, Languages, Literacy and Communication. Available at; </w:t>
      </w:r>
      <w:hyperlink r:id="rId24" w:history="1">
        <w:r w:rsidRPr="006D383D">
          <w:rPr>
            <w:rStyle w:val="Hyperlink"/>
            <w:rFonts w:ascii="Arial" w:hAnsi="Arial" w:cs="Arial"/>
            <w:shd w:val="clear" w:color="auto" w:fill="FFFFFF"/>
          </w:rPr>
          <w:t>https://hwb.gov.wales/curriculum-for-wales/languages-literacy-and-communication/designing-your-curriculum</w:t>
        </w:r>
      </w:hyperlink>
      <w:r w:rsidRPr="006D383D">
        <w:rPr>
          <w:rFonts w:ascii="Arial" w:hAnsi="Arial" w:cs="Arial"/>
          <w:shd w:val="clear" w:color="auto" w:fill="FFFFFF"/>
        </w:rPr>
        <w:t xml:space="preserve"> Accessed 20/10/22</w:t>
      </w:r>
    </w:p>
    <w:p w14:paraId="2FACB4C4"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Ismail, S. A. A. (2011). Exploring Students’ Perceptions of ESL Writing. </w:t>
      </w:r>
      <w:r w:rsidRPr="006D383D">
        <w:rPr>
          <w:rStyle w:val="Emphasis"/>
          <w:rFonts w:ascii="Arial" w:hAnsi="Arial" w:cs="Arial"/>
          <w:color w:val="000000" w:themeColor="text1"/>
          <w:shd w:val="clear" w:color="auto" w:fill="FFFFFF"/>
        </w:rPr>
        <w:t>English Language Teaching,</w:t>
      </w:r>
      <w:r w:rsidRPr="006D383D">
        <w:rPr>
          <w:rFonts w:ascii="Arial" w:hAnsi="Arial" w:cs="Arial"/>
          <w:color w:val="000000" w:themeColor="text1"/>
          <w:shd w:val="clear" w:color="auto" w:fill="FFFFFF"/>
        </w:rPr>
        <w:t xml:space="preserve"> 4(2): 73-84. Available at; </w:t>
      </w:r>
      <w:hyperlink r:id="rId25" w:history="1">
        <w:r w:rsidRPr="006D383D">
          <w:rPr>
            <w:rStyle w:val="Hyperlink"/>
            <w:rFonts w:ascii="Arial" w:hAnsi="Arial" w:cs="Arial"/>
            <w:shd w:val="clear" w:color="auto" w:fill="FFFFFF"/>
          </w:rPr>
          <w:t>https://files.eric.ed.gov/fulltext/EJ1080715.pdf</w:t>
        </w:r>
      </w:hyperlink>
      <w:r w:rsidRPr="006D383D">
        <w:rPr>
          <w:rFonts w:ascii="Arial" w:hAnsi="Arial" w:cs="Arial"/>
          <w:color w:val="000000" w:themeColor="text1"/>
          <w:shd w:val="clear" w:color="auto" w:fill="FFFFFF"/>
        </w:rPr>
        <w:t xml:space="preserve"> Accessed 22/10/22</w:t>
      </w:r>
    </w:p>
    <w:p w14:paraId="0F9F93FB"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Jaeger, E (2016 pp. 163-187), Explaining Literacy Development from a Bioecological Systems Framework: Affordances and Challenges. Available at; </w:t>
      </w:r>
      <w:hyperlink r:id="rId26" w:history="1">
        <w:r w:rsidRPr="006D383D">
          <w:rPr>
            <w:rStyle w:val="Hyperlink"/>
            <w:rFonts w:ascii="Arial" w:hAnsi="Arial" w:cs="Arial"/>
            <w:color w:val="000000" w:themeColor="text1"/>
          </w:rPr>
          <w:t>https://www.karger.com/Article/Pdf/449263</w:t>
        </w:r>
      </w:hyperlink>
      <w:r w:rsidRPr="006D383D">
        <w:rPr>
          <w:rFonts w:ascii="Arial" w:hAnsi="Arial" w:cs="Arial"/>
          <w:color w:val="000000" w:themeColor="text1"/>
        </w:rPr>
        <w:t xml:space="preserve"> Accessed;19/10/22</w:t>
      </w:r>
    </w:p>
    <w:p w14:paraId="77FCB050"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 xml:space="preserve">Kiefer S. M., Alley K. M., </w:t>
      </w:r>
      <w:proofErr w:type="spellStart"/>
      <w:r w:rsidRPr="006D383D">
        <w:rPr>
          <w:rFonts w:ascii="Arial" w:hAnsi="Arial" w:cs="Arial"/>
          <w:color w:val="000000" w:themeColor="text1"/>
          <w:shd w:val="clear" w:color="auto" w:fill="FFFFFF"/>
        </w:rPr>
        <w:t>Ellerbrock</w:t>
      </w:r>
      <w:proofErr w:type="spellEnd"/>
      <w:r w:rsidRPr="006D383D">
        <w:rPr>
          <w:rFonts w:ascii="Arial" w:hAnsi="Arial" w:cs="Arial"/>
          <w:color w:val="000000" w:themeColor="text1"/>
          <w:shd w:val="clear" w:color="auto" w:fill="FFFFFF"/>
        </w:rPr>
        <w:t xml:space="preserve"> C. R. (2015). </w:t>
      </w:r>
      <w:r w:rsidRPr="006D383D">
        <w:rPr>
          <w:rStyle w:val="ref-title"/>
          <w:rFonts w:ascii="Arial" w:hAnsi="Arial" w:cs="Arial"/>
          <w:color w:val="000000" w:themeColor="text1"/>
          <w:shd w:val="clear" w:color="auto" w:fill="FFFFFF"/>
        </w:rPr>
        <w:t>Teacher and peer support for young adolescents’ motivation, engagement, and school belonging.</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 xml:space="preserve">RMLE </w:t>
      </w:r>
      <w:r w:rsidRPr="006D383D">
        <w:rPr>
          <w:rStyle w:val="Emphasis"/>
          <w:rFonts w:ascii="Arial" w:hAnsi="Arial" w:cs="Arial"/>
          <w:color w:val="000000" w:themeColor="text1"/>
          <w:shd w:val="clear" w:color="auto" w:fill="FFFFFF"/>
        </w:rPr>
        <w:lastRenderedPageBreak/>
        <w:t>Online</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38</w:t>
      </w:r>
      <w:r w:rsidRPr="006D383D">
        <w:rPr>
          <w:rFonts w:ascii="Arial" w:hAnsi="Arial" w:cs="Arial"/>
          <w:color w:val="000000" w:themeColor="text1"/>
          <w:shd w:val="clear" w:color="auto" w:fill="FFFFFF"/>
        </w:rPr>
        <w:t xml:space="preserve"> 1–18. Available at; </w:t>
      </w:r>
      <w:hyperlink r:id="rId27" w:history="1">
        <w:r w:rsidRPr="006D383D">
          <w:rPr>
            <w:rStyle w:val="Hyperlink"/>
            <w:rFonts w:ascii="Arial" w:hAnsi="Arial" w:cs="Arial"/>
            <w:color w:val="000000" w:themeColor="text1"/>
            <w:shd w:val="clear" w:color="auto" w:fill="FFFFFF"/>
          </w:rPr>
          <w:t>https://www.tandfonline.com/doi/abs/10.1080/19404476.2015.11641184</w:t>
        </w:r>
      </w:hyperlink>
      <w:r w:rsidRPr="006D383D">
        <w:rPr>
          <w:rFonts w:ascii="Arial" w:hAnsi="Arial" w:cs="Arial"/>
          <w:color w:val="000000" w:themeColor="text1"/>
          <w:shd w:val="clear" w:color="auto" w:fill="FFFFFF"/>
        </w:rPr>
        <w:t xml:space="preserve"> Accessed 17/10/22.</w:t>
      </w:r>
    </w:p>
    <w:p w14:paraId="3404ECBE"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shd w:val="clear" w:color="auto" w:fill="FFFFFF"/>
        </w:rPr>
        <w:t>Komendantova</w:t>
      </w:r>
      <w:proofErr w:type="spellEnd"/>
      <w:r w:rsidRPr="006D383D">
        <w:rPr>
          <w:rFonts w:ascii="Arial" w:hAnsi="Arial" w:cs="Arial"/>
          <w:color w:val="000000" w:themeColor="text1"/>
          <w:shd w:val="clear" w:color="auto" w:fill="FFFFFF"/>
        </w:rPr>
        <w:t xml:space="preserve"> N., </w:t>
      </w:r>
      <w:proofErr w:type="spellStart"/>
      <w:r w:rsidRPr="006D383D">
        <w:rPr>
          <w:rFonts w:ascii="Arial" w:hAnsi="Arial" w:cs="Arial"/>
          <w:color w:val="000000" w:themeColor="text1"/>
          <w:shd w:val="clear" w:color="auto" w:fill="FFFFFF"/>
        </w:rPr>
        <w:t>Yazdanpanah</w:t>
      </w:r>
      <w:proofErr w:type="spellEnd"/>
      <w:r w:rsidRPr="006D383D">
        <w:rPr>
          <w:rFonts w:ascii="Arial" w:hAnsi="Arial" w:cs="Arial"/>
          <w:color w:val="000000" w:themeColor="text1"/>
          <w:shd w:val="clear" w:color="auto" w:fill="FFFFFF"/>
        </w:rPr>
        <w:t xml:space="preserve"> M., </w:t>
      </w:r>
      <w:proofErr w:type="spellStart"/>
      <w:r w:rsidRPr="006D383D">
        <w:rPr>
          <w:rFonts w:ascii="Arial" w:hAnsi="Arial" w:cs="Arial"/>
          <w:color w:val="000000" w:themeColor="text1"/>
          <w:shd w:val="clear" w:color="auto" w:fill="FFFFFF"/>
        </w:rPr>
        <w:t>Shafiei</w:t>
      </w:r>
      <w:proofErr w:type="spellEnd"/>
      <w:r w:rsidRPr="006D383D">
        <w:rPr>
          <w:rFonts w:ascii="Arial" w:hAnsi="Arial" w:cs="Arial"/>
          <w:color w:val="000000" w:themeColor="text1"/>
          <w:shd w:val="clear" w:color="auto" w:fill="FFFFFF"/>
        </w:rPr>
        <w:t xml:space="preserve"> R. (2018). </w:t>
      </w:r>
      <w:r w:rsidRPr="006D383D">
        <w:rPr>
          <w:rStyle w:val="ref-title"/>
          <w:rFonts w:ascii="Arial" w:hAnsi="Arial" w:cs="Arial"/>
          <w:color w:val="000000" w:themeColor="text1"/>
          <w:shd w:val="clear" w:color="auto" w:fill="FFFFFF"/>
        </w:rPr>
        <w:t>Studying young people’ views on deployment of renewable energy sources in Iran through the lenses of social cognitive theory.</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AIMS Energy</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6</w:t>
      </w:r>
      <w:r w:rsidRPr="006D383D">
        <w:rPr>
          <w:rFonts w:ascii="Arial" w:hAnsi="Arial" w:cs="Arial"/>
          <w:color w:val="000000" w:themeColor="text1"/>
          <w:shd w:val="clear" w:color="auto" w:fill="FFFFFF"/>
        </w:rPr>
        <w:t xml:space="preserve"> 216–228. 10.3934/energy.2018.2.216. </w:t>
      </w:r>
      <w:r w:rsidRPr="006D383D">
        <w:rPr>
          <w:rFonts w:ascii="Arial" w:hAnsi="Arial" w:cs="Arial"/>
          <w:color w:val="000000" w:themeColor="text1"/>
        </w:rPr>
        <w:t xml:space="preserve">Available at; </w:t>
      </w:r>
      <w:hyperlink r:id="rId28" w:history="1">
        <w:r w:rsidRPr="006D383D">
          <w:rPr>
            <w:rStyle w:val="Hyperlink"/>
            <w:rFonts w:ascii="Arial" w:hAnsi="Arial" w:cs="Arial"/>
            <w:color w:val="000000" w:themeColor="text1"/>
          </w:rPr>
          <w:t>https://pure.iiasa.ac.at/id/eprint/15159/</w:t>
        </w:r>
      </w:hyperlink>
      <w:r w:rsidRPr="006D383D">
        <w:rPr>
          <w:rFonts w:ascii="Arial" w:hAnsi="Arial" w:cs="Arial"/>
          <w:color w:val="000000" w:themeColor="text1"/>
        </w:rPr>
        <w:t xml:space="preserve"> Accessed 17/10/22</w:t>
      </w:r>
    </w:p>
    <w:p w14:paraId="3BFAFC48" w14:textId="77777777" w:rsidR="006D383D" w:rsidRPr="006D383D" w:rsidRDefault="006D383D" w:rsidP="00866D71">
      <w:pPr>
        <w:pStyle w:val="ListParagraph"/>
        <w:numPr>
          <w:ilvl w:val="0"/>
          <w:numId w:val="2"/>
        </w:numPr>
        <w:spacing w:line="360" w:lineRule="auto"/>
        <w:jc w:val="both"/>
        <w:rPr>
          <w:rFonts w:ascii="Arial" w:hAnsi="Arial" w:cs="Arial"/>
        </w:rPr>
      </w:pPr>
      <w:r w:rsidRPr="006D383D">
        <w:rPr>
          <w:rFonts w:ascii="Arial" w:hAnsi="Arial" w:cs="Arial"/>
        </w:rPr>
        <w:t xml:space="preserve">Law Wales (2020). Welsh Language. Available; </w:t>
      </w:r>
      <w:hyperlink r:id="rId29" w:history="1">
        <w:r w:rsidRPr="006D383D">
          <w:rPr>
            <w:rStyle w:val="Hyperlink"/>
            <w:rFonts w:ascii="Arial" w:hAnsi="Arial" w:cs="Arial"/>
          </w:rPr>
          <w:t>https://law.gov.wales/culture/welsh-language</w:t>
        </w:r>
      </w:hyperlink>
      <w:r w:rsidRPr="006D383D">
        <w:rPr>
          <w:rFonts w:ascii="Arial" w:hAnsi="Arial" w:cs="Arial"/>
        </w:rPr>
        <w:t xml:space="preserve"> Accessed 14/10/22</w:t>
      </w:r>
    </w:p>
    <w:p w14:paraId="26AD2608"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rPr>
        <w:t>Lemetyinen</w:t>
      </w:r>
      <w:proofErr w:type="spellEnd"/>
      <w:r w:rsidRPr="006D383D">
        <w:rPr>
          <w:rFonts w:ascii="Arial" w:hAnsi="Arial" w:cs="Arial"/>
          <w:color w:val="000000" w:themeColor="text1"/>
        </w:rPr>
        <w:t xml:space="preserve"> (2012), Simply Psychological. Language Acquisition. Available at; </w:t>
      </w:r>
      <w:hyperlink r:id="rId30" w:anchor=":~:text=As%20one%20of%20the%20pioneers,by%20associating%20words%20with%20meanings" w:history="1">
        <w:r w:rsidRPr="006D383D">
          <w:rPr>
            <w:rStyle w:val="Hyperlink"/>
            <w:rFonts w:ascii="Arial" w:hAnsi="Arial" w:cs="Arial"/>
          </w:rPr>
          <w:t>https://www.simplypsychology.org/language.html#:~:text=As%20one%20of%20the%20pioneers,by%20associating%20words%20with%20meanings</w:t>
        </w:r>
      </w:hyperlink>
      <w:r w:rsidRPr="006D383D">
        <w:rPr>
          <w:rFonts w:ascii="Arial" w:hAnsi="Arial" w:cs="Arial"/>
          <w:color w:val="000000" w:themeColor="text1"/>
        </w:rPr>
        <w:t>. Accessed online; 17/10/22</w:t>
      </w:r>
    </w:p>
    <w:p w14:paraId="5B98CC82" w14:textId="77777777" w:rsidR="006D383D" w:rsidRPr="006D383D" w:rsidRDefault="006D383D" w:rsidP="00866D71">
      <w:pPr>
        <w:pStyle w:val="ListParagraph"/>
        <w:numPr>
          <w:ilvl w:val="0"/>
          <w:numId w:val="6"/>
        </w:numPr>
        <w:spacing w:line="360" w:lineRule="auto"/>
        <w:jc w:val="both"/>
        <w:rPr>
          <w:rFonts w:ascii="Arial" w:hAnsi="Arial" w:cs="Arial"/>
        </w:rPr>
      </w:pPr>
      <w:r w:rsidRPr="006D383D">
        <w:rPr>
          <w:rFonts w:ascii="Arial" w:hAnsi="Arial" w:cs="Arial"/>
        </w:rPr>
        <w:t>Liu, C. H., Chiu, F. C., Chen, H. C., and Lin, C. Y. (2014). Helpful but insufficient: incremental theory on challenge-confronting tendencies for students who fear being laughed at. </w:t>
      </w:r>
      <w:proofErr w:type="spellStart"/>
      <w:r w:rsidRPr="006D383D">
        <w:rPr>
          <w:rFonts w:ascii="Arial" w:hAnsi="Arial" w:cs="Arial"/>
        </w:rPr>
        <w:t>Motiv</w:t>
      </w:r>
      <w:proofErr w:type="spellEnd"/>
      <w:r w:rsidRPr="006D383D">
        <w:rPr>
          <w:rFonts w:ascii="Arial" w:hAnsi="Arial" w:cs="Arial"/>
        </w:rPr>
        <w:t xml:space="preserve">. </w:t>
      </w:r>
      <w:proofErr w:type="spellStart"/>
      <w:r w:rsidRPr="006D383D">
        <w:rPr>
          <w:rFonts w:ascii="Arial" w:hAnsi="Arial" w:cs="Arial"/>
        </w:rPr>
        <w:t>Emot</w:t>
      </w:r>
      <w:proofErr w:type="spellEnd"/>
      <w:r w:rsidRPr="006D383D">
        <w:rPr>
          <w:rFonts w:ascii="Arial" w:hAnsi="Arial" w:cs="Arial"/>
        </w:rPr>
        <w:t xml:space="preserve">. 38, 367–377. Available at; </w:t>
      </w:r>
      <w:hyperlink r:id="rId31" w:history="1">
        <w:r w:rsidRPr="006D383D">
          <w:rPr>
            <w:rStyle w:val="Hyperlink"/>
            <w:rFonts w:ascii="Arial" w:hAnsi="Arial" w:cs="Arial"/>
          </w:rPr>
          <w:t>https://link.springer.com/article/10.1007/s11031-013-9386-x</w:t>
        </w:r>
      </w:hyperlink>
      <w:r w:rsidRPr="006D383D">
        <w:rPr>
          <w:rFonts w:ascii="Arial" w:hAnsi="Arial" w:cs="Arial"/>
        </w:rPr>
        <w:t xml:space="preserve"> Accessed; 10/10/22</w:t>
      </w:r>
    </w:p>
    <w:p w14:paraId="0FEA7BA2"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lang w:eastAsia="en-GB"/>
        </w:rPr>
        <w:t xml:space="preserve">Lutz, C. (2019), “Digital inequalities in the age of artificial intelligence and big data”, Hum </w:t>
      </w:r>
      <w:proofErr w:type="spellStart"/>
      <w:r w:rsidRPr="006D383D">
        <w:rPr>
          <w:rFonts w:ascii="Arial" w:eastAsia="Times New Roman" w:hAnsi="Arial" w:cs="Arial"/>
          <w:color w:val="000000" w:themeColor="text1"/>
          <w:lang w:eastAsia="en-GB"/>
        </w:rPr>
        <w:t>Behav</w:t>
      </w:r>
      <w:proofErr w:type="spellEnd"/>
      <w:r w:rsidRPr="006D383D">
        <w:rPr>
          <w:rFonts w:ascii="Arial" w:eastAsia="Times New Roman" w:hAnsi="Arial" w:cs="Arial"/>
          <w:color w:val="000000" w:themeColor="text1"/>
          <w:lang w:eastAsia="en-GB"/>
        </w:rPr>
        <w:t xml:space="preserve"> and </w:t>
      </w:r>
      <w:proofErr w:type="spellStart"/>
      <w:r w:rsidRPr="006D383D">
        <w:rPr>
          <w:rFonts w:ascii="Arial" w:eastAsia="Times New Roman" w:hAnsi="Arial" w:cs="Arial"/>
          <w:color w:val="000000" w:themeColor="text1"/>
          <w:lang w:eastAsia="en-GB"/>
        </w:rPr>
        <w:t>Emerg</w:t>
      </w:r>
      <w:proofErr w:type="spellEnd"/>
      <w:r w:rsidRPr="006D383D">
        <w:rPr>
          <w:rFonts w:ascii="Arial" w:eastAsia="Times New Roman" w:hAnsi="Arial" w:cs="Arial"/>
          <w:color w:val="000000" w:themeColor="text1"/>
          <w:lang w:eastAsia="en-GB"/>
        </w:rPr>
        <w:t xml:space="preserve"> Tech, Vol. 1, pp. 141-148. Available at; </w:t>
      </w:r>
      <w:hyperlink r:id="rId32" w:history="1">
        <w:r w:rsidRPr="006D383D">
          <w:rPr>
            <w:rStyle w:val="Hyperlink"/>
            <w:rFonts w:ascii="Arial" w:eastAsia="Times New Roman" w:hAnsi="Arial" w:cs="Arial"/>
            <w:lang w:eastAsia="en-GB"/>
          </w:rPr>
          <w:t>https://onlinelibrary.wiley.com/doi/10.1111/1758-5899.12940</w:t>
        </w:r>
      </w:hyperlink>
      <w:r w:rsidRPr="006D383D">
        <w:rPr>
          <w:rFonts w:ascii="Arial" w:eastAsia="Times New Roman" w:hAnsi="Arial" w:cs="Arial"/>
          <w:color w:val="000000" w:themeColor="text1"/>
          <w:lang w:eastAsia="en-GB"/>
        </w:rPr>
        <w:t xml:space="preserve"> Accessed 23/10/22</w:t>
      </w:r>
    </w:p>
    <w:p w14:paraId="3195B89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McLeod, S. (2018) What is Operant Conditioning and how does it work? Available at:</w:t>
      </w:r>
      <w:r w:rsidRPr="006D383D">
        <w:rPr>
          <w:rFonts w:ascii="Arial" w:hAnsi="Arial" w:cs="Arial"/>
        </w:rPr>
        <w:t xml:space="preserve"> </w:t>
      </w:r>
      <w:hyperlink r:id="rId33" w:history="1">
        <w:r w:rsidRPr="006D383D">
          <w:rPr>
            <w:rStyle w:val="Hyperlink"/>
            <w:rFonts w:ascii="Arial" w:hAnsi="Arial" w:cs="Arial"/>
          </w:rPr>
          <w:t>https://www.simplypsychology.org/operant-conditioning.html</w:t>
        </w:r>
      </w:hyperlink>
      <w:r w:rsidRPr="006D383D">
        <w:rPr>
          <w:rFonts w:ascii="Arial" w:hAnsi="Arial" w:cs="Arial"/>
          <w:color w:val="000000" w:themeColor="text1"/>
        </w:rPr>
        <w:t xml:space="preserve"> Accessed 27/10/22</w:t>
      </w:r>
    </w:p>
    <w:p w14:paraId="57D832CE"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McLeod, S. (2018). What is operant Conditioning and how does it work? How reinforcement and punishment modify behavior. Available at; </w:t>
      </w:r>
      <w:hyperlink r:id="rId34" w:history="1">
        <w:r w:rsidRPr="006D383D">
          <w:rPr>
            <w:rStyle w:val="Hyperlink"/>
            <w:rFonts w:ascii="Arial" w:hAnsi="Arial" w:cs="Arial"/>
          </w:rPr>
          <w:t>https://www.simplypsychology.org/operant-conditioning.html</w:t>
        </w:r>
      </w:hyperlink>
      <w:r w:rsidRPr="006D383D">
        <w:rPr>
          <w:rFonts w:ascii="Arial" w:hAnsi="Arial" w:cs="Arial"/>
          <w:color w:val="000000" w:themeColor="text1"/>
        </w:rPr>
        <w:t xml:space="preserve"> Accessed 21/10/22 </w:t>
      </w:r>
    </w:p>
    <w:p w14:paraId="1C21E586" w14:textId="77777777" w:rsidR="006D383D" w:rsidRPr="006D383D" w:rsidRDefault="006D383D" w:rsidP="00866D71">
      <w:pPr>
        <w:pStyle w:val="ListParagraph"/>
        <w:numPr>
          <w:ilvl w:val="0"/>
          <w:numId w:val="6"/>
        </w:numPr>
        <w:spacing w:line="360" w:lineRule="auto"/>
        <w:jc w:val="both"/>
        <w:rPr>
          <w:rFonts w:ascii="Arial" w:hAnsi="Arial" w:cs="Arial"/>
        </w:rPr>
      </w:pPr>
      <w:r w:rsidRPr="006D383D">
        <w:rPr>
          <w:rFonts w:ascii="Arial" w:hAnsi="Arial" w:cs="Arial"/>
        </w:rPr>
        <w:t xml:space="preserve">McLeod, S. (2019). The Zone of Proximal Development and Scaffolding. Available at; </w:t>
      </w:r>
      <w:hyperlink r:id="rId35" w:history="1">
        <w:r w:rsidRPr="006D383D">
          <w:rPr>
            <w:rStyle w:val="Hyperlink"/>
            <w:rFonts w:ascii="Arial" w:hAnsi="Arial" w:cs="Arial"/>
          </w:rPr>
          <w:t>https://www.simplypsychology.org/Zone-of-Proximal-Development.html</w:t>
        </w:r>
      </w:hyperlink>
      <w:r w:rsidRPr="006D383D">
        <w:rPr>
          <w:rFonts w:ascii="Arial" w:hAnsi="Arial" w:cs="Arial"/>
        </w:rPr>
        <w:t xml:space="preserve"> Accessed 19/10/22</w:t>
      </w:r>
    </w:p>
    <w:p w14:paraId="5B6F139B"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lang w:eastAsia="en-GB"/>
        </w:rPr>
        <w:lastRenderedPageBreak/>
        <w:t xml:space="preserve">Montagnier, P., Muller, E. and Vickery, G. (2002), “The digital divide: diffusion and use of ICTs”, paper presented at IAOS conference on Official Statistics and the New Economy, London, 27-29 August. Available at: </w:t>
      </w:r>
      <w:hyperlink r:id="rId36" w:history="1">
        <w:r w:rsidRPr="006D383D">
          <w:rPr>
            <w:rStyle w:val="Hyperlink"/>
            <w:rFonts w:ascii="Arial" w:eastAsia="Times New Roman" w:hAnsi="Arial" w:cs="Arial"/>
            <w:lang w:eastAsia="en-GB"/>
          </w:rPr>
          <w:t>www.websm.org/db/12/301/rec/</w:t>
        </w:r>
      </w:hyperlink>
      <w:r w:rsidRPr="006D383D">
        <w:rPr>
          <w:rFonts w:ascii="Arial" w:eastAsia="Times New Roman" w:hAnsi="Arial" w:cs="Arial"/>
          <w:color w:val="000000" w:themeColor="text1"/>
          <w:lang w:eastAsia="en-GB"/>
        </w:rPr>
        <w:t xml:space="preserve"> Accessed 11/10/22</w:t>
      </w:r>
    </w:p>
    <w:p w14:paraId="4F4FF78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shd w:val="clear" w:color="auto" w:fill="FFFFFF"/>
        </w:rPr>
        <w:t>Picciano</w:t>
      </w:r>
      <w:proofErr w:type="spellEnd"/>
      <w:r w:rsidRPr="006D383D">
        <w:rPr>
          <w:rFonts w:ascii="Arial" w:hAnsi="Arial" w:cs="Arial"/>
          <w:color w:val="000000" w:themeColor="text1"/>
          <w:shd w:val="clear" w:color="auto" w:fill="FFFFFF"/>
        </w:rPr>
        <w:t xml:space="preserve"> A. (2002). Beyond student perceptions: Issues of interaction, presence, and performance in an online course. </w:t>
      </w:r>
      <w:r w:rsidRPr="006D383D">
        <w:rPr>
          <w:rStyle w:val="Emphasis"/>
          <w:rFonts w:ascii="Arial" w:hAnsi="Arial" w:cs="Arial"/>
          <w:color w:val="000000" w:themeColor="text1"/>
          <w:shd w:val="clear" w:color="auto" w:fill="FFFFFF"/>
        </w:rPr>
        <w:t>Journal of Asynchronous Learning Network</w:t>
      </w:r>
      <w:r w:rsidRPr="006D383D">
        <w:rPr>
          <w:rFonts w:ascii="Arial" w:hAnsi="Arial" w:cs="Arial"/>
          <w:color w:val="000000" w:themeColor="text1"/>
          <w:shd w:val="clear" w:color="auto" w:fill="FFFFFF"/>
        </w:rPr>
        <w:t xml:space="preserve">, 6(1), 21–40. Available at; </w:t>
      </w:r>
      <w:hyperlink r:id="rId37" w:history="1">
        <w:r w:rsidRPr="006D383D">
          <w:rPr>
            <w:rStyle w:val="Hyperlink"/>
            <w:rFonts w:ascii="Arial" w:hAnsi="Arial" w:cs="Arial"/>
            <w:shd w:val="clear" w:color="auto" w:fill="FFFFFF"/>
          </w:rPr>
          <w:t>file:///Users/richarddavies/Downloads/Beyond_Student_Perceptions_Issues_of_Interaction_P.pdf</w:t>
        </w:r>
      </w:hyperlink>
      <w:r w:rsidRPr="006D383D">
        <w:rPr>
          <w:rFonts w:ascii="Arial" w:hAnsi="Arial" w:cs="Arial"/>
          <w:color w:val="000000" w:themeColor="text1"/>
          <w:shd w:val="clear" w:color="auto" w:fill="FFFFFF"/>
        </w:rPr>
        <w:t xml:space="preserve"> Accessed 15/10/22</w:t>
      </w:r>
    </w:p>
    <w:p w14:paraId="49D8B8AF"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Rhys, M. and Thomas, E. M. (2013, p633-656) Bilingual Welsh-English children’s acquisition of vocabulary and reading: implications for bilingual education. [Online]. International Journal of Bilingual Education and Bilingualism. Available at: </w:t>
      </w:r>
      <w:hyperlink r:id="rId38" w:history="1">
        <w:r w:rsidRPr="006D383D">
          <w:rPr>
            <w:rStyle w:val="Hyperlink"/>
            <w:rFonts w:ascii="Arial" w:hAnsi="Arial" w:cs="Arial"/>
          </w:rPr>
          <w:t>https://www.tandfonline.com/doi/abs/10.1080/13670050.2012.706248</w:t>
        </w:r>
      </w:hyperlink>
      <w:r w:rsidRPr="006D383D">
        <w:rPr>
          <w:rFonts w:ascii="Arial" w:hAnsi="Arial" w:cs="Arial"/>
          <w:color w:val="000000" w:themeColor="text1"/>
        </w:rPr>
        <w:t xml:space="preserve"> Accessed 20/10/22</w:t>
      </w:r>
    </w:p>
    <w:p w14:paraId="1A31F0F6"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rPr>
        <w:t>Roelofse</w:t>
      </w:r>
      <w:proofErr w:type="spellEnd"/>
      <w:r w:rsidRPr="006D383D">
        <w:rPr>
          <w:rFonts w:ascii="Arial" w:hAnsi="Arial" w:cs="Arial"/>
          <w:color w:val="000000" w:themeColor="text1"/>
        </w:rPr>
        <w:t xml:space="preserve">, L., (2013). ‘Investigating the impact of media-speak on the written academic work of learners in a Western Cape high school’, Faculty of Arts and Social Sciences, Department of General Linguistics, Stellenbosch University. Available at; </w:t>
      </w:r>
      <w:hyperlink r:id="rId39" w:history="1">
        <w:r w:rsidRPr="006D383D">
          <w:rPr>
            <w:rStyle w:val="Hyperlink"/>
            <w:rFonts w:ascii="Arial" w:hAnsi="Arial" w:cs="Arial"/>
          </w:rPr>
          <w:t>http://scholar.sun.ac.za</w:t>
        </w:r>
      </w:hyperlink>
      <w:r w:rsidRPr="006D383D">
        <w:rPr>
          <w:rFonts w:ascii="Arial" w:hAnsi="Arial" w:cs="Arial"/>
          <w:color w:val="000000" w:themeColor="text1"/>
        </w:rPr>
        <w:t>. Accessed 19/10/22</w:t>
      </w:r>
    </w:p>
    <w:p w14:paraId="08F5C99D" w14:textId="77777777" w:rsidR="006D383D" w:rsidRPr="006D383D" w:rsidRDefault="006D383D" w:rsidP="00866D71">
      <w:pPr>
        <w:pStyle w:val="ListParagraph"/>
        <w:numPr>
          <w:ilvl w:val="0"/>
          <w:numId w:val="2"/>
        </w:numPr>
        <w:spacing w:line="360" w:lineRule="auto"/>
        <w:jc w:val="both"/>
        <w:rPr>
          <w:rFonts w:ascii="Arial" w:eastAsia="Times New Roman" w:hAnsi="Arial" w:cs="Arial"/>
          <w:color w:val="000000" w:themeColor="text1"/>
          <w:lang w:eastAsia="en-GB"/>
        </w:rPr>
      </w:pPr>
      <w:r w:rsidRPr="006D383D">
        <w:rPr>
          <w:rFonts w:ascii="Arial" w:eastAsia="Times New Roman" w:hAnsi="Arial" w:cs="Arial"/>
          <w:color w:val="000000" w:themeColor="text1"/>
          <w:lang w:eastAsia="en-GB"/>
        </w:rPr>
        <w:t xml:space="preserve">Sanders, R. (2020). Digital inclusion, exclusion, and participation. Institute for Research and Innovation in Social Services. Available at: </w:t>
      </w:r>
      <w:hyperlink r:id="rId40" w:history="1">
        <w:r w:rsidRPr="006D383D">
          <w:rPr>
            <w:rStyle w:val="Hyperlink"/>
            <w:rFonts w:ascii="Arial" w:eastAsia="Times New Roman" w:hAnsi="Arial" w:cs="Arial"/>
            <w:color w:val="000000" w:themeColor="text1"/>
            <w:lang w:eastAsia="en-GB"/>
          </w:rPr>
          <w:t>https://doi.org/10.31583/esss.20200911</w:t>
        </w:r>
      </w:hyperlink>
      <w:r w:rsidRPr="006D383D">
        <w:rPr>
          <w:rFonts w:ascii="Arial" w:eastAsia="Times New Roman" w:hAnsi="Arial" w:cs="Arial"/>
          <w:color w:val="000000" w:themeColor="text1"/>
          <w:lang w:eastAsia="en-GB"/>
        </w:rPr>
        <w:t xml:space="preserve"> Accessed 16/10/22</w:t>
      </w:r>
    </w:p>
    <w:p w14:paraId="58444102"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proofErr w:type="spellStart"/>
      <w:r w:rsidRPr="006D383D">
        <w:rPr>
          <w:rFonts w:ascii="Arial" w:hAnsi="Arial" w:cs="Arial"/>
          <w:color w:val="000000" w:themeColor="text1"/>
          <w:shd w:val="clear" w:color="auto" w:fill="FFFFFF"/>
        </w:rPr>
        <w:t>Sökmen</w:t>
      </w:r>
      <w:proofErr w:type="spellEnd"/>
      <w:r w:rsidRPr="006D383D">
        <w:rPr>
          <w:rFonts w:ascii="Arial" w:hAnsi="Arial" w:cs="Arial"/>
          <w:color w:val="000000" w:themeColor="text1"/>
          <w:shd w:val="clear" w:color="auto" w:fill="FFFFFF"/>
        </w:rPr>
        <w:t xml:space="preserve"> Y. (2019). </w:t>
      </w:r>
      <w:r w:rsidRPr="006D383D">
        <w:rPr>
          <w:rStyle w:val="ref-title"/>
          <w:rFonts w:ascii="Arial" w:hAnsi="Arial" w:cs="Arial"/>
          <w:color w:val="000000" w:themeColor="text1"/>
          <w:shd w:val="clear" w:color="auto" w:fill="FFFFFF"/>
        </w:rPr>
        <w:t>The role of self-efficacy in the relationship between the learning environment and student engagement.</w:t>
      </w:r>
      <w:r w:rsidRPr="006D383D">
        <w:rPr>
          <w:rFonts w:ascii="Arial" w:hAnsi="Arial" w:cs="Arial"/>
          <w:color w:val="000000" w:themeColor="text1"/>
          <w:shd w:val="clear" w:color="auto" w:fill="FFFFFF"/>
        </w:rPr>
        <w:t> </w:t>
      </w:r>
      <w:r w:rsidRPr="006D383D">
        <w:rPr>
          <w:rStyle w:val="Emphasis"/>
          <w:rFonts w:ascii="Arial" w:hAnsi="Arial" w:cs="Arial"/>
          <w:color w:val="000000" w:themeColor="text1"/>
          <w:shd w:val="clear" w:color="auto" w:fill="FFFFFF"/>
        </w:rPr>
        <w:t>Educ. Stud.</w:t>
      </w:r>
      <w:r w:rsidRPr="006D383D">
        <w:rPr>
          <w:rFonts w:ascii="Arial" w:hAnsi="Arial" w:cs="Arial"/>
          <w:color w:val="000000" w:themeColor="text1"/>
          <w:shd w:val="clear" w:color="auto" w:fill="FFFFFF"/>
        </w:rPr>
        <w:t> </w:t>
      </w:r>
      <w:r w:rsidRPr="006D383D">
        <w:rPr>
          <w:rStyle w:val="ref-vol"/>
          <w:rFonts w:ascii="Arial" w:hAnsi="Arial" w:cs="Arial"/>
          <w:color w:val="000000" w:themeColor="text1"/>
          <w:shd w:val="clear" w:color="auto" w:fill="FFFFFF"/>
        </w:rPr>
        <w:t>45</w:t>
      </w:r>
      <w:r w:rsidRPr="006D383D">
        <w:rPr>
          <w:rFonts w:ascii="Arial" w:hAnsi="Arial" w:cs="Arial"/>
          <w:color w:val="000000" w:themeColor="text1"/>
          <w:shd w:val="clear" w:color="auto" w:fill="FFFFFF"/>
        </w:rPr>
        <w:t xml:space="preserve"> 1–19. Available at </w:t>
      </w:r>
      <w:hyperlink r:id="rId41" w:history="1">
        <w:r w:rsidRPr="006D383D">
          <w:rPr>
            <w:rStyle w:val="Hyperlink"/>
            <w:rFonts w:ascii="Arial" w:hAnsi="Arial" w:cs="Arial"/>
            <w:color w:val="000000" w:themeColor="text1"/>
            <w:shd w:val="clear" w:color="auto" w:fill="FFFFFF"/>
          </w:rPr>
          <w:t>https://www.tandfonline.com/doi/abs/10.1080/03055698.2019.1665986</w:t>
        </w:r>
      </w:hyperlink>
      <w:r w:rsidRPr="006D383D">
        <w:rPr>
          <w:rFonts w:ascii="Arial" w:hAnsi="Arial" w:cs="Arial"/>
          <w:color w:val="000000" w:themeColor="text1"/>
          <w:shd w:val="clear" w:color="auto" w:fill="FFFFFF"/>
        </w:rPr>
        <w:t xml:space="preserve"> Accessed 16/10/22.</w:t>
      </w:r>
    </w:p>
    <w:p w14:paraId="4D7ED3A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The Sutton Trust (2021). Remote Learning; The digital divide. Accessed at; </w:t>
      </w:r>
      <w:hyperlink r:id="rId42" w:history="1">
        <w:r w:rsidRPr="006D383D">
          <w:rPr>
            <w:rStyle w:val="Hyperlink"/>
            <w:rFonts w:ascii="Arial" w:hAnsi="Arial" w:cs="Arial"/>
            <w:color w:val="000000" w:themeColor="text1"/>
          </w:rPr>
          <w:t>https://www.suttontrust.com/our-research/remote-learning-the-digital-divide/</w:t>
        </w:r>
      </w:hyperlink>
      <w:r w:rsidRPr="006D383D">
        <w:rPr>
          <w:rFonts w:ascii="Arial" w:hAnsi="Arial" w:cs="Arial"/>
          <w:color w:val="000000" w:themeColor="text1"/>
        </w:rPr>
        <w:t xml:space="preserve"> Accessed 16/10/22</w:t>
      </w:r>
    </w:p>
    <w:p w14:paraId="158B678C"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eastAsia="Times New Roman" w:hAnsi="Arial" w:cs="Arial"/>
          <w:color w:val="000000" w:themeColor="text1"/>
          <w:lang w:eastAsia="en-GB"/>
        </w:rPr>
        <w:t xml:space="preserve">Thomas, E (2012: 2). Bangor University. Language socialisation among pupils. Available at: </w:t>
      </w:r>
      <w:hyperlink r:id="rId43" w:history="1">
        <w:r w:rsidRPr="006D383D">
          <w:rPr>
            <w:rStyle w:val="Hyperlink"/>
            <w:rFonts w:ascii="Arial" w:eastAsia="Times New Roman" w:hAnsi="Arial" w:cs="Arial"/>
            <w:color w:val="000000" w:themeColor="text1"/>
            <w:lang w:eastAsia="en-GB"/>
          </w:rPr>
          <w:t>https://gaeloideachas.ie/wp-content/uploads/2019/11/Language-socialisation-among-pupils-lessons-from-the-Welsh-language-context.pdf</w:t>
        </w:r>
      </w:hyperlink>
      <w:r w:rsidRPr="006D383D">
        <w:rPr>
          <w:rFonts w:ascii="Arial" w:eastAsia="Times New Roman" w:hAnsi="Arial" w:cs="Arial"/>
          <w:color w:val="000000" w:themeColor="text1"/>
          <w:lang w:eastAsia="en-GB"/>
        </w:rPr>
        <w:t xml:space="preserve"> Accessed: 10/10/22</w:t>
      </w:r>
    </w:p>
    <w:p w14:paraId="20101537" w14:textId="77777777" w:rsidR="006D383D" w:rsidRPr="006D383D" w:rsidRDefault="006D383D" w:rsidP="00866D71">
      <w:pPr>
        <w:pStyle w:val="ListParagraph"/>
        <w:numPr>
          <w:ilvl w:val="0"/>
          <w:numId w:val="2"/>
        </w:numPr>
        <w:spacing w:line="360" w:lineRule="auto"/>
        <w:jc w:val="both"/>
        <w:rPr>
          <w:rFonts w:ascii="Arial" w:hAnsi="Arial" w:cs="Arial"/>
        </w:rPr>
      </w:pPr>
      <w:r w:rsidRPr="006D383D">
        <w:rPr>
          <w:rFonts w:ascii="Arial" w:hAnsi="Arial" w:cs="Arial"/>
        </w:rPr>
        <w:lastRenderedPageBreak/>
        <w:t xml:space="preserve">Thomas, W and Collier, V (1997). George Mason University. School Effectiveness for Language Minority Students. Available at; </w:t>
      </w:r>
      <w:hyperlink r:id="rId44" w:history="1">
        <w:r w:rsidRPr="006D383D">
          <w:rPr>
            <w:rStyle w:val="Hyperlink"/>
            <w:rFonts w:ascii="Arial" w:hAnsi="Arial" w:cs="Arial"/>
          </w:rPr>
          <w:t>https://ncela.ed.gov/files/rcd/BE020890/School_effectiveness_for_langu.pdf</w:t>
        </w:r>
      </w:hyperlink>
      <w:r w:rsidRPr="006D383D">
        <w:rPr>
          <w:rFonts w:ascii="Arial" w:hAnsi="Arial" w:cs="Arial"/>
        </w:rPr>
        <w:t xml:space="preserve"> Accessed 17/10/22</w:t>
      </w:r>
    </w:p>
    <w:p w14:paraId="240AB107" w14:textId="77777777" w:rsidR="006D383D" w:rsidRPr="006D383D" w:rsidRDefault="006D383D" w:rsidP="00866D71">
      <w:pPr>
        <w:pStyle w:val="ListParagraph"/>
        <w:numPr>
          <w:ilvl w:val="0"/>
          <w:numId w:val="2"/>
        </w:numPr>
        <w:spacing w:line="360" w:lineRule="auto"/>
        <w:jc w:val="both"/>
        <w:rPr>
          <w:rFonts w:ascii="Arial" w:hAnsi="Arial" w:cs="Arial"/>
        </w:rPr>
      </w:pPr>
      <w:r w:rsidRPr="006D383D">
        <w:rPr>
          <w:rFonts w:ascii="Arial" w:hAnsi="Arial" w:cs="Arial"/>
          <w:color w:val="212529"/>
          <w:shd w:val="clear" w:color="auto" w:fill="FFFFFF"/>
        </w:rPr>
        <w:t>Tripp, D. (2011). </w:t>
      </w:r>
      <w:r w:rsidRPr="006D383D">
        <w:rPr>
          <w:rStyle w:val="Emphasis"/>
          <w:rFonts w:ascii="Arial" w:hAnsi="Arial" w:cs="Arial"/>
          <w:color w:val="212529"/>
          <w:shd w:val="clear" w:color="auto" w:fill="FFFFFF"/>
        </w:rPr>
        <w:t>Critical Incidents in Teaching (Classic Edition)</w:t>
      </w:r>
      <w:r w:rsidRPr="006D383D">
        <w:rPr>
          <w:rFonts w:ascii="Arial" w:hAnsi="Arial" w:cs="Arial"/>
          <w:color w:val="212529"/>
          <w:shd w:val="clear" w:color="auto" w:fill="FFFFFF"/>
        </w:rPr>
        <w:t xml:space="preserve">. Hoboken: Taylor &amp; amp. Available at; </w:t>
      </w:r>
      <w:hyperlink r:id="rId45" w:history="1">
        <w:r w:rsidRPr="006D383D">
          <w:rPr>
            <w:rStyle w:val="Hyperlink"/>
            <w:rFonts w:ascii="Arial" w:hAnsi="Arial" w:cs="Arial"/>
            <w:shd w:val="clear" w:color="auto" w:fill="FFFFFF"/>
          </w:rPr>
          <w:t>https://www.taylorfrancis.com/books/mono/10.4324/9780203802014/critical-incidents-teaching-classic-edition-david-tripp</w:t>
        </w:r>
      </w:hyperlink>
      <w:r w:rsidRPr="006D383D">
        <w:rPr>
          <w:rFonts w:ascii="Arial" w:hAnsi="Arial" w:cs="Arial"/>
          <w:color w:val="212529"/>
          <w:shd w:val="clear" w:color="auto" w:fill="FFFFFF"/>
        </w:rPr>
        <w:t xml:space="preserve"> Accessed 17/10/22</w:t>
      </w:r>
    </w:p>
    <w:p w14:paraId="49362F69" w14:textId="77777777" w:rsidR="006D383D" w:rsidRPr="006D383D" w:rsidRDefault="006D383D" w:rsidP="00866D71">
      <w:pPr>
        <w:pStyle w:val="NoSpacing"/>
        <w:numPr>
          <w:ilvl w:val="0"/>
          <w:numId w:val="4"/>
        </w:numPr>
        <w:spacing w:line="360" w:lineRule="auto"/>
        <w:jc w:val="both"/>
        <w:rPr>
          <w:rFonts w:ascii="Arial" w:hAnsi="Arial" w:cs="Arial"/>
        </w:rPr>
      </w:pPr>
      <w:r w:rsidRPr="006D383D">
        <w:rPr>
          <w:rFonts w:ascii="Arial" w:hAnsi="Arial" w:cs="Arial"/>
        </w:rPr>
        <w:t xml:space="preserve">Tullis, J and Goldstone, R (2020). National library of medicine. Why does peer instruction benefit student learning? Available at; </w:t>
      </w:r>
      <w:hyperlink r:id="rId46" w:history="1">
        <w:r w:rsidRPr="006D383D">
          <w:rPr>
            <w:rStyle w:val="Hyperlink"/>
            <w:rFonts w:ascii="Arial" w:hAnsi="Arial" w:cs="Arial"/>
          </w:rPr>
          <w:t>https://www.ncbi.nlm.nih.gov/pmc/articles/PMC7145884/</w:t>
        </w:r>
      </w:hyperlink>
      <w:r w:rsidRPr="006D383D">
        <w:rPr>
          <w:rFonts w:ascii="Arial" w:hAnsi="Arial" w:cs="Arial"/>
        </w:rPr>
        <w:t xml:space="preserve"> Accessed 16/10/22</w:t>
      </w:r>
    </w:p>
    <w:p w14:paraId="3EC5AF21"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UNCRC, (2022). The right to an education is one of the most important principles. Available at; </w:t>
      </w:r>
      <w:hyperlink r:id="rId47" w:history="1">
        <w:r w:rsidRPr="006D383D">
          <w:rPr>
            <w:rStyle w:val="Hyperlink"/>
            <w:rFonts w:ascii="Arial" w:hAnsi="Arial" w:cs="Arial"/>
            <w:color w:val="000000" w:themeColor="text1"/>
          </w:rPr>
          <w:t>https://www.unicef.org.uk/rights-respecting-schools/the-rrsa/the-right-to-education/</w:t>
        </w:r>
      </w:hyperlink>
      <w:r w:rsidRPr="006D383D">
        <w:rPr>
          <w:rFonts w:ascii="Arial" w:hAnsi="Arial" w:cs="Arial"/>
          <w:color w:val="000000" w:themeColor="text1"/>
        </w:rPr>
        <w:t xml:space="preserve"> Accessed 15/10/22</w:t>
      </w:r>
    </w:p>
    <w:p w14:paraId="40DC529D"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Welsh Government (2015). Successful Futures: Independent Review of Curriculum and Assessment Arrangements in Wales. Cardiff: Welsh Government. Available at; </w:t>
      </w:r>
      <w:hyperlink r:id="rId48" w:history="1">
        <w:r w:rsidRPr="006D383D">
          <w:rPr>
            <w:rStyle w:val="Hyperlink"/>
            <w:rFonts w:ascii="Arial" w:hAnsi="Arial" w:cs="Arial"/>
          </w:rPr>
          <w:t>https://gov.wales/sites/default/files/publications/2018-03/successful-futures.pdf</w:t>
        </w:r>
      </w:hyperlink>
      <w:r w:rsidRPr="006D383D">
        <w:rPr>
          <w:rFonts w:ascii="Arial" w:hAnsi="Arial" w:cs="Arial"/>
          <w:color w:val="000000" w:themeColor="text1"/>
        </w:rPr>
        <w:t xml:space="preserve"> Accessed 11/10/22</w:t>
      </w:r>
    </w:p>
    <w:p w14:paraId="5F5A31C4"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Welsh Government (2017). Cymraeg 2050: A million Welsh speakers. Cardiff: Welsh Government. Available at; </w:t>
      </w:r>
      <w:hyperlink r:id="rId49" w:history="1">
        <w:r w:rsidRPr="006D383D">
          <w:rPr>
            <w:rStyle w:val="Hyperlink"/>
            <w:rFonts w:ascii="Arial" w:hAnsi="Arial" w:cs="Arial"/>
          </w:rPr>
          <w:t>https://gov.wales/sites/default/files/publications/2018-12/cymraeg-2050-welsh-language-strategy.pdf</w:t>
        </w:r>
      </w:hyperlink>
      <w:r w:rsidRPr="006D383D">
        <w:rPr>
          <w:rFonts w:ascii="Arial" w:hAnsi="Arial" w:cs="Arial"/>
          <w:color w:val="000000" w:themeColor="text1"/>
        </w:rPr>
        <w:t xml:space="preserve"> Accessed 20/10/22</w:t>
      </w:r>
    </w:p>
    <w:p w14:paraId="22341927"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rPr>
        <w:t xml:space="preserve">Welsh Government (2020). Welsh in the home and in education (Welsh language use survey: July 2019 to March 2020. Available at; </w:t>
      </w:r>
      <w:hyperlink r:id="rId50" w:history="1">
        <w:r w:rsidRPr="006D383D">
          <w:rPr>
            <w:rStyle w:val="Hyperlink"/>
            <w:rFonts w:ascii="Arial" w:hAnsi="Arial" w:cs="Arial"/>
            <w:color w:val="000000" w:themeColor="text1"/>
          </w:rPr>
          <w:t>https://gov.wales/welsh-home-and-education-welsh-language-use-survey-july-2019-march-2020-html</w:t>
        </w:r>
      </w:hyperlink>
      <w:r w:rsidRPr="006D383D">
        <w:rPr>
          <w:rFonts w:ascii="Arial" w:hAnsi="Arial" w:cs="Arial"/>
          <w:color w:val="000000" w:themeColor="text1"/>
        </w:rPr>
        <w:t xml:space="preserve"> Accessed online; 15/10/22</w:t>
      </w:r>
    </w:p>
    <w:p w14:paraId="43B5A4B1" w14:textId="77777777" w:rsidR="006D383D" w:rsidRPr="006D383D" w:rsidRDefault="006D383D" w:rsidP="00866D71">
      <w:pPr>
        <w:pStyle w:val="NoSpacing"/>
        <w:numPr>
          <w:ilvl w:val="0"/>
          <w:numId w:val="4"/>
        </w:numPr>
        <w:spacing w:line="360" w:lineRule="auto"/>
        <w:jc w:val="both"/>
        <w:rPr>
          <w:rFonts w:ascii="Arial" w:hAnsi="Arial" w:cs="Arial"/>
        </w:rPr>
      </w:pPr>
      <w:r w:rsidRPr="006D383D">
        <w:rPr>
          <w:rFonts w:ascii="Arial" w:hAnsi="Arial" w:cs="Arial"/>
        </w:rPr>
        <w:t xml:space="preserve">Williams, T. (2017). University of </w:t>
      </w:r>
      <w:proofErr w:type="spellStart"/>
      <w:r w:rsidRPr="006D383D">
        <w:rPr>
          <w:rFonts w:ascii="Arial" w:hAnsi="Arial" w:cs="Arial"/>
        </w:rPr>
        <w:t>Minnesoda</w:t>
      </w:r>
      <w:proofErr w:type="spellEnd"/>
      <w:r w:rsidRPr="006D383D">
        <w:rPr>
          <w:rFonts w:ascii="Arial" w:hAnsi="Arial" w:cs="Arial"/>
        </w:rPr>
        <w:t xml:space="preserve">. What the research says about Immersion. Available at; </w:t>
      </w:r>
      <w:hyperlink r:id="rId51" w:history="1">
        <w:r w:rsidRPr="006D383D">
          <w:rPr>
            <w:rStyle w:val="Hyperlink"/>
            <w:rFonts w:ascii="Arial" w:hAnsi="Arial" w:cs="Arial"/>
          </w:rPr>
          <w:t>https://carla.umn.edu/immersion/documents/ImmersionResearch_TaraFortune.html</w:t>
        </w:r>
      </w:hyperlink>
      <w:r w:rsidRPr="006D383D">
        <w:rPr>
          <w:rFonts w:ascii="Arial" w:hAnsi="Arial" w:cs="Arial"/>
        </w:rPr>
        <w:t xml:space="preserve"> Accessed 19/10/22</w:t>
      </w:r>
    </w:p>
    <w:p w14:paraId="2A7BE4A2" w14:textId="77777777" w:rsidR="006D383D" w:rsidRPr="006D383D" w:rsidRDefault="006D383D" w:rsidP="00866D71">
      <w:pPr>
        <w:pStyle w:val="ListParagraph"/>
        <w:numPr>
          <w:ilvl w:val="0"/>
          <w:numId w:val="2"/>
        </w:numPr>
        <w:spacing w:line="360" w:lineRule="auto"/>
        <w:jc w:val="both"/>
        <w:rPr>
          <w:rFonts w:ascii="Arial" w:hAnsi="Arial" w:cs="Arial"/>
          <w:color w:val="000000" w:themeColor="text1"/>
        </w:rPr>
      </w:pPr>
      <w:r w:rsidRPr="006D383D">
        <w:rPr>
          <w:rFonts w:ascii="Arial" w:hAnsi="Arial" w:cs="Arial"/>
          <w:color w:val="000000" w:themeColor="text1"/>
          <w:shd w:val="clear" w:color="auto" w:fill="FFFFFF"/>
        </w:rPr>
        <w:t xml:space="preserve">Xu D., Jaggars S. S. (2014). Performance gaps between online and face-to-face courses: Differences across types of students and academic subject </w:t>
      </w:r>
      <w:r w:rsidRPr="006D383D">
        <w:rPr>
          <w:rFonts w:ascii="Arial" w:hAnsi="Arial" w:cs="Arial"/>
          <w:color w:val="000000" w:themeColor="text1"/>
          <w:shd w:val="clear" w:color="auto" w:fill="FFFFFF"/>
        </w:rPr>
        <w:lastRenderedPageBreak/>
        <w:t>areas. </w:t>
      </w:r>
      <w:r w:rsidRPr="006D383D">
        <w:rPr>
          <w:rStyle w:val="Emphasis"/>
          <w:rFonts w:ascii="Arial" w:hAnsi="Arial" w:cs="Arial"/>
          <w:color w:val="000000" w:themeColor="text1"/>
          <w:shd w:val="clear" w:color="auto" w:fill="FFFFFF"/>
        </w:rPr>
        <w:t>Journal of Higher Education</w:t>
      </w:r>
      <w:r w:rsidRPr="006D383D">
        <w:rPr>
          <w:rFonts w:ascii="Arial" w:hAnsi="Arial" w:cs="Arial"/>
          <w:color w:val="000000" w:themeColor="text1"/>
          <w:shd w:val="clear" w:color="auto" w:fill="FFFFFF"/>
        </w:rPr>
        <w:t xml:space="preserve">, 85(5), 633–659. Available at; </w:t>
      </w:r>
      <w:hyperlink r:id="rId52" w:history="1">
        <w:r w:rsidRPr="006D383D">
          <w:rPr>
            <w:rStyle w:val="Hyperlink"/>
            <w:rFonts w:ascii="Arial" w:hAnsi="Arial" w:cs="Arial"/>
            <w:shd w:val="clear" w:color="auto" w:fill="FFFFFF"/>
          </w:rPr>
          <w:t>https://www.tandfonline.com/doi/abs/10.1080/00221546.2014.11777343</w:t>
        </w:r>
      </w:hyperlink>
      <w:r w:rsidRPr="006D383D">
        <w:rPr>
          <w:rFonts w:ascii="Arial" w:hAnsi="Arial" w:cs="Arial"/>
          <w:color w:val="000000" w:themeColor="text1"/>
          <w:shd w:val="clear" w:color="auto" w:fill="FFFFFF"/>
        </w:rPr>
        <w:t xml:space="preserve"> Accessed 21/10/22</w:t>
      </w:r>
    </w:p>
    <w:p w14:paraId="3DF0C5E0" w14:textId="616BBEFC" w:rsidR="00F30607" w:rsidRPr="00A53DBA" w:rsidRDefault="006D383D" w:rsidP="005B5E58">
      <w:pPr>
        <w:pStyle w:val="ListParagraph"/>
        <w:numPr>
          <w:ilvl w:val="0"/>
          <w:numId w:val="2"/>
        </w:numPr>
        <w:spacing w:line="360" w:lineRule="auto"/>
        <w:jc w:val="both"/>
        <w:rPr>
          <w:rFonts w:ascii="Arial" w:hAnsi="Arial" w:cs="Arial"/>
        </w:rPr>
      </w:pPr>
      <w:r w:rsidRPr="006D383D">
        <w:rPr>
          <w:rFonts w:ascii="Arial" w:hAnsi="Arial" w:cs="Arial"/>
          <w:color w:val="000000" w:themeColor="text1"/>
        </w:rPr>
        <w:t xml:space="preserve">Young, N. E., Rhys, M., Kennedy, I. A., and Thomas, E. M. (2017) The linguistic, </w:t>
      </w:r>
      <w:proofErr w:type="gramStart"/>
      <w:r w:rsidRPr="006D383D">
        <w:rPr>
          <w:rFonts w:ascii="Arial" w:hAnsi="Arial" w:cs="Arial"/>
          <w:color w:val="000000" w:themeColor="text1"/>
        </w:rPr>
        <w:t>cognitive</w:t>
      </w:r>
      <w:proofErr w:type="gramEnd"/>
      <w:r w:rsidRPr="006D383D">
        <w:rPr>
          <w:rFonts w:ascii="Arial" w:hAnsi="Arial" w:cs="Arial"/>
          <w:color w:val="000000" w:themeColor="text1"/>
        </w:rPr>
        <w:t xml:space="preserve"> and emotional advantages of minority language bilingualism. In: F. Lauchlan, F. and M. des Carmen </w:t>
      </w:r>
      <w:proofErr w:type="spellStart"/>
      <w:r w:rsidRPr="006D383D">
        <w:rPr>
          <w:rFonts w:ascii="Arial" w:hAnsi="Arial" w:cs="Arial"/>
          <w:color w:val="000000" w:themeColor="text1"/>
        </w:rPr>
        <w:t>Parafita</w:t>
      </w:r>
      <w:proofErr w:type="spellEnd"/>
      <w:r w:rsidRPr="006D383D">
        <w:rPr>
          <w:rFonts w:ascii="Arial" w:hAnsi="Arial" w:cs="Arial"/>
          <w:color w:val="000000" w:themeColor="text1"/>
        </w:rPr>
        <w:t xml:space="preserve"> Couto (eds.) Bilingualism and minority Languages in Europe. Newcastle upon Tyne: Cambridge Scholars Publishing, 120-140. Available at; </w:t>
      </w:r>
      <w:hyperlink r:id="rId53" w:history="1">
        <w:r w:rsidRPr="006D383D">
          <w:rPr>
            <w:rStyle w:val="Hyperlink"/>
            <w:rFonts w:ascii="Arial" w:hAnsi="Arial" w:cs="Arial"/>
          </w:rPr>
          <w:t>https://research.bangor.ac.uk/portal/files/17038973/2016_linguistic_cognitive.pdf Accessed 23/10/22</w:t>
        </w:r>
      </w:hyperlink>
      <w:r w:rsidRPr="006D383D">
        <w:rPr>
          <w:rFonts w:ascii="Arial" w:hAnsi="Arial" w:cs="Arial"/>
          <w:color w:val="000000" w:themeColor="text1"/>
        </w:rPr>
        <w:t xml:space="preserve"> </w:t>
      </w:r>
    </w:p>
    <w:sectPr w:rsidR="00F30607" w:rsidRPr="00A53DBA" w:rsidSect="00B8561D">
      <w:headerReference w:type="default" r:id="rId54"/>
      <w:footerReference w:type="even" r:id="rId55"/>
      <w:footerReference w:type="default" r:id="rId5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CF0A9" w14:textId="77777777" w:rsidR="004C34D3" w:rsidRDefault="004C34D3" w:rsidP="00866D71">
      <w:r>
        <w:separator/>
      </w:r>
    </w:p>
  </w:endnote>
  <w:endnote w:type="continuationSeparator" w:id="0">
    <w:p w14:paraId="135BD372" w14:textId="77777777" w:rsidR="004C34D3" w:rsidRDefault="004C34D3" w:rsidP="00866D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430313"/>
      <w:docPartObj>
        <w:docPartGallery w:val="Page Numbers (Bottom of Page)"/>
        <w:docPartUnique/>
      </w:docPartObj>
    </w:sdtPr>
    <w:sdtEndPr>
      <w:rPr>
        <w:rStyle w:val="PageNumber"/>
      </w:rPr>
    </w:sdtEndPr>
    <w:sdtContent>
      <w:p w14:paraId="51BFF635" w14:textId="7C079904" w:rsidR="007B78A7" w:rsidRDefault="007B78A7" w:rsidP="003716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B8B337" w14:textId="77777777" w:rsidR="007B78A7" w:rsidRDefault="007B78A7" w:rsidP="007B78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2594775"/>
      <w:docPartObj>
        <w:docPartGallery w:val="Page Numbers (Bottom of Page)"/>
        <w:docPartUnique/>
      </w:docPartObj>
    </w:sdtPr>
    <w:sdtEndPr>
      <w:rPr>
        <w:rStyle w:val="PageNumber"/>
      </w:rPr>
    </w:sdtEndPr>
    <w:sdtContent>
      <w:p w14:paraId="7E9E06B6" w14:textId="3553C37D" w:rsidR="007B78A7" w:rsidRDefault="007B78A7" w:rsidP="003716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58AAD1" w14:textId="77777777" w:rsidR="007B78A7" w:rsidRDefault="007B78A7" w:rsidP="007B78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B0726" w14:textId="77777777" w:rsidR="004C34D3" w:rsidRDefault="004C34D3" w:rsidP="00866D71">
      <w:r>
        <w:separator/>
      </w:r>
    </w:p>
  </w:footnote>
  <w:footnote w:type="continuationSeparator" w:id="0">
    <w:p w14:paraId="2B8121FC" w14:textId="77777777" w:rsidR="004C34D3" w:rsidRDefault="004C34D3" w:rsidP="00866D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35163" w14:textId="77777777" w:rsidR="00866D71" w:rsidRPr="00E25777" w:rsidRDefault="00866D71" w:rsidP="00866D71">
    <w:pPr>
      <w:pStyle w:val="Header"/>
      <w:rPr>
        <w:rFonts w:ascii="Arial" w:hAnsi="Arial" w:cs="Arial"/>
      </w:rPr>
    </w:pPr>
    <w:r w:rsidRPr="00E25777">
      <w:rPr>
        <w:rFonts w:ascii="Arial" w:hAnsi="Arial" w:cs="Arial"/>
      </w:rPr>
      <w:t>1806173</w:t>
    </w:r>
  </w:p>
  <w:p w14:paraId="5D74F0EB" w14:textId="77777777" w:rsidR="00866D71" w:rsidRDefault="00866D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6CC5"/>
    <w:multiLevelType w:val="hybridMultilevel"/>
    <w:tmpl w:val="2004B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A6668"/>
    <w:multiLevelType w:val="hybridMultilevel"/>
    <w:tmpl w:val="CD78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5021B"/>
    <w:multiLevelType w:val="hybridMultilevel"/>
    <w:tmpl w:val="F074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77D44"/>
    <w:multiLevelType w:val="hybridMultilevel"/>
    <w:tmpl w:val="F708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A653B"/>
    <w:multiLevelType w:val="hybridMultilevel"/>
    <w:tmpl w:val="B6AA3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C20C0"/>
    <w:multiLevelType w:val="hybridMultilevel"/>
    <w:tmpl w:val="619C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494B47"/>
    <w:multiLevelType w:val="hybridMultilevel"/>
    <w:tmpl w:val="6FFA3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470221"/>
    <w:multiLevelType w:val="hybridMultilevel"/>
    <w:tmpl w:val="D9B4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917412"/>
    <w:multiLevelType w:val="hybridMultilevel"/>
    <w:tmpl w:val="6CD8F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A4206E"/>
    <w:multiLevelType w:val="multilevel"/>
    <w:tmpl w:val="AEBC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A218AC"/>
    <w:multiLevelType w:val="hybridMultilevel"/>
    <w:tmpl w:val="6BA29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C775CA"/>
    <w:multiLevelType w:val="hybridMultilevel"/>
    <w:tmpl w:val="BDDA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AD54B4"/>
    <w:multiLevelType w:val="hybridMultilevel"/>
    <w:tmpl w:val="DC985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BB287D"/>
    <w:multiLevelType w:val="hybridMultilevel"/>
    <w:tmpl w:val="11D6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B2495F"/>
    <w:multiLevelType w:val="hybridMultilevel"/>
    <w:tmpl w:val="29C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987717"/>
    <w:multiLevelType w:val="hybridMultilevel"/>
    <w:tmpl w:val="F32C7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1E566F"/>
    <w:multiLevelType w:val="hybridMultilevel"/>
    <w:tmpl w:val="76E8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429961">
    <w:abstractNumId w:val="9"/>
  </w:num>
  <w:num w:numId="2" w16cid:durableId="2110420253">
    <w:abstractNumId w:val="12"/>
  </w:num>
  <w:num w:numId="3" w16cid:durableId="495801086">
    <w:abstractNumId w:val="3"/>
  </w:num>
  <w:num w:numId="4" w16cid:durableId="984432428">
    <w:abstractNumId w:val="7"/>
  </w:num>
  <w:num w:numId="5" w16cid:durableId="1608388677">
    <w:abstractNumId w:val="15"/>
  </w:num>
  <w:num w:numId="6" w16cid:durableId="167452305">
    <w:abstractNumId w:val="13"/>
  </w:num>
  <w:num w:numId="7" w16cid:durableId="473301002">
    <w:abstractNumId w:val="0"/>
  </w:num>
  <w:num w:numId="8" w16cid:durableId="859398093">
    <w:abstractNumId w:val="5"/>
  </w:num>
  <w:num w:numId="9" w16cid:durableId="101344112">
    <w:abstractNumId w:val="4"/>
  </w:num>
  <w:num w:numId="10" w16cid:durableId="35855690">
    <w:abstractNumId w:val="2"/>
  </w:num>
  <w:num w:numId="11" w16cid:durableId="1742019647">
    <w:abstractNumId w:val="11"/>
  </w:num>
  <w:num w:numId="12" w16cid:durableId="1138691981">
    <w:abstractNumId w:val="16"/>
  </w:num>
  <w:num w:numId="13" w16cid:durableId="1066996358">
    <w:abstractNumId w:val="1"/>
  </w:num>
  <w:num w:numId="14" w16cid:durableId="1405295067">
    <w:abstractNumId w:val="8"/>
  </w:num>
  <w:num w:numId="15" w16cid:durableId="469055383">
    <w:abstractNumId w:val="10"/>
  </w:num>
  <w:num w:numId="16" w16cid:durableId="1571427959">
    <w:abstractNumId w:val="6"/>
  </w:num>
  <w:num w:numId="17" w16cid:durableId="1778866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8D"/>
    <w:rsid w:val="00054E6F"/>
    <w:rsid w:val="000765CC"/>
    <w:rsid w:val="0009489A"/>
    <w:rsid w:val="000A75B3"/>
    <w:rsid w:val="000B0653"/>
    <w:rsid w:val="00124102"/>
    <w:rsid w:val="0013480B"/>
    <w:rsid w:val="001579C2"/>
    <w:rsid w:val="0017005B"/>
    <w:rsid w:val="00174F34"/>
    <w:rsid w:val="002073C5"/>
    <w:rsid w:val="002530EA"/>
    <w:rsid w:val="002663C7"/>
    <w:rsid w:val="002A43E0"/>
    <w:rsid w:val="00304C65"/>
    <w:rsid w:val="003266EA"/>
    <w:rsid w:val="0033064A"/>
    <w:rsid w:val="00334A55"/>
    <w:rsid w:val="00351E8E"/>
    <w:rsid w:val="003A77BA"/>
    <w:rsid w:val="003B31B1"/>
    <w:rsid w:val="003D0C8D"/>
    <w:rsid w:val="00404CCE"/>
    <w:rsid w:val="0040581A"/>
    <w:rsid w:val="0041076F"/>
    <w:rsid w:val="0043276A"/>
    <w:rsid w:val="0047448D"/>
    <w:rsid w:val="00486302"/>
    <w:rsid w:val="0049198B"/>
    <w:rsid w:val="004A4719"/>
    <w:rsid w:val="004A5E8B"/>
    <w:rsid w:val="004C33BC"/>
    <w:rsid w:val="004C34D3"/>
    <w:rsid w:val="004E650E"/>
    <w:rsid w:val="00502307"/>
    <w:rsid w:val="00506E84"/>
    <w:rsid w:val="005305B5"/>
    <w:rsid w:val="00541E94"/>
    <w:rsid w:val="00543C39"/>
    <w:rsid w:val="005767EA"/>
    <w:rsid w:val="00582CCF"/>
    <w:rsid w:val="0059379C"/>
    <w:rsid w:val="00596F77"/>
    <w:rsid w:val="005A5F83"/>
    <w:rsid w:val="005B16DF"/>
    <w:rsid w:val="005B5E58"/>
    <w:rsid w:val="005C567A"/>
    <w:rsid w:val="005D6393"/>
    <w:rsid w:val="005E1A5E"/>
    <w:rsid w:val="00606AAD"/>
    <w:rsid w:val="006300F0"/>
    <w:rsid w:val="006527BC"/>
    <w:rsid w:val="00660D21"/>
    <w:rsid w:val="006810E2"/>
    <w:rsid w:val="006A03AB"/>
    <w:rsid w:val="006C0A3A"/>
    <w:rsid w:val="006C6A3E"/>
    <w:rsid w:val="006D383D"/>
    <w:rsid w:val="006D7382"/>
    <w:rsid w:val="006F31F5"/>
    <w:rsid w:val="00702B0C"/>
    <w:rsid w:val="00724320"/>
    <w:rsid w:val="00743A47"/>
    <w:rsid w:val="00753908"/>
    <w:rsid w:val="007A0711"/>
    <w:rsid w:val="007B78A7"/>
    <w:rsid w:val="007C5FDB"/>
    <w:rsid w:val="007D0354"/>
    <w:rsid w:val="007E418A"/>
    <w:rsid w:val="00837A87"/>
    <w:rsid w:val="00845247"/>
    <w:rsid w:val="00866D71"/>
    <w:rsid w:val="00877683"/>
    <w:rsid w:val="00881531"/>
    <w:rsid w:val="008905AE"/>
    <w:rsid w:val="008A3E5F"/>
    <w:rsid w:val="008D40FF"/>
    <w:rsid w:val="0091629B"/>
    <w:rsid w:val="009429CC"/>
    <w:rsid w:val="009A2BD2"/>
    <w:rsid w:val="009D0513"/>
    <w:rsid w:val="009E0E2E"/>
    <w:rsid w:val="009E2B43"/>
    <w:rsid w:val="00A03792"/>
    <w:rsid w:val="00A040B3"/>
    <w:rsid w:val="00A33D0F"/>
    <w:rsid w:val="00A436B9"/>
    <w:rsid w:val="00A53DBA"/>
    <w:rsid w:val="00AB0BC1"/>
    <w:rsid w:val="00AC6C22"/>
    <w:rsid w:val="00AF21DE"/>
    <w:rsid w:val="00B30160"/>
    <w:rsid w:val="00B42EE8"/>
    <w:rsid w:val="00B525E2"/>
    <w:rsid w:val="00B8561D"/>
    <w:rsid w:val="00BC2CA0"/>
    <w:rsid w:val="00BC6D0C"/>
    <w:rsid w:val="00BF3B70"/>
    <w:rsid w:val="00BF58D1"/>
    <w:rsid w:val="00BF59CB"/>
    <w:rsid w:val="00C023A6"/>
    <w:rsid w:val="00C575D3"/>
    <w:rsid w:val="00C919B8"/>
    <w:rsid w:val="00CA4E6B"/>
    <w:rsid w:val="00CB6E30"/>
    <w:rsid w:val="00CF5029"/>
    <w:rsid w:val="00D6609A"/>
    <w:rsid w:val="00D83C23"/>
    <w:rsid w:val="00D8689A"/>
    <w:rsid w:val="00DB3693"/>
    <w:rsid w:val="00DC6A4B"/>
    <w:rsid w:val="00DD7E98"/>
    <w:rsid w:val="00DF3998"/>
    <w:rsid w:val="00E3679C"/>
    <w:rsid w:val="00E4174B"/>
    <w:rsid w:val="00E506A3"/>
    <w:rsid w:val="00E52561"/>
    <w:rsid w:val="00E72493"/>
    <w:rsid w:val="00E81C5B"/>
    <w:rsid w:val="00E86460"/>
    <w:rsid w:val="00E93A10"/>
    <w:rsid w:val="00EC07B6"/>
    <w:rsid w:val="00EE2B16"/>
    <w:rsid w:val="00F30607"/>
    <w:rsid w:val="00F35BF9"/>
    <w:rsid w:val="00F45264"/>
    <w:rsid w:val="00F6678D"/>
    <w:rsid w:val="00F84941"/>
    <w:rsid w:val="00FA4011"/>
    <w:rsid w:val="00FA759E"/>
    <w:rsid w:val="00FE4A50"/>
    <w:rsid w:val="00FF7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0F60F"/>
  <w15:chartTrackingRefBased/>
  <w15:docId w15:val="{0E0E6D6E-EA35-6749-BC4E-15CCF5E1A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348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D0C8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6D383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0C8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D0C8D"/>
    <w:pPr>
      <w:spacing w:before="100" w:beforeAutospacing="1" w:after="100" w:afterAutospacing="1"/>
    </w:pPr>
  </w:style>
  <w:style w:type="paragraph" w:customStyle="1" w:styleId="lead">
    <w:name w:val="lead"/>
    <w:basedOn w:val="Normal"/>
    <w:rsid w:val="003D0C8D"/>
    <w:pPr>
      <w:spacing w:before="100" w:beforeAutospacing="1" w:after="100" w:afterAutospacing="1"/>
    </w:pPr>
  </w:style>
  <w:style w:type="character" w:styleId="Hyperlink">
    <w:name w:val="Hyperlink"/>
    <w:basedOn w:val="DefaultParagraphFont"/>
    <w:uiPriority w:val="99"/>
    <w:unhideWhenUsed/>
    <w:rsid w:val="003D0C8D"/>
    <w:rPr>
      <w:color w:val="0000FF"/>
      <w:u w:val="single"/>
    </w:rPr>
  </w:style>
  <w:style w:type="character" w:styleId="UnresolvedMention">
    <w:name w:val="Unresolved Mention"/>
    <w:basedOn w:val="DefaultParagraphFont"/>
    <w:uiPriority w:val="99"/>
    <w:semiHidden/>
    <w:unhideWhenUsed/>
    <w:rsid w:val="003D0C8D"/>
    <w:rPr>
      <w:color w:val="605E5C"/>
      <w:shd w:val="clear" w:color="auto" w:fill="E1DFDD"/>
    </w:rPr>
  </w:style>
  <w:style w:type="character" w:styleId="FollowedHyperlink">
    <w:name w:val="FollowedHyperlink"/>
    <w:basedOn w:val="DefaultParagraphFont"/>
    <w:uiPriority w:val="99"/>
    <w:semiHidden/>
    <w:unhideWhenUsed/>
    <w:rsid w:val="003D0C8D"/>
    <w:rPr>
      <w:color w:val="954F72" w:themeColor="followedHyperlink"/>
      <w:u w:val="single"/>
    </w:rPr>
  </w:style>
  <w:style w:type="character" w:customStyle="1" w:styleId="normaltextrun">
    <w:name w:val="normaltextrun"/>
    <w:basedOn w:val="DefaultParagraphFont"/>
    <w:rsid w:val="003D0C8D"/>
  </w:style>
  <w:style w:type="character" w:customStyle="1" w:styleId="eop">
    <w:name w:val="eop"/>
    <w:basedOn w:val="DefaultParagraphFont"/>
    <w:rsid w:val="003D0C8D"/>
  </w:style>
  <w:style w:type="paragraph" w:styleId="ListParagraph">
    <w:name w:val="List Paragraph"/>
    <w:basedOn w:val="Normal"/>
    <w:uiPriority w:val="34"/>
    <w:qFormat/>
    <w:rsid w:val="00724320"/>
    <w:pPr>
      <w:ind w:left="720"/>
      <w:contextualSpacing/>
    </w:pPr>
    <w:rPr>
      <w:rFonts w:asciiTheme="minorHAnsi" w:eastAsiaTheme="minorHAnsi" w:hAnsiTheme="minorHAnsi" w:cstheme="minorBidi"/>
      <w:lang w:eastAsia="en-US"/>
    </w:rPr>
  </w:style>
  <w:style w:type="paragraph" w:styleId="NoSpacing">
    <w:name w:val="No Spacing"/>
    <w:uiPriority w:val="1"/>
    <w:qFormat/>
    <w:rsid w:val="009E0E2E"/>
  </w:style>
  <w:style w:type="character" w:styleId="Emphasis">
    <w:name w:val="Emphasis"/>
    <w:basedOn w:val="DefaultParagraphFont"/>
    <w:uiPriority w:val="20"/>
    <w:qFormat/>
    <w:rsid w:val="00304C65"/>
    <w:rPr>
      <w:i/>
      <w:iCs/>
    </w:rPr>
  </w:style>
  <w:style w:type="character" w:customStyle="1" w:styleId="jsx-1246547989">
    <w:name w:val="jsx-1246547989"/>
    <w:basedOn w:val="DefaultParagraphFont"/>
    <w:rsid w:val="0091629B"/>
  </w:style>
  <w:style w:type="character" w:customStyle="1" w:styleId="ref-title">
    <w:name w:val="ref-title"/>
    <w:basedOn w:val="DefaultParagraphFont"/>
    <w:rsid w:val="00C575D3"/>
  </w:style>
  <w:style w:type="character" w:customStyle="1" w:styleId="ref-vol">
    <w:name w:val="ref-vol"/>
    <w:basedOn w:val="DefaultParagraphFont"/>
    <w:rsid w:val="00C575D3"/>
  </w:style>
  <w:style w:type="character" w:customStyle="1" w:styleId="Heading1Char">
    <w:name w:val="Heading 1 Char"/>
    <w:basedOn w:val="DefaultParagraphFont"/>
    <w:link w:val="Heading1"/>
    <w:uiPriority w:val="9"/>
    <w:rsid w:val="0013480B"/>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866D7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y2iqfc">
    <w:name w:val="y2iqfc"/>
    <w:basedOn w:val="DefaultParagraphFont"/>
    <w:rsid w:val="00866D71"/>
  </w:style>
  <w:style w:type="paragraph" w:styleId="Header">
    <w:name w:val="header"/>
    <w:basedOn w:val="Normal"/>
    <w:link w:val="HeaderChar"/>
    <w:uiPriority w:val="99"/>
    <w:unhideWhenUsed/>
    <w:rsid w:val="00866D71"/>
    <w:pPr>
      <w:tabs>
        <w:tab w:val="center" w:pos="4513"/>
        <w:tab w:val="right" w:pos="9026"/>
      </w:tabs>
    </w:pPr>
  </w:style>
  <w:style w:type="character" w:customStyle="1" w:styleId="HeaderChar">
    <w:name w:val="Header Char"/>
    <w:basedOn w:val="DefaultParagraphFont"/>
    <w:link w:val="Header"/>
    <w:uiPriority w:val="99"/>
    <w:rsid w:val="00866D71"/>
    <w:rPr>
      <w:rFonts w:ascii="Times New Roman" w:eastAsia="Times New Roman" w:hAnsi="Times New Roman" w:cs="Times New Roman"/>
      <w:lang w:eastAsia="en-GB"/>
    </w:rPr>
  </w:style>
  <w:style w:type="paragraph" w:styleId="Footer">
    <w:name w:val="footer"/>
    <w:basedOn w:val="Normal"/>
    <w:link w:val="FooterChar"/>
    <w:uiPriority w:val="99"/>
    <w:unhideWhenUsed/>
    <w:rsid w:val="00866D71"/>
    <w:pPr>
      <w:tabs>
        <w:tab w:val="center" w:pos="4513"/>
        <w:tab w:val="right" w:pos="9026"/>
      </w:tabs>
    </w:pPr>
  </w:style>
  <w:style w:type="character" w:customStyle="1" w:styleId="FooterChar">
    <w:name w:val="Footer Char"/>
    <w:basedOn w:val="DefaultParagraphFont"/>
    <w:link w:val="Footer"/>
    <w:uiPriority w:val="99"/>
    <w:rsid w:val="00866D71"/>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6D383D"/>
    <w:rPr>
      <w:rFonts w:asciiTheme="majorHAnsi" w:eastAsiaTheme="majorEastAsia" w:hAnsiTheme="majorHAnsi" w:cstheme="majorBidi"/>
      <w:color w:val="1F3763" w:themeColor="accent1" w:themeShade="7F"/>
      <w:lang w:eastAsia="en-GB"/>
    </w:rPr>
  </w:style>
  <w:style w:type="character" w:styleId="PageNumber">
    <w:name w:val="page number"/>
    <w:basedOn w:val="DefaultParagraphFont"/>
    <w:uiPriority w:val="99"/>
    <w:semiHidden/>
    <w:unhideWhenUsed/>
    <w:rsid w:val="007B7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20099">
      <w:bodyDiv w:val="1"/>
      <w:marLeft w:val="0"/>
      <w:marRight w:val="0"/>
      <w:marTop w:val="0"/>
      <w:marBottom w:val="0"/>
      <w:divBdr>
        <w:top w:val="none" w:sz="0" w:space="0" w:color="auto"/>
        <w:left w:val="none" w:sz="0" w:space="0" w:color="auto"/>
        <w:bottom w:val="none" w:sz="0" w:space="0" w:color="auto"/>
        <w:right w:val="none" w:sz="0" w:space="0" w:color="auto"/>
      </w:divBdr>
    </w:div>
    <w:div w:id="173543735">
      <w:bodyDiv w:val="1"/>
      <w:marLeft w:val="0"/>
      <w:marRight w:val="0"/>
      <w:marTop w:val="0"/>
      <w:marBottom w:val="0"/>
      <w:divBdr>
        <w:top w:val="none" w:sz="0" w:space="0" w:color="auto"/>
        <w:left w:val="none" w:sz="0" w:space="0" w:color="auto"/>
        <w:bottom w:val="none" w:sz="0" w:space="0" w:color="auto"/>
        <w:right w:val="none" w:sz="0" w:space="0" w:color="auto"/>
      </w:divBdr>
    </w:div>
    <w:div w:id="281301495">
      <w:bodyDiv w:val="1"/>
      <w:marLeft w:val="0"/>
      <w:marRight w:val="0"/>
      <w:marTop w:val="0"/>
      <w:marBottom w:val="0"/>
      <w:divBdr>
        <w:top w:val="none" w:sz="0" w:space="0" w:color="auto"/>
        <w:left w:val="none" w:sz="0" w:space="0" w:color="auto"/>
        <w:bottom w:val="none" w:sz="0" w:space="0" w:color="auto"/>
        <w:right w:val="none" w:sz="0" w:space="0" w:color="auto"/>
      </w:divBdr>
    </w:div>
    <w:div w:id="319770189">
      <w:bodyDiv w:val="1"/>
      <w:marLeft w:val="0"/>
      <w:marRight w:val="0"/>
      <w:marTop w:val="0"/>
      <w:marBottom w:val="0"/>
      <w:divBdr>
        <w:top w:val="none" w:sz="0" w:space="0" w:color="auto"/>
        <w:left w:val="none" w:sz="0" w:space="0" w:color="auto"/>
        <w:bottom w:val="none" w:sz="0" w:space="0" w:color="auto"/>
        <w:right w:val="none" w:sz="0" w:space="0" w:color="auto"/>
      </w:divBdr>
    </w:div>
    <w:div w:id="392776458">
      <w:bodyDiv w:val="1"/>
      <w:marLeft w:val="0"/>
      <w:marRight w:val="0"/>
      <w:marTop w:val="0"/>
      <w:marBottom w:val="0"/>
      <w:divBdr>
        <w:top w:val="none" w:sz="0" w:space="0" w:color="auto"/>
        <w:left w:val="none" w:sz="0" w:space="0" w:color="auto"/>
        <w:bottom w:val="none" w:sz="0" w:space="0" w:color="auto"/>
        <w:right w:val="none" w:sz="0" w:space="0" w:color="auto"/>
      </w:divBdr>
    </w:div>
    <w:div w:id="430710300">
      <w:bodyDiv w:val="1"/>
      <w:marLeft w:val="0"/>
      <w:marRight w:val="0"/>
      <w:marTop w:val="0"/>
      <w:marBottom w:val="0"/>
      <w:divBdr>
        <w:top w:val="none" w:sz="0" w:space="0" w:color="auto"/>
        <w:left w:val="none" w:sz="0" w:space="0" w:color="auto"/>
        <w:bottom w:val="none" w:sz="0" w:space="0" w:color="auto"/>
        <w:right w:val="none" w:sz="0" w:space="0" w:color="auto"/>
      </w:divBdr>
    </w:div>
    <w:div w:id="441456060">
      <w:bodyDiv w:val="1"/>
      <w:marLeft w:val="0"/>
      <w:marRight w:val="0"/>
      <w:marTop w:val="0"/>
      <w:marBottom w:val="0"/>
      <w:divBdr>
        <w:top w:val="none" w:sz="0" w:space="0" w:color="auto"/>
        <w:left w:val="none" w:sz="0" w:space="0" w:color="auto"/>
        <w:bottom w:val="none" w:sz="0" w:space="0" w:color="auto"/>
        <w:right w:val="none" w:sz="0" w:space="0" w:color="auto"/>
      </w:divBdr>
    </w:div>
    <w:div w:id="631711270">
      <w:bodyDiv w:val="1"/>
      <w:marLeft w:val="0"/>
      <w:marRight w:val="0"/>
      <w:marTop w:val="0"/>
      <w:marBottom w:val="0"/>
      <w:divBdr>
        <w:top w:val="none" w:sz="0" w:space="0" w:color="auto"/>
        <w:left w:val="none" w:sz="0" w:space="0" w:color="auto"/>
        <w:bottom w:val="none" w:sz="0" w:space="0" w:color="auto"/>
        <w:right w:val="none" w:sz="0" w:space="0" w:color="auto"/>
      </w:divBdr>
    </w:div>
    <w:div w:id="719323240">
      <w:bodyDiv w:val="1"/>
      <w:marLeft w:val="0"/>
      <w:marRight w:val="0"/>
      <w:marTop w:val="0"/>
      <w:marBottom w:val="0"/>
      <w:divBdr>
        <w:top w:val="none" w:sz="0" w:space="0" w:color="auto"/>
        <w:left w:val="none" w:sz="0" w:space="0" w:color="auto"/>
        <w:bottom w:val="none" w:sz="0" w:space="0" w:color="auto"/>
        <w:right w:val="none" w:sz="0" w:space="0" w:color="auto"/>
      </w:divBdr>
    </w:div>
    <w:div w:id="936525152">
      <w:bodyDiv w:val="1"/>
      <w:marLeft w:val="0"/>
      <w:marRight w:val="0"/>
      <w:marTop w:val="0"/>
      <w:marBottom w:val="0"/>
      <w:divBdr>
        <w:top w:val="none" w:sz="0" w:space="0" w:color="auto"/>
        <w:left w:val="none" w:sz="0" w:space="0" w:color="auto"/>
        <w:bottom w:val="none" w:sz="0" w:space="0" w:color="auto"/>
        <w:right w:val="none" w:sz="0" w:space="0" w:color="auto"/>
      </w:divBdr>
    </w:div>
    <w:div w:id="1158569468">
      <w:bodyDiv w:val="1"/>
      <w:marLeft w:val="0"/>
      <w:marRight w:val="0"/>
      <w:marTop w:val="0"/>
      <w:marBottom w:val="0"/>
      <w:divBdr>
        <w:top w:val="none" w:sz="0" w:space="0" w:color="auto"/>
        <w:left w:val="none" w:sz="0" w:space="0" w:color="auto"/>
        <w:bottom w:val="none" w:sz="0" w:space="0" w:color="auto"/>
        <w:right w:val="none" w:sz="0" w:space="0" w:color="auto"/>
      </w:divBdr>
      <w:divsChild>
        <w:div w:id="1289582585">
          <w:marLeft w:val="0"/>
          <w:marRight w:val="0"/>
          <w:marTop w:val="0"/>
          <w:marBottom w:val="0"/>
          <w:divBdr>
            <w:top w:val="none" w:sz="0" w:space="0" w:color="auto"/>
            <w:left w:val="none" w:sz="0" w:space="0" w:color="auto"/>
            <w:bottom w:val="none" w:sz="0" w:space="0" w:color="auto"/>
            <w:right w:val="none" w:sz="0" w:space="0" w:color="auto"/>
          </w:divBdr>
        </w:div>
        <w:div w:id="743457768">
          <w:marLeft w:val="0"/>
          <w:marRight w:val="0"/>
          <w:marTop w:val="0"/>
          <w:marBottom w:val="0"/>
          <w:divBdr>
            <w:top w:val="none" w:sz="0" w:space="0" w:color="auto"/>
            <w:left w:val="none" w:sz="0" w:space="0" w:color="auto"/>
            <w:bottom w:val="none" w:sz="0" w:space="0" w:color="auto"/>
            <w:right w:val="none" w:sz="0" w:space="0" w:color="auto"/>
          </w:divBdr>
        </w:div>
      </w:divsChild>
    </w:div>
    <w:div w:id="1170369178">
      <w:bodyDiv w:val="1"/>
      <w:marLeft w:val="0"/>
      <w:marRight w:val="0"/>
      <w:marTop w:val="0"/>
      <w:marBottom w:val="0"/>
      <w:divBdr>
        <w:top w:val="none" w:sz="0" w:space="0" w:color="auto"/>
        <w:left w:val="none" w:sz="0" w:space="0" w:color="auto"/>
        <w:bottom w:val="none" w:sz="0" w:space="0" w:color="auto"/>
        <w:right w:val="none" w:sz="0" w:space="0" w:color="auto"/>
      </w:divBdr>
    </w:div>
    <w:div w:id="1214924551">
      <w:bodyDiv w:val="1"/>
      <w:marLeft w:val="0"/>
      <w:marRight w:val="0"/>
      <w:marTop w:val="0"/>
      <w:marBottom w:val="0"/>
      <w:divBdr>
        <w:top w:val="none" w:sz="0" w:space="0" w:color="auto"/>
        <w:left w:val="none" w:sz="0" w:space="0" w:color="auto"/>
        <w:bottom w:val="none" w:sz="0" w:space="0" w:color="auto"/>
        <w:right w:val="none" w:sz="0" w:space="0" w:color="auto"/>
      </w:divBdr>
    </w:div>
    <w:div w:id="1329019534">
      <w:bodyDiv w:val="1"/>
      <w:marLeft w:val="0"/>
      <w:marRight w:val="0"/>
      <w:marTop w:val="0"/>
      <w:marBottom w:val="0"/>
      <w:divBdr>
        <w:top w:val="none" w:sz="0" w:space="0" w:color="auto"/>
        <w:left w:val="none" w:sz="0" w:space="0" w:color="auto"/>
        <w:bottom w:val="none" w:sz="0" w:space="0" w:color="auto"/>
        <w:right w:val="none" w:sz="0" w:space="0" w:color="auto"/>
      </w:divBdr>
    </w:div>
    <w:div w:id="1483889655">
      <w:bodyDiv w:val="1"/>
      <w:marLeft w:val="0"/>
      <w:marRight w:val="0"/>
      <w:marTop w:val="0"/>
      <w:marBottom w:val="0"/>
      <w:divBdr>
        <w:top w:val="none" w:sz="0" w:space="0" w:color="auto"/>
        <w:left w:val="none" w:sz="0" w:space="0" w:color="auto"/>
        <w:bottom w:val="none" w:sz="0" w:space="0" w:color="auto"/>
        <w:right w:val="none" w:sz="0" w:space="0" w:color="auto"/>
      </w:divBdr>
    </w:div>
    <w:div w:id="1498887872">
      <w:bodyDiv w:val="1"/>
      <w:marLeft w:val="0"/>
      <w:marRight w:val="0"/>
      <w:marTop w:val="0"/>
      <w:marBottom w:val="0"/>
      <w:divBdr>
        <w:top w:val="none" w:sz="0" w:space="0" w:color="auto"/>
        <w:left w:val="none" w:sz="0" w:space="0" w:color="auto"/>
        <w:bottom w:val="none" w:sz="0" w:space="0" w:color="auto"/>
        <w:right w:val="none" w:sz="0" w:space="0" w:color="auto"/>
      </w:divBdr>
    </w:div>
    <w:div w:id="1517885759">
      <w:bodyDiv w:val="1"/>
      <w:marLeft w:val="0"/>
      <w:marRight w:val="0"/>
      <w:marTop w:val="0"/>
      <w:marBottom w:val="0"/>
      <w:divBdr>
        <w:top w:val="none" w:sz="0" w:space="0" w:color="auto"/>
        <w:left w:val="none" w:sz="0" w:space="0" w:color="auto"/>
        <w:bottom w:val="none" w:sz="0" w:space="0" w:color="auto"/>
        <w:right w:val="none" w:sz="0" w:space="0" w:color="auto"/>
      </w:divBdr>
    </w:div>
    <w:div w:id="1593660586">
      <w:bodyDiv w:val="1"/>
      <w:marLeft w:val="0"/>
      <w:marRight w:val="0"/>
      <w:marTop w:val="0"/>
      <w:marBottom w:val="0"/>
      <w:divBdr>
        <w:top w:val="none" w:sz="0" w:space="0" w:color="auto"/>
        <w:left w:val="none" w:sz="0" w:space="0" w:color="auto"/>
        <w:bottom w:val="none" w:sz="0" w:space="0" w:color="auto"/>
        <w:right w:val="none" w:sz="0" w:space="0" w:color="auto"/>
      </w:divBdr>
    </w:div>
    <w:div w:id="1643189988">
      <w:bodyDiv w:val="1"/>
      <w:marLeft w:val="0"/>
      <w:marRight w:val="0"/>
      <w:marTop w:val="0"/>
      <w:marBottom w:val="0"/>
      <w:divBdr>
        <w:top w:val="none" w:sz="0" w:space="0" w:color="auto"/>
        <w:left w:val="none" w:sz="0" w:space="0" w:color="auto"/>
        <w:bottom w:val="none" w:sz="0" w:space="0" w:color="auto"/>
        <w:right w:val="none" w:sz="0" w:space="0" w:color="auto"/>
      </w:divBdr>
      <w:divsChild>
        <w:div w:id="444623205">
          <w:marLeft w:val="0"/>
          <w:marRight w:val="0"/>
          <w:marTop w:val="0"/>
          <w:marBottom w:val="0"/>
          <w:divBdr>
            <w:top w:val="none" w:sz="0" w:space="0" w:color="auto"/>
            <w:left w:val="none" w:sz="0" w:space="0" w:color="auto"/>
            <w:bottom w:val="none" w:sz="0" w:space="0" w:color="auto"/>
            <w:right w:val="none" w:sz="0" w:space="0" w:color="auto"/>
          </w:divBdr>
          <w:divsChild>
            <w:div w:id="170980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16351">
      <w:bodyDiv w:val="1"/>
      <w:marLeft w:val="0"/>
      <w:marRight w:val="0"/>
      <w:marTop w:val="0"/>
      <w:marBottom w:val="0"/>
      <w:divBdr>
        <w:top w:val="none" w:sz="0" w:space="0" w:color="auto"/>
        <w:left w:val="none" w:sz="0" w:space="0" w:color="auto"/>
        <w:bottom w:val="none" w:sz="0" w:space="0" w:color="auto"/>
        <w:right w:val="none" w:sz="0" w:space="0" w:color="auto"/>
      </w:divBdr>
    </w:div>
    <w:div w:id="1728719522">
      <w:bodyDiv w:val="1"/>
      <w:marLeft w:val="0"/>
      <w:marRight w:val="0"/>
      <w:marTop w:val="0"/>
      <w:marBottom w:val="0"/>
      <w:divBdr>
        <w:top w:val="none" w:sz="0" w:space="0" w:color="auto"/>
        <w:left w:val="none" w:sz="0" w:space="0" w:color="auto"/>
        <w:bottom w:val="none" w:sz="0" w:space="0" w:color="auto"/>
        <w:right w:val="none" w:sz="0" w:space="0" w:color="auto"/>
      </w:divBdr>
    </w:div>
    <w:div w:id="1807504258">
      <w:bodyDiv w:val="1"/>
      <w:marLeft w:val="0"/>
      <w:marRight w:val="0"/>
      <w:marTop w:val="0"/>
      <w:marBottom w:val="0"/>
      <w:divBdr>
        <w:top w:val="none" w:sz="0" w:space="0" w:color="auto"/>
        <w:left w:val="none" w:sz="0" w:space="0" w:color="auto"/>
        <w:bottom w:val="none" w:sz="0" w:space="0" w:color="auto"/>
        <w:right w:val="none" w:sz="0" w:space="0" w:color="auto"/>
      </w:divBdr>
    </w:div>
    <w:div w:id="1819954282">
      <w:bodyDiv w:val="1"/>
      <w:marLeft w:val="0"/>
      <w:marRight w:val="0"/>
      <w:marTop w:val="0"/>
      <w:marBottom w:val="0"/>
      <w:divBdr>
        <w:top w:val="none" w:sz="0" w:space="0" w:color="auto"/>
        <w:left w:val="none" w:sz="0" w:space="0" w:color="auto"/>
        <w:bottom w:val="none" w:sz="0" w:space="0" w:color="auto"/>
        <w:right w:val="none" w:sz="0" w:space="0" w:color="auto"/>
      </w:divBdr>
    </w:div>
    <w:div w:id="1838880884">
      <w:bodyDiv w:val="1"/>
      <w:marLeft w:val="0"/>
      <w:marRight w:val="0"/>
      <w:marTop w:val="0"/>
      <w:marBottom w:val="0"/>
      <w:divBdr>
        <w:top w:val="none" w:sz="0" w:space="0" w:color="auto"/>
        <w:left w:val="none" w:sz="0" w:space="0" w:color="auto"/>
        <w:bottom w:val="none" w:sz="0" w:space="0" w:color="auto"/>
        <w:right w:val="none" w:sz="0" w:space="0" w:color="auto"/>
      </w:divBdr>
    </w:div>
    <w:div w:id="1862209160">
      <w:bodyDiv w:val="1"/>
      <w:marLeft w:val="0"/>
      <w:marRight w:val="0"/>
      <w:marTop w:val="0"/>
      <w:marBottom w:val="0"/>
      <w:divBdr>
        <w:top w:val="none" w:sz="0" w:space="0" w:color="auto"/>
        <w:left w:val="none" w:sz="0" w:space="0" w:color="auto"/>
        <w:bottom w:val="none" w:sz="0" w:space="0" w:color="auto"/>
        <w:right w:val="none" w:sz="0" w:space="0" w:color="auto"/>
      </w:divBdr>
    </w:div>
    <w:div w:id="1924602848">
      <w:bodyDiv w:val="1"/>
      <w:marLeft w:val="0"/>
      <w:marRight w:val="0"/>
      <w:marTop w:val="0"/>
      <w:marBottom w:val="0"/>
      <w:divBdr>
        <w:top w:val="none" w:sz="0" w:space="0" w:color="auto"/>
        <w:left w:val="none" w:sz="0" w:space="0" w:color="auto"/>
        <w:bottom w:val="none" w:sz="0" w:space="0" w:color="auto"/>
        <w:right w:val="none" w:sz="0" w:space="0" w:color="auto"/>
      </w:divBdr>
    </w:div>
    <w:div w:id="1930576210">
      <w:bodyDiv w:val="1"/>
      <w:marLeft w:val="0"/>
      <w:marRight w:val="0"/>
      <w:marTop w:val="0"/>
      <w:marBottom w:val="0"/>
      <w:divBdr>
        <w:top w:val="none" w:sz="0" w:space="0" w:color="auto"/>
        <w:left w:val="none" w:sz="0" w:space="0" w:color="auto"/>
        <w:bottom w:val="none" w:sz="0" w:space="0" w:color="auto"/>
        <w:right w:val="none" w:sz="0" w:space="0" w:color="auto"/>
      </w:divBdr>
    </w:div>
    <w:div w:id="2049529706">
      <w:bodyDiv w:val="1"/>
      <w:marLeft w:val="0"/>
      <w:marRight w:val="0"/>
      <w:marTop w:val="0"/>
      <w:marBottom w:val="0"/>
      <w:divBdr>
        <w:top w:val="none" w:sz="0" w:space="0" w:color="auto"/>
        <w:left w:val="none" w:sz="0" w:space="0" w:color="auto"/>
        <w:bottom w:val="none" w:sz="0" w:space="0" w:color="auto"/>
        <w:right w:val="none" w:sz="0" w:space="0" w:color="auto"/>
      </w:divBdr>
    </w:div>
    <w:div w:id="2050295070">
      <w:bodyDiv w:val="1"/>
      <w:marLeft w:val="0"/>
      <w:marRight w:val="0"/>
      <w:marTop w:val="0"/>
      <w:marBottom w:val="0"/>
      <w:divBdr>
        <w:top w:val="none" w:sz="0" w:space="0" w:color="auto"/>
        <w:left w:val="none" w:sz="0" w:space="0" w:color="auto"/>
        <w:bottom w:val="none" w:sz="0" w:space="0" w:color="auto"/>
        <w:right w:val="none" w:sz="0" w:space="0" w:color="auto"/>
      </w:divBdr>
    </w:div>
    <w:div w:id="2051032494">
      <w:bodyDiv w:val="1"/>
      <w:marLeft w:val="0"/>
      <w:marRight w:val="0"/>
      <w:marTop w:val="0"/>
      <w:marBottom w:val="0"/>
      <w:divBdr>
        <w:top w:val="none" w:sz="0" w:space="0" w:color="auto"/>
        <w:left w:val="none" w:sz="0" w:space="0" w:color="auto"/>
        <w:bottom w:val="none" w:sz="0" w:space="0" w:color="auto"/>
        <w:right w:val="none" w:sz="0" w:space="0" w:color="auto"/>
      </w:divBdr>
    </w:div>
    <w:div w:id="209566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marthenshire.gov.wales/home/council-services/education-schools/bilingual-education/welsh-in-education-strategic-plan-wesp/" TargetMode="External"/><Relationship Id="rId18" Type="http://schemas.openxmlformats.org/officeDocument/2006/relationships/hyperlink" Target="https://www.frontiersin.org/articles/10.3389/fpsyg.2021.621094/full%20Accessed%2019/10/22" TargetMode="External"/><Relationship Id="rId26" Type="http://schemas.openxmlformats.org/officeDocument/2006/relationships/hyperlink" Target="https://www.karger.com/Article/Pdf/449263" TargetMode="External"/><Relationship Id="rId39" Type="http://schemas.openxmlformats.org/officeDocument/2006/relationships/hyperlink" Target="http://scholar.sun.ac.za" TargetMode="External"/><Relationship Id="rId21" Type="http://schemas.openxmlformats.org/officeDocument/2006/relationships/hyperlink" Target="https://journals.sagepub.com/doi/full/10.1177/0743558419830638%20Accessed%2018/10/22" TargetMode="External"/><Relationship Id="rId34" Type="http://schemas.openxmlformats.org/officeDocument/2006/relationships/hyperlink" Target="https://www.simplypsychology.org/operant-conditioning.html" TargetMode="External"/><Relationship Id="rId42" Type="http://schemas.openxmlformats.org/officeDocument/2006/relationships/hyperlink" Target="https://www.suttontrust.com/our-research/remote-learning-the-digital-divide/" TargetMode="External"/><Relationship Id="rId47" Type="http://schemas.openxmlformats.org/officeDocument/2006/relationships/hyperlink" Target="https://www.unicef.org.uk/rights-respecting-schools/the-rrsa/the-right-to-education/" TargetMode="External"/><Relationship Id="rId50" Type="http://schemas.openxmlformats.org/officeDocument/2006/relationships/hyperlink" Target="https://gov.wales/welsh-home-and-education-welsh-language-use-survey-july-2019-march-2020-html" TargetMode="External"/><Relationship Id="rId55" Type="http://schemas.openxmlformats.org/officeDocument/2006/relationships/footer" Target="footer1.xml"/><Relationship Id="rId7" Type="http://schemas.openxmlformats.org/officeDocument/2006/relationships/hyperlink" Target="https://connect.springerpub.com/content/sgrjcp/13/2/158.%20%20%20%20%20Accessed%2017/10/22" TargetMode="External"/><Relationship Id="rId2" Type="http://schemas.openxmlformats.org/officeDocument/2006/relationships/styles" Target="styles.xml"/><Relationship Id="rId16" Type="http://schemas.openxmlformats.org/officeDocument/2006/relationships/hyperlink" Target="https://doi.org/10.1016/j.compedu.2011.11.007" TargetMode="External"/><Relationship Id="rId29" Type="http://schemas.openxmlformats.org/officeDocument/2006/relationships/hyperlink" Target="https://law.gov.wales/culture/welsh-language" TargetMode="External"/><Relationship Id="rId11" Type="http://schemas.openxmlformats.org/officeDocument/2006/relationships/hyperlink" Target="https://journals.sfu.ca/jalt/index.php/jalt/article/view/165" TargetMode="External"/><Relationship Id="rId24" Type="http://schemas.openxmlformats.org/officeDocument/2006/relationships/hyperlink" Target="https://hwb.gov.wales/curriculum-for-wales/languages-literacy-and-communication/designing-your-curriculum" TargetMode="External"/><Relationship Id="rId32" Type="http://schemas.openxmlformats.org/officeDocument/2006/relationships/hyperlink" Target="https://onlinelibrary.wiley.com/doi/10.1111/1758-5899.12940" TargetMode="External"/><Relationship Id="rId37" Type="http://schemas.openxmlformats.org/officeDocument/2006/relationships/hyperlink" Target="file:///Users/richarddavies/Downloads/Beyond_Student_Perceptions_Issues_of_Interaction_P.pdf" TargetMode="External"/><Relationship Id="rId40" Type="http://schemas.openxmlformats.org/officeDocument/2006/relationships/hyperlink" Target="https://doi.org/10.31583/esss.20200911" TargetMode="External"/><Relationship Id="rId45" Type="http://schemas.openxmlformats.org/officeDocument/2006/relationships/hyperlink" Target="https://www.taylorfrancis.com/books/mono/10.4324/9780203802014/critical-incidents-teaching-classic-edition-david-tripp" TargetMode="External"/><Relationship Id="rId53" Type="http://schemas.openxmlformats.org/officeDocument/2006/relationships/hyperlink" Target="https://research.bangor.ac.uk/portal/files/17038973/2016_linguistic_cognitive.pdf%20Accessed%2023/10/22"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estyn.gov.wales/annual-report/2020-2021?msclkid=0d33c48cb98311ecbd7b9753783c713c" TargetMode="External"/><Relationship Id="rId4" Type="http://schemas.openxmlformats.org/officeDocument/2006/relationships/webSettings" Target="webSettings.xml"/><Relationship Id="rId9" Type="http://schemas.openxmlformats.org/officeDocument/2006/relationships/hyperlink" Target="https://www.cambridge.org/core/journals/applied-psycholinguistics/article/longterm-outcomes-for-bilinguals-in-minority-language-contexts-welshenglish-teenagers-performance-on-measures-of-grammatical-gender-and-plural-morphology-in-welsh/55A7DB1FD5F83BF47425526F11499469/share/c7f6b2b89c7cc98fb1716f0757cbd6e35beed069" TargetMode="External"/><Relationship Id="rId14" Type="http://schemas.openxmlformats.org/officeDocument/2006/relationships/hyperlink" Target="https://www.childrenscommissioner.gov.uk/2020/08/18/children-without-internet-access-during-lockdown/" TargetMode="External"/><Relationship Id="rId22" Type="http://schemas.openxmlformats.org/officeDocument/2006/relationships/hyperlink" Target="https://www.children.org/global-poverty/global-poverty-facts/facts-about-world-poverty-and-education?rs_id=451&amp;utm_campaign=rkd-fy23grant&amp;utm_medium=cpc+grant&amp;utm_source=google&amp;gclid=CjwKCAjwzNOaBhAcEiwAD7Tb6P3dVi3ldDc4SF3kP7R9B74uUX384wPxHHGJu4UDvtIrEJ01jhf1dxoCBS4QAvD_BwE" TargetMode="External"/><Relationship Id="rId27" Type="http://schemas.openxmlformats.org/officeDocument/2006/relationships/hyperlink" Target="https://www.tandfonline.com/doi/abs/10.1080/19404476.2015.11641184" TargetMode="External"/><Relationship Id="rId30" Type="http://schemas.openxmlformats.org/officeDocument/2006/relationships/hyperlink" Target="https://www.simplypsychology.org/language.html" TargetMode="External"/><Relationship Id="rId35" Type="http://schemas.openxmlformats.org/officeDocument/2006/relationships/hyperlink" Target="https://www.simplypsychology.org/Zone-of-Proximal-Development.html" TargetMode="External"/><Relationship Id="rId43" Type="http://schemas.openxmlformats.org/officeDocument/2006/relationships/hyperlink" Target="https://gaeloideachas.ie/wp-content/uploads/2019/11/Language-socialisation-among-pupils-lessons-from-the-Welsh-language-context.pdf" TargetMode="External"/><Relationship Id="rId48" Type="http://schemas.openxmlformats.org/officeDocument/2006/relationships/hyperlink" Target="https://gov.wales/sites/default/files/publications/2018-03/successful-futures.pdf" TargetMode="External"/><Relationship Id="rId56" Type="http://schemas.openxmlformats.org/officeDocument/2006/relationships/footer" Target="footer2.xml"/><Relationship Id="rId8" Type="http://schemas.openxmlformats.org/officeDocument/2006/relationships/hyperlink" Target="https://psycnet.apa.org/record/1977-25733-001" TargetMode="External"/><Relationship Id="rId51" Type="http://schemas.openxmlformats.org/officeDocument/2006/relationships/hyperlink" Target="https://carla.umn.edu/immersion/documents/ImmersionResearch_TaraFortune.html" TargetMode="External"/><Relationship Id="rId3" Type="http://schemas.openxmlformats.org/officeDocument/2006/relationships/settings" Target="settings.xml"/><Relationship Id="rId12" Type="http://schemas.openxmlformats.org/officeDocument/2006/relationships/hyperlink" Target="https://dictionary.cambridge.org/dictionary/english/bilingual" TargetMode="External"/><Relationship Id="rId17" Type="http://schemas.openxmlformats.org/officeDocument/2006/relationships/hyperlink" Target="https://issuu.com/educationinternational/docs/2020_research_covid-19_eng" TargetMode="External"/><Relationship Id="rId25" Type="http://schemas.openxmlformats.org/officeDocument/2006/relationships/hyperlink" Target="https://files.eric.ed.gov/fulltext/EJ1080715.pdf" TargetMode="External"/><Relationship Id="rId33" Type="http://schemas.openxmlformats.org/officeDocument/2006/relationships/hyperlink" Target="https://www.simplypsychology.org/operant-conditioning.html" TargetMode="External"/><Relationship Id="rId38" Type="http://schemas.openxmlformats.org/officeDocument/2006/relationships/hyperlink" Target="https://www.tandfonline.com/doi/abs/10.1080/13670050.2012.706248" TargetMode="External"/><Relationship Id="rId46" Type="http://schemas.openxmlformats.org/officeDocument/2006/relationships/hyperlink" Target="https://www.ncbi.nlm.nih.gov/pmc/articles/PMC7145884/" TargetMode="External"/><Relationship Id="rId20" Type="http://schemas.openxmlformats.org/officeDocument/2006/relationships/hyperlink" Target="https://www.estyn.gov.wales/system/files/2020-08/Ysgol%2520y%2520Preseli%2520en.pdf" TargetMode="External"/><Relationship Id="rId41" Type="http://schemas.openxmlformats.org/officeDocument/2006/relationships/hyperlink" Target="https://www.tandfonline.com/doi/abs/10.1080/03055698.2019.1665986"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Users/richarddavies/Downloads/BICS_and_CALP_Empirical_and_theoretical_status_of_.pdf" TargetMode="External"/><Relationship Id="rId23" Type="http://schemas.openxmlformats.org/officeDocument/2006/relationships/hyperlink" Target="https://edgy.app/theories-of-language-development" TargetMode="External"/><Relationship Id="rId28" Type="http://schemas.openxmlformats.org/officeDocument/2006/relationships/hyperlink" Target="https://pure.iiasa.ac.at/id/eprint/15159/" TargetMode="External"/><Relationship Id="rId36" Type="http://schemas.openxmlformats.org/officeDocument/2006/relationships/hyperlink" Target="http://www.websm.org/db/12/301/rec/" TargetMode="External"/><Relationship Id="rId49" Type="http://schemas.openxmlformats.org/officeDocument/2006/relationships/hyperlink" Target="https://gov.wales/sites/default/files/publications/2018-12/cymraeg-2050-welsh-language-strategy.pdf" TargetMode="External"/><Relationship Id="rId57" Type="http://schemas.openxmlformats.org/officeDocument/2006/relationships/fontTable" Target="fontTable.xml"/><Relationship Id="rId10" Type="http://schemas.openxmlformats.org/officeDocument/2006/relationships/hyperlink" Target="https://link-springer-com.ezproxy.uwtsd.ac.uk/article/10.1023/A:1007464807699" TargetMode="External"/><Relationship Id="rId31" Type="http://schemas.openxmlformats.org/officeDocument/2006/relationships/hyperlink" Target="https://link.springer.com/article/10.1007/s11031-013-9386-x" TargetMode="External"/><Relationship Id="rId44" Type="http://schemas.openxmlformats.org/officeDocument/2006/relationships/hyperlink" Target="https://ncela.ed.gov/files/rcd/BE020890/School_effectiveness_for_langu.pdf" TargetMode="External"/><Relationship Id="rId52" Type="http://schemas.openxmlformats.org/officeDocument/2006/relationships/hyperlink" Target="https://www.tandfonline.com/doi/abs/10.1080/00221546.2014.11777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5418</Words>
  <Characters>30887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2</cp:revision>
  <dcterms:created xsi:type="dcterms:W3CDTF">2022-11-07T21:10:00Z</dcterms:created>
  <dcterms:modified xsi:type="dcterms:W3CDTF">2022-11-07T21:10:00Z</dcterms:modified>
</cp:coreProperties>
</file>