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B78361" w14:textId="31A316DB" w:rsidR="00705DB3" w:rsidRDefault="00705DB3" w:rsidP="00705DB3">
      <w:pPr>
        <w:jc w:val="center"/>
        <w:rPr>
          <w:sz w:val="44"/>
          <w:szCs w:val="22"/>
          <w:lang w:val="en-GB"/>
        </w:rPr>
      </w:pPr>
      <w:r w:rsidRPr="00705DB3">
        <w:rPr>
          <w:sz w:val="44"/>
          <w:szCs w:val="22"/>
          <w:lang w:val="en-GB"/>
        </w:rPr>
        <w:t>The Branch Theory:</w:t>
      </w:r>
    </w:p>
    <w:p w14:paraId="2C401645" w14:textId="77777777" w:rsidR="00705DB3" w:rsidRDefault="00705DB3" w:rsidP="00705DB3">
      <w:pPr>
        <w:jc w:val="center"/>
        <w:rPr>
          <w:sz w:val="44"/>
          <w:szCs w:val="22"/>
          <w:lang w:val="en-GB"/>
        </w:rPr>
      </w:pPr>
    </w:p>
    <w:p w14:paraId="70612E4B" w14:textId="22315212" w:rsidR="00705DB3" w:rsidRPr="00705DB3" w:rsidRDefault="00705DB3" w:rsidP="00705DB3">
      <w:pPr>
        <w:jc w:val="center"/>
        <w:rPr>
          <w:sz w:val="44"/>
          <w:szCs w:val="22"/>
          <w:lang w:val="en-GB"/>
        </w:rPr>
      </w:pPr>
      <w:r>
        <w:rPr>
          <w:sz w:val="32"/>
          <w:szCs w:val="22"/>
          <w:lang w:val="en-GB"/>
        </w:rPr>
        <w:t>A</w:t>
      </w:r>
      <w:r w:rsidRPr="00705DB3">
        <w:rPr>
          <w:sz w:val="32"/>
          <w:szCs w:val="22"/>
          <w:lang w:val="en-GB"/>
        </w:rPr>
        <w:t xml:space="preserve"> new development in researching homosexuality throughout history, using the example of Philippe, Duke d’Orléans and contrasting relationships in sixteenth and seventeenth-century French royal court.</w:t>
      </w:r>
    </w:p>
    <w:p w14:paraId="3B67BF82" w14:textId="162AC15C" w:rsidR="00705DB3" w:rsidRPr="00705DB3" w:rsidRDefault="00705DB3" w:rsidP="00705DB3">
      <w:pPr>
        <w:jc w:val="center"/>
        <w:rPr>
          <w:sz w:val="28"/>
          <w:szCs w:val="22"/>
          <w:lang w:val="en-GB"/>
        </w:rPr>
      </w:pPr>
    </w:p>
    <w:p w14:paraId="0148A5D1" w14:textId="0962E222" w:rsidR="00705DB3" w:rsidRDefault="00705DB3" w:rsidP="00705DB3">
      <w:pPr>
        <w:jc w:val="center"/>
        <w:rPr>
          <w:sz w:val="28"/>
          <w:szCs w:val="22"/>
          <w:lang w:val="en-GB"/>
        </w:rPr>
      </w:pPr>
    </w:p>
    <w:p w14:paraId="3189D50B" w14:textId="04469767" w:rsidR="00705DB3" w:rsidRDefault="00705DB3" w:rsidP="00705DB3">
      <w:pPr>
        <w:jc w:val="center"/>
        <w:rPr>
          <w:sz w:val="28"/>
          <w:szCs w:val="22"/>
          <w:lang w:val="en-GB"/>
        </w:rPr>
      </w:pPr>
    </w:p>
    <w:p w14:paraId="41CBC8CC" w14:textId="232AFF78" w:rsidR="00705DB3" w:rsidRDefault="008D46B0" w:rsidP="00705DB3">
      <w:pPr>
        <w:jc w:val="center"/>
        <w:rPr>
          <w:sz w:val="28"/>
          <w:szCs w:val="22"/>
          <w:lang w:val="en-GB"/>
        </w:rPr>
      </w:pPr>
      <w:r>
        <w:rPr>
          <w:noProof/>
        </w:rPr>
        <w:drawing>
          <wp:anchor distT="0" distB="0" distL="114300" distR="114300" simplePos="0" relativeHeight="251658240" behindDoc="0" locked="0" layoutInCell="1" allowOverlap="1" wp14:anchorId="4FF9BC94" wp14:editId="43976926">
            <wp:simplePos x="0" y="0"/>
            <wp:positionH relativeFrom="margin">
              <wp:align>center</wp:align>
            </wp:positionH>
            <wp:positionV relativeFrom="paragraph">
              <wp:posOffset>20320</wp:posOffset>
            </wp:positionV>
            <wp:extent cx="2870200" cy="3001010"/>
            <wp:effectExtent l="0" t="0" r="6350" b="8890"/>
            <wp:wrapSquare wrapText="bothSides"/>
            <wp:docPr id="1" name="Picture 1" descr="http://collections.chateauversailles.fr/cc/imageproxy.aspx?server=10.0.10.13&amp;port=14456&amp;filename=objectimages/94-052345.cci&amp;width=440&amp;bg=F5F6F5&amp;height=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ollections.chateauversailles.fr/cc/imageproxy.aspx?server=10.0.10.13&amp;port=14456&amp;filename=objectimages/94-052345.cci&amp;width=440&amp;bg=F5F6F5&amp;height=256"/>
                    <pic:cNvPicPr>
                      <a:picLocks noChangeAspect="1" noChangeArrowheads="1"/>
                    </pic:cNvPicPr>
                  </pic:nvPicPr>
                  <pic:blipFill rotWithShape="1">
                    <a:blip r:embed="rId7">
                      <a:extLst>
                        <a:ext uri="{28A0092B-C50C-407E-A947-70E740481C1C}">
                          <a14:useLocalDpi xmlns:a14="http://schemas.microsoft.com/office/drawing/2010/main" val="0"/>
                        </a:ext>
                      </a:extLst>
                    </a:blip>
                    <a:srcRect l="22457" t="1355" r="22596"/>
                    <a:stretch/>
                  </pic:blipFill>
                  <pic:spPr bwMode="auto">
                    <a:xfrm>
                      <a:off x="0" y="0"/>
                      <a:ext cx="2870200" cy="30010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842E55" w14:textId="081D11BB" w:rsidR="00705DB3" w:rsidRDefault="00705DB3" w:rsidP="00705DB3">
      <w:pPr>
        <w:jc w:val="center"/>
        <w:rPr>
          <w:sz w:val="28"/>
          <w:szCs w:val="22"/>
          <w:lang w:val="en-GB"/>
        </w:rPr>
      </w:pPr>
    </w:p>
    <w:p w14:paraId="3A3FE581" w14:textId="4AD83075" w:rsidR="00705DB3" w:rsidRDefault="00705DB3" w:rsidP="00705DB3">
      <w:pPr>
        <w:jc w:val="center"/>
        <w:rPr>
          <w:sz w:val="28"/>
          <w:szCs w:val="22"/>
          <w:lang w:val="en-GB"/>
        </w:rPr>
      </w:pPr>
    </w:p>
    <w:p w14:paraId="7E3EE133" w14:textId="5D85020A" w:rsidR="00705DB3" w:rsidRDefault="00705DB3" w:rsidP="00705DB3">
      <w:pPr>
        <w:jc w:val="center"/>
        <w:rPr>
          <w:sz w:val="28"/>
          <w:szCs w:val="22"/>
          <w:lang w:val="en-GB"/>
        </w:rPr>
      </w:pPr>
    </w:p>
    <w:p w14:paraId="6BD55C2E" w14:textId="733E39E8" w:rsidR="00705DB3" w:rsidRDefault="00705DB3" w:rsidP="00705DB3">
      <w:pPr>
        <w:jc w:val="center"/>
        <w:rPr>
          <w:sz w:val="28"/>
          <w:szCs w:val="22"/>
          <w:lang w:val="en-GB"/>
        </w:rPr>
      </w:pPr>
    </w:p>
    <w:p w14:paraId="35407A62" w14:textId="05A3DA3F" w:rsidR="00705DB3" w:rsidRDefault="00705DB3" w:rsidP="00705DB3">
      <w:pPr>
        <w:jc w:val="center"/>
        <w:rPr>
          <w:sz w:val="28"/>
          <w:szCs w:val="22"/>
          <w:lang w:val="en-GB"/>
        </w:rPr>
      </w:pPr>
    </w:p>
    <w:p w14:paraId="79F851CA" w14:textId="4666A759" w:rsidR="00705DB3" w:rsidRDefault="00705DB3" w:rsidP="00705DB3">
      <w:pPr>
        <w:jc w:val="center"/>
        <w:rPr>
          <w:sz w:val="28"/>
          <w:szCs w:val="22"/>
          <w:lang w:val="en-GB"/>
        </w:rPr>
      </w:pPr>
    </w:p>
    <w:p w14:paraId="6B2EC9A3" w14:textId="77777777" w:rsidR="00705DB3" w:rsidRPr="00705DB3" w:rsidRDefault="00705DB3" w:rsidP="00705DB3">
      <w:pPr>
        <w:jc w:val="center"/>
        <w:rPr>
          <w:sz w:val="28"/>
          <w:szCs w:val="22"/>
          <w:lang w:val="en-GB"/>
        </w:rPr>
      </w:pPr>
    </w:p>
    <w:p w14:paraId="5B39D7E0" w14:textId="3BDC6E97" w:rsidR="00705DB3" w:rsidRDefault="00705DB3" w:rsidP="00705DB3">
      <w:pPr>
        <w:jc w:val="center"/>
        <w:rPr>
          <w:sz w:val="22"/>
          <w:szCs w:val="22"/>
          <w:lang w:val="en-GB"/>
        </w:rPr>
      </w:pPr>
    </w:p>
    <w:p w14:paraId="128B768B" w14:textId="02C48CF4" w:rsidR="00705DB3" w:rsidRDefault="00705DB3" w:rsidP="00705DB3">
      <w:pPr>
        <w:jc w:val="center"/>
        <w:rPr>
          <w:sz w:val="22"/>
          <w:szCs w:val="22"/>
          <w:lang w:val="en-GB"/>
        </w:rPr>
      </w:pPr>
    </w:p>
    <w:p w14:paraId="4960243D" w14:textId="085B0977" w:rsidR="00705DB3" w:rsidRDefault="00705DB3" w:rsidP="00705DB3">
      <w:pPr>
        <w:jc w:val="center"/>
        <w:rPr>
          <w:sz w:val="22"/>
          <w:szCs w:val="22"/>
          <w:lang w:val="en-GB"/>
        </w:rPr>
      </w:pPr>
    </w:p>
    <w:p w14:paraId="2786C16B" w14:textId="77B6FFA2" w:rsidR="00705DB3" w:rsidRDefault="00705DB3" w:rsidP="00705DB3">
      <w:pPr>
        <w:jc w:val="center"/>
        <w:rPr>
          <w:sz w:val="22"/>
          <w:szCs w:val="22"/>
          <w:lang w:val="en-GB"/>
        </w:rPr>
      </w:pPr>
    </w:p>
    <w:p w14:paraId="4279DAEB" w14:textId="1A8370D6" w:rsidR="00705DB3" w:rsidRDefault="00705DB3" w:rsidP="00705DB3">
      <w:pPr>
        <w:jc w:val="center"/>
        <w:rPr>
          <w:sz w:val="22"/>
          <w:szCs w:val="22"/>
          <w:lang w:val="en-GB"/>
        </w:rPr>
      </w:pPr>
    </w:p>
    <w:p w14:paraId="6C3EF9D2" w14:textId="5F37A074" w:rsidR="00705DB3" w:rsidRDefault="00705DB3" w:rsidP="00705DB3">
      <w:pPr>
        <w:jc w:val="center"/>
        <w:rPr>
          <w:sz w:val="22"/>
          <w:szCs w:val="22"/>
          <w:lang w:val="en-GB"/>
        </w:rPr>
      </w:pPr>
    </w:p>
    <w:p w14:paraId="542A65DE" w14:textId="175C00B6" w:rsidR="00705DB3" w:rsidRDefault="00705DB3" w:rsidP="00705DB3">
      <w:pPr>
        <w:jc w:val="center"/>
        <w:rPr>
          <w:sz w:val="22"/>
          <w:szCs w:val="22"/>
          <w:lang w:val="en-GB"/>
        </w:rPr>
      </w:pPr>
    </w:p>
    <w:p w14:paraId="11795136" w14:textId="5A08EB41" w:rsidR="00705DB3" w:rsidRDefault="00705DB3" w:rsidP="00705DB3">
      <w:pPr>
        <w:jc w:val="center"/>
        <w:rPr>
          <w:sz w:val="22"/>
          <w:szCs w:val="22"/>
          <w:lang w:val="en-GB"/>
        </w:rPr>
      </w:pPr>
    </w:p>
    <w:p w14:paraId="4376D83B" w14:textId="3975129D" w:rsidR="00705DB3" w:rsidRDefault="006D0A04" w:rsidP="00705DB3">
      <w:pPr>
        <w:jc w:val="center"/>
        <w:rPr>
          <w:sz w:val="22"/>
          <w:szCs w:val="22"/>
          <w:lang w:val="en-GB"/>
        </w:rPr>
      </w:pPr>
      <w:r w:rsidRPr="006D0A04">
        <w:rPr>
          <w:noProof/>
          <w:sz w:val="22"/>
          <w:szCs w:val="22"/>
          <w:lang w:val="en-GB"/>
        </w:rPr>
        <mc:AlternateContent>
          <mc:Choice Requires="wps">
            <w:drawing>
              <wp:anchor distT="45720" distB="45720" distL="114300" distR="114300" simplePos="0" relativeHeight="251663360" behindDoc="0" locked="0" layoutInCell="1" allowOverlap="1" wp14:anchorId="7D800DB5" wp14:editId="6C2040DA">
                <wp:simplePos x="0" y="0"/>
                <wp:positionH relativeFrom="column">
                  <wp:posOffset>2901104</wp:posOffset>
                </wp:positionH>
                <wp:positionV relativeFrom="paragraph">
                  <wp:posOffset>56021</wp:posOffset>
                </wp:positionV>
                <wp:extent cx="1546225" cy="27813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225" cy="278130"/>
                        </a:xfrm>
                        <a:prstGeom prst="rect">
                          <a:avLst/>
                        </a:prstGeom>
                        <a:noFill/>
                        <a:ln w="9525">
                          <a:noFill/>
                          <a:miter lim="800000"/>
                          <a:headEnd/>
                          <a:tailEnd/>
                        </a:ln>
                      </wps:spPr>
                      <wps:txbx>
                        <w:txbxContent>
                          <w:p w14:paraId="58027C1F" w14:textId="4C3B462C" w:rsidR="00B1011A" w:rsidRDefault="00B1011A">
                            <w:r>
                              <w:t xml:space="preserve">Philippe, Duke d’Orléans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800DB5" id="_x0000_t202" coordsize="21600,21600" o:spt="202" path="m,l,21600r21600,l21600,xe">
                <v:stroke joinstyle="miter"/>
                <v:path gradientshapeok="t" o:connecttype="rect"/>
              </v:shapetype>
              <v:shape id="Text Box 2" o:spid="_x0000_s1026" type="#_x0000_t202" style="position:absolute;left:0;text-align:left;margin-left:228.45pt;margin-top:4.4pt;width:121.75pt;height:21.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" filled="f" stroked="f">
                <v:textbox>
                  <w:txbxContent>
                    <w:p w14:paraId="58027C1F" w14:textId="4C3B462C" w:rsidR="00B1011A" w:rsidRDefault="00B1011A">
                      <w:r>
                        <w:t xml:space="preserve">Philippe, Duke d’Orléans </w:t>
                      </w:r>
                    </w:p>
                  </w:txbxContent>
                </v:textbox>
                <w10:wrap type="square"/>
              </v:shape>
            </w:pict>
          </mc:Fallback>
        </mc:AlternateContent>
      </w:r>
    </w:p>
    <w:p w14:paraId="07D8362D" w14:textId="5230E95A" w:rsidR="00705DB3" w:rsidRDefault="00705DB3" w:rsidP="00705DB3">
      <w:pPr>
        <w:jc w:val="center"/>
        <w:rPr>
          <w:sz w:val="22"/>
          <w:szCs w:val="22"/>
          <w:lang w:val="en-GB"/>
        </w:rPr>
      </w:pPr>
    </w:p>
    <w:p w14:paraId="64F3B6B9" w14:textId="74B5B4F0" w:rsidR="00705DB3" w:rsidRDefault="00705DB3" w:rsidP="00705DB3">
      <w:pPr>
        <w:jc w:val="center"/>
        <w:rPr>
          <w:sz w:val="22"/>
          <w:szCs w:val="22"/>
          <w:lang w:val="en-GB"/>
        </w:rPr>
      </w:pPr>
    </w:p>
    <w:p w14:paraId="79EB644E" w14:textId="5673EDC2" w:rsidR="00705DB3" w:rsidRDefault="00705DB3" w:rsidP="00705DB3">
      <w:pPr>
        <w:jc w:val="center"/>
        <w:rPr>
          <w:sz w:val="22"/>
          <w:szCs w:val="22"/>
          <w:lang w:val="en-GB"/>
        </w:rPr>
      </w:pPr>
    </w:p>
    <w:p w14:paraId="4719C472" w14:textId="42921790" w:rsidR="00705DB3" w:rsidRDefault="00705DB3" w:rsidP="00705DB3">
      <w:pPr>
        <w:jc w:val="center"/>
        <w:rPr>
          <w:sz w:val="22"/>
          <w:szCs w:val="22"/>
          <w:lang w:val="en-GB"/>
        </w:rPr>
      </w:pPr>
    </w:p>
    <w:p w14:paraId="799EDA75" w14:textId="77777777" w:rsidR="00705DB3" w:rsidRPr="00705DB3" w:rsidRDefault="00705DB3" w:rsidP="00705DB3">
      <w:pPr>
        <w:jc w:val="center"/>
        <w:rPr>
          <w:sz w:val="22"/>
          <w:szCs w:val="22"/>
          <w:lang w:val="en-GB"/>
        </w:rPr>
      </w:pPr>
    </w:p>
    <w:p w14:paraId="551B841D" w14:textId="09702164" w:rsidR="00705DB3" w:rsidRPr="00032A6D" w:rsidRDefault="00705DB3" w:rsidP="00705DB3">
      <w:pPr>
        <w:jc w:val="center"/>
        <w:rPr>
          <w:sz w:val="32"/>
          <w:szCs w:val="22"/>
          <w:lang w:val="en-GB"/>
        </w:rPr>
      </w:pPr>
      <w:r w:rsidRPr="00032A6D">
        <w:rPr>
          <w:sz w:val="32"/>
          <w:szCs w:val="22"/>
          <w:lang w:val="en-GB"/>
        </w:rPr>
        <w:t>Bethany Collins</w:t>
      </w:r>
    </w:p>
    <w:p w14:paraId="2DBDA8C2" w14:textId="391D12F0" w:rsidR="00705DB3" w:rsidRPr="006F5DCF" w:rsidRDefault="00705DB3" w:rsidP="00705DB3">
      <w:pPr>
        <w:jc w:val="center"/>
        <w:rPr>
          <w:sz w:val="24"/>
          <w:szCs w:val="22"/>
          <w:lang w:val="en-GB"/>
        </w:rPr>
      </w:pPr>
      <w:r w:rsidRPr="006F5DCF">
        <w:rPr>
          <w:sz w:val="24"/>
          <w:szCs w:val="22"/>
          <w:lang w:val="en-GB"/>
        </w:rPr>
        <w:t>1600127</w:t>
      </w:r>
    </w:p>
    <w:p w14:paraId="1BA84147" w14:textId="74C7A88E" w:rsidR="00705DB3" w:rsidRDefault="00705DB3" w:rsidP="00705DB3">
      <w:pPr>
        <w:jc w:val="center"/>
        <w:rPr>
          <w:sz w:val="28"/>
          <w:szCs w:val="22"/>
        </w:rPr>
      </w:pPr>
    </w:p>
    <w:p w14:paraId="2A9A4659" w14:textId="77777777" w:rsidR="006F5DCF" w:rsidRPr="006F5DCF" w:rsidRDefault="006F5DCF" w:rsidP="00705DB3">
      <w:pPr>
        <w:jc w:val="center"/>
        <w:rPr>
          <w:sz w:val="28"/>
          <w:szCs w:val="22"/>
        </w:rPr>
      </w:pPr>
    </w:p>
    <w:p w14:paraId="20DCF41F" w14:textId="77777777" w:rsidR="00705DB3" w:rsidRPr="006F5DCF" w:rsidRDefault="00705DB3" w:rsidP="00705DB3">
      <w:pPr>
        <w:jc w:val="center"/>
        <w:rPr>
          <w:sz w:val="28"/>
          <w:szCs w:val="22"/>
        </w:rPr>
      </w:pPr>
      <w:r w:rsidRPr="006F5DCF">
        <w:rPr>
          <w:sz w:val="28"/>
          <w:szCs w:val="22"/>
        </w:rPr>
        <w:t>Dissertation submitted in partial fulfillment</w:t>
      </w:r>
    </w:p>
    <w:p w14:paraId="578E0CFF" w14:textId="262BAE3A" w:rsidR="00705DB3" w:rsidRPr="006F5DCF" w:rsidRDefault="00705DB3" w:rsidP="00705DB3">
      <w:pPr>
        <w:jc w:val="center"/>
        <w:rPr>
          <w:sz w:val="28"/>
          <w:szCs w:val="22"/>
        </w:rPr>
      </w:pPr>
      <w:r w:rsidRPr="006F5DCF">
        <w:rPr>
          <w:sz w:val="28"/>
          <w:szCs w:val="22"/>
        </w:rPr>
        <w:t xml:space="preserve">of a B.A. </w:t>
      </w:r>
      <w:r w:rsidR="006F5DCF" w:rsidRPr="006F5DCF">
        <w:rPr>
          <w:sz w:val="28"/>
          <w:szCs w:val="22"/>
        </w:rPr>
        <w:t xml:space="preserve">(Hons.) </w:t>
      </w:r>
      <w:r w:rsidRPr="006F5DCF">
        <w:rPr>
          <w:sz w:val="28"/>
          <w:szCs w:val="22"/>
        </w:rPr>
        <w:t>in Medieval Studies</w:t>
      </w:r>
    </w:p>
    <w:p w14:paraId="7F957444" w14:textId="77777777" w:rsidR="00705DB3" w:rsidRPr="006F5DCF" w:rsidRDefault="00705DB3" w:rsidP="00705DB3">
      <w:pPr>
        <w:jc w:val="center"/>
        <w:rPr>
          <w:sz w:val="28"/>
          <w:szCs w:val="22"/>
        </w:rPr>
      </w:pPr>
      <w:r w:rsidRPr="006F5DCF">
        <w:rPr>
          <w:sz w:val="28"/>
          <w:szCs w:val="22"/>
        </w:rPr>
        <w:t>University of Wales Trinity Saint David</w:t>
      </w:r>
    </w:p>
    <w:p w14:paraId="239A488B" w14:textId="4B2C4E3A" w:rsidR="00705DB3" w:rsidRPr="006F5DCF" w:rsidRDefault="00705DB3" w:rsidP="00705DB3">
      <w:pPr>
        <w:jc w:val="center"/>
        <w:rPr>
          <w:sz w:val="28"/>
          <w:szCs w:val="22"/>
        </w:rPr>
      </w:pPr>
      <w:r w:rsidRPr="006F5DCF">
        <w:rPr>
          <w:sz w:val="28"/>
          <w:szCs w:val="22"/>
        </w:rPr>
        <w:t>May 2019</w:t>
      </w:r>
    </w:p>
    <w:p w14:paraId="496151A2" w14:textId="380CDA97" w:rsidR="00BF6417" w:rsidRDefault="00BF6417"/>
    <w:p w14:paraId="602A91CB" w14:textId="5C2808C3" w:rsidR="006F5DCF" w:rsidRDefault="006F5DCF"/>
    <w:p w14:paraId="06E50FE3" w14:textId="1EB4057C" w:rsidR="006F5DCF" w:rsidRPr="006F5DCF" w:rsidRDefault="006F5DCF" w:rsidP="006F5DCF">
      <w:pPr>
        <w:jc w:val="center"/>
        <w:rPr>
          <w:sz w:val="24"/>
        </w:rPr>
      </w:pPr>
      <w:r w:rsidRPr="006F5DCF">
        <w:rPr>
          <w:sz w:val="24"/>
        </w:rPr>
        <w:t xml:space="preserve">Word Count: </w:t>
      </w:r>
      <w:r w:rsidR="004E5050">
        <w:rPr>
          <w:sz w:val="24"/>
        </w:rPr>
        <w:t>10,998</w:t>
      </w:r>
    </w:p>
    <w:p w14:paraId="6160AD54" w14:textId="54E66467" w:rsidR="008D46B0" w:rsidRDefault="008D46B0"/>
    <w:p w14:paraId="25A6AB0C" w14:textId="05FCA6DB" w:rsidR="008D46B0" w:rsidRDefault="008D46B0"/>
    <w:p w14:paraId="4899DB93" w14:textId="51898333" w:rsidR="008D46B0" w:rsidRDefault="008D46B0"/>
    <w:p w14:paraId="237B0B7A" w14:textId="427419E4" w:rsidR="008D46B0" w:rsidRDefault="008D46B0"/>
    <w:p w14:paraId="3E573808" w14:textId="77777777" w:rsidR="003A2524" w:rsidRDefault="003A2524">
      <w:pPr>
        <w:sectPr w:rsidR="003A2524" w:rsidSect="006D0A04">
          <w:footerReference w:type="even" r:id="rId8"/>
          <w:footerReference w:type="default" r:id="rId9"/>
          <w:pgSz w:w="11906" w:h="16838" w:code="9"/>
          <w:pgMar w:top="1440" w:right="1440" w:bottom="1440" w:left="1440" w:header="709" w:footer="709" w:gutter="0"/>
          <w:pgNumType w:start="1"/>
          <w:cols w:space="708"/>
          <w:titlePg/>
          <w:docGrid w:linePitch="360"/>
        </w:sectPr>
      </w:pPr>
    </w:p>
    <w:p w14:paraId="0B93D6C2" w14:textId="77777777" w:rsidR="00D228B3" w:rsidRDefault="00D228B3" w:rsidP="001150DC">
      <w:pPr>
        <w:spacing w:line="360" w:lineRule="auto"/>
        <w:jc w:val="center"/>
        <w:rPr>
          <w:b/>
          <w:sz w:val="24"/>
          <w:u w:val="single"/>
        </w:rPr>
      </w:pPr>
    </w:p>
    <w:p w14:paraId="12D257A2" w14:textId="77777777" w:rsidR="00D228B3" w:rsidRDefault="00D228B3" w:rsidP="001150DC">
      <w:pPr>
        <w:spacing w:line="360" w:lineRule="auto"/>
        <w:jc w:val="center"/>
        <w:rPr>
          <w:b/>
          <w:sz w:val="24"/>
          <w:u w:val="single"/>
        </w:rPr>
      </w:pPr>
    </w:p>
    <w:p w14:paraId="726C8200" w14:textId="77777777" w:rsidR="00D228B3" w:rsidRDefault="00D228B3" w:rsidP="001150DC">
      <w:pPr>
        <w:spacing w:line="360" w:lineRule="auto"/>
        <w:jc w:val="center"/>
        <w:rPr>
          <w:b/>
          <w:sz w:val="24"/>
          <w:u w:val="single"/>
        </w:rPr>
      </w:pPr>
    </w:p>
    <w:p w14:paraId="4AC0B3AE" w14:textId="77777777" w:rsidR="00D228B3" w:rsidRDefault="00D228B3" w:rsidP="001150DC">
      <w:pPr>
        <w:spacing w:line="360" w:lineRule="auto"/>
        <w:jc w:val="center"/>
        <w:rPr>
          <w:b/>
          <w:sz w:val="24"/>
          <w:u w:val="single"/>
        </w:rPr>
      </w:pPr>
    </w:p>
    <w:p w14:paraId="40C9146C" w14:textId="77777777" w:rsidR="00D228B3" w:rsidRDefault="00D228B3" w:rsidP="001150DC">
      <w:pPr>
        <w:spacing w:line="360" w:lineRule="auto"/>
        <w:jc w:val="center"/>
        <w:rPr>
          <w:b/>
          <w:sz w:val="24"/>
          <w:u w:val="single"/>
        </w:rPr>
      </w:pPr>
    </w:p>
    <w:p w14:paraId="01770500" w14:textId="77777777" w:rsidR="00D228B3" w:rsidRDefault="00D228B3" w:rsidP="001150DC">
      <w:pPr>
        <w:spacing w:line="360" w:lineRule="auto"/>
        <w:jc w:val="center"/>
        <w:rPr>
          <w:b/>
          <w:sz w:val="24"/>
          <w:u w:val="single"/>
        </w:rPr>
      </w:pPr>
    </w:p>
    <w:p w14:paraId="126F029E" w14:textId="77777777" w:rsidR="00D228B3" w:rsidRDefault="00D228B3" w:rsidP="001150DC">
      <w:pPr>
        <w:spacing w:line="360" w:lineRule="auto"/>
        <w:jc w:val="center"/>
        <w:rPr>
          <w:b/>
          <w:sz w:val="24"/>
          <w:u w:val="single"/>
        </w:rPr>
      </w:pPr>
    </w:p>
    <w:p w14:paraId="4853800A" w14:textId="77777777" w:rsidR="00D228B3" w:rsidRDefault="00D228B3" w:rsidP="001150DC">
      <w:pPr>
        <w:spacing w:line="360" w:lineRule="auto"/>
        <w:jc w:val="center"/>
        <w:rPr>
          <w:b/>
          <w:sz w:val="24"/>
          <w:u w:val="single"/>
        </w:rPr>
      </w:pPr>
    </w:p>
    <w:p w14:paraId="004A20BF" w14:textId="77777777" w:rsidR="00D228B3" w:rsidRDefault="00D228B3" w:rsidP="001150DC">
      <w:pPr>
        <w:spacing w:line="360" w:lineRule="auto"/>
        <w:jc w:val="center"/>
        <w:rPr>
          <w:b/>
          <w:sz w:val="24"/>
          <w:u w:val="single"/>
        </w:rPr>
      </w:pPr>
    </w:p>
    <w:p w14:paraId="6BF11F55" w14:textId="77777777" w:rsidR="00D228B3" w:rsidRDefault="00D228B3" w:rsidP="001150DC">
      <w:pPr>
        <w:spacing w:line="360" w:lineRule="auto"/>
        <w:jc w:val="center"/>
        <w:rPr>
          <w:b/>
          <w:sz w:val="24"/>
          <w:u w:val="single"/>
        </w:rPr>
      </w:pPr>
    </w:p>
    <w:p w14:paraId="2744FE7D" w14:textId="77777777" w:rsidR="00D228B3" w:rsidRDefault="00D228B3" w:rsidP="001150DC">
      <w:pPr>
        <w:spacing w:line="360" w:lineRule="auto"/>
        <w:jc w:val="center"/>
        <w:rPr>
          <w:b/>
          <w:sz w:val="24"/>
          <w:u w:val="single"/>
        </w:rPr>
      </w:pPr>
    </w:p>
    <w:p w14:paraId="69B5B692" w14:textId="77777777" w:rsidR="00D228B3" w:rsidRDefault="00D228B3" w:rsidP="001150DC">
      <w:pPr>
        <w:spacing w:line="360" w:lineRule="auto"/>
        <w:jc w:val="center"/>
        <w:rPr>
          <w:b/>
          <w:sz w:val="24"/>
          <w:u w:val="single"/>
        </w:rPr>
      </w:pPr>
    </w:p>
    <w:p w14:paraId="120443CC" w14:textId="77777777" w:rsidR="00D228B3" w:rsidRDefault="00D228B3" w:rsidP="001150DC">
      <w:pPr>
        <w:spacing w:line="360" w:lineRule="auto"/>
        <w:jc w:val="center"/>
        <w:rPr>
          <w:b/>
          <w:sz w:val="24"/>
          <w:u w:val="single"/>
        </w:rPr>
      </w:pPr>
    </w:p>
    <w:p w14:paraId="3027DE4D" w14:textId="77777777" w:rsidR="00D228B3" w:rsidRDefault="00D228B3" w:rsidP="001150DC">
      <w:pPr>
        <w:spacing w:line="360" w:lineRule="auto"/>
        <w:jc w:val="center"/>
        <w:rPr>
          <w:b/>
          <w:sz w:val="24"/>
          <w:u w:val="single"/>
        </w:rPr>
      </w:pPr>
    </w:p>
    <w:p w14:paraId="6F132315" w14:textId="77777777" w:rsidR="00D228B3" w:rsidRDefault="00D228B3" w:rsidP="001150DC">
      <w:pPr>
        <w:spacing w:line="360" w:lineRule="auto"/>
        <w:jc w:val="center"/>
        <w:rPr>
          <w:b/>
          <w:sz w:val="24"/>
          <w:u w:val="single"/>
        </w:rPr>
      </w:pPr>
    </w:p>
    <w:p w14:paraId="4538593C" w14:textId="77777777" w:rsidR="00D228B3" w:rsidRDefault="00D228B3" w:rsidP="001150DC">
      <w:pPr>
        <w:spacing w:line="360" w:lineRule="auto"/>
        <w:jc w:val="center"/>
        <w:rPr>
          <w:b/>
          <w:sz w:val="24"/>
          <w:u w:val="single"/>
        </w:rPr>
      </w:pPr>
    </w:p>
    <w:p w14:paraId="0AB1D23A" w14:textId="77777777" w:rsidR="00D228B3" w:rsidRDefault="00D228B3" w:rsidP="001150DC">
      <w:pPr>
        <w:spacing w:line="360" w:lineRule="auto"/>
        <w:jc w:val="center"/>
        <w:rPr>
          <w:b/>
          <w:sz w:val="24"/>
          <w:u w:val="single"/>
        </w:rPr>
      </w:pPr>
    </w:p>
    <w:p w14:paraId="7933705E" w14:textId="77777777" w:rsidR="00D228B3" w:rsidRDefault="00D228B3" w:rsidP="001150DC">
      <w:pPr>
        <w:spacing w:line="360" w:lineRule="auto"/>
        <w:jc w:val="center"/>
        <w:rPr>
          <w:b/>
          <w:sz w:val="24"/>
          <w:u w:val="single"/>
        </w:rPr>
      </w:pPr>
    </w:p>
    <w:p w14:paraId="294E7ECA" w14:textId="77777777" w:rsidR="00D228B3" w:rsidRDefault="00D228B3" w:rsidP="001150DC">
      <w:pPr>
        <w:spacing w:line="360" w:lineRule="auto"/>
        <w:jc w:val="center"/>
        <w:rPr>
          <w:b/>
          <w:sz w:val="24"/>
          <w:u w:val="single"/>
        </w:rPr>
      </w:pPr>
    </w:p>
    <w:p w14:paraId="42F53968" w14:textId="77777777" w:rsidR="00D228B3" w:rsidRDefault="00D228B3" w:rsidP="001150DC">
      <w:pPr>
        <w:spacing w:line="360" w:lineRule="auto"/>
        <w:jc w:val="center"/>
        <w:rPr>
          <w:b/>
          <w:sz w:val="24"/>
          <w:u w:val="single"/>
        </w:rPr>
      </w:pPr>
    </w:p>
    <w:p w14:paraId="51721ADB" w14:textId="77777777" w:rsidR="00D228B3" w:rsidRDefault="00D228B3" w:rsidP="001150DC">
      <w:pPr>
        <w:spacing w:line="360" w:lineRule="auto"/>
        <w:jc w:val="center"/>
        <w:rPr>
          <w:b/>
          <w:sz w:val="24"/>
          <w:u w:val="single"/>
        </w:rPr>
      </w:pPr>
    </w:p>
    <w:p w14:paraId="58D7B879" w14:textId="77777777" w:rsidR="00D228B3" w:rsidRDefault="00D228B3" w:rsidP="001150DC">
      <w:pPr>
        <w:spacing w:line="360" w:lineRule="auto"/>
        <w:jc w:val="center"/>
        <w:rPr>
          <w:b/>
          <w:sz w:val="24"/>
          <w:u w:val="single"/>
        </w:rPr>
      </w:pPr>
    </w:p>
    <w:p w14:paraId="5E97C03B" w14:textId="77777777" w:rsidR="00D228B3" w:rsidRDefault="00D228B3" w:rsidP="001150DC">
      <w:pPr>
        <w:spacing w:line="360" w:lineRule="auto"/>
        <w:jc w:val="center"/>
        <w:rPr>
          <w:b/>
          <w:sz w:val="24"/>
          <w:u w:val="single"/>
        </w:rPr>
      </w:pPr>
    </w:p>
    <w:p w14:paraId="3BDBD14C" w14:textId="77777777" w:rsidR="00D228B3" w:rsidRDefault="00D228B3" w:rsidP="001150DC">
      <w:pPr>
        <w:spacing w:line="360" w:lineRule="auto"/>
        <w:jc w:val="center"/>
        <w:rPr>
          <w:b/>
          <w:sz w:val="24"/>
          <w:u w:val="single"/>
        </w:rPr>
      </w:pPr>
    </w:p>
    <w:p w14:paraId="409CB4F4" w14:textId="77777777" w:rsidR="00D228B3" w:rsidRDefault="00D228B3" w:rsidP="001150DC">
      <w:pPr>
        <w:spacing w:line="360" w:lineRule="auto"/>
        <w:jc w:val="center"/>
        <w:rPr>
          <w:b/>
          <w:sz w:val="24"/>
          <w:u w:val="single"/>
        </w:rPr>
      </w:pPr>
    </w:p>
    <w:p w14:paraId="0A8B0D0C" w14:textId="77777777" w:rsidR="00D228B3" w:rsidRDefault="00D228B3" w:rsidP="001150DC">
      <w:pPr>
        <w:spacing w:line="360" w:lineRule="auto"/>
        <w:jc w:val="center"/>
        <w:rPr>
          <w:b/>
          <w:sz w:val="24"/>
          <w:u w:val="single"/>
        </w:rPr>
      </w:pPr>
    </w:p>
    <w:p w14:paraId="3A86EA9A" w14:textId="77777777" w:rsidR="00D228B3" w:rsidRDefault="00D228B3" w:rsidP="001150DC">
      <w:pPr>
        <w:spacing w:line="360" w:lineRule="auto"/>
        <w:jc w:val="center"/>
        <w:rPr>
          <w:b/>
          <w:sz w:val="24"/>
          <w:u w:val="single"/>
        </w:rPr>
      </w:pPr>
    </w:p>
    <w:p w14:paraId="71384223" w14:textId="77777777" w:rsidR="00D228B3" w:rsidRDefault="00D228B3" w:rsidP="001150DC">
      <w:pPr>
        <w:spacing w:line="360" w:lineRule="auto"/>
        <w:jc w:val="center"/>
        <w:rPr>
          <w:b/>
          <w:sz w:val="24"/>
          <w:u w:val="single"/>
        </w:rPr>
      </w:pPr>
    </w:p>
    <w:p w14:paraId="502FB509" w14:textId="77777777" w:rsidR="00D228B3" w:rsidRDefault="00D228B3" w:rsidP="001150DC">
      <w:pPr>
        <w:spacing w:line="360" w:lineRule="auto"/>
        <w:jc w:val="center"/>
        <w:rPr>
          <w:b/>
          <w:sz w:val="24"/>
          <w:u w:val="single"/>
        </w:rPr>
      </w:pPr>
    </w:p>
    <w:p w14:paraId="423B1ADB" w14:textId="77777777" w:rsidR="00D228B3" w:rsidRDefault="00D228B3" w:rsidP="001150DC">
      <w:pPr>
        <w:spacing w:line="360" w:lineRule="auto"/>
        <w:jc w:val="center"/>
        <w:rPr>
          <w:b/>
          <w:sz w:val="24"/>
          <w:u w:val="single"/>
        </w:rPr>
      </w:pPr>
    </w:p>
    <w:p w14:paraId="4969D257" w14:textId="77777777" w:rsidR="00D228B3" w:rsidRDefault="00D228B3" w:rsidP="001150DC">
      <w:pPr>
        <w:spacing w:line="360" w:lineRule="auto"/>
        <w:jc w:val="center"/>
        <w:rPr>
          <w:b/>
          <w:sz w:val="24"/>
          <w:u w:val="single"/>
        </w:rPr>
      </w:pPr>
    </w:p>
    <w:p w14:paraId="3E14F78D" w14:textId="77777777" w:rsidR="00D228B3" w:rsidRDefault="00D228B3" w:rsidP="001150DC">
      <w:pPr>
        <w:spacing w:line="360" w:lineRule="auto"/>
        <w:jc w:val="center"/>
        <w:rPr>
          <w:b/>
          <w:sz w:val="24"/>
          <w:u w:val="single"/>
        </w:rPr>
      </w:pPr>
    </w:p>
    <w:p w14:paraId="21432596" w14:textId="77777777" w:rsidR="00B45198" w:rsidRDefault="00B45198" w:rsidP="001150DC">
      <w:pPr>
        <w:spacing w:line="360" w:lineRule="auto"/>
        <w:jc w:val="center"/>
        <w:rPr>
          <w:b/>
          <w:sz w:val="24"/>
          <w:u w:val="single"/>
        </w:rPr>
        <w:sectPr w:rsidR="00B45198" w:rsidSect="00B45198">
          <w:pgSz w:w="11906" w:h="16838" w:code="9"/>
          <w:pgMar w:top="1440" w:right="1440" w:bottom="1440" w:left="1440" w:header="709" w:footer="709" w:gutter="0"/>
          <w:pgNumType w:fmt="lowerRoman" w:start="1"/>
          <w:cols w:space="708"/>
          <w:titlePg/>
          <w:docGrid w:linePitch="360"/>
        </w:sectPr>
      </w:pPr>
    </w:p>
    <w:p w14:paraId="7AA7846B" w14:textId="183818E0" w:rsidR="00450698" w:rsidRDefault="00E034B5" w:rsidP="001150DC">
      <w:pPr>
        <w:spacing w:line="360" w:lineRule="auto"/>
        <w:jc w:val="center"/>
        <w:rPr>
          <w:b/>
          <w:sz w:val="24"/>
          <w:u w:val="single"/>
        </w:rPr>
      </w:pPr>
      <w:r>
        <w:rPr>
          <w:b/>
          <w:sz w:val="24"/>
          <w:u w:val="single"/>
        </w:rPr>
        <w:lastRenderedPageBreak/>
        <w:t>Table of contents</w:t>
      </w:r>
      <w:r w:rsidR="00BF6FAD">
        <w:rPr>
          <w:b/>
          <w:sz w:val="24"/>
          <w:u w:val="single"/>
        </w:rPr>
        <w:t>:</w:t>
      </w:r>
    </w:p>
    <w:p w14:paraId="3B1F0DC9" w14:textId="77777777" w:rsidR="00032A6D" w:rsidRDefault="00032A6D" w:rsidP="001150DC">
      <w:pPr>
        <w:spacing w:line="360" w:lineRule="auto"/>
        <w:jc w:val="center"/>
        <w:rPr>
          <w:sz w:val="24"/>
        </w:rPr>
      </w:pPr>
    </w:p>
    <w:p w14:paraId="78DC4712" w14:textId="2790CAD5" w:rsidR="008C1334" w:rsidRDefault="008C1334" w:rsidP="00450698">
      <w:pPr>
        <w:spacing w:line="360" w:lineRule="auto"/>
      </w:pPr>
    </w:p>
    <w:tbl>
      <w:tblPr>
        <w:tblStyle w:val="TableGrid"/>
        <w:tblW w:w="9067" w:type="dxa"/>
        <w:tblLook w:val="04A0" w:firstRow="1" w:lastRow="0" w:firstColumn="1" w:lastColumn="0" w:noHBand="0" w:noVBand="1"/>
      </w:tblPr>
      <w:tblGrid>
        <w:gridCol w:w="7650"/>
        <w:gridCol w:w="1417"/>
      </w:tblGrid>
      <w:tr w:rsidR="008C1334" w14:paraId="4897C978"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02DBAD87" w14:textId="77777777" w:rsidR="00E32DA9" w:rsidRDefault="008C1334" w:rsidP="00E32DA9">
            <w:pPr>
              <w:tabs>
                <w:tab w:val="left" w:pos="5397"/>
              </w:tabs>
              <w:spacing w:line="360" w:lineRule="auto"/>
              <w:rPr>
                <w:sz w:val="24"/>
                <w:szCs w:val="24"/>
              </w:rPr>
            </w:pPr>
            <w:r w:rsidRPr="00E32DA9">
              <w:rPr>
                <w:sz w:val="24"/>
                <w:szCs w:val="24"/>
              </w:rPr>
              <w:t>Abstract</w:t>
            </w:r>
          </w:p>
          <w:p w14:paraId="40691B75" w14:textId="1EC4E6EC" w:rsidR="008C1334" w:rsidRPr="00E32DA9" w:rsidRDefault="00E32DA9" w:rsidP="00E32DA9">
            <w:pPr>
              <w:tabs>
                <w:tab w:val="left" w:pos="5397"/>
              </w:tabs>
              <w:spacing w:line="360" w:lineRule="auto"/>
              <w:rPr>
                <w:sz w:val="24"/>
                <w:szCs w:val="24"/>
              </w:rPr>
            </w:pPr>
            <w:r>
              <w:rPr>
                <w:sz w:val="24"/>
                <w:szCs w:val="24"/>
              </w:rPr>
              <w:tab/>
            </w:r>
          </w:p>
        </w:tc>
        <w:tc>
          <w:tcPr>
            <w:tcW w:w="1417" w:type="dxa"/>
            <w:tcBorders>
              <w:top w:val="single" w:sz="4" w:space="0" w:color="FFFFFF"/>
              <w:left w:val="single" w:sz="4" w:space="0" w:color="FFFFFF"/>
              <w:bottom w:val="single" w:sz="4" w:space="0" w:color="FFFFFF"/>
              <w:right w:val="single" w:sz="4" w:space="0" w:color="FFFFFF"/>
            </w:tcBorders>
          </w:tcPr>
          <w:p w14:paraId="1B4F3458" w14:textId="7B0BF6D3" w:rsidR="008C1334" w:rsidRPr="00E32DA9" w:rsidRDefault="008C1334" w:rsidP="00E32DA9">
            <w:pPr>
              <w:spacing w:line="360" w:lineRule="auto"/>
              <w:jc w:val="right"/>
              <w:rPr>
                <w:sz w:val="24"/>
                <w:szCs w:val="24"/>
              </w:rPr>
            </w:pPr>
            <w:r w:rsidRPr="00E32DA9">
              <w:rPr>
                <w:sz w:val="24"/>
                <w:szCs w:val="24"/>
              </w:rPr>
              <w:t>ii</w:t>
            </w:r>
          </w:p>
        </w:tc>
      </w:tr>
      <w:tr w:rsidR="008C1334" w14:paraId="68F7A64D"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22292032" w14:textId="77777777" w:rsidR="008C1334" w:rsidRDefault="008C1334" w:rsidP="00450698">
            <w:pPr>
              <w:spacing w:line="360" w:lineRule="auto"/>
              <w:rPr>
                <w:sz w:val="24"/>
                <w:szCs w:val="24"/>
              </w:rPr>
            </w:pPr>
            <w:r w:rsidRPr="00E32DA9">
              <w:rPr>
                <w:sz w:val="24"/>
                <w:szCs w:val="24"/>
              </w:rPr>
              <w:t>Acknowledgements</w:t>
            </w:r>
          </w:p>
          <w:p w14:paraId="0218CE99" w14:textId="3547E501" w:rsidR="00E32DA9" w:rsidRPr="00E32DA9" w:rsidRDefault="00E32DA9"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0CBA7A6F" w14:textId="593ADB4E" w:rsidR="008C1334" w:rsidRPr="00E32DA9" w:rsidRDefault="008C1334" w:rsidP="00E32DA9">
            <w:pPr>
              <w:spacing w:line="360" w:lineRule="auto"/>
              <w:jc w:val="right"/>
              <w:rPr>
                <w:sz w:val="24"/>
                <w:szCs w:val="24"/>
              </w:rPr>
            </w:pPr>
            <w:r w:rsidRPr="00E32DA9">
              <w:rPr>
                <w:sz w:val="24"/>
                <w:szCs w:val="24"/>
              </w:rPr>
              <w:t>iv</w:t>
            </w:r>
          </w:p>
        </w:tc>
      </w:tr>
      <w:tr w:rsidR="008C1334" w14:paraId="36C381CC"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4BB9E30A" w14:textId="4C137D97" w:rsidR="008C1334" w:rsidRDefault="00FA6CE8" w:rsidP="00450698">
            <w:pPr>
              <w:spacing w:line="360" w:lineRule="auto"/>
              <w:rPr>
                <w:sz w:val="24"/>
                <w:szCs w:val="24"/>
              </w:rPr>
            </w:pPr>
            <w:r>
              <w:rPr>
                <w:sz w:val="24"/>
                <w:szCs w:val="24"/>
              </w:rPr>
              <w:t>The People</w:t>
            </w:r>
          </w:p>
          <w:p w14:paraId="7FB3CEB9" w14:textId="311D4A58" w:rsidR="00E32DA9" w:rsidRPr="00E32DA9" w:rsidRDefault="00E32DA9"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300E7C4E" w14:textId="1FD651A5" w:rsidR="008C1334" w:rsidRPr="00E32DA9" w:rsidRDefault="00FA6CE8" w:rsidP="00E32DA9">
            <w:pPr>
              <w:spacing w:line="360" w:lineRule="auto"/>
              <w:jc w:val="right"/>
              <w:rPr>
                <w:sz w:val="24"/>
                <w:szCs w:val="24"/>
              </w:rPr>
            </w:pPr>
            <w:r>
              <w:rPr>
                <w:sz w:val="24"/>
                <w:szCs w:val="24"/>
              </w:rPr>
              <w:t>v</w:t>
            </w:r>
          </w:p>
        </w:tc>
      </w:tr>
      <w:tr w:rsidR="008C1334" w14:paraId="17541B54"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49C15FF5" w14:textId="77777777" w:rsidR="00FA6CE8" w:rsidRDefault="00FA6CE8" w:rsidP="00450698">
            <w:pPr>
              <w:spacing w:line="360" w:lineRule="auto"/>
              <w:rPr>
                <w:sz w:val="24"/>
                <w:szCs w:val="24"/>
              </w:rPr>
            </w:pPr>
            <w:r>
              <w:rPr>
                <w:sz w:val="24"/>
                <w:szCs w:val="24"/>
              </w:rPr>
              <w:t xml:space="preserve">Introduction </w:t>
            </w:r>
          </w:p>
          <w:p w14:paraId="69EC80FD" w14:textId="64834BF9" w:rsidR="008C1334" w:rsidRDefault="00FA6CE8" w:rsidP="00450698">
            <w:pPr>
              <w:spacing w:line="360" w:lineRule="auto"/>
              <w:rPr>
                <w:sz w:val="24"/>
                <w:szCs w:val="24"/>
              </w:rPr>
            </w:pPr>
            <w:r>
              <w:rPr>
                <w:sz w:val="24"/>
                <w:szCs w:val="24"/>
              </w:rPr>
              <w:t xml:space="preserve">               (With Aims and Methodology)</w:t>
            </w:r>
          </w:p>
          <w:p w14:paraId="05573133" w14:textId="59032D44" w:rsidR="00E32DA9" w:rsidRPr="00E32DA9" w:rsidRDefault="00E32DA9"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7D072CF1" w14:textId="2FEA360B" w:rsidR="006D38A7" w:rsidRPr="00E32DA9" w:rsidRDefault="00FA6CE8" w:rsidP="00E32DA9">
            <w:pPr>
              <w:spacing w:line="360" w:lineRule="auto"/>
              <w:jc w:val="right"/>
              <w:rPr>
                <w:sz w:val="24"/>
                <w:szCs w:val="24"/>
              </w:rPr>
            </w:pPr>
            <w:r>
              <w:rPr>
                <w:sz w:val="24"/>
                <w:szCs w:val="24"/>
              </w:rPr>
              <w:t>1</w:t>
            </w:r>
          </w:p>
        </w:tc>
      </w:tr>
      <w:tr w:rsidR="008C1334" w14:paraId="0A4618A2"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331A8B89" w14:textId="77777777" w:rsidR="006D38A7" w:rsidRPr="00E32DA9" w:rsidRDefault="006D38A7" w:rsidP="006D38A7">
            <w:pPr>
              <w:spacing w:line="360" w:lineRule="auto"/>
              <w:rPr>
                <w:sz w:val="24"/>
                <w:szCs w:val="24"/>
              </w:rPr>
            </w:pPr>
            <w:r w:rsidRPr="00E32DA9">
              <w:rPr>
                <w:sz w:val="24"/>
                <w:szCs w:val="24"/>
              </w:rPr>
              <w:t xml:space="preserve">Chapter One: </w:t>
            </w:r>
            <w:r w:rsidRPr="00E32DA9">
              <w:rPr>
                <w:i/>
                <w:sz w:val="24"/>
                <w:szCs w:val="24"/>
              </w:rPr>
              <w:t xml:space="preserve">Bon Amour </w:t>
            </w:r>
          </w:p>
          <w:p w14:paraId="10A93013" w14:textId="616EAA38" w:rsidR="008C1334" w:rsidRPr="00E32DA9" w:rsidRDefault="008C1334"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45A5F21D" w14:textId="3FA6E792" w:rsidR="008C1334" w:rsidRPr="00E32DA9" w:rsidRDefault="00FA6CE8" w:rsidP="00E32DA9">
            <w:pPr>
              <w:spacing w:line="360" w:lineRule="auto"/>
              <w:jc w:val="right"/>
              <w:rPr>
                <w:sz w:val="24"/>
                <w:szCs w:val="24"/>
              </w:rPr>
            </w:pPr>
            <w:r>
              <w:rPr>
                <w:sz w:val="24"/>
                <w:szCs w:val="24"/>
              </w:rPr>
              <w:t xml:space="preserve">6 </w:t>
            </w:r>
          </w:p>
        </w:tc>
      </w:tr>
      <w:tr w:rsidR="008C1334" w14:paraId="0DEF1F57"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0EA7C31D" w14:textId="77777777" w:rsidR="006D38A7" w:rsidRPr="00E32DA9" w:rsidRDefault="006D38A7" w:rsidP="006D38A7">
            <w:pPr>
              <w:spacing w:line="360" w:lineRule="auto"/>
              <w:rPr>
                <w:sz w:val="24"/>
                <w:szCs w:val="24"/>
              </w:rPr>
            </w:pPr>
            <w:r w:rsidRPr="00E32DA9">
              <w:rPr>
                <w:sz w:val="24"/>
                <w:szCs w:val="24"/>
              </w:rPr>
              <w:t xml:space="preserve">Chapter Two: </w:t>
            </w:r>
            <w:r w:rsidRPr="00E32DA9">
              <w:rPr>
                <w:i/>
                <w:sz w:val="24"/>
                <w:szCs w:val="24"/>
              </w:rPr>
              <w:t xml:space="preserve">Au Poil et á la Plume </w:t>
            </w:r>
          </w:p>
          <w:p w14:paraId="3E2BA703" w14:textId="77777777" w:rsidR="008C1334" w:rsidRPr="00E32DA9" w:rsidRDefault="008C1334"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2BB305B8" w14:textId="0D5637CA" w:rsidR="008C1334" w:rsidRPr="00E32DA9" w:rsidRDefault="00E32DA9" w:rsidP="00E32DA9">
            <w:pPr>
              <w:spacing w:line="360" w:lineRule="auto"/>
              <w:jc w:val="right"/>
              <w:rPr>
                <w:sz w:val="24"/>
                <w:szCs w:val="24"/>
              </w:rPr>
            </w:pPr>
            <w:r w:rsidRPr="00E32DA9">
              <w:rPr>
                <w:sz w:val="24"/>
                <w:szCs w:val="24"/>
              </w:rPr>
              <w:t>1</w:t>
            </w:r>
            <w:r w:rsidR="00FA6CE8">
              <w:rPr>
                <w:sz w:val="24"/>
                <w:szCs w:val="24"/>
              </w:rPr>
              <w:t>3</w:t>
            </w:r>
          </w:p>
        </w:tc>
      </w:tr>
      <w:tr w:rsidR="008C1334" w14:paraId="578C45E6"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29844E2D" w14:textId="3F3F3755" w:rsidR="006D38A7" w:rsidRPr="00E32DA9" w:rsidRDefault="006D38A7" w:rsidP="006D38A7">
            <w:pPr>
              <w:spacing w:line="360" w:lineRule="auto"/>
              <w:rPr>
                <w:sz w:val="24"/>
                <w:szCs w:val="24"/>
              </w:rPr>
            </w:pPr>
            <w:r w:rsidRPr="00E32DA9">
              <w:rPr>
                <w:sz w:val="24"/>
                <w:szCs w:val="24"/>
              </w:rPr>
              <w:t xml:space="preserve">Chapter Three: </w:t>
            </w:r>
            <w:r w:rsidR="00C466EA" w:rsidRPr="00C466EA">
              <w:rPr>
                <w:i/>
                <w:sz w:val="24"/>
                <w:szCs w:val="24"/>
              </w:rPr>
              <w:t>Glorieux Pederasts</w:t>
            </w:r>
          </w:p>
          <w:p w14:paraId="299208A0" w14:textId="77777777" w:rsidR="008C1334" w:rsidRPr="00E32DA9" w:rsidRDefault="008C1334"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6261A88E" w14:textId="0E34FC4C" w:rsidR="008C1334" w:rsidRPr="00E32DA9" w:rsidRDefault="00FA6CE8" w:rsidP="00E32DA9">
            <w:pPr>
              <w:spacing w:line="360" w:lineRule="auto"/>
              <w:jc w:val="right"/>
              <w:rPr>
                <w:sz w:val="24"/>
                <w:szCs w:val="24"/>
              </w:rPr>
            </w:pPr>
            <w:r>
              <w:rPr>
                <w:sz w:val="24"/>
                <w:szCs w:val="24"/>
              </w:rPr>
              <w:t>18</w:t>
            </w:r>
          </w:p>
        </w:tc>
      </w:tr>
      <w:tr w:rsidR="008C1334" w14:paraId="32653FC8"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18219042" w14:textId="77777777" w:rsidR="008C1334" w:rsidRDefault="00851A49" w:rsidP="00851A49">
            <w:pPr>
              <w:tabs>
                <w:tab w:val="left" w:pos="2300"/>
              </w:tabs>
              <w:spacing w:line="360" w:lineRule="auto"/>
              <w:rPr>
                <w:sz w:val="24"/>
                <w:szCs w:val="24"/>
              </w:rPr>
            </w:pPr>
            <w:r>
              <w:rPr>
                <w:sz w:val="24"/>
                <w:szCs w:val="24"/>
              </w:rPr>
              <w:t xml:space="preserve">               Rejection of Females</w:t>
            </w:r>
          </w:p>
          <w:p w14:paraId="3B625B20" w14:textId="41ACAACF" w:rsidR="00851A49" w:rsidRPr="00E32DA9" w:rsidRDefault="00851A49" w:rsidP="00851A49">
            <w:pPr>
              <w:tabs>
                <w:tab w:val="left" w:pos="2300"/>
              </w:tabs>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474EBAE8" w14:textId="3CFF1824" w:rsidR="008C1334" w:rsidRPr="00E32DA9" w:rsidRDefault="00FA6CE8" w:rsidP="00E32DA9">
            <w:pPr>
              <w:spacing w:line="360" w:lineRule="auto"/>
              <w:jc w:val="right"/>
              <w:rPr>
                <w:sz w:val="24"/>
                <w:szCs w:val="24"/>
              </w:rPr>
            </w:pPr>
            <w:r>
              <w:rPr>
                <w:sz w:val="24"/>
                <w:szCs w:val="24"/>
              </w:rPr>
              <w:t>18</w:t>
            </w:r>
          </w:p>
        </w:tc>
      </w:tr>
      <w:tr w:rsidR="008C1334" w14:paraId="607BB8EE"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6E25F81F" w14:textId="77777777" w:rsidR="008C1334" w:rsidRDefault="00851A49" w:rsidP="00851A49">
            <w:pPr>
              <w:spacing w:line="360" w:lineRule="auto"/>
              <w:rPr>
                <w:sz w:val="24"/>
                <w:szCs w:val="24"/>
              </w:rPr>
            </w:pPr>
            <w:r>
              <w:rPr>
                <w:sz w:val="24"/>
                <w:szCs w:val="24"/>
              </w:rPr>
              <w:t xml:space="preserve">               Self-Feminising</w:t>
            </w:r>
          </w:p>
          <w:p w14:paraId="2E99DEBC" w14:textId="44683E2C" w:rsidR="00851A49" w:rsidRPr="00E32DA9" w:rsidRDefault="00851A49" w:rsidP="00851A49">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6002A4DE" w14:textId="0C3AE7D6" w:rsidR="008C1334" w:rsidRPr="00E32DA9" w:rsidRDefault="00FA6CE8" w:rsidP="00E32DA9">
            <w:pPr>
              <w:spacing w:line="360" w:lineRule="auto"/>
              <w:jc w:val="right"/>
              <w:rPr>
                <w:sz w:val="24"/>
                <w:szCs w:val="24"/>
              </w:rPr>
            </w:pPr>
            <w:r>
              <w:rPr>
                <w:sz w:val="24"/>
                <w:szCs w:val="24"/>
              </w:rPr>
              <w:t>20</w:t>
            </w:r>
          </w:p>
        </w:tc>
      </w:tr>
      <w:tr w:rsidR="008C1334" w14:paraId="674478C1"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410E8505" w14:textId="77777777" w:rsidR="00851A49" w:rsidRPr="00E32DA9" w:rsidRDefault="00851A49" w:rsidP="00851A49">
            <w:pPr>
              <w:spacing w:line="360" w:lineRule="auto"/>
              <w:rPr>
                <w:sz w:val="24"/>
                <w:szCs w:val="24"/>
              </w:rPr>
            </w:pPr>
            <w:r w:rsidRPr="00E32DA9">
              <w:rPr>
                <w:sz w:val="24"/>
                <w:szCs w:val="24"/>
              </w:rPr>
              <w:t xml:space="preserve">Chapter Four: Pseudohomosexuality </w:t>
            </w:r>
          </w:p>
          <w:p w14:paraId="70B3517A" w14:textId="677C5734" w:rsidR="008C1334" w:rsidRPr="00E32DA9" w:rsidRDefault="008C1334" w:rsidP="00851A49">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2A49AB7C" w14:textId="507CFD9D" w:rsidR="008C1334" w:rsidRPr="00E32DA9" w:rsidRDefault="00851A49" w:rsidP="00E32DA9">
            <w:pPr>
              <w:spacing w:line="360" w:lineRule="auto"/>
              <w:jc w:val="right"/>
              <w:rPr>
                <w:sz w:val="24"/>
                <w:szCs w:val="24"/>
              </w:rPr>
            </w:pPr>
            <w:r w:rsidRPr="00E32DA9">
              <w:rPr>
                <w:sz w:val="24"/>
                <w:szCs w:val="24"/>
              </w:rPr>
              <w:t>2</w:t>
            </w:r>
            <w:r w:rsidR="00FA6CE8">
              <w:rPr>
                <w:sz w:val="24"/>
                <w:szCs w:val="24"/>
              </w:rPr>
              <w:t>4</w:t>
            </w:r>
          </w:p>
        </w:tc>
      </w:tr>
      <w:tr w:rsidR="00851A49" w14:paraId="0BF21631"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502C6FF9" w14:textId="77777777" w:rsidR="00851A49" w:rsidRPr="00E32DA9" w:rsidRDefault="00851A49" w:rsidP="00851A49">
            <w:pPr>
              <w:spacing w:line="360" w:lineRule="auto"/>
              <w:rPr>
                <w:sz w:val="24"/>
                <w:szCs w:val="24"/>
              </w:rPr>
            </w:pPr>
            <w:r w:rsidRPr="00E32DA9">
              <w:rPr>
                <w:sz w:val="24"/>
                <w:szCs w:val="24"/>
              </w:rPr>
              <w:t xml:space="preserve">Conclusion </w:t>
            </w:r>
          </w:p>
          <w:p w14:paraId="4ED54B27" w14:textId="77777777" w:rsidR="00851A49" w:rsidRPr="00E32DA9" w:rsidRDefault="00851A49"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67B0FD4B" w14:textId="792021D3" w:rsidR="00851A49" w:rsidRPr="00E32DA9" w:rsidRDefault="00FA6CE8" w:rsidP="00E32DA9">
            <w:pPr>
              <w:spacing w:line="360" w:lineRule="auto"/>
              <w:jc w:val="right"/>
              <w:rPr>
                <w:sz w:val="24"/>
                <w:szCs w:val="24"/>
              </w:rPr>
            </w:pPr>
            <w:r>
              <w:rPr>
                <w:sz w:val="24"/>
                <w:szCs w:val="24"/>
              </w:rPr>
              <w:t>29</w:t>
            </w:r>
          </w:p>
        </w:tc>
      </w:tr>
      <w:tr w:rsidR="00851A49" w14:paraId="10B69F37"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49EFAF1D" w14:textId="282A50AA" w:rsidR="00851A49" w:rsidRPr="00E32DA9" w:rsidRDefault="00851A49" w:rsidP="00450698">
            <w:pPr>
              <w:spacing w:line="360" w:lineRule="auto"/>
              <w:rPr>
                <w:sz w:val="24"/>
                <w:szCs w:val="24"/>
              </w:rPr>
            </w:pPr>
            <w:r w:rsidRPr="00E32DA9">
              <w:rPr>
                <w:sz w:val="24"/>
                <w:szCs w:val="24"/>
              </w:rPr>
              <w:t>Bibliography</w:t>
            </w:r>
          </w:p>
        </w:tc>
        <w:tc>
          <w:tcPr>
            <w:tcW w:w="1417" w:type="dxa"/>
            <w:tcBorders>
              <w:top w:val="single" w:sz="4" w:space="0" w:color="FFFFFF"/>
              <w:left w:val="single" w:sz="4" w:space="0" w:color="FFFFFF"/>
              <w:bottom w:val="single" w:sz="4" w:space="0" w:color="FFFFFF"/>
              <w:right w:val="single" w:sz="4" w:space="0" w:color="FFFFFF"/>
            </w:tcBorders>
          </w:tcPr>
          <w:p w14:paraId="0B1DC90D" w14:textId="67C63A75" w:rsidR="00851A49" w:rsidRPr="00E32DA9" w:rsidRDefault="00851A49" w:rsidP="00E32DA9">
            <w:pPr>
              <w:spacing w:line="360" w:lineRule="auto"/>
              <w:jc w:val="right"/>
              <w:rPr>
                <w:sz w:val="24"/>
                <w:szCs w:val="24"/>
              </w:rPr>
            </w:pPr>
            <w:r w:rsidRPr="00E32DA9">
              <w:rPr>
                <w:sz w:val="24"/>
                <w:szCs w:val="24"/>
              </w:rPr>
              <w:t>3</w:t>
            </w:r>
            <w:r>
              <w:rPr>
                <w:sz w:val="24"/>
                <w:szCs w:val="24"/>
              </w:rPr>
              <w:t>3</w:t>
            </w:r>
          </w:p>
        </w:tc>
      </w:tr>
      <w:tr w:rsidR="008C1334" w14:paraId="22AA508B" w14:textId="77777777" w:rsidTr="00851A49">
        <w:tc>
          <w:tcPr>
            <w:tcW w:w="7650" w:type="dxa"/>
            <w:tcBorders>
              <w:top w:val="single" w:sz="4" w:space="0" w:color="FFFFFF"/>
              <w:left w:val="single" w:sz="4" w:space="0" w:color="FFFFFF"/>
              <w:bottom w:val="single" w:sz="4" w:space="0" w:color="FFFFFF"/>
              <w:right w:val="single" w:sz="4" w:space="0" w:color="FFFFFF"/>
            </w:tcBorders>
          </w:tcPr>
          <w:p w14:paraId="5D65FFDA" w14:textId="77777777" w:rsidR="008C1334" w:rsidRPr="00E32DA9" w:rsidRDefault="008C1334" w:rsidP="00450698">
            <w:pPr>
              <w:spacing w:line="360" w:lineRule="auto"/>
              <w:rPr>
                <w:sz w:val="24"/>
                <w:szCs w:val="24"/>
              </w:rPr>
            </w:pPr>
          </w:p>
        </w:tc>
        <w:tc>
          <w:tcPr>
            <w:tcW w:w="1417" w:type="dxa"/>
            <w:tcBorders>
              <w:top w:val="single" w:sz="4" w:space="0" w:color="FFFFFF"/>
              <w:left w:val="single" w:sz="4" w:space="0" w:color="FFFFFF"/>
              <w:bottom w:val="single" w:sz="4" w:space="0" w:color="FFFFFF"/>
              <w:right w:val="single" w:sz="4" w:space="0" w:color="FFFFFF"/>
            </w:tcBorders>
          </w:tcPr>
          <w:p w14:paraId="2D153BF7" w14:textId="77777777" w:rsidR="008C1334" w:rsidRPr="00E32DA9" w:rsidRDefault="008C1334" w:rsidP="00E32DA9">
            <w:pPr>
              <w:spacing w:line="360" w:lineRule="auto"/>
              <w:jc w:val="right"/>
              <w:rPr>
                <w:sz w:val="24"/>
                <w:szCs w:val="24"/>
              </w:rPr>
            </w:pPr>
          </w:p>
        </w:tc>
      </w:tr>
    </w:tbl>
    <w:p w14:paraId="26719A9F" w14:textId="2C8D8233" w:rsidR="00450698" w:rsidRDefault="00450698" w:rsidP="00450698">
      <w:pPr>
        <w:spacing w:line="360" w:lineRule="auto"/>
      </w:pPr>
    </w:p>
    <w:p w14:paraId="7177F5ED" w14:textId="77777777" w:rsidR="00450698" w:rsidRDefault="00450698" w:rsidP="00450698">
      <w:pPr>
        <w:spacing w:line="360" w:lineRule="auto"/>
        <w:rPr>
          <w:sz w:val="24"/>
        </w:rPr>
      </w:pPr>
    </w:p>
    <w:p w14:paraId="50874FF5" w14:textId="77777777" w:rsidR="00BF6FAD" w:rsidRPr="00BF6FAD" w:rsidRDefault="00BF6FAD" w:rsidP="00BF6FAD">
      <w:pPr>
        <w:spacing w:line="360" w:lineRule="auto"/>
        <w:rPr>
          <w:sz w:val="24"/>
        </w:rPr>
      </w:pPr>
    </w:p>
    <w:p w14:paraId="296D659B" w14:textId="64DFB1DA" w:rsidR="00E034B5" w:rsidRPr="00BF6FAD" w:rsidRDefault="00E034B5" w:rsidP="00BF6FAD">
      <w:pPr>
        <w:spacing w:line="360" w:lineRule="auto"/>
        <w:jc w:val="center"/>
        <w:rPr>
          <w:sz w:val="24"/>
        </w:rPr>
      </w:pPr>
    </w:p>
    <w:p w14:paraId="74B6E5C6" w14:textId="2799E2E7" w:rsidR="00E034B5" w:rsidRPr="00BF6FAD" w:rsidRDefault="00E034B5" w:rsidP="00BF6FAD">
      <w:pPr>
        <w:spacing w:line="360" w:lineRule="auto"/>
        <w:jc w:val="center"/>
        <w:rPr>
          <w:sz w:val="24"/>
        </w:rPr>
      </w:pPr>
    </w:p>
    <w:p w14:paraId="29EB3CE1" w14:textId="408B4CDE" w:rsidR="00E034B5" w:rsidRPr="00BF6FAD" w:rsidRDefault="00E034B5" w:rsidP="005E5FDA">
      <w:pPr>
        <w:spacing w:line="360" w:lineRule="auto"/>
        <w:rPr>
          <w:sz w:val="24"/>
        </w:rPr>
      </w:pPr>
    </w:p>
    <w:p w14:paraId="0DFCDAA1" w14:textId="77777777" w:rsidR="00D6667C" w:rsidRDefault="00D6667C" w:rsidP="007F2DC0">
      <w:pPr>
        <w:spacing w:line="360" w:lineRule="auto"/>
        <w:rPr>
          <w:b/>
          <w:sz w:val="24"/>
          <w:u w:val="single"/>
        </w:rPr>
        <w:sectPr w:rsidR="00D6667C" w:rsidSect="00B45198">
          <w:pgSz w:w="11906" w:h="16838" w:code="9"/>
          <w:pgMar w:top="1440" w:right="1440" w:bottom="1440" w:left="1440" w:header="709" w:footer="709" w:gutter="0"/>
          <w:pgNumType w:fmt="lowerRoman" w:start="1"/>
          <w:cols w:space="708"/>
          <w:titlePg/>
          <w:docGrid w:linePitch="360"/>
        </w:sectPr>
      </w:pPr>
    </w:p>
    <w:p w14:paraId="0185F124" w14:textId="144F10CE" w:rsidR="008D46B0" w:rsidRDefault="00BF6FAD" w:rsidP="00851A49">
      <w:pPr>
        <w:spacing w:line="360" w:lineRule="auto"/>
        <w:jc w:val="center"/>
        <w:rPr>
          <w:b/>
          <w:sz w:val="24"/>
          <w:u w:val="single"/>
        </w:rPr>
      </w:pPr>
      <w:r>
        <w:rPr>
          <w:b/>
          <w:sz w:val="24"/>
          <w:u w:val="single"/>
        </w:rPr>
        <w:lastRenderedPageBreak/>
        <w:t>A</w:t>
      </w:r>
      <w:r w:rsidR="008D46B0" w:rsidRPr="008D46B0">
        <w:rPr>
          <w:b/>
          <w:sz w:val="24"/>
          <w:u w:val="single"/>
        </w:rPr>
        <w:t>bstract:</w:t>
      </w:r>
    </w:p>
    <w:p w14:paraId="3AB8F705" w14:textId="681F0EA8" w:rsidR="008D46B0" w:rsidRPr="008D46B0" w:rsidRDefault="008D46B0" w:rsidP="007F2DC0">
      <w:pPr>
        <w:spacing w:line="360" w:lineRule="auto"/>
        <w:rPr>
          <w:b/>
          <w:sz w:val="24"/>
          <w:u w:val="single"/>
        </w:rPr>
      </w:pPr>
    </w:p>
    <w:p w14:paraId="0A809CA4" w14:textId="5B755403" w:rsidR="008D46B0" w:rsidRDefault="008D46B0" w:rsidP="007F2DC0">
      <w:pPr>
        <w:spacing w:line="360" w:lineRule="auto"/>
        <w:rPr>
          <w:sz w:val="24"/>
        </w:rPr>
      </w:pPr>
      <w:r w:rsidRPr="008D46B0">
        <w:rPr>
          <w:sz w:val="24"/>
        </w:rPr>
        <w:t xml:space="preserve">Predominantly, the research and exploration into homosexual relationships throughout history has been lacking the contextual analysis required when focusing on specific time periods. Due to this, most research into currently known homosexual relationships have been applied to a modern-day context, prohibiting the ability to view these relationships in a clearer, more accurate technique. The lack of formula to counteract applying our modern biases against homosexuality historically is an issue that I believe needs addressing before accurate study of homosexuality can begin. Therefore, while researching into homosexuality in seventeenth-century France, creating a structure to apply to homosexual relationships which removes modern influence and bases itself solely on the context of each time period became my first instrumental step in researching homosexuality. </w:t>
      </w:r>
    </w:p>
    <w:p w14:paraId="3E8BB250" w14:textId="77777777" w:rsidR="008D46B0" w:rsidRPr="008D46B0" w:rsidRDefault="008D46B0" w:rsidP="007F2DC0">
      <w:pPr>
        <w:spacing w:line="360" w:lineRule="auto"/>
        <w:rPr>
          <w:sz w:val="24"/>
        </w:rPr>
      </w:pPr>
    </w:p>
    <w:p w14:paraId="0305F9A7" w14:textId="630E5C92" w:rsidR="008D46B0" w:rsidRDefault="008D46B0" w:rsidP="007F2DC0">
      <w:pPr>
        <w:spacing w:line="360" w:lineRule="auto"/>
        <w:rPr>
          <w:sz w:val="24"/>
        </w:rPr>
      </w:pPr>
      <w:r w:rsidRPr="008D46B0">
        <w:rPr>
          <w:sz w:val="24"/>
        </w:rPr>
        <w:t xml:space="preserve">The focus of this research is to provide an alternative to the way historians have been researching homosexuality in the past. I coined </w:t>
      </w:r>
      <w:r w:rsidR="006F5DCF">
        <w:rPr>
          <w:sz w:val="24"/>
        </w:rPr>
        <w:t>T</w:t>
      </w:r>
      <w:r w:rsidRPr="008D46B0">
        <w:rPr>
          <w:sz w:val="24"/>
        </w:rPr>
        <w:t xml:space="preserve">he Branch Theory to provide a structure that can be applied to a time period for relationships to be measured against so that the fluidity of homosexuality can be more accurately displayed in historical research. Using Philippe, Duke d’Orléans under the reign of Louis XIV of France, this research will use </w:t>
      </w:r>
      <w:r w:rsidR="006F5DCF">
        <w:rPr>
          <w:sz w:val="24"/>
        </w:rPr>
        <w:t>T</w:t>
      </w:r>
      <w:r w:rsidRPr="008D46B0">
        <w:rPr>
          <w:sz w:val="24"/>
        </w:rPr>
        <w:t xml:space="preserve">he Branch Theory as a framework for pinpointing the different aspects of homosexual relationships in seventeenth-century France and present a new way of studying homosexuality in history. </w:t>
      </w:r>
    </w:p>
    <w:p w14:paraId="50B1AA44" w14:textId="77777777" w:rsidR="008D46B0" w:rsidRPr="008D46B0" w:rsidRDefault="008D46B0" w:rsidP="007F2DC0">
      <w:pPr>
        <w:spacing w:line="360" w:lineRule="auto"/>
        <w:rPr>
          <w:sz w:val="24"/>
        </w:rPr>
      </w:pPr>
    </w:p>
    <w:p w14:paraId="2BD2F32D" w14:textId="268E29E4" w:rsidR="00F01BBE" w:rsidRDefault="008D46B0" w:rsidP="007F2DC0">
      <w:pPr>
        <w:spacing w:line="360" w:lineRule="auto"/>
        <w:rPr>
          <w:sz w:val="24"/>
        </w:rPr>
      </w:pPr>
      <w:r w:rsidRPr="008D46B0">
        <w:rPr>
          <w:sz w:val="24"/>
        </w:rPr>
        <w:t xml:space="preserve">The findings from this research provide evidence of the different ways people expressed homosexuality in France, from genuine homosexual love and lust, to the manipulation of homosexual males for personal gain. This, therefore, presents </w:t>
      </w:r>
      <w:r w:rsidR="006F5DCF">
        <w:rPr>
          <w:sz w:val="24"/>
        </w:rPr>
        <w:t>T</w:t>
      </w:r>
      <w:r w:rsidRPr="008D46B0">
        <w:rPr>
          <w:sz w:val="24"/>
        </w:rPr>
        <w:t xml:space="preserve">he Branch Theory as successfully aiding the study of homosexuality in this time period. The main conclusion drawn from this study is that the development of a new formula to aid studying homosexuality is vital for the longevity of researching this subject and for studies to catch up to the level of investigation other aspects of sexuality and gender studies have reached. The negligence homosexual research has received over the last few centuries due to the stigma attached to the subject has left much research to be done, the development and inclusion of a formulaic ritual to studying homosexuality will increase the speed and level of accuracy in further homosexual research, as well as providing a clear way of viewing homosexuality in history. </w:t>
      </w:r>
    </w:p>
    <w:p w14:paraId="21515B66" w14:textId="41F90D5E" w:rsidR="008D46B0" w:rsidRPr="008D46B0" w:rsidRDefault="008D46B0" w:rsidP="007F2DC0">
      <w:pPr>
        <w:spacing w:line="360" w:lineRule="auto"/>
        <w:rPr>
          <w:sz w:val="24"/>
        </w:rPr>
      </w:pPr>
      <w:r w:rsidRPr="008D46B0">
        <w:rPr>
          <w:sz w:val="24"/>
        </w:rPr>
        <w:lastRenderedPageBreak/>
        <w:t xml:space="preserve">This dissertation recommends the further investigation into </w:t>
      </w:r>
      <w:r w:rsidR="006F5DCF">
        <w:rPr>
          <w:sz w:val="24"/>
        </w:rPr>
        <w:t>T</w:t>
      </w:r>
      <w:r w:rsidRPr="008D46B0">
        <w:rPr>
          <w:sz w:val="24"/>
        </w:rPr>
        <w:t xml:space="preserve">he Branch Theory, or a formula of the same caliber, to understand whether this theory works as a translatable structure through multiple time periods. The more time periods and relationships that are applied to this theory, the greater understanding we will gain of how successful this formula is. My opinion is that this formula works comprehensively when applied to the homosexual relationships of Philippe, Duke d’Orléans and the contrasting relationships found in sixteenth and seventeenth-century France, however whether this theory works conclusively throughout all time periods will require further research to determine. </w:t>
      </w:r>
    </w:p>
    <w:p w14:paraId="3AA1A0E0" w14:textId="7F387639" w:rsidR="008D46B0" w:rsidRDefault="008D46B0" w:rsidP="007F2DC0">
      <w:pPr>
        <w:spacing w:line="360" w:lineRule="auto"/>
        <w:rPr>
          <w:sz w:val="24"/>
        </w:rPr>
      </w:pPr>
    </w:p>
    <w:p w14:paraId="341C6B4F" w14:textId="414D8041" w:rsidR="00E034B5" w:rsidRDefault="00E034B5" w:rsidP="007F2DC0">
      <w:pPr>
        <w:spacing w:line="360" w:lineRule="auto"/>
        <w:rPr>
          <w:sz w:val="24"/>
        </w:rPr>
      </w:pPr>
    </w:p>
    <w:p w14:paraId="553E0D30" w14:textId="488CC088" w:rsidR="00E034B5" w:rsidRDefault="00E034B5" w:rsidP="007F2DC0">
      <w:pPr>
        <w:spacing w:line="360" w:lineRule="auto"/>
        <w:rPr>
          <w:sz w:val="24"/>
        </w:rPr>
      </w:pPr>
    </w:p>
    <w:p w14:paraId="5AC2EFEE" w14:textId="037B6517" w:rsidR="00E034B5" w:rsidRDefault="00E034B5" w:rsidP="007F2DC0">
      <w:pPr>
        <w:spacing w:line="360" w:lineRule="auto"/>
        <w:rPr>
          <w:sz w:val="24"/>
        </w:rPr>
      </w:pPr>
    </w:p>
    <w:p w14:paraId="2FE1DEDA" w14:textId="072F0D37" w:rsidR="00E034B5" w:rsidRDefault="00E034B5" w:rsidP="007F2DC0">
      <w:pPr>
        <w:spacing w:line="360" w:lineRule="auto"/>
        <w:rPr>
          <w:sz w:val="24"/>
        </w:rPr>
      </w:pPr>
    </w:p>
    <w:p w14:paraId="331ABD6A" w14:textId="23E15B75" w:rsidR="00E034B5" w:rsidRDefault="00E034B5" w:rsidP="007F2DC0">
      <w:pPr>
        <w:spacing w:line="360" w:lineRule="auto"/>
        <w:rPr>
          <w:sz w:val="24"/>
        </w:rPr>
      </w:pPr>
    </w:p>
    <w:p w14:paraId="177E6A14" w14:textId="67B83B2F" w:rsidR="00E034B5" w:rsidRDefault="00E034B5" w:rsidP="007F2DC0">
      <w:pPr>
        <w:spacing w:line="360" w:lineRule="auto"/>
        <w:rPr>
          <w:sz w:val="24"/>
        </w:rPr>
      </w:pPr>
    </w:p>
    <w:p w14:paraId="21C36393" w14:textId="5FCFCEA6" w:rsidR="00E034B5" w:rsidRDefault="00E034B5" w:rsidP="007F2DC0">
      <w:pPr>
        <w:spacing w:line="360" w:lineRule="auto"/>
        <w:rPr>
          <w:sz w:val="24"/>
        </w:rPr>
      </w:pPr>
    </w:p>
    <w:p w14:paraId="4237A4C0" w14:textId="6BB8298C" w:rsidR="00E034B5" w:rsidRDefault="00E034B5" w:rsidP="007F2DC0">
      <w:pPr>
        <w:spacing w:line="360" w:lineRule="auto"/>
        <w:rPr>
          <w:sz w:val="24"/>
        </w:rPr>
      </w:pPr>
    </w:p>
    <w:p w14:paraId="131ECADC" w14:textId="1F591C16" w:rsidR="00E034B5" w:rsidRDefault="00E034B5" w:rsidP="007F2DC0">
      <w:pPr>
        <w:spacing w:line="360" w:lineRule="auto"/>
        <w:rPr>
          <w:sz w:val="24"/>
        </w:rPr>
      </w:pPr>
    </w:p>
    <w:p w14:paraId="38973A61" w14:textId="1CA77288" w:rsidR="00E034B5" w:rsidRDefault="00E034B5" w:rsidP="007F2DC0">
      <w:pPr>
        <w:spacing w:line="360" w:lineRule="auto"/>
        <w:rPr>
          <w:sz w:val="24"/>
        </w:rPr>
      </w:pPr>
    </w:p>
    <w:p w14:paraId="5EE19655" w14:textId="0F512D4C" w:rsidR="00E034B5" w:rsidRDefault="00E034B5" w:rsidP="007F2DC0">
      <w:pPr>
        <w:spacing w:line="360" w:lineRule="auto"/>
        <w:rPr>
          <w:sz w:val="24"/>
        </w:rPr>
      </w:pPr>
    </w:p>
    <w:p w14:paraId="38437E19" w14:textId="1049557C" w:rsidR="00E034B5" w:rsidRDefault="00E034B5" w:rsidP="007F2DC0">
      <w:pPr>
        <w:spacing w:line="360" w:lineRule="auto"/>
        <w:rPr>
          <w:sz w:val="24"/>
        </w:rPr>
      </w:pPr>
    </w:p>
    <w:p w14:paraId="686125B3" w14:textId="71F031F2" w:rsidR="00E034B5" w:rsidRDefault="00E034B5" w:rsidP="007F2DC0">
      <w:pPr>
        <w:spacing w:line="360" w:lineRule="auto"/>
        <w:rPr>
          <w:sz w:val="24"/>
        </w:rPr>
      </w:pPr>
    </w:p>
    <w:p w14:paraId="26B8FCAA" w14:textId="780DC973" w:rsidR="00E034B5" w:rsidRDefault="00E034B5" w:rsidP="007F2DC0">
      <w:pPr>
        <w:spacing w:line="360" w:lineRule="auto"/>
        <w:rPr>
          <w:sz w:val="24"/>
        </w:rPr>
      </w:pPr>
    </w:p>
    <w:p w14:paraId="2116F705" w14:textId="417FDF52" w:rsidR="00E034B5" w:rsidRDefault="00E034B5" w:rsidP="007F2DC0">
      <w:pPr>
        <w:spacing w:line="360" w:lineRule="auto"/>
        <w:rPr>
          <w:sz w:val="24"/>
        </w:rPr>
      </w:pPr>
    </w:p>
    <w:p w14:paraId="2B214EDC" w14:textId="37DB2B0F" w:rsidR="00E034B5" w:rsidRDefault="00E034B5" w:rsidP="007F2DC0">
      <w:pPr>
        <w:spacing w:line="360" w:lineRule="auto"/>
        <w:rPr>
          <w:sz w:val="24"/>
        </w:rPr>
      </w:pPr>
    </w:p>
    <w:p w14:paraId="6E0FAFD2" w14:textId="34212EE6" w:rsidR="00E034B5" w:rsidRDefault="00E034B5" w:rsidP="007F2DC0">
      <w:pPr>
        <w:spacing w:line="360" w:lineRule="auto"/>
        <w:rPr>
          <w:sz w:val="24"/>
        </w:rPr>
      </w:pPr>
    </w:p>
    <w:p w14:paraId="1F5C2368" w14:textId="2CC71E14" w:rsidR="00E034B5" w:rsidRDefault="00E034B5" w:rsidP="007F2DC0">
      <w:pPr>
        <w:spacing w:line="360" w:lineRule="auto"/>
        <w:rPr>
          <w:sz w:val="24"/>
        </w:rPr>
      </w:pPr>
    </w:p>
    <w:p w14:paraId="6DD9C22D" w14:textId="06B107AD" w:rsidR="00E034B5" w:rsidRDefault="00E034B5" w:rsidP="007F2DC0">
      <w:pPr>
        <w:spacing w:line="360" w:lineRule="auto"/>
        <w:rPr>
          <w:sz w:val="24"/>
        </w:rPr>
      </w:pPr>
    </w:p>
    <w:p w14:paraId="1D4E7DAB" w14:textId="6737C74F" w:rsidR="00E034B5" w:rsidRDefault="00E034B5" w:rsidP="007F2DC0">
      <w:pPr>
        <w:spacing w:line="360" w:lineRule="auto"/>
        <w:rPr>
          <w:sz w:val="24"/>
        </w:rPr>
      </w:pPr>
    </w:p>
    <w:p w14:paraId="61E618C2" w14:textId="1758136B" w:rsidR="00E034B5" w:rsidRDefault="00E034B5" w:rsidP="007F2DC0">
      <w:pPr>
        <w:spacing w:line="360" w:lineRule="auto"/>
        <w:rPr>
          <w:sz w:val="24"/>
        </w:rPr>
      </w:pPr>
    </w:p>
    <w:p w14:paraId="5B573F95" w14:textId="32052F5C" w:rsidR="00E034B5" w:rsidRDefault="00E034B5" w:rsidP="007F2DC0">
      <w:pPr>
        <w:spacing w:line="360" w:lineRule="auto"/>
        <w:rPr>
          <w:sz w:val="24"/>
        </w:rPr>
      </w:pPr>
    </w:p>
    <w:p w14:paraId="54934A45" w14:textId="4DDEAB03" w:rsidR="00E034B5" w:rsidRDefault="00E034B5" w:rsidP="007F2DC0">
      <w:pPr>
        <w:spacing w:line="360" w:lineRule="auto"/>
        <w:rPr>
          <w:sz w:val="24"/>
        </w:rPr>
      </w:pPr>
    </w:p>
    <w:p w14:paraId="3FF774F6" w14:textId="2467A2FF" w:rsidR="00E034B5" w:rsidRDefault="00E034B5" w:rsidP="007F2DC0">
      <w:pPr>
        <w:spacing w:line="360" w:lineRule="auto"/>
        <w:rPr>
          <w:sz w:val="24"/>
        </w:rPr>
      </w:pPr>
    </w:p>
    <w:p w14:paraId="526A7B5E" w14:textId="37F0368F" w:rsidR="00E034B5" w:rsidRDefault="00E034B5" w:rsidP="007F2DC0">
      <w:pPr>
        <w:spacing w:line="360" w:lineRule="auto"/>
        <w:rPr>
          <w:sz w:val="24"/>
        </w:rPr>
      </w:pPr>
    </w:p>
    <w:p w14:paraId="1F8337D2" w14:textId="51F9A436" w:rsidR="00E034B5" w:rsidRPr="00BF6FAD" w:rsidRDefault="00BF6FAD" w:rsidP="00851A49">
      <w:pPr>
        <w:spacing w:line="360" w:lineRule="auto"/>
        <w:jc w:val="center"/>
        <w:rPr>
          <w:b/>
          <w:sz w:val="24"/>
          <w:u w:val="single"/>
        </w:rPr>
      </w:pPr>
      <w:r w:rsidRPr="00BF6FAD">
        <w:rPr>
          <w:b/>
          <w:sz w:val="24"/>
          <w:u w:val="single"/>
        </w:rPr>
        <w:lastRenderedPageBreak/>
        <w:t>A</w:t>
      </w:r>
      <w:r w:rsidR="00E034B5" w:rsidRPr="00BF6FAD">
        <w:rPr>
          <w:b/>
          <w:sz w:val="24"/>
          <w:u w:val="single"/>
        </w:rPr>
        <w:t>cknowledgements</w:t>
      </w:r>
      <w:r w:rsidRPr="00BF6FAD">
        <w:rPr>
          <w:b/>
          <w:sz w:val="24"/>
          <w:u w:val="single"/>
        </w:rPr>
        <w:t>:</w:t>
      </w:r>
    </w:p>
    <w:p w14:paraId="21389784" w14:textId="13196472" w:rsidR="00E034B5" w:rsidRDefault="00E034B5" w:rsidP="007F2DC0">
      <w:pPr>
        <w:spacing w:line="360" w:lineRule="auto"/>
        <w:rPr>
          <w:sz w:val="24"/>
        </w:rPr>
      </w:pPr>
    </w:p>
    <w:p w14:paraId="502F1373" w14:textId="32EB33AD" w:rsidR="00E034B5" w:rsidRDefault="00AF50B1" w:rsidP="007F2DC0">
      <w:pPr>
        <w:spacing w:line="360" w:lineRule="auto"/>
        <w:rPr>
          <w:sz w:val="24"/>
        </w:rPr>
      </w:pPr>
      <w:r>
        <w:rPr>
          <w:sz w:val="24"/>
        </w:rPr>
        <w:t xml:space="preserve">I would like to acknowledge the support and thank </w:t>
      </w:r>
      <w:r w:rsidR="00E310C0">
        <w:rPr>
          <w:sz w:val="24"/>
        </w:rPr>
        <w:t xml:space="preserve">the following people for their importance in the finalising of this dissertation and </w:t>
      </w:r>
      <w:r w:rsidR="0054098F">
        <w:rPr>
          <w:sz w:val="24"/>
        </w:rPr>
        <w:t xml:space="preserve">the completion of my undergraduate degree. </w:t>
      </w:r>
    </w:p>
    <w:p w14:paraId="042A3A22" w14:textId="0EFBF5FC" w:rsidR="0054098F" w:rsidRDefault="0054098F" w:rsidP="007F2DC0">
      <w:pPr>
        <w:spacing w:line="360" w:lineRule="auto"/>
        <w:rPr>
          <w:sz w:val="24"/>
        </w:rPr>
      </w:pPr>
    </w:p>
    <w:p w14:paraId="73187E8A" w14:textId="1737F5D5" w:rsidR="0054098F" w:rsidRDefault="0054098F" w:rsidP="007F2DC0">
      <w:pPr>
        <w:spacing w:line="360" w:lineRule="auto"/>
        <w:rPr>
          <w:sz w:val="24"/>
        </w:rPr>
      </w:pPr>
      <w:r>
        <w:rPr>
          <w:sz w:val="24"/>
        </w:rPr>
        <w:t xml:space="preserve">Firstly, I would like to </w:t>
      </w:r>
      <w:r w:rsidR="009837B2">
        <w:rPr>
          <w:sz w:val="24"/>
        </w:rPr>
        <w:t>express my gratitude towards Harriett Web</w:t>
      </w:r>
      <w:r w:rsidR="00C2307D">
        <w:rPr>
          <w:sz w:val="24"/>
        </w:rPr>
        <w:t>ster for her unwavering support throughout the duration of my degree, as well as her tireless</w:t>
      </w:r>
      <w:r w:rsidR="0044510A">
        <w:rPr>
          <w:sz w:val="24"/>
        </w:rPr>
        <w:t xml:space="preserve"> motivation and guidance as my dissertation supervisor. </w:t>
      </w:r>
    </w:p>
    <w:p w14:paraId="58DEAA6B" w14:textId="713CB3FE" w:rsidR="0044510A" w:rsidRDefault="0044510A" w:rsidP="007F2DC0">
      <w:pPr>
        <w:spacing w:line="360" w:lineRule="auto"/>
        <w:rPr>
          <w:sz w:val="24"/>
        </w:rPr>
      </w:pPr>
    </w:p>
    <w:p w14:paraId="4DE7E2E4" w14:textId="10BA5A05" w:rsidR="00E034B5" w:rsidRDefault="00C44DB8" w:rsidP="007F2DC0">
      <w:pPr>
        <w:spacing w:line="360" w:lineRule="auto"/>
        <w:rPr>
          <w:sz w:val="24"/>
        </w:rPr>
      </w:pPr>
      <w:r>
        <w:rPr>
          <w:sz w:val="24"/>
        </w:rPr>
        <w:t>I would also like to thank Lester Mason for his helpful insights</w:t>
      </w:r>
      <w:r w:rsidR="002906C1">
        <w:rPr>
          <w:sz w:val="24"/>
        </w:rPr>
        <w:t xml:space="preserve"> and guidance</w:t>
      </w:r>
      <w:r>
        <w:rPr>
          <w:sz w:val="24"/>
        </w:rPr>
        <w:t xml:space="preserve"> into my dissertation </w:t>
      </w:r>
      <w:r w:rsidR="002906C1">
        <w:rPr>
          <w:sz w:val="24"/>
        </w:rPr>
        <w:t xml:space="preserve">topic. </w:t>
      </w:r>
    </w:p>
    <w:p w14:paraId="744F6EAA" w14:textId="581C36F9" w:rsidR="00E034B5" w:rsidRDefault="00E034B5" w:rsidP="007F2DC0">
      <w:pPr>
        <w:spacing w:line="360" w:lineRule="auto"/>
        <w:rPr>
          <w:sz w:val="24"/>
        </w:rPr>
      </w:pPr>
    </w:p>
    <w:p w14:paraId="4D75E166" w14:textId="3243C9DC" w:rsidR="002906C1" w:rsidRDefault="002906C1" w:rsidP="007F2DC0">
      <w:pPr>
        <w:spacing w:line="360" w:lineRule="auto"/>
        <w:rPr>
          <w:sz w:val="24"/>
        </w:rPr>
      </w:pPr>
      <w:r>
        <w:rPr>
          <w:sz w:val="24"/>
        </w:rPr>
        <w:t xml:space="preserve">Finally, I would like to thank my family and friends for </w:t>
      </w:r>
      <w:r w:rsidR="00546491">
        <w:rPr>
          <w:sz w:val="24"/>
        </w:rPr>
        <w:t xml:space="preserve">encouraging me to pursue a degree and dissertation topic that I am passionate about and supporting me along the way. </w:t>
      </w:r>
    </w:p>
    <w:p w14:paraId="6DA3C60D" w14:textId="3EF1C55A" w:rsidR="00F10F7F" w:rsidRDefault="00F10F7F" w:rsidP="007F2DC0">
      <w:pPr>
        <w:spacing w:line="360" w:lineRule="auto"/>
        <w:rPr>
          <w:sz w:val="24"/>
        </w:rPr>
      </w:pPr>
    </w:p>
    <w:p w14:paraId="423AA5E7" w14:textId="1838F43C" w:rsidR="00E034B5" w:rsidRDefault="00F10F7F" w:rsidP="007F2DC0">
      <w:pPr>
        <w:spacing w:line="360" w:lineRule="auto"/>
        <w:rPr>
          <w:sz w:val="24"/>
        </w:rPr>
      </w:pPr>
      <w:r>
        <w:rPr>
          <w:sz w:val="24"/>
        </w:rPr>
        <w:t>I am incredibly grateful for everyone who ha</w:t>
      </w:r>
      <w:r w:rsidR="00301FDD">
        <w:rPr>
          <w:sz w:val="24"/>
        </w:rPr>
        <w:t xml:space="preserve">s motivated me to achieve such a rewarding milestone in my academic journey, </w:t>
      </w:r>
      <w:r w:rsidR="00CD3C01">
        <w:rPr>
          <w:sz w:val="24"/>
        </w:rPr>
        <w:t xml:space="preserve">I couldn’t have done it without your support. </w:t>
      </w:r>
    </w:p>
    <w:p w14:paraId="6BAA0645" w14:textId="5944999A" w:rsidR="00E034B5" w:rsidRDefault="00E034B5" w:rsidP="007F2DC0">
      <w:pPr>
        <w:spacing w:line="360" w:lineRule="auto"/>
        <w:rPr>
          <w:sz w:val="24"/>
        </w:rPr>
      </w:pPr>
    </w:p>
    <w:p w14:paraId="709C8E81" w14:textId="14504DD6" w:rsidR="00E034B5" w:rsidRDefault="00E034B5" w:rsidP="007F2DC0">
      <w:pPr>
        <w:spacing w:line="360" w:lineRule="auto"/>
        <w:rPr>
          <w:sz w:val="24"/>
        </w:rPr>
      </w:pPr>
    </w:p>
    <w:p w14:paraId="307EE758" w14:textId="0F7DDDF5" w:rsidR="00E034B5" w:rsidRDefault="00E034B5" w:rsidP="007F2DC0">
      <w:pPr>
        <w:spacing w:line="360" w:lineRule="auto"/>
        <w:rPr>
          <w:sz w:val="24"/>
        </w:rPr>
      </w:pPr>
    </w:p>
    <w:p w14:paraId="6AB8C250" w14:textId="4D036DC0" w:rsidR="00E034B5" w:rsidRDefault="00E034B5" w:rsidP="007F2DC0">
      <w:pPr>
        <w:spacing w:line="360" w:lineRule="auto"/>
        <w:rPr>
          <w:sz w:val="24"/>
        </w:rPr>
      </w:pPr>
    </w:p>
    <w:p w14:paraId="17962DCD" w14:textId="5EAD25F2" w:rsidR="00E034B5" w:rsidRDefault="00E034B5" w:rsidP="007F2DC0">
      <w:pPr>
        <w:spacing w:line="360" w:lineRule="auto"/>
        <w:rPr>
          <w:sz w:val="24"/>
        </w:rPr>
      </w:pPr>
    </w:p>
    <w:p w14:paraId="669BE62D" w14:textId="05DA316E" w:rsidR="00E034B5" w:rsidRDefault="00E034B5" w:rsidP="007F2DC0">
      <w:pPr>
        <w:spacing w:line="360" w:lineRule="auto"/>
        <w:rPr>
          <w:sz w:val="24"/>
        </w:rPr>
      </w:pPr>
    </w:p>
    <w:p w14:paraId="1EA6FDB6" w14:textId="0760042A" w:rsidR="00E034B5" w:rsidRDefault="00E034B5" w:rsidP="007F2DC0">
      <w:pPr>
        <w:spacing w:line="360" w:lineRule="auto"/>
        <w:rPr>
          <w:sz w:val="24"/>
        </w:rPr>
      </w:pPr>
    </w:p>
    <w:p w14:paraId="098C78F5" w14:textId="6D08FD3B" w:rsidR="00E034B5" w:rsidRDefault="00E034B5" w:rsidP="007F2DC0">
      <w:pPr>
        <w:spacing w:line="360" w:lineRule="auto"/>
        <w:rPr>
          <w:sz w:val="24"/>
        </w:rPr>
      </w:pPr>
    </w:p>
    <w:p w14:paraId="0CE7C369" w14:textId="768B1ABA" w:rsidR="00E034B5" w:rsidRDefault="00E034B5" w:rsidP="007F2DC0">
      <w:pPr>
        <w:spacing w:line="360" w:lineRule="auto"/>
        <w:rPr>
          <w:sz w:val="24"/>
        </w:rPr>
      </w:pPr>
    </w:p>
    <w:p w14:paraId="69CD71CE" w14:textId="238F3DC5" w:rsidR="00E034B5" w:rsidRDefault="00E034B5" w:rsidP="007F2DC0">
      <w:pPr>
        <w:spacing w:line="360" w:lineRule="auto"/>
        <w:rPr>
          <w:sz w:val="24"/>
        </w:rPr>
      </w:pPr>
    </w:p>
    <w:p w14:paraId="0B29496E" w14:textId="49F2AB72" w:rsidR="00E034B5" w:rsidRDefault="00E034B5" w:rsidP="007F2DC0">
      <w:pPr>
        <w:spacing w:line="360" w:lineRule="auto"/>
        <w:rPr>
          <w:sz w:val="24"/>
        </w:rPr>
      </w:pPr>
    </w:p>
    <w:p w14:paraId="5338082B" w14:textId="77777777" w:rsidR="002670AC" w:rsidRDefault="002670AC" w:rsidP="007F2DC0">
      <w:pPr>
        <w:spacing w:line="360" w:lineRule="auto"/>
        <w:rPr>
          <w:sz w:val="24"/>
        </w:rPr>
      </w:pPr>
    </w:p>
    <w:p w14:paraId="7D95EB9A" w14:textId="77777777" w:rsidR="00FA6CE8" w:rsidRDefault="00FA6CE8" w:rsidP="007F2DC0">
      <w:pPr>
        <w:spacing w:line="360" w:lineRule="auto"/>
        <w:rPr>
          <w:sz w:val="24"/>
        </w:rPr>
      </w:pPr>
    </w:p>
    <w:p w14:paraId="6F1E18C6" w14:textId="77777777" w:rsidR="00FA6CE8" w:rsidRDefault="00FA6CE8" w:rsidP="007F2DC0">
      <w:pPr>
        <w:spacing w:line="360" w:lineRule="auto"/>
        <w:rPr>
          <w:sz w:val="24"/>
        </w:rPr>
      </w:pPr>
    </w:p>
    <w:p w14:paraId="2D61FEE0" w14:textId="77777777" w:rsidR="00FA6CE8" w:rsidRDefault="00FA6CE8" w:rsidP="007F2DC0">
      <w:pPr>
        <w:spacing w:line="360" w:lineRule="auto"/>
        <w:rPr>
          <w:sz w:val="24"/>
        </w:rPr>
      </w:pPr>
    </w:p>
    <w:p w14:paraId="61D8D7B7" w14:textId="625BCCDC" w:rsidR="00FA6CE8" w:rsidRDefault="00FA6CE8" w:rsidP="007F2DC0">
      <w:pPr>
        <w:spacing w:line="360" w:lineRule="auto"/>
        <w:rPr>
          <w:sz w:val="24"/>
        </w:rPr>
      </w:pPr>
    </w:p>
    <w:p w14:paraId="76CF091B" w14:textId="77777777" w:rsidR="00FA6CE8" w:rsidRDefault="00FA6CE8" w:rsidP="007F2DC0">
      <w:pPr>
        <w:spacing w:line="360" w:lineRule="auto"/>
        <w:rPr>
          <w:sz w:val="24"/>
        </w:rPr>
      </w:pPr>
    </w:p>
    <w:p w14:paraId="56D87819" w14:textId="77777777" w:rsidR="00FA6CE8" w:rsidRDefault="00FA6CE8" w:rsidP="00FA6CE8">
      <w:pPr>
        <w:spacing w:line="360" w:lineRule="auto"/>
        <w:jc w:val="center"/>
        <w:rPr>
          <w:b/>
          <w:sz w:val="24"/>
          <w:szCs w:val="24"/>
          <w:u w:val="single"/>
        </w:rPr>
      </w:pPr>
      <w:r w:rsidRPr="00E034B5">
        <w:rPr>
          <w:b/>
          <w:sz w:val="24"/>
          <w:szCs w:val="24"/>
          <w:u w:val="single"/>
        </w:rPr>
        <w:lastRenderedPageBreak/>
        <w:t>The People:</w:t>
      </w:r>
    </w:p>
    <w:p w14:paraId="49843125" w14:textId="77777777" w:rsidR="00FA6CE8" w:rsidRPr="00E034B5" w:rsidRDefault="00FA6CE8" w:rsidP="00FA6CE8">
      <w:pPr>
        <w:spacing w:line="360" w:lineRule="auto"/>
        <w:rPr>
          <w:b/>
          <w:sz w:val="24"/>
          <w:szCs w:val="24"/>
          <w:u w:val="single"/>
        </w:rPr>
      </w:pPr>
    </w:p>
    <w:p w14:paraId="6F5E3F04" w14:textId="77777777" w:rsidR="00FA6CE8" w:rsidRDefault="00FA6CE8" w:rsidP="00FA6CE8">
      <w:pPr>
        <w:spacing w:line="360" w:lineRule="auto"/>
        <w:rPr>
          <w:sz w:val="24"/>
          <w:szCs w:val="24"/>
        </w:rPr>
      </w:pPr>
      <w:r w:rsidRPr="00E034B5">
        <w:rPr>
          <w:sz w:val="24"/>
          <w:szCs w:val="24"/>
        </w:rPr>
        <w:t xml:space="preserve">With the thematic approach that will be taken in this exploration into the history of the homosexual identity, it is important to first establish the key players in this study. This research will focus on Philippe, Duke d’Orléans in the royal court of seventeenth-century France under the reign of Louis XIV and draw comparisons to two other French kings, Henri III and Louis XIII. These figures play important roles in the development of homoerotic identity in France and are crucial to the study of this time period. </w:t>
      </w:r>
    </w:p>
    <w:p w14:paraId="0DA46FD9" w14:textId="77777777" w:rsidR="00FA6CE8" w:rsidRPr="00E034B5" w:rsidRDefault="00FA6CE8" w:rsidP="00FA6CE8">
      <w:pPr>
        <w:spacing w:line="360" w:lineRule="auto"/>
        <w:rPr>
          <w:sz w:val="24"/>
          <w:szCs w:val="24"/>
        </w:rPr>
      </w:pPr>
    </w:p>
    <w:p w14:paraId="786380D1" w14:textId="77777777" w:rsidR="00FA6CE8" w:rsidRPr="00E034B5" w:rsidRDefault="00FA6CE8" w:rsidP="00FA6CE8">
      <w:pPr>
        <w:spacing w:line="360" w:lineRule="auto"/>
        <w:rPr>
          <w:sz w:val="24"/>
          <w:szCs w:val="24"/>
          <w:u w:val="single"/>
        </w:rPr>
      </w:pPr>
      <w:r w:rsidRPr="00E034B5">
        <w:rPr>
          <w:sz w:val="24"/>
          <w:szCs w:val="24"/>
          <w:u w:val="single"/>
        </w:rPr>
        <w:t>Henri III (1551-1589):</w:t>
      </w:r>
    </w:p>
    <w:p w14:paraId="1C51B97B" w14:textId="77777777" w:rsidR="00FA6CE8" w:rsidRDefault="00FA6CE8" w:rsidP="00FA6CE8">
      <w:pPr>
        <w:spacing w:line="360" w:lineRule="auto"/>
        <w:rPr>
          <w:sz w:val="24"/>
          <w:szCs w:val="24"/>
        </w:rPr>
      </w:pPr>
      <w:r w:rsidRPr="00E034B5">
        <w:rPr>
          <w:sz w:val="24"/>
          <w:szCs w:val="24"/>
        </w:rPr>
        <w:t>As an openly flamboyant ruler, Henri III received a large amount of criticism from his contemporaries, which eventually led to his assassination in 1589. He was a childless ruler, a crossdresser and a sodomite, which all led to his demise in the eyes of the French.</w:t>
      </w:r>
      <w:r w:rsidRPr="00E034B5">
        <w:rPr>
          <w:rStyle w:val="FootnoteReference"/>
          <w:sz w:val="24"/>
          <w:szCs w:val="24"/>
        </w:rPr>
        <w:footnoteReference w:id="1"/>
      </w:r>
      <w:r w:rsidRPr="00E034B5">
        <w:rPr>
          <w:sz w:val="24"/>
          <w:szCs w:val="24"/>
        </w:rPr>
        <w:t xml:space="preserve"> Pierre de L’Estoile notes that Henri was surrounded by </w:t>
      </w:r>
      <w:r w:rsidRPr="00E034B5">
        <w:rPr>
          <w:i/>
          <w:sz w:val="24"/>
          <w:szCs w:val="24"/>
        </w:rPr>
        <w:t>les mignons</w:t>
      </w:r>
      <w:r w:rsidRPr="00E034B5">
        <w:rPr>
          <w:sz w:val="24"/>
          <w:szCs w:val="24"/>
        </w:rPr>
        <w:t>, men who, by design, were there to be objects of Henri’s homoerotic persuasion.</w:t>
      </w:r>
      <w:r w:rsidRPr="00E034B5">
        <w:rPr>
          <w:rStyle w:val="FootnoteReference"/>
          <w:sz w:val="24"/>
          <w:szCs w:val="24"/>
        </w:rPr>
        <w:footnoteReference w:id="2"/>
      </w:r>
      <w:r w:rsidRPr="00E034B5">
        <w:rPr>
          <w:sz w:val="24"/>
          <w:szCs w:val="24"/>
        </w:rPr>
        <w:t xml:space="preserve"> </w:t>
      </w:r>
    </w:p>
    <w:p w14:paraId="0645585D" w14:textId="77777777" w:rsidR="00FA6CE8" w:rsidRPr="00E034B5" w:rsidRDefault="00FA6CE8" w:rsidP="00FA6CE8">
      <w:pPr>
        <w:spacing w:line="360" w:lineRule="auto"/>
        <w:rPr>
          <w:sz w:val="24"/>
          <w:szCs w:val="24"/>
        </w:rPr>
      </w:pPr>
    </w:p>
    <w:p w14:paraId="2D5B8F80" w14:textId="77777777" w:rsidR="00FA6CE8" w:rsidRPr="00E034B5" w:rsidRDefault="00FA6CE8" w:rsidP="00FA6CE8">
      <w:pPr>
        <w:spacing w:line="360" w:lineRule="auto"/>
        <w:rPr>
          <w:sz w:val="24"/>
          <w:szCs w:val="24"/>
          <w:u w:val="single"/>
        </w:rPr>
      </w:pPr>
      <w:r w:rsidRPr="00E034B5">
        <w:rPr>
          <w:sz w:val="24"/>
          <w:szCs w:val="24"/>
          <w:u w:val="single"/>
        </w:rPr>
        <w:t>Louis XIII (1601-1643):</w:t>
      </w:r>
    </w:p>
    <w:p w14:paraId="2C9CDF51" w14:textId="77777777" w:rsidR="00FA6CE8" w:rsidRDefault="00FA6CE8" w:rsidP="00FA6CE8">
      <w:pPr>
        <w:spacing w:line="360" w:lineRule="auto"/>
        <w:rPr>
          <w:sz w:val="24"/>
          <w:szCs w:val="24"/>
        </w:rPr>
      </w:pPr>
      <w:r w:rsidRPr="00E034B5">
        <w:rPr>
          <w:sz w:val="24"/>
          <w:szCs w:val="24"/>
        </w:rPr>
        <w:t>Louis XIII took the French throne in 1610 at only eight years old, at a time where the public lives of the European kings and queens had never been so openly viewed.</w:t>
      </w:r>
      <w:r w:rsidRPr="00E034B5">
        <w:rPr>
          <w:rStyle w:val="FootnoteReference"/>
          <w:sz w:val="24"/>
          <w:szCs w:val="24"/>
        </w:rPr>
        <w:footnoteReference w:id="3"/>
      </w:r>
      <w:r w:rsidRPr="00E034B5">
        <w:rPr>
          <w:sz w:val="24"/>
          <w:szCs w:val="24"/>
        </w:rPr>
        <w:t xml:space="preserve"> Homosexuals in this time period were forced to stay invisible, due to the ever-present scrutiny of the sexual orientation however as a king, this was impossible. His physician Jean Héroard documented every detail of the king’s life, from </w:t>
      </w:r>
      <w:r>
        <w:rPr>
          <w:sz w:val="24"/>
          <w:szCs w:val="24"/>
        </w:rPr>
        <w:t>Louis’</w:t>
      </w:r>
      <w:r w:rsidRPr="00E034B5">
        <w:rPr>
          <w:sz w:val="24"/>
          <w:szCs w:val="24"/>
        </w:rPr>
        <w:t xml:space="preserve"> birth to Héroard’s death in 1628, including many of his homosexual encounters. Despite being homosexual, Louis eventually had two children with his wife Anne of Austria.</w:t>
      </w:r>
      <w:r w:rsidRPr="00E034B5">
        <w:rPr>
          <w:rStyle w:val="FootnoteReference"/>
          <w:sz w:val="24"/>
          <w:szCs w:val="24"/>
        </w:rPr>
        <w:footnoteReference w:id="4"/>
      </w:r>
      <w:r w:rsidRPr="00E034B5">
        <w:rPr>
          <w:sz w:val="24"/>
          <w:szCs w:val="24"/>
        </w:rPr>
        <w:t xml:space="preserve"> </w:t>
      </w:r>
    </w:p>
    <w:p w14:paraId="192FFAA6" w14:textId="77777777" w:rsidR="00FA6CE8" w:rsidRPr="00E034B5" w:rsidRDefault="00FA6CE8" w:rsidP="00FA6CE8">
      <w:pPr>
        <w:spacing w:line="360" w:lineRule="auto"/>
        <w:rPr>
          <w:sz w:val="24"/>
          <w:szCs w:val="24"/>
        </w:rPr>
      </w:pPr>
    </w:p>
    <w:p w14:paraId="60AF6C13" w14:textId="77777777" w:rsidR="00FA6CE8" w:rsidRPr="00E034B5" w:rsidRDefault="00FA6CE8" w:rsidP="00FA6CE8">
      <w:pPr>
        <w:spacing w:line="360" w:lineRule="auto"/>
        <w:rPr>
          <w:sz w:val="24"/>
          <w:szCs w:val="24"/>
          <w:u w:val="single"/>
        </w:rPr>
      </w:pPr>
      <w:r w:rsidRPr="00E034B5">
        <w:rPr>
          <w:sz w:val="24"/>
          <w:szCs w:val="24"/>
          <w:u w:val="single"/>
        </w:rPr>
        <w:t xml:space="preserve">Louis XIV (1638-1715): </w:t>
      </w:r>
    </w:p>
    <w:p w14:paraId="44D1F077" w14:textId="77777777" w:rsidR="00FA6CE8" w:rsidRDefault="00FA6CE8" w:rsidP="00FA6CE8">
      <w:pPr>
        <w:spacing w:line="360" w:lineRule="auto"/>
        <w:rPr>
          <w:sz w:val="24"/>
          <w:szCs w:val="24"/>
        </w:rPr>
      </w:pPr>
      <w:r w:rsidRPr="00E034B5">
        <w:rPr>
          <w:sz w:val="24"/>
          <w:szCs w:val="24"/>
        </w:rPr>
        <w:t>The son of Louis XIII, Louis XIV took the throne after his father’s death in 1643 at only five years of age.</w:t>
      </w:r>
      <w:r w:rsidRPr="00E034B5">
        <w:rPr>
          <w:rStyle w:val="FootnoteReference"/>
          <w:sz w:val="24"/>
          <w:szCs w:val="24"/>
        </w:rPr>
        <w:footnoteReference w:id="5"/>
      </w:r>
      <w:r w:rsidRPr="00E034B5">
        <w:rPr>
          <w:sz w:val="24"/>
          <w:szCs w:val="24"/>
        </w:rPr>
        <w:t xml:space="preserve"> Known as the Sun King, Louis is famous for building the Palace of Versailles in place of his father’s hunting lodge that stood there before. He was a callous king who </w:t>
      </w:r>
      <w:r w:rsidRPr="00E034B5">
        <w:rPr>
          <w:sz w:val="24"/>
          <w:szCs w:val="24"/>
        </w:rPr>
        <w:lastRenderedPageBreak/>
        <w:t>enforced great laws against sodomy, especially in Paris, where homoerotic affairs were rife.</w:t>
      </w:r>
      <w:r w:rsidRPr="00E034B5">
        <w:rPr>
          <w:rStyle w:val="FootnoteReference"/>
          <w:sz w:val="24"/>
          <w:szCs w:val="24"/>
        </w:rPr>
        <w:footnoteReference w:id="6"/>
      </w:r>
      <w:r w:rsidRPr="00E034B5">
        <w:rPr>
          <w:sz w:val="24"/>
          <w:szCs w:val="24"/>
        </w:rPr>
        <w:t xml:space="preserve"> However, despite the ruthlessness of his laws, the court at Versailles saw many openly homosexual affairs and even crossdressing, most poignantly displayed by Louis’s only sibling, Philippe, Duke d’Orléans, a known sodomite.</w:t>
      </w:r>
      <w:r w:rsidRPr="00E034B5">
        <w:rPr>
          <w:rStyle w:val="FootnoteReference"/>
          <w:sz w:val="24"/>
          <w:szCs w:val="24"/>
        </w:rPr>
        <w:footnoteReference w:id="7"/>
      </w:r>
      <w:r w:rsidRPr="00E034B5">
        <w:rPr>
          <w:sz w:val="24"/>
          <w:szCs w:val="24"/>
        </w:rPr>
        <w:t xml:space="preserve">  </w:t>
      </w:r>
    </w:p>
    <w:p w14:paraId="4502DDB9" w14:textId="77777777" w:rsidR="00FA6CE8" w:rsidRPr="00E034B5" w:rsidRDefault="00FA6CE8" w:rsidP="00FA6CE8">
      <w:pPr>
        <w:spacing w:line="360" w:lineRule="auto"/>
        <w:rPr>
          <w:sz w:val="24"/>
          <w:szCs w:val="24"/>
        </w:rPr>
      </w:pPr>
    </w:p>
    <w:p w14:paraId="1A00C98B" w14:textId="77777777" w:rsidR="00FA6CE8" w:rsidRPr="00E034B5" w:rsidRDefault="00FA6CE8" w:rsidP="00FA6CE8">
      <w:pPr>
        <w:spacing w:line="360" w:lineRule="auto"/>
        <w:rPr>
          <w:sz w:val="24"/>
          <w:szCs w:val="24"/>
          <w:u w:val="single"/>
        </w:rPr>
      </w:pPr>
      <w:r w:rsidRPr="00E034B5">
        <w:rPr>
          <w:sz w:val="24"/>
          <w:szCs w:val="24"/>
          <w:u w:val="single"/>
        </w:rPr>
        <w:t>Philippe, Duke d’Orléans (1640-1701):</w:t>
      </w:r>
    </w:p>
    <w:p w14:paraId="2B4089FA" w14:textId="77777777" w:rsidR="00FA6CE8" w:rsidRDefault="00FA6CE8" w:rsidP="00FA6CE8">
      <w:pPr>
        <w:spacing w:line="360" w:lineRule="auto"/>
        <w:rPr>
          <w:sz w:val="24"/>
          <w:szCs w:val="24"/>
        </w:rPr>
      </w:pPr>
      <w:r w:rsidRPr="00E034B5">
        <w:rPr>
          <w:sz w:val="24"/>
          <w:szCs w:val="24"/>
        </w:rPr>
        <w:t>As an openly homosexual, crossdressing man under the reign of his brother Louis XIV, Philipp</w:t>
      </w:r>
      <w:r>
        <w:rPr>
          <w:sz w:val="24"/>
          <w:szCs w:val="24"/>
        </w:rPr>
        <w:t>e</w:t>
      </w:r>
      <w:r w:rsidRPr="00E034B5">
        <w:rPr>
          <w:sz w:val="24"/>
          <w:szCs w:val="24"/>
        </w:rPr>
        <w:t xml:space="preserve"> led a turbulent lifestyle. He married twice and had four legitimate children that survived past infancy, eleven children in total and</w:t>
      </w:r>
      <w:r>
        <w:rPr>
          <w:sz w:val="24"/>
          <w:szCs w:val="24"/>
        </w:rPr>
        <w:t xml:space="preserve"> was</w:t>
      </w:r>
      <w:r w:rsidRPr="00E034B5">
        <w:rPr>
          <w:sz w:val="24"/>
          <w:szCs w:val="24"/>
        </w:rPr>
        <w:t xml:space="preserve"> known almost exclusively as Monsieur.</w:t>
      </w:r>
      <w:r w:rsidRPr="00E034B5">
        <w:rPr>
          <w:rStyle w:val="FootnoteReference"/>
          <w:sz w:val="24"/>
          <w:szCs w:val="24"/>
        </w:rPr>
        <w:footnoteReference w:id="8"/>
      </w:r>
      <w:r w:rsidRPr="00E034B5">
        <w:rPr>
          <w:sz w:val="24"/>
          <w:szCs w:val="24"/>
        </w:rPr>
        <w:t xml:space="preserve"> However, he had many male lovers, of varying intensity, including Philippe, Chevalier de Lorraine, who became a life-long companion for Monsieur. His second wife, Elizabeth Charlotte wrote that Monsieur led a “shameful life in Paris”,</w:t>
      </w:r>
      <w:r w:rsidRPr="00E034B5">
        <w:rPr>
          <w:rStyle w:val="FootnoteReference"/>
          <w:sz w:val="24"/>
          <w:szCs w:val="24"/>
        </w:rPr>
        <w:footnoteReference w:id="9"/>
      </w:r>
      <w:r w:rsidRPr="00E034B5">
        <w:rPr>
          <w:sz w:val="24"/>
          <w:szCs w:val="24"/>
        </w:rPr>
        <w:t xml:space="preserve"> one that consisted of homoerotic acts that are crucial to the study of homosexual behaviour in this time period. </w:t>
      </w:r>
      <w:r>
        <w:rPr>
          <w:sz w:val="24"/>
          <w:szCs w:val="24"/>
        </w:rPr>
        <w:t xml:space="preserve">Due to the highly recorded nature and complexity of Philippe’s relationships, both homosexual and heterosexual, he is a viable and interesting figure to base this study around. </w:t>
      </w:r>
    </w:p>
    <w:p w14:paraId="65FA034D" w14:textId="77777777" w:rsidR="00FA6CE8" w:rsidRPr="00E034B5" w:rsidRDefault="00FA6CE8" w:rsidP="00FA6CE8">
      <w:pPr>
        <w:spacing w:line="360" w:lineRule="auto"/>
        <w:rPr>
          <w:sz w:val="24"/>
          <w:szCs w:val="24"/>
        </w:rPr>
      </w:pPr>
    </w:p>
    <w:p w14:paraId="435D85C0" w14:textId="77777777" w:rsidR="00FA6CE8" w:rsidRPr="00E034B5" w:rsidRDefault="00FA6CE8" w:rsidP="00FA6CE8">
      <w:pPr>
        <w:spacing w:line="360" w:lineRule="auto"/>
        <w:rPr>
          <w:sz w:val="24"/>
          <w:szCs w:val="24"/>
          <w:u w:val="single"/>
        </w:rPr>
      </w:pPr>
      <w:r w:rsidRPr="00E034B5">
        <w:rPr>
          <w:sz w:val="24"/>
          <w:szCs w:val="24"/>
          <w:u w:val="single"/>
        </w:rPr>
        <w:t>Philippe, Chevalier de Lorraine (1643-1702):</w:t>
      </w:r>
    </w:p>
    <w:p w14:paraId="75E0FC5A" w14:textId="77777777" w:rsidR="00FA6CE8" w:rsidRPr="00E034B5" w:rsidRDefault="00FA6CE8" w:rsidP="00FA6CE8">
      <w:pPr>
        <w:spacing w:line="360" w:lineRule="auto"/>
        <w:rPr>
          <w:sz w:val="24"/>
          <w:szCs w:val="24"/>
        </w:rPr>
      </w:pPr>
      <w:r w:rsidRPr="00E034B5">
        <w:rPr>
          <w:sz w:val="24"/>
          <w:szCs w:val="24"/>
        </w:rPr>
        <w:t xml:space="preserve">Quite possibly the most fascinating character of them all, </w:t>
      </w:r>
      <w:r>
        <w:rPr>
          <w:sz w:val="24"/>
          <w:szCs w:val="24"/>
        </w:rPr>
        <w:t xml:space="preserve">the </w:t>
      </w:r>
      <w:r w:rsidRPr="00E034B5">
        <w:rPr>
          <w:sz w:val="24"/>
          <w:szCs w:val="24"/>
        </w:rPr>
        <w:t>Chevalier led a complicated life that was not well documented, and therefore shows signs of three of the four branches of homosexuality. He was the greatest love of Monsieur’s life,</w:t>
      </w:r>
      <w:r w:rsidRPr="00E034B5">
        <w:rPr>
          <w:rStyle w:val="FootnoteReference"/>
          <w:sz w:val="24"/>
          <w:szCs w:val="24"/>
        </w:rPr>
        <w:footnoteReference w:id="10"/>
      </w:r>
      <w:r w:rsidRPr="00E034B5">
        <w:rPr>
          <w:sz w:val="24"/>
          <w:szCs w:val="24"/>
        </w:rPr>
        <w:t xml:space="preserve"> the second son of Henri de Lorraine, </w:t>
      </w:r>
      <w:proofErr w:type="spellStart"/>
      <w:r w:rsidRPr="00E034B5">
        <w:rPr>
          <w:sz w:val="24"/>
          <w:szCs w:val="24"/>
        </w:rPr>
        <w:t>comte</w:t>
      </w:r>
      <w:proofErr w:type="spellEnd"/>
      <w:r w:rsidRPr="00E034B5">
        <w:rPr>
          <w:sz w:val="24"/>
          <w:szCs w:val="24"/>
        </w:rPr>
        <w:t xml:space="preserve"> </w:t>
      </w:r>
      <w:proofErr w:type="spellStart"/>
      <w:r w:rsidRPr="00E034B5">
        <w:rPr>
          <w:sz w:val="24"/>
          <w:szCs w:val="24"/>
        </w:rPr>
        <w:t>d’Armagnac</w:t>
      </w:r>
      <w:proofErr w:type="spellEnd"/>
      <w:r w:rsidRPr="00E034B5">
        <w:rPr>
          <w:sz w:val="24"/>
          <w:szCs w:val="24"/>
        </w:rPr>
        <w:t xml:space="preserve"> and Grand </w:t>
      </w:r>
      <w:proofErr w:type="spellStart"/>
      <w:r w:rsidRPr="00E034B5">
        <w:rPr>
          <w:sz w:val="24"/>
          <w:szCs w:val="24"/>
        </w:rPr>
        <w:t>Ecuyer</w:t>
      </w:r>
      <w:proofErr w:type="spellEnd"/>
      <w:r w:rsidRPr="00E034B5">
        <w:rPr>
          <w:sz w:val="24"/>
          <w:szCs w:val="24"/>
        </w:rPr>
        <w:t xml:space="preserve"> de France and a member of the household de Lorraine.</w:t>
      </w:r>
      <w:r w:rsidRPr="00E034B5">
        <w:rPr>
          <w:rStyle w:val="FootnoteReference"/>
          <w:sz w:val="24"/>
          <w:szCs w:val="24"/>
        </w:rPr>
        <w:footnoteReference w:id="11"/>
      </w:r>
      <w:r w:rsidRPr="00E034B5">
        <w:rPr>
          <w:sz w:val="24"/>
          <w:szCs w:val="24"/>
        </w:rPr>
        <w:t xml:space="preserve"> </w:t>
      </w:r>
    </w:p>
    <w:p w14:paraId="533DEE39" w14:textId="77777777" w:rsidR="00FA6CE8" w:rsidRPr="00E034B5" w:rsidRDefault="00FA6CE8" w:rsidP="00FA6CE8">
      <w:pPr>
        <w:spacing w:line="360" w:lineRule="auto"/>
        <w:rPr>
          <w:sz w:val="24"/>
          <w:szCs w:val="24"/>
        </w:rPr>
      </w:pPr>
    </w:p>
    <w:p w14:paraId="09E8DF58" w14:textId="77777777" w:rsidR="00FA6CE8" w:rsidRDefault="00FA6CE8" w:rsidP="00FA6CE8">
      <w:pPr>
        <w:spacing w:line="360" w:lineRule="auto"/>
        <w:rPr>
          <w:sz w:val="24"/>
          <w:szCs w:val="24"/>
        </w:rPr>
      </w:pPr>
    </w:p>
    <w:p w14:paraId="45CCF641" w14:textId="77777777" w:rsidR="00FA6CE8" w:rsidRDefault="00FA6CE8" w:rsidP="00FA6CE8">
      <w:pPr>
        <w:spacing w:line="360" w:lineRule="auto"/>
        <w:rPr>
          <w:sz w:val="24"/>
          <w:szCs w:val="24"/>
        </w:rPr>
      </w:pPr>
    </w:p>
    <w:p w14:paraId="630FF9CC" w14:textId="77777777" w:rsidR="00FA6CE8" w:rsidRDefault="00FA6CE8" w:rsidP="00FA6CE8">
      <w:pPr>
        <w:spacing w:line="360" w:lineRule="auto"/>
        <w:rPr>
          <w:sz w:val="24"/>
          <w:szCs w:val="24"/>
        </w:rPr>
      </w:pPr>
    </w:p>
    <w:p w14:paraId="76EEED4F" w14:textId="77777777" w:rsidR="00FA6CE8" w:rsidRDefault="00FA6CE8" w:rsidP="00FA6CE8">
      <w:pPr>
        <w:spacing w:line="360" w:lineRule="auto"/>
        <w:rPr>
          <w:b/>
          <w:sz w:val="24"/>
          <w:szCs w:val="24"/>
          <w:u w:val="single"/>
        </w:rPr>
      </w:pPr>
    </w:p>
    <w:p w14:paraId="6B19EE9E" w14:textId="57EE08EA" w:rsidR="00FA6CE8" w:rsidRDefault="00FA6CE8" w:rsidP="007F2DC0">
      <w:pPr>
        <w:spacing w:line="360" w:lineRule="auto"/>
        <w:rPr>
          <w:sz w:val="24"/>
        </w:rPr>
        <w:sectPr w:rsidR="00FA6CE8" w:rsidSect="00E32DA9">
          <w:pgSz w:w="11906" w:h="16838" w:code="9"/>
          <w:pgMar w:top="1440" w:right="1440" w:bottom="1440" w:left="1440" w:header="709" w:footer="709" w:gutter="0"/>
          <w:pgNumType w:fmt="lowerRoman" w:start="2"/>
          <w:cols w:space="708"/>
          <w:docGrid w:linePitch="360"/>
        </w:sectPr>
      </w:pPr>
    </w:p>
    <w:p w14:paraId="5C990CF0" w14:textId="766B8BBA" w:rsidR="00E034B5" w:rsidRPr="006D0A04" w:rsidRDefault="002B1C02" w:rsidP="00851A49">
      <w:pPr>
        <w:spacing w:after="160" w:line="259" w:lineRule="auto"/>
        <w:jc w:val="center"/>
        <w:rPr>
          <w:sz w:val="24"/>
        </w:rPr>
      </w:pPr>
      <w:r>
        <w:rPr>
          <w:b/>
          <w:sz w:val="24"/>
          <w:u w:val="single"/>
        </w:rPr>
        <w:lastRenderedPageBreak/>
        <w:t>Introduction</w:t>
      </w:r>
      <w:r w:rsidR="00E034B5" w:rsidRPr="00CB51A7">
        <w:rPr>
          <w:b/>
          <w:sz w:val="24"/>
          <w:u w:val="single"/>
        </w:rPr>
        <w:t>:</w:t>
      </w:r>
      <w:r w:rsidR="000C356D">
        <w:rPr>
          <w:b/>
          <w:sz w:val="24"/>
          <w:u w:val="single"/>
        </w:rPr>
        <w:br/>
      </w:r>
      <w:r w:rsidR="000C356D" w:rsidRPr="000C356D">
        <w:rPr>
          <w:b/>
          <w:sz w:val="24"/>
        </w:rPr>
        <w:t>(With Aims and Methodology)</w:t>
      </w:r>
      <w:bookmarkStart w:id="0" w:name="_GoBack"/>
      <w:bookmarkEnd w:id="0"/>
    </w:p>
    <w:p w14:paraId="1EA99F6E" w14:textId="77777777" w:rsidR="00BF6FAD" w:rsidRPr="00CB51A7" w:rsidRDefault="00BF6FAD" w:rsidP="007F2DC0">
      <w:pPr>
        <w:spacing w:line="360" w:lineRule="auto"/>
        <w:rPr>
          <w:b/>
          <w:sz w:val="24"/>
          <w:u w:val="single"/>
        </w:rPr>
      </w:pPr>
    </w:p>
    <w:p w14:paraId="769237D0" w14:textId="6E788FED" w:rsidR="00E034B5" w:rsidRDefault="00E034B5" w:rsidP="007F2DC0">
      <w:pPr>
        <w:spacing w:line="360" w:lineRule="auto"/>
        <w:rPr>
          <w:sz w:val="24"/>
        </w:rPr>
      </w:pPr>
      <w:r w:rsidRPr="00CB51A7">
        <w:rPr>
          <w:sz w:val="24"/>
        </w:rPr>
        <w:t xml:space="preserve">The history of homosexuality is a vast topic, spanning across centuries of relationships. The first documentation of homosexual behaviour can be traced to the myths of Ancient Egypt and recognised consistently in relationships in every time period up to the modern day. However, despite its prevalence, the existing scholarship surrounding homosexuality is lacking in comparison, especially in regard to periods of significance to the Christian religion, such as the Medieval and Early Modern period. Any existing scholarship mainly tackles homosexual behaviour as a chronicle of societal impact on the time period, </w:t>
      </w:r>
      <w:r w:rsidR="007E285E" w:rsidRPr="00CB51A7">
        <w:rPr>
          <w:sz w:val="24"/>
        </w:rPr>
        <w:t>focusing</w:t>
      </w:r>
      <w:r w:rsidRPr="00CB51A7">
        <w:rPr>
          <w:sz w:val="24"/>
        </w:rPr>
        <w:t xml:space="preserve"> on the suppression and illegality of homosexuality.</w:t>
      </w:r>
      <w:r w:rsidRPr="00CB51A7">
        <w:rPr>
          <w:rStyle w:val="FootnoteReference"/>
          <w:sz w:val="24"/>
        </w:rPr>
        <w:footnoteReference w:id="12"/>
      </w:r>
      <w:r w:rsidRPr="00CB51A7">
        <w:rPr>
          <w:sz w:val="24"/>
        </w:rPr>
        <w:t xml:space="preserve"> However, it is evident that despite the widely held opinion amongst historians being that public persecution led to a lack of evidence on the homosexual persuasion in the Medieval and Early Modern period,</w:t>
      </w:r>
      <w:r w:rsidRPr="00CB51A7">
        <w:rPr>
          <w:rStyle w:val="FootnoteReference"/>
          <w:sz w:val="24"/>
        </w:rPr>
        <w:footnoteReference w:id="13"/>
      </w:r>
      <w:r w:rsidRPr="00CB51A7">
        <w:rPr>
          <w:sz w:val="24"/>
        </w:rPr>
        <w:t xml:space="preserve"> this is evidently not the case.</w:t>
      </w:r>
    </w:p>
    <w:p w14:paraId="3AB8080A" w14:textId="77777777" w:rsidR="00BF6FAD" w:rsidRPr="00CB51A7" w:rsidRDefault="00BF6FAD" w:rsidP="007F2DC0">
      <w:pPr>
        <w:spacing w:line="360" w:lineRule="auto"/>
        <w:rPr>
          <w:sz w:val="24"/>
        </w:rPr>
      </w:pPr>
    </w:p>
    <w:p w14:paraId="62742497" w14:textId="168E2F6A" w:rsidR="00E034B5" w:rsidRDefault="00E034B5" w:rsidP="007F2DC0">
      <w:pPr>
        <w:spacing w:line="360" w:lineRule="auto"/>
        <w:rPr>
          <w:sz w:val="24"/>
        </w:rPr>
      </w:pPr>
      <w:r w:rsidRPr="00CB51A7">
        <w:rPr>
          <w:sz w:val="24"/>
        </w:rPr>
        <w:t>The emergence of homosexuality as a sexual identity can be traced to seventeenth-century Europe, where Europe witnessed a growing minority of its population that adopted the homosexual identity.</w:t>
      </w:r>
      <w:r w:rsidRPr="00CB51A7">
        <w:rPr>
          <w:rStyle w:val="FootnoteReference"/>
          <w:sz w:val="24"/>
        </w:rPr>
        <w:footnoteReference w:id="14"/>
      </w:r>
      <w:r w:rsidRPr="00CB51A7">
        <w:rPr>
          <w:sz w:val="24"/>
        </w:rPr>
        <w:t xml:space="preserve"> Before this point, any homoerotic desire was categorised as a characteristic of heterosexual desire rather than as its own identity.</w:t>
      </w:r>
      <w:r w:rsidRPr="00CB51A7">
        <w:rPr>
          <w:rStyle w:val="FootnoteReference"/>
          <w:sz w:val="24"/>
        </w:rPr>
        <w:footnoteReference w:id="15"/>
      </w:r>
      <w:r w:rsidRPr="00CB51A7">
        <w:rPr>
          <w:sz w:val="24"/>
        </w:rPr>
        <w:t xml:space="preserve"> Due to the complex history of homosexuality, the subject has received little investigation by historians, and has been overlooked as a topic, instead being adopted by social scientists,</w:t>
      </w:r>
      <w:r w:rsidRPr="00CB51A7">
        <w:rPr>
          <w:rStyle w:val="FootnoteReference"/>
          <w:sz w:val="24"/>
        </w:rPr>
        <w:footnoteReference w:id="16"/>
      </w:r>
      <w:r w:rsidRPr="00CB51A7">
        <w:rPr>
          <w:sz w:val="24"/>
        </w:rPr>
        <w:t xml:space="preserve"> who have explored the topic as a way to give modern day homosexuals a history and legacy. The history of homosexuality exists in ecclesiastical records, art and legal documentation, sources which were produced by people who remained inside of the law, and therefore the evidence is biased, or unheard of.</w:t>
      </w:r>
      <w:r w:rsidRPr="00CB51A7">
        <w:rPr>
          <w:rStyle w:val="FootnoteReference"/>
          <w:sz w:val="24"/>
        </w:rPr>
        <w:footnoteReference w:id="17"/>
      </w:r>
      <w:r w:rsidRPr="00CB51A7">
        <w:rPr>
          <w:sz w:val="24"/>
        </w:rPr>
        <w:t xml:space="preserve"> Therefore, in order to adequately examine the history of homosexuality, evidence must be found from more obscure sources, such as personal letters and chroniclers, who provide accessible, albeit a less obvious, source of evidence. This has led to the neglect of homosexuality by historians, who have been unable to research the topic </w:t>
      </w:r>
      <w:r w:rsidRPr="00CB51A7">
        <w:rPr>
          <w:sz w:val="24"/>
        </w:rPr>
        <w:lastRenderedPageBreak/>
        <w:t>due to inability to reach conclusive evidence as well as the fear of researching a stigmatised topic. Social scientists however, who aim to understand the topic of homosexuality in order to provide historical basis and legacy for modern day homosexuals, are expected to delve into taboo topics and therefore receive less stigma for researching topics such as homosexuality.</w:t>
      </w:r>
      <w:r w:rsidRPr="00CB51A7">
        <w:rPr>
          <w:rStyle w:val="FootnoteReference"/>
          <w:sz w:val="24"/>
        </w:rPr>
        <w:footnoteReference w:id="18"/>
      </w:r>
      <w:r w:rsidRPr="00CB51A7">
        <w:rPr>
          <w:sz w:val="24"/>
        </w:rPr>
        <w:t xml:space="preserve"> </w:t>
      </w:r>
    </w:p>
    <w:p w14:paraId="67BDBBA3" w14:textId="77777777" w:rsidR="00BF6FAD" w:rsidRPr="00CB51A7" w:rsidRDefault="00BF6FAD" w:rsidP="007F2DC0">
      <w:pPr>
        <w:spacing w:line="360" w:lineRule="auto"/>
        <w:rPr>
          <w:sz w:val="24"/>
        </w:rPr>
      </w:pPr>
    </w:p>
    <w:p w14:paraId="1CACA2C7" w14:textId="287BC00E" w:rsidR="00E034B5" w:rsidRDefault="00E034B5" w:rsidP="007F2DC0">
      <w:pPr>
        <w:spacing w:line="360" w:lineRule="auto"/>
        <w:rPr>
          <w:sz w:val="24"/>
        </w:rPr>
      </w:pPr>
      <w:r w:rsidRPr="00CB51A7">
        <w:rPr>
          <w:sz w:val="24"/>
        </w:rPr>
        <w:t>A common issue in the study of homosexuality in the Medieval and Early Modern period, is the assumption that ‘homosexuality’ as a term is adequate lexis to describe the situation these historical figures found themselves in. The Medieval people would not have identified as either homosexual or heterosexual, as the</w:t>
      </w:r>
      <w:r w:rsidR="00652C99">
        <w:rPr>
          <w:sz w:val="24"/>
        </w:rPr>
        <w:t>se</w:t>
      </w:r>
      <w:r w:rsidRPr="00CB51A7">
        <w:rPr>
          <w:sz w:val="24"/>
        </w:rPr>
        <w:t xml:space="preserve"> concepts did not exist to them, and there is no evidence that they thought the discovery of these concepts were noteworthy, or even needed.</w:t>
      </w:r>
      <w:r w:rsidRPr="00CB51A7">
        <w:rPr>
          <w:rStyle w:val="FootnoteReference"/>
          <w:sz w:val="24"/>
        </w:rPr>
        <w:footnoteReference w:id="19"/>
      </w:r>
      <w:r w:rsidRPr="00CB51A7">
        <w:rPr>
          <w:sz w:val="24"/>
        </w:rPr>
        <w:t xml:space="preserve"> This makes the terminology of ‘homosexual’ and ‘heterosexual’ void in regard to a Medieval and Early Modern period, however there is little other option. </w:t>
      </w:r>
    </w:p>
    <w:p w14:paraId="5401FE28" w14:textId="77777777" w:rsidR="00BF6FAD" w:rsidRPr="00CB51A7" w:rsidRDefault="00BF6FAD" w:rsidP="007F2DC0">
      <w:pPr>
        <w:spacing w:line="360" w:lineRule="auto"/>
        <w:rPr>
          <w:sz w:val="24"/>
        </w:rPr>
      </w:pPr>
    </w:p>
    <w:p w14:paraId="25ED71AE" w14:textId="2ED7A669" w:rsidR="00E034B5" w:rsidRDefault="00E034B5" w:rsidP="007F2DC0">
      <w:pPr>
        <w:spacing w:line="360" w:lineRule="auto"/>
        <w:rPr>
          <w:sz w:val="24"/>
        </w:rPr>
      </w:pPr>
      <w:r w:rsidRPr="00CB51A7">
        <w:rPr>
          <w:sz w:val="24"/>
        </w:rPr>
        <w:t xml:space="preserve">The main contender for explaining the ‘homosexual’ persuasion in a historical context is the term sodomy. Sodomy is a preferred term by academics as it </w:t>
      </w:r>
      <w:r w:rsidR="00652C99">
        <w:rPr>
          <w:sz w:val="24"/>
        </w:rPr>
        <w:t xml:space="preserve">is </w:t>
      </w:r>
      <w:r w:rsidRPr="00CB51A7">
        <w:rPr>
          <w:sz w:val="24"/>
        </w:rPr>
        <w:t>a legal term with historical backing. However, historians frequently use sodomy to explain solely ‘homosexual’ acts as we deem them so by a modern standard, however sodomy refers to any act that does not involve two human people of opposite genders</w:t>
      </w:r>
      <w:r w:rsidR="00E81DFB">
        <w:rPr>
          <w:sz w:val="24"/>
        </w:rPr>
        <w:t xml:space="preserve"> – a heterosexual couple -</w:t>
      </w:r>
      <w:r w:rsidR="00652C99">
        <w:rPr>
          <w:sz w:val="24"/>
        </w:rPr>
        <w:t xml:space="preserve"> </w:t>
      </w:r>
      <w:r w:rsidRPr="00CB51A7">
        <w:rPr>
          <w:sz w:val="24"/>
        </w:rPr>
        <w:t xml:space="preserve">engaging in vaginal penetration. This means that despite it being used by academics to mean two male partners, or two female partners engaging in intercourse, the term widely covers any intercourse, including zoophilia (intercourse between a human and an animal) and all anal and oral intercourse, including </w:t>
      </w:r>
      <w:r w:rsidR="00E53823">
        <w:rPr>
          <w:sz w:val="24"/>
        </w:rPr>
        <w:t>when in reference to heterosexual couples</w:t>
      </w:r>
      <w:r w:rsidRPr="00CB51A7">
        <w:rPr>
          <w:sz w:val="24"/>
        </w:rPr>
        <w:t>, as well as being a reference to ‘homosexual’ orientation.</w:t>
      </w:r>
      <w:r w:rsidRPr="00CB51A7">
        <w:rPr>
          <w:rStyle w:val="FootnoteReference"/>
          <w:sz w:val="24"/>
        </w:rPr>
        <w:footnoteReference w:id="20"/>
      </w:r>
      <w:r w:rsidRPr="00CB51A7">
        <w:rPr>
          <w:sz w:val="24"/>
        </w:rPr>
        <w:t xml:space="preserve"> The term is a biblical reference, referring to the story of Sodom and Gomorrah where due to the immoral sexual behaviour in the city, it was destroyed.</w:t>
      </w:r>
      <w:r w:rsidRPr="00CB51A7">
        <w:rPr>
          <w:rStyle w:val="FootnoteReference"/>
          <w:sz w:val="24"/>
        </w:rPr>
        <w:footnoteReference w:id="21"/>
      </w:r>
      <w:r w:rsidRPr="00CB51A7">
        <w:rPr>
          <w:sz w:val="24"/>
        </w:rPr>
        <w:t xml:space="preserve"> The Christian element of the term sodomy makes it applicable for the Medieval and Early Modern period in Europe, where Christianity was at the forefront of the choices people made. However, due to the number of situations it can be applied to, this term depends on the context of a situation and cannot supply its own context in the way ‘homosexuality’ can. </w:t>
      </w:r>
    </w:p>
    <w:p w14:paraId="08EB35AD" w14:textId="77777777" w:rsidR="00BF6FAD" w:rsidRPr="00CB51A7" w:rsidRDefault="00BF6FAD" w:rsidP="007F2DC0">
      <w:pPr>
        <w:spacing w:line="360" w:lineRule="auto"/>
        <w:rPr>
          <w:sz w:val="24"/>
        </w:rPr>
      </w:pPr>
    </w:p>
    <w:p w14:paraId="212EDB55" w14:textId="4276DAA8" w:rsidR="00E034B5" w:rsidRDefault="00E034B5" w:rsidP="007F2DC0">
      <w:pPr>
        <w:spacing w:line="360" w:lineRule="auto"/>
        <w:rPr>
          <w:rStyle w:val="hvr"/>
          <w:sz w:val="24"/>
        </w:rPr>
      </w:pPr>
      <w:r w:rsidRPr="00CB51A7">
        <w:rPr>
          <w:sz w:val="24"/>
        </w:rPr>
        <w:lastRenderedPageBreak/>
        <w:t>Another term to describe a ‘homosexual’ relationship, though less used by academics, is pederasty. Pederasty derives from Ancient Greek and is used to describe the relationship between two males, one an adult man and the other a younger, likely adolescent or pubescent, boy.</w:t>
      </w:r>
      <w:r w:rsidRPr="00CB51A7">
        <w:rPr>
          <w:rStyle w:val="FootnoteReference"/>
          <w:sz w:val="24"/>
        </w:rPr>
        <w:footnoteReference w:id="22"/>
      </w:r>
      <w:r w:rsidRPr="00CB51A7">
        <w:rPr>
          <w:sz w:val="24"/>
        </w:rPr>
        <w:t xml:space="preserve"> The word comes from the Greek </w:t>
      </w:r>
      <w:proofErr w:type="spellStart"/>
      <w:r w:rsidRPr="00CB51A7">
        <w:rPr>
          <w:i/>
          <w:sz w:val="24"/>
        </w:rPr>
        <w:t>paiderastia</w:t>
      </w:r>
      <w:proofErr w:type="spellEnd"/>
      <w:r w:rsidRPr="00CB51A7">
        <w:rPr>
          <w:i/>
          <w:sz w:val="24"/>
        </w:rPr>
        <w:t xml:space="preserve"> </w:t>
      </w:r>
      <w:r w:rsidRPr="00CB51A7">
        <w:rPr>
          <w:sz w:val="24"/>
        </w:rPr>
        <w:t>(</w:t>
      </w:r>
      <w:r w:rsidRPr="00CB51A7">
        <w:rPr>
          <w:rStyle w:val="hvr"/>
          <w:sz w:val="24"/>
        </w:rPr>
        <w:t>πα</w:t>
      </w:r>
      <w:proofErr w:type="spellStart"/>
      <w:r w:rsidRPr="00CB51A7">
        <w:rPr>
          <w:rStyle w:val="hvr"/>
          <w:sz w:val="24"/>
        </w:rPr>
        <w:t>ιδερ</w:t>
      </w:r>
      <w:proofErr w:type="spellEnd"/>
      <w:r w:rsidRPr="00CB51A7">
        <w:rPr>
          <w:rStyle w:val="hvr"/>
          <w:sz w:val="24"/>
        </w:rPr>
        <w:t>αστία) or ‘love of boys’, and refers solely to the intercourse between two men of this age gap, making it unsuitable as a term for ‘homosexuality’ as a whole. However, in France in the late Medieval moving into the Early Modern period, the term pederasty was adopted into the ‘homosexual’ culture and given the new definition of an act of intercourse between two males;</w:t>
      </w:r>
      <w:r w:rsidRPr="00CB51A7">
        <w:rPr>
          <w:rStyle w:val="FootnoteReference"/>
          <w:sz w:val="24"/>
        </w:rPr>
        <w:footnoteReference w:id="23"/>
      </w:r>
      <w:r w:rsidRPr="00CB51A7">
        <w:rPr>
          <w:rStyle w:val="hvr"/>
          <w:sz w:val="24"/>
        </w:rPr>
        <w:t xml:space="preserve"> the term did not limit the type of sexual gratification between these lovers nor their age or personal involvement with each other. This makes pederasty the perfect terminology for the time period seventeenth-century France, however it limits the expansion of the topic into neighbouring time periods, or to other countries in the same period. </w:t>
      </w:r>
    </w:p>
    <w:p w14:paraId="64AF2A55" w14:textId="77777777" w:rsidR="00BF6FAD" w:rsidRPr="00CB51A7" w:rsidRDefault="00BF6FAD" w:rsidP="007F2DC0">
      <w:pPr>
        <w:spacing w:line="360" w:lineRule="auto"/>
        <w:rPr>
          <w:rStyle w:val="hvr"/>
          <w:sz w:val="24"/>
        </w:rPr>
      </w:pPr>
    </w:p>
    <w:p w14:paraId="1DA10B6C" w14:textId="53712E5F" w:rsidR="00E034B5" w:rsidRDefault="00E034B5" w:rsidP="007F2DC0">
      <w:pPr>
        <w:spacing w:line="360" w:lineRule="auto"/>
        <w:rPr>
          <w:rStyle w:val="hvr"/>
          <w:sz w:val="24"/>
        </w:rPr>
      </w:pPr>
      <w:r w:rsidRPr="00CB51A7">
        <w:rPr>
          <w:rStyle w:val="hvr"/>
          <w:sz w:val="24"/>
        </w:rPr>
        <w:t xml:space="preserve">Evidently, there is little accurate terminology that is applicable for explaining a homoerotic relationship in a historical context, as the context of such relationships changes with each case study. The idea that one single term can be applied to such a complex study is ignorant, and impossible with the lexis we currently have. The study of sexuality and homosexuality is entirely dependent on the context of each time period and relies on the period to dictate the meaning of each term. Due to the nature of all of these terms being problematic in the labelling of homosexuality throughout history, it is more beneficial to use a variety of terms and rely on the explanation of each argument to depict the true nature of each relationship. None of these terms will adequately describe each situation and therefore coining a term to be used as a blanket label will not allow for the fluidity of homosexuality that </w:t>
      </w:r>
      <w:r w:rsidR="006F5DCF">
        <w:rPr>
          <w:rStyle w:val="hvr"/>
          <w:sz w:val="24"/>
        </w:rPr>
        <w:t>T</w:t>
      </w:r>
      <w:r w:rsidRPr="00CB51A7">
        <w:rPr>
          <w:rStyle w:val="hvr"/>
          <w:sz w:val="24"/>
        </w:rPr>
        <w:t xml:space="preserve">he Branch Theory accounts for in its sectioning of homosexual interest. </w:t>
      </w:r>
      <w:r w:rsidR="002E0C14">
        <w:rPr>
          <w:rStyle w:val="hvr"/>
          <w:sz w:val="24"/>
        </w:rPr>
        <w:t>Therefore, f</w:t>
      </w:r>
      <w:r w:rsidRPr="00CB51A7">
        <w:rPr>
          <w:rStyle w:val="hvr"/>
          <w:sz w:val="24"/>
        </w:rPr>
        <w:t xml:space="preserve">or this dissertation the term ‘homosexuality’ will be the most frequently used due to its accessibility as a label in the modern day.  </w:t>
      </w:r>
    </w:p>
    <w:p w14:paraId="7869982C" w14:textId="77777777" w:rsidR="00BF6FAD" w:rsidRPr="00CB51A7" w:rsidRDefault="00BF6FAD" w:rsidP="007F2DC0">
      <w:pPr>
        <w:spacing w:line="360" w:lineRule="auto"/>
        <w:rPr>
          <w:rStyle w:val="hvr"/>
          <w:sz w:val="24"/>
        </w:rPr>
      </w:pPr>
    </w:p>
    <w:p w14:paraId="463FE2E9" w14:textId="05FFC89F" w:rsidR="00E034B5" w:rsidRDefault="00E034B5" w:rsidP="007F2DC0">
      <w:pPr>
        <w:spacing w:line="360" w:lineRule="auto"/>
        <w:rPr>
          <w:sz w:val="24"/>
        </w:rPr>
      </w:pPr>
      <w:r w:rsidRPr="00CB51A7">
        <w:rPr>
          <w:sz w:val="24"/>
        </w:rPr>
        <w:t xml:space="preserve">The history of sexuality, therefore, is still yet to be adequately explored, and it is my opinion that it needs to be done so in a way that encourages the study of all homoerotic activity throughout history. Due to the lack of terminology supplied to historical figures, homosexuality is therefore manipulated into many different forms of relationship, as there did </w:t>
      </w:r>
      <w:r w:rsidRPr="00CB51A7">
        <w:rPr>
          <w:sz w:val="24"/>
        </w:rPr>
        <w:lastRenderedPageBreak/>
        <w:t xml:space="preserve">not exist one standardised form of sexuality for people to identify with. This means that studying homosexuality while applying the modern meaning of the sexual orientation is pointless, as it limits the understanding that we can get from the subject. Therefore, I have developed a new way of looking into homosexuality that can be altered to any time period. </w:t>
      </w:r>
    </w:p>
    <w:p w14:paraId="40C04052" w14:textId="77777777" w:rsidR="00BF6FAD" w:rsidRPr="00CB51A7" w:rsidRDefault="00BF6FAD" w:rsidP="007F2DC0">
      <w:pPr>
        <w:spacing w:line="360" w:lineRule="auto"/>
        <w:rPr>
          <w:sz w:val="24"/>
        </w:rPr>
      </w:pPr>
    </w:p>
    <w:p w14:paraId="1BF0D2B9" w14:textId="5B2CC643" w:rsidR="00E034B5" w:rsidRDefault="00E034B5" w:rsidP="007F2DC0">
      <w:pPr>
        <w:spacing w:line="360" w:lineRule="auto"/>
        <w:rPr>
          <w:sz w:val="24"/>
          <w:szCs w:val="24"/>
        </w:rPr>
      </w:pPr>
      <w:r w:rsidRPr="00CB51A7">
        <w:rPr>
          <w:rStyle w:val="hvr"/>
          <w:sz w:val="24"/>
        </w:rPr>
        <w:t xml:space="preserve">Due to the lack of current scholarship on this subject, and the majority of existing scholarship being problematic due to its inability to adapt to the context of each time period, </w:t>
      </w:r>
      <w:r w:rsidRPr="00E034B5">
        <w:rPr>
          <w:rStyle w:val="hvr"/>
          <w:sz w:val="24"/>
          <w:szCs w:val="24"/>
        </w:rPr>
        <w:t xml:space="preserve">homosexuality is a topic left much to be explored. However, before research into homosexuality can commence, it is first important to establish the boundaries of homosexual relations before searching for complimentary evidence. It is the aim of </w:t>
      </w:r>
      <w:r w:rsidR="000C356D">
        <w:rPr>
          <w:rStyle w:val="hvr"/>
          <w:sz w:val="24"/>
          <w:szCs w:val="24"/>
        </w:rPr>
        <w:t>T</w:t>
      </w:r>
      <w:r w:rsidRPr="00E034B5">
        <w:rPr>
          <w:rStyle w:val="hvr"/>
          <w:sz w:val="24"/>
          <w:szCs w:val="24"/>
        </w:rPr>
        <w:t xml:space="preserve">he Branch Theory to provide a framework of relationships which can be applied to any time period, person or country and used to aid identifying homosexuality throughout history in a way that compliments the context of each period. </w:t>
      </w:r>
      <w:r w:rsidRPr="00E034B5">
        <w:rPr>
          <w:sz w:val="24"/>
          <w:szCs w:val="24"/>
        </w:rPr>
        <w:t xml:space="preserve">This new system of study relies on four branches of sexuality and reasoning behind sexual interactions. I have categorised them as follows: </w:t>
      </w:r>
      <w:r w:rsidRPr="00E034B5">
        <w:rPr>
          <w:i/>
          <w:sz w:val="24"/>
          <w:szCs w:val="24"/>
        </w:rPr>
        <w:t xml:space="preserve">Bon Amour, Au Poil et á la Plume, </w:t>
      </w:r>
      <w:r w:rsidR="002A1A01" w:rsidRPr="00C466EA">
        <w:rPr>
          <w:i/>
          <w:sz w:val="24"/>
          <w:szCs w:val="24"/>
        </w:rPr>
        <w:t>Glorieux Pederasts</w:t>
      </w:r>
      <w:r w:rsidR="002A1A01" w:rsidRPr="00E034B5">
        <w:rPr>
          <w:sz w:val="24"/>
          <w:szCs w:val="24"/>
        </w:rPr>
        <w:t xml:space="preserve"> </w:t>
      </w:r>
      <w:r w:rsidRPr="00E034B5">
        <w:rPr>
          <w:sz w:val="24"/>
          <w:szCs w:val="24"/>
        </w:rPr>
        <w:t xml:space="preserve">and finally, Pseudohomosexuality. </w:t>
      </w:r>
    </w:p>
    <w:p w14:paraId="35D2FBD7" w14:textId="77777777" w:rsidR="00BF6FAD" w:rsidRPr="00E034B5" w:rsidRDefault="00BF6FAD" w:rsidP="007F2DC0">
      <w:pPr>
        <w:spacing w:line="360" w:lineRule="auto"/>
        <w:rPr>
          <w:sz w:val="24"/>
          <w:szCs w:val="24"/>
        </w:rPr>
      </w:pPr>
    </w:p>
    <w:p w14:paraId="00D0C107" w14:textId="458B8808" w:rsidR="00E034B5" w:rsidRDefault="00E034B5" w:rsidP="007F2DC0">
      <w:pPr>
        <w:spacing w:line="360" w:lineRule="auto"/>
        <w:rPr>
          <w:sz w:val="24"/>
          <w:szCs w:val="24"/>
        </w:rPr>
      </w:pPr>
      <w:r w:rsidRPr="00E034B5">
        <w:rPr>
          <w:i/>
          <w:sz w:val="24"/>
          <w:szCs w:val="24"/>
        </w:rPr>
        <w:t>Bon Amour</w:t>
      </w:r>
      <w:r w:rsidRPr="00E034B5">
        <w:rPr>
          <w:sz w:val="24"/>
          <w:szCs w:val="24"/>
        </w:rPr>
        <w:t xml:space="preserve"> portrays the homosexual relationships already explored in history, a form of love or sex between same gendered couples that can be interpreted to be similar to what is experienced in a modern context. It evaluates heterosexual marriages in comparison to homosexual affairs for example showing the differences between Philippe, Duke d’Orléans in his relationships between his wives, who he married for political reasons, and his life-long </w:t>
      </w:r>
      <w:r w:rsidR="000D5408">
        <w:rPr>
          <w:sz w:val="24"/>
          <w:szCs w:val="24"/>
        </w:rPr>
        <w:t xml:space="preserve">male </w:t>
      </w:r>
      <w:r w:rsidRPr="00E034B5">
        <w:rPr>
          <w:sz w:val="24"/>
          <w:szCs w:val="24"/>
        </w:rPr>
        <w:t xml:space="preserve">lover the Chevalier de Lorraine. </w:t>
      </w:r>
      <w:r w:rsidRPr="00E034B5">
        <w:rPr>
          <w:i/>
          <w:sz w:val="24"/>
          <w:szCs w:val="24"/>
        </w:rPr>
        <w:t>Au Poil et á la Plume</w:t>
      </w:r>
      <w:r w:rsidRPr="00E034B5">
        <w:rPr>
          <w:sz w:val="24"/>
          <w:szCs w:val="24"/>
        </w:rPr>
        <w:t xml:space="preserve"> is study of sexual relations that transpired between people despite gender and the hardships that befell anyone who engaged in homoerotic activities. Unlike </w:t>
      </w:r>
      <w:r w:rsidRPr="00E034B5">
        <w:rPr>
          <w:i/>
          <w:sz w:val="24"/>
          <w:szCs w:val="24"/>
        </w:rPr>
        <w:t>Bon Amour</w:t>
      </w:r>
      <w:r w:rsidRPr="00E034B5">
        <w:rPr>
          <w:sz w:val="24"/>
          <w:szCs w:val="24"/>
        </w:rPr>
        <w:t xml:space="preserve"> which focusses more on long-term relationships such as marriages, mistresses and life-long lovers, </w:t>
      </w:r>
      <w:r w:rsidRPr="00E034B5">
        <w:rPr>
          <w:i/>
          <w:sz w:val="24"/>
          <w:szCs w:val="24"/>
        </w:rPr>
        <w:t xml:space="preserve">Au Poil et á la Plume </w:t>
      </w:r>
      <w:r w:rsidRPr="00E034B5">
        <w:rPr>
          <w:sz w:val="24"/>
          <w:szCs w:val="24"/>
        </w:rPr>
        <w:t xml:space="preserve">explores the flings and short-term relationships at court. An ancient historical example of the difference between these two branches is Achilles and Patroclus in comparison to Zeus and Ganymede. Achilles and Patroclus are an example of </w:t>
      </w:r>
      <w:r w:rsidRPr="00E034B5">
        <w:rPr>
          <w:i/>
          <w:sz w:val="24"/>
          <w:szCs w:val="24"/>
        </w:rPr>
        <w:t>Bon Amour</w:t>
      </w:r>
      <w:r w:rsidRPr="00E034B5">
        <w:rPr>
          <w:sz w:val="24"/>
          <w:szCs w:val="24"/>
        </w:rPr>
        <w:t xml:space="preserve"> as the two are often portrayed as engaging in a loving relationship. Ancient pottery illustrates them as caring for each other’s battle wounds, Homer’s </w:t>
      </w:r>
      <w:r w:rsidRPr="00E034B5">
        <w:rPr>
          <w:i/>
          <w:sz w:val="24"/>
          <w:szCs w:val="24"/>
        </w:rPr>
        <w:t xml:space="preserve">Iliad </w:t>
      </w:r>
      <w:r w:rsidRPr="00E034B5">
        <w:rPr>
          <w:sz w:val="24"/>
          <w:szCs w:val="24"/>
        </w:rPr>
        <w:t xml:space="preserve">depicts Achilles’ heartbreak over the death of Patroclus and Aeschylus’ </w:t>
      </w:r>
      <w:r w:rsidRPr="00E034B5">
        <w:rPr>
          <w:i/>
          <w:sz w:val="24"/>
          <w:szCs w:val="24"/>
        </w:rPr>
        <w:t xml:space="preserve">Myrmidons </w:t>
      </w:r>
      <w:r w:rsidRPr="00E034B5">
        <w:rPr>
          <w:sz w:val="24"/>
          <w:szCs w:val="24"/>
        </w:rPr>
        <w:t>portrays the sexualised side to the pair’s relationship.</w:t>
      </w:r>
      <w:r w:rsidRPr="00E034B5">
        <w:rPr>
          <w:rStyle w:val="FootnoteReference"/>
          <w:sz w:val="24"/>
          <w:szCs w:val="24"/>
        </w:rPr>
        <w:footnoteReference w:id="24"/>
      </w:r>
      <w:r w:rsidRPr="00E034B5">
        <w:rPr>
          <w:sz w:val="24"/>
          <w:szCs w:val="24"/>
        </w:rPr>
        <w:t xml:space="preserve"> However, Zeus and Ganymede are frequently portrayed as a short-term exploit of Zeus’, as the god shows his </w:t>
      </w:r>
      <w:r w:rsidRPr="00E034B5">
        <w:rPr>
          <w:sz w:val="24"/>
          <w:szCs w:val="24"/>
        </w:rPr>
        <w:lastRenderedPageBreak/>
        <w:t>sexual interest in Ganymede, takes him as his cup bearer and the boy is not heard of again later in the mythological Greek timeline.</w:t>
      </w:r>
      <w:r w:rsidRPr="00E034B5">
        <w:rPr>
          <w:rStyle w:val="FootnoteReference"/>
          <w:sz w:val="24"/>
          <w:szCs w:val="24"/>
        </w:rPr>
        <w:footnoteReference w:id="25"/>
      </w:r>
      <w:r w:rsidRPr="00E034B5">
        <w:rPr>
          <w:sz w:val="24"/>
          <w:szCs w:val="24"/>
        </w:rPr>
        <w:t xml:space="preserve"> </w:t>
      </w:r>
    </w:p>
    <w:p w14:paraId="759C3AA0" w14:textId="77777777" w:rsidR="00BF6FAD" w:rsidRPr="00E034B5" w:rsidRDefault="00BF6FAD" w:rsidP="007F2DC0">
      <w:pPr>
        <w:spacing w:line="360" w:lineRule="auto"/>
        <w:rPr>
          <w:sz w:val="24"/>
          <w:szCs w:val="24"/>
        </w:rPr>
      </w:pPr>
    </w:p>
    <w:p w14:paraId="6389D766" w14:textId="598BE21C" w:rsidR="00E034B5" w:rsidRDefault="008A373A" w:rsidP="007F2DC0">
      <w:pPr>
        <w:spacing w:line="360" w:lineRule="auto"/>
        <w:rPr>
          <w:sz w:val="24"/>
          <w:szCs w:val="24"/>
        </w:rPr>
      </w:pPr>
      <w:r w:rsidRPr="00C466EA">
        <w:rPr>
          <w:i/>
          <w:sz w:val="24"/>
          <w:szCs w:val="24"/>
        </w:rPr>
        <w:t>Glorieux Pederasts</w:t>
      </w:r>
      <w:r w:rsidRPr="00E034B5">
        <w:rPr>
          <w:sz w:val="24"/>
          <w:szCs w:val="24"/>
        </w:rPr>
        <w:t xml:space="preserve"> </w:t>
      </w:r>
      <w:r w:rsidR="00E034B5" w:rsidRPr="00E034B5">
        <w:rPr>
          <w:sz w:val="24"/>
          <w:szCs w:val="24"/>
        </w:rPr>
        <w:t>explores the act of men who do not desire women, the time period this is applied to will alter how these r</w:t>
      </w:r>
      <w:r w:rsidR="007061EC">
        <w:rPr>
          <w:sz w:val="24"/>
          <w:szCs w:val="24"/>
        </w:rPr>
        <w:t>e</w:t>
      </w:r>
      <w:r w:rsidR="00E034B5" w:rsidRPr="00E034B5">
        <w:rPr>
          <w:sz w:val="24"/>
          <w:szCs w:val="24"/>
        </w:rPr>
        <w:t xml:space="preserve">lations transpired. For many in history, female rejection meant adopting a female persona yourself, for example crossdressing, however it can also be explored as pure homosexuality in its roots of only desiring men (or if applied to a female, only desiring women), therefore this category is the most susceptible to change when translated between time periods. Finally, pseudohomosexuality is the act of adopting homoerotic tendencies in order to gain. Throughout history, sex and flirtation can be used by people to get a desired </w:t>
      </w:r>
      <w:r w:rsidR="008A5846" w:rsidRPr="00E034B5">
        <w:rPr>
          <w:sz w:val="24"/>
          <w:szCs w:val="24"/>
        </w:rPr>
        <w:t>result</w:t>
      </w:r>
      <w:r w:rsidR="00E034B5" w:rsidRPr="00E034B5">
        <w:rPr>
          <w:sz w:val="24"/>
          <w:szCs w:val="24"/>
        </w:rPr>
        <w:t xml:space="preserve">, the same principle can be applied to engaging in homosexual acts with influential men in order to gain something external to the sexual acts. </w:t>
      </w:r>
    </w:p>
    <w:p w14:paraId="6A28385D" w14:textId="77777777" w:rsidR="00BF6FAD" w:rsidRPr="00E034B5" w:rsidRDefault="00BF6FAD" w:rsidP="007F2DC0">
      <w:pPr>
        <w:spacing w:line="360" w:lineRule="auto"/>
        <w:rPr>
          <w:sz w:val="24"/>
          <w:szCs w:val="24"/>
        </w:rPr>
      </w:pPr>
    </w:p>
    <w:p w14:paraId="3A194431" w14:textId="279C2A3F" w:rsidR="00E034B5" w:rsidRPr="00E034B5" w:rsidRDefault="00E034B5" w:rsidP="007F2DC0">
      <w:pPr>
        <w:spacing w:line="360" w:lineRule="auto"/>
        <w:rPr>
          <w:sz w:val="24"/>
          <w:szCs w:val="24"/>
        </w:rPr>
      </w:pPr>
      <w:r w:rsidRPr="00E034B5">
        <w:rPr>
          <w:sz w:val="24"/>
          <w:szCs w:val="24"/>
        </w:rPr>
        <w:t>This theory can be transferred to any time period, though with the changing attitudes, religions and society within differing countries and time frames there will be fluctuation in the quantity of examples for each branch. Therefore, in using this framework as a study, I am concentrating on only a small section of the overall history of homosexuality, this being sixteenth and seventeenth century France, and specifically looking at only male relationships, despite the</w:t>
      </w:r>
      <w:r w:rsidR="000869D5">
        <w:rPr>
          <w:sz w:val="24"/>
          <w:szCs w:val="24"/>
        </w:rPr>
        <w:t>re</w:t>
      </w:r>
      <w:r w:rsidRPr="00E034B5">
        <w:rPr>
          <w:sz w:val="24"/>
          <w:szCs w:val="24"/>
        </w:rPr>
        <w:t xml:space="preserve"> being evidence for female homosexuality at the time also.</w:t>
      </w:r>
      <w:r w:rsidRPr="00E034B5">
        <w:rPr>
          <w:rStyle w:val="FootnoteReference"/>
          <w:sz w:val="24"/>
          <w:szCs w:val="24"/>
        </w:rPr>
        <w:footnoteReference w:id="26"/>
      </w:r>
      <w:r w:rsidRPr="00E034B5">
        <w:rPr>
          <w:sz w:val="24"/>
          <w:szCs w:val="24"/>
        </w:rPr>
        <w:t xml:space="preserve"> This context and these four branches of homosexual identity will form the basis of my argument as I will explore what each of these categories mean for homosexual history. </w:t>
      </w:r>
    </w:p>
    <w:p w14:paraId="62EFAE6B" w14:textId="77777777" w:rsidR="00E034B5" w:rsidRPr="00E034B5" w:rsidRDefault="00E034B5" w:rsidP="007F2DC0">
      <w:pPr>
        <w:spacing w:line="360" w:lineRule="auto"/>
        <w:rPr>
          <w:sz w:val="24"/>
          <w:szCs w:val="24"/>
        </w:rPr>
      </w:pPr>
    </w:p>
    <w:p w14:paraId="18952F43" w14:textId="77777777" w:rsidR="00E034B5" w:rsidRDefault="00E034B5" w:rsidP="007F2DC0">
      <w:pPr>
        <w:spacing w:line="360" w:lineRule="auto"/>
        <w:rPr>
          <w:b/>
          <w:sz w:val="24"/>
          <w:szCs w:val="24"/>
          <w:u w:val="single"/>
        </w:rPr>
      </w:pPr>
    </w:p>
    <w:p w14:paraId="5734725C" w14:textId="77777777" w:rsidR="00E034B5" w:rsidRDefault="00E034B5" w:rsidP="007F2DC0">
      <w:pPr>
        <w:spacing w:line="360" w:lineRule="auto"/>
        <w:rPr>
          <w:b/>
          <w:sz w:val="24"/>
          <w:szCs w:val="24"/>
          <w:u w:val="single"/>
        </w:rPr>
      </w:pPr>
    </w:p>
    <w:p w14:paraId="287E1BCB" w14:textId="77777777" w:rsidR="00E034B5" w:rsidRDefault="00E034B5" w:rsidP="007F2DC0">
      <w:pPr>
        <w:spacing w:line="360" w:lineRule="auto"/>
        <w:rPr>
          <w:b/>
          <w:sz w:val="24"/>
          <w:szCs w:val="24"/>
          <w:u w:val="single"/>
        </w:rPr>
      </w:pPr>
    </w:p>
    <w:p w14:paraId="7047ED72" w14:textId="77777777" w:rsidR="00E034B5" w:rsidRDefault="00E034B5" w:rsidP="007F2DC0">
      <w:pPr>
        <w:spacing w:line="360" w:lineRule="auto"/>
        <w:rPr>
          <w:b/>
          <w:sz w:val="24"/>
          <w:szCs w:val="24"/>
          <w:u w:val="single"/>
        </w:rPr>
      </w:pPr>
    </w:p>
    <w:p w14:paraId="001866F1" w14:textId="77777777" w:rsidR="00E034B5" w:rsidRDefault="00E034B5" w:rsidP="007F2DC0">
      <w:pPr>
        <w:spacing w:line="360" w:lineRule="auto"/>
        <w:rPr>
          <w:b/>
          <w:sz w:val="24"/>
          <w:szCs w:val="24"/>
          <w:u w:val="single"/>
        </w:rPr>
      </w:pPr>
    </w:p>
    <w:p w14:paraId="6BAA7CB0" w14:textId="77777777" w:rsidR="00E034B5" w:rsidRDefault="00E034B5" w:rsidP="007F2DC0">
      <w:pPr>
        <w:spacing w:line="360" w:lineRule="auto"/>
        <w:rPr>
          <w:b/>
          <w:sz w:val="24"/>
          <w:szCs w:val="24"/>
          <w:u w:val="single"/>
        </w:rPr>
      </w:pPr>
    </w:p>
    <w:p w14:paraId="38A32E72" w14:textId="6F1AC223" w:rsidR="00E034B5" w:rsidRDefault="00E034B5" w:rsidP="007F2DC0">
      <w:pPr>
        <w:spacing w:line="360" w:lineRule="auto"/>
        <w:rPr>
          <w:b/>
          <w:sz w:val="24"/>
          <w:szCs w:val="24"/>
          <w:u w:val="single"/>
        </w:rPr>
      </w:pPr>
    </w:p>
    <w:p w14:paraId="7096A296" w14:textId="77777777" w:rsidR="00951F8F" w:rsidRDefault="00951F8F" w:rsidP="007F2DC0">
      <w:pPr>
        <w:spacing w:line="360" w:lineRule="auto"/>
        <w:rPr>
          <w:b/>
          <w:sz w:val="24"/>
          <w:szCs w:val="24"/>
          <w:u w:val="single"/>
        </w:rPr>
      </w:pPr>
    </w:p>
    <w:p w14:paraId="08F36D28" w14:textId="77777777" w:rsidR="003231A5" w:rsidRDefault="003231A5" w:rsidP="007F2DC0">
      <w:pPr>
        <w:spacing w:line="360" w:lineRule="auto"/>
        <w:rPr>
          <w:b/>
          <w:sz w:val="24"/>
          <w:szCs w:val="24"/>
          <w:u w:val="single"/>
        </w:rPr>
      </w:pPr>
    </w:p>
    <w:p w14:paraId="7BE5914C" w14:textId="01946D61" w:rsidR="00E034B5" w:rsidRDefault="00E034B5" w:rsidP="00AB7F8E">
      <w:pPr>
        <w:spacing w:line="360" w:lineRule="auto"/>
        <w:jc w:val="center"/>
        <w:rPr>
          <w:b/>
          <w:sz w:val="24"/>
          <w:szCs w:val="24"/>
          <w:u w:val="single"/>
        </w:rPr>
      </w:pPr>
      <w:r w:rsidRPr="00E034B5">
        <w:rPr>
          <w:b/>
          <w:sz w:val="24"/>
          <w:szCs w:val="24"/>
          <w:u w:val="single"/>
        </w:rPr>
        <w:lastRenderedPageBreak/>
        <w:t>Chapter One: Bon Amour.</w:t>
      </w:r>
    </w:p>
    <w:p w14:paraId="0A3621E5" w14:textId="77777777" w:rsidR="00BF6FAD" w:rsidRPr="00E034B5" w:rsidRDefault="00BF6FAD" w:rsidP="007F2DC0">
      <w:pPr>
        <w:spacing w:line="360" w:lineRule="auto"/>
        <w:rPr>
          <w:b/>
          <w:sz w:val="24"/>
          <w:szCs w:val="24"/>
          <w:u w:val="single"/>
        </w:rPr>
      </w:pPr>
    </w:p>
    <w:p w14:paraId="3103FCA8" w14:textId="6AB83899" w:rsidR="00E034B5" w:rsidRDefault="00E034B5" w:rsidP="007F2DC0">
      <w:pPr>
        <w:spacing w:line="360" w:lineRule="auto"/>
        <w:rPr>
          <w:sz w:val="24"/>
          <w:szCs w:val="24"/>
        </w:rPr>
      </w:pPr>
      <w:r w:rsidRPr="00E034B5">
        <w:rPr>
          <w:sz w:val="24"/>
          <w:szCs w:val="24"/>
        </w:rPr>
        <w:t xml:space="preserve">The category of </w:t>
      </w:r>
      <w:r w:rsidRPr="00E034B5">
        <w:rPr>
          <w:i/>
          <w:sz w:val="24"/>
          <w:szCs w:val="24"/>
        </w:rPr>
        <w:t>Bon Amour</w:t>
      </w:r>
      <w:r w:rsidRPr="00E034B5">
        <w:rPr>
          <w:sz w:val="24"/>
          <w:szCs w:val="24"/>
        </w:rPr>
        <w:t xml:space="preserve"> is the exploration of homosexual interest in a context recognisable as what we understand homosexuality to be in our own modern society. In seventeenth century France the desire to reproduce was a societal norm, especially in the royal courts where having an heir </w:t>
      </w:r>
      <w:r w:rsidR="005A2900">
        <w:rPr>
          <w:sz w:val="24"/>
          <w:szCs w:val="24"/>
        </w:rPr>
        <w:t xml:space="preserve">meant </w:t>
      </w:r>
      <w:r w:rsidRPr="00E034B5">
        <w:rPr>
          <w:sz w:val="24"/>
          <w:szCs w:val="24"/>
        </w:rPr>
        <w:t>security.</w:t>
      </w:r>
      <w:r w:rsidRPr="00E034B5">
        <w:rPr>
          <w:rStyle w:val="FootnoteReference"/>
          <w:sz w:val="24"/>
          <w:szCs w:val="24"/>
        </w:rPr>
        <w:footnoteReference w:id="27"/>
      </w:r>
      <w:r w:rsidRPr="00E034B5">
        <w:rPr>
          <w:sz w:val="24"/>
          <w:szCs w:val="24"/>
        </w:rPr>
        <w:t xml:space="preserve"> Consequently, homosexuals were not able to live openly homosexual lifestyles in the way we are accustomed to now, and marriage to women who could provide legitimate heirs was crucial for the men at court. Due to this, for a man to marry a woman is not evidence of heterosexuality, and it was rare for a homosexual man to not experience sexual relations with a woman in his life, especially for royals. </w:t>
      </w:r>
      <w:r w:rsidRPr="00E034B5">
        <w:rPr>
          <w:i/>
          <w:sz w:val="24"/>
          <w:szCs w:val="24"/>
        </w:rPr>
        <w:t>Bon Amour</w:t>
      </w:r>
      <w:r w:rsidRPr="00E034B5">
        <w:rPr>
          <w:sz w:val="24"/>
          <w:szCs w:val="24"/>
        </w:rPr>
        <w:t xml:space="preserve">, therefore, uses the concept of marriage for duty as an advantage of homosexual identity. Since the concept is rife in royal courts it is more important to look at the details of affairs, mistresses and rumours to see genuine love or lust. Therefore, when detailing marriages, it is imperative to view them as marriages of duty and politics and then gain evidence for loving marriages rather than assume a sexually active and affectionate union is the norm. </w:t>
      </w:r>
    </w:p>
    <w:p w14:paraId="0EBB79CA" w14:textId="77777777" w:rsidR="00BF6FAD" w:rsidRPr="00E034B5" w:rsidRDefault="00BF6FAD" w:rsidP="007F2DC0">
      <w:pPr>
        <w:spacing w:line="360" w:lineRule="auto"/>
        <w:rPr>
          <w:sz w:val="24"/>
          <w:szCs w:val="24"/>
        </w:rPr>
      </w:pPr>
    </w:p>
    <w:p w14:paraId="0100902D" w14:textId="4670FC3E" w:rsidR="00E034B5" w:rsidRDefault="00E034B5" w:rsidP="007F2DC0">
      <w:pPr>
        <w:spacing w:line="360" w:lineRule="auto"/>
        <w:rPr>
          <w:sz w:val="24"/>
          <w:szCs w:val="24"/>
        </w:rPr>
      </w:pPr>
      <w:r w:rsidRPr="00E034B5">
        <w:rPr>
          <w:sz w:val="24"/>
          <w:szCs w:val="24"/>
        </w:rPr>
        <w:t>King Louis XIV’s brother, Philippe, Duke d’Orléans, often styled as ‘Monsieur,’ supplies a case for marriage for duty. After the death of Monsieur’s first wife, Henrietta of England, of which there is little detail, he was married to Princess Elizabeth Charlotte, known as Liselotte.</w:t>
      </w:r>
      <w:r w:rsidRPr="00E034B5">
        <w:rPr>
          <w:rStyle w:val="FootnoteReference"/>
          <w:sz w:val="24"/>
          <w:szCs w:val="24"/>
        </w:rPr>
        <w:footnoteReference w:id="28"/>
      </w:r>
      <w:r w:rsidRPr="00E034B5">
        <w:rPr>
          <w:sz w:val="24"/>
          <w:szCs w:val="24"/>
        </w:rPr>
        <w:t xml:space="preserve"> Liselotte was a tomboy who preferred hunting with her new found friend, the King, over buying jewels and dresses as her husband did. She converted to Roman Catholicism for her marriage and as a result lost her claim to the English throne, a claim that was better than that of George I.</w:t>
      </w:r>
      <w:r w:rsidRPr="00E034B5">
        <w:rPr>
          <w:rStyle w:val="FootnoteReference"/>
          <w:sz w:val="24"/>
          <w:szCs w:val="24"/>
        </w:rPr>
        <w:footnoteReference w:id="29"/>
      </w:r>
      <w:r w:rsidRPr="00E034B5">
        <w:rPr>
          <w:sz w:val="24"/>
          <w:szCs w:val="24"/>
        </w:rPr>
        <w:t xml:space="preserve"> She described herself as “plain”</w:t>
      </w:r>
      <w:r w:rsidRPr="00E034B5">
        <w:rPr>
          <w:rStyle w:val="FootnoteReference"/>
          <w:sz w:val="24"/>
          <w:szCs w:val="24"/>
        </w:rPr>
        <w:footnoteReference w:id="30"/>
      </w:r>
      <w:r w:rsidRPr="00E034B5">
        <w:rPr>
          <w:sz w:val="24"/>
          <w:szCs w:val="24"/>
        </w:rPr>
        <w:t xml:space="preserve"> and her husband as a copy of Henri III, writing: “Monsieur is devout in order to model himself in every aspect on Henri III.”</w:t>
      </w:r>
      <w:r w:rsidRPr="00E034B5">
        <w:rPr>
          <w:rStyle w:val="FootnoteReference"/>
          <w:sz w:val="24"/>
          <w:szCs w:val="24"/>
        </w:rPr>
        <w:footnoteReference w:id="31"/>
      </w:r>
      <w:r w:rsidRPr="00E034B5">
        <w:rPr>
          <w:sz w:val="24"/>
          <w:szCs w:val="24"/>
        </w:rPr>
        <w:t xml:space="preserve"> Liselotte’s declaration of Monsieur as a figure modelled after Henri III displays her knowledge of Philippe’s sexual interests in men, and infers the lack of marriage for love in their relationship, due to their marriage being orchestrated by King Louis XIV.</w:t>
      </w:r>
      <w:r w:rsidRPr="00E034B5">
        <w:rPr>
          <w:rStyle w:val="FootnoteReference"/>
          <w:sz w:val="24"/>
          <w:szCs w:val="24"/>
        </w:rPr>
        <w:footnoteReference w:id="32"/>
      </w:r>
      <w:r w:rsidRPr="00E034B5">
        <w:rPr>
          <w:sz w:val="24"/>
          <w:szCs w:val="24"/>
        </w:rPr>
        <w:t xml:space="preserve"> The marriage of Monsieur and Liselotte, therefore, cannot be used to declare Monsieur’s </w:t>
      </w:r>
      <w:r w:rsidRPr="00E034B5">
        <w:rPr>
          <w:sz w:val="24"/>
          <w:szCs w:val="24"/>
        </w:rPr>
        <w:lastRenderedPageBreak/>
        <w:t>heterosexuality, as despite their union, Liselotte herself declares her husband a sodomite. Liselotte tolerated her husband’s interests in men, and they had a good relationship despite his orientation, even having multiple children together.</w:t>
      </w:r>
      <w:r w:rsidRPr="00E034B5">
        <w:rPr>
          <w:rStyle w:val="FootnoteReference"/>
          <w:sz w:val="24"/>
          <w:szCs w:val="24"/>
        </w:rPr>
        <w:footnoteReference w:id="33"/>
      </w:r>
    </w:p>
    <w:p w14:paraId="7789A844" w14:textId="77777777" w:rsidR="00A676E3" w:rsidRPr="00E034B5" w:rsidRDefault="00A676E3" w:rsidP="007F2DC0">
      <w:pPr>
        <w:spacing w:line="360" w:lineRule="auto"/>
        <w:rPr>
          <w:sz w:val="24"/>
          <w:szCs w:val="24"/>
        </w:rPr>
      </w:pPr>
    </w:p>
    <w:p w14:paraId="0DA7CB58" w14:textId="77093F6C" w:rsidR="00E034B5" w:rsidRDefault="00E034B5" w:rsidP="007F2DC0">
      <w:pPr>
        <w:spacing w:line="360" w:lineRule="auto"/>
        <w:rPr>
          <w:sz w:val="24"/>
          <w:szCs w:val="24"/>
        </w:rPr>
      </w:pPr>
      <w:r w:rsidRPr="00E034B5">
        <w:rPr>
          <w:sz w:val="24"/>
          <w:szCs w:val="24"/>
        </w:rPr>
        <w:t>The main way in which Liselotte evokes the contrasting figures of Philippe Duke d’Orléans and King Henri III, who ruled three generations before Philippe’s brother Louis XIV, is through their similarly presented sexualities. Henri III is spoken of by contemporaries as portraying an “unnatural love”</w:t>
      </w:r>
      <w:r w:rsidRPr="00E034B5">
        <w:rPr>
          <w:rStyle w:val="FootnoteReference"/>
          <w:sz w:val="24"/>
          <w:szCs w:val="24"/>
        </w:rPr>
        <w:footnoteReference w:id="34"/>
      </w:r>
      <w:r w:rsidRPr="00E034B5">
        <w:rPr>
          <w:sz w:val="24"/>
          <w:szCs w:val="24"/>
        </w:rPr>
        <w:t xml:space="preserve"> towards the men he surrounded himself with, known as</w:t>
      </w:r>
      <w:r w:rsidRPr="00E034B5">
        <w:rPr>
          <w:i/>
          <w:sz w:val="24"/>
          <w:szCs w:val="24"/>
        </w:rPr>
        <w:t xml:space="preserve"> les mignons. Les mignons</w:t>
      </w:r>
      <w:r w:rsidRPr="00E034B5">
        <w:rPr>
          <w:sz w:val="24"/>
          <w:szCs w:val="24"/>
        </w:rPr>
        <w:t xml:space="preserve"> were a group of aristocratic men that surrounded Henri, adopting the French adjective meaning ‘pretty’ or ‘adorable’ as their new title.</w:t>
      </w:r>
      <w:r w:rsidRPr="00E034B5">
        <w:rPr>
          <w:rStyle w:val="FootnoteReference"/>
          <w:sz w:val="24"/>
          <w:szCs w:val="24"/>
        </w:rPr>
        <w:footnoteReference w:id="35"/>
      </w:r>
      <w:r w:rsidRPr="00E034B5">
        <w:rPr>
          <w:sz w:val="24"/>
          <w:szCs w:val="24"/>
        </w:rPr>
        <w:t xml:space="preserve"> There were two known categories of </w:t>
      </w:r>
      <w:r w:rsidRPr="00E034B5">
        <w:rPr>
          <w:i/>
          <w:sz w:val="24"/>
          <w:szCs w:val="24"/>
        </w:rPr>
        <w:t>les mignons; mignons d’état</w:t>
      </w:r>
      <w:r w:rsidRPr="00E034B5">
        <w:rPr>
          <w:sz w:val="24"/>
          <w:szCs w:val="24"/>
        </w:rPr>
        <w:t xml:space="preserve">, political favourites of the king and </w:t>
      </w:r>
      <w:r w:rsidRPr="00E034B5">
        <w:rPr>
          <w:i/>
          <w:sz w:val="24"/>
          <w:szCs w:val="24"/>
        </w:rPr>
        <w:t>mignons de couchette</w:t>
      </w:r>
      <w:r w:rsidRPr="00E034B5">
        <w:rPr>
          <w:sz w:val="24"/>
          <w:szCs w:val="24"/>
        </w:rPr>
        <w:t>, bedroom favourites. These bedroom favourites were known lovers of the king, and spent their days wearing outlandish costumes and referring to each other by female epithets and adjectives, such as beautiful and pretty.</w:t>
      </w:r>
      <w:r w:rsidRPr="00E034B5">
        <w:rPr>
          <w:rStyle w:val="FootnoteReference"/>
          <w:sz w:val="24"/>
          <w:szCs w:val="24"/>
        </w:rPr>
        <w:footnoteReference w:id="36"/>
      </w:r>
      <w:r w:rsidRPr="00E034B5">
        <w:rPr>
          <w:sz w:val="24"/>
          <w:szCs w:val="24"/>
        </w:rPr>
        <w:t xml:space="preserve"> </w:t>
      </w:r>
    </w:p>
    <w:p w14:paraId="38D302DA" w14:textId="77777777" w:rsidR="00A676E3" w:rsidRPr="00E034B5" w:rsidRDefault="00A676E3" w:rsidP="007F2DC0">
      <w:pPr>
        <w:spacing w:line="360" w:lineRule="auto"/>
        <w:rPr>
          <w:sz w:val="24"/>
          <w:szCs w:val="24"/>
        </w:rPr>
      </w:pPr>
    </w:p>
    <w:p w14:paraId="79309CE6" w14:textId="7544C7F7" w:rsidR="00E034B5" w:rsidRDefault="00E034B5" w:rsidP="007F2DC0">
      <w:pPr>
        <w:spacing w:line="360" w:lineRule="auto"/>
        <w:rPr>
          <w:sz w:val="24"/>
          <w:szCs w:val="24"/>
        </w:rPr>
      </w:pPr>
      <w:r w:rsidRPr="00E034B5">
        <w:rPr>
          <w:i/>
          <w:sz w:val="24"/>
          <w:szCs w:val="24"/>
        </w:rPr>
        <w:t>Les mignons</w:t>
      </w:r>
      <w:r w:rsidRPr="00E034B5">
        <w:rPr>
          <w:sz w:val="24"/>
          <w:szCs w:val="24"/>
        </w:rPr>
        <w:t xml:space="preserve"> are an example of when the parameters of a historical context take control of the nature of a relationship. Despite contemporaries viewing these relationships as a way of Henri “prostituting himself”</w:t>
      </w:r>
      <w:r w:rsidRPr="00E034B5">
        <w:rPr>
          <w:rStyle w:val="FootnoteReference"/>
          <w:sz w:val="24"/>
          <w:szCs w:val="24"/>
        </w:rPr>
        <w:footnoteReference w:id="37"/>
      </w:r>
      <w:r w:rsidRPr="00E034B5">
        <w:rPr>
          <w:sz w:val="24"/>
          <w:szCs w:val="24"/>
        </w:rPr>
        <w:t xml:space="preserve"> there is little evidence to depict these relationships as anything other than ordinary, should they instead have been women. Henri took the concept of a mistress and twisted it to suit his own sexuality, creating </w:t>
      </w:r>
      <w:r w:rsidRPr="00E034B5">
        <w:rPr>
          <w:i/>
          <w:sz w:val="24"/>
          <w:szCs w:val="24"/>
        </w:rPr>
        <w:t>les mignons</w:t>
      </w:r>
      <w:r w:rsidRPr="00E034B5">
        <w:rPr>
          <w:sz w:val="24"/>
          <w:szCs w:val="24"/>
        </w:rPr>
        <w:t xml:space="preserve"> as a recognised title in France</w:t>
      </w:r>
      <w:r w:rsidR="0048099A">
        <w:rPr>
          <w:sz w:val="24"/>
          <w:szCs w:val="24"/>
        </w:rPr>
        <w:t>, a term that “</w:t>
      </w:r>
      <w:r w:rsidRPr="00E034B5">
        <w:rPr>
          <w:sz w:val="24"/>
          <w:szCs w:val="24"/>
        </w:rPr>
        <w:t>began, at this time, to travel by word of mouth through the people”.</w:t>
      </w:r>
      <w:r w:rsidRPr="00E034B5">
        <w:rPr>
          <w:rStyle w:val="FootnoteReference"/>
          <w:sz w:val="24"/>
          <w:szCs w:val="24"/>
        </w:rPr>
        <w:footnoteReference w:id="38"/>
      </w:r>
    </w:p>
    <w:p w14:paraId="20878D6D" w14:textId="77777777" w:rsidR="00A676E3" w:rsidRPr="00E034B5" w:rsidRDefault="00A676E3" w:rsidP="007F2DC0">
      <w:pPr>
        <w:spacing w:line="360" w:lineRule="auto"/>
        <w:rPr>
          <w:sz w:val="24"/>
          <w:szCs w:val="24"/>
        </w:rPr>
      </w:pPr>
    </w:p>
    <w:p w14:paraId="59001628" w14:textId="78FFBA64" w:rsidR="00E034B5" w:rsidRDefault="00E034B5" w:rsidP="007F2DC0">
      <w:pPr>
        <w:spacing w:line="360" w:lineRule="auto"/>
        <w:rPr>
          <w:sz w:val="24"/>
          <w:szCs w:val="24"/>
        </w:rPr>
      </w:pPr>
      <w:r w:rsidRPr="00E034B5">
        <w:rPr>
          <w:sz w:val="24"/>
          <w:szCs w:val="24"/>
        </w:rPr>
        <w:t>Philippe is known to have taken similar action to Henri and</w:t>
      </w:r>
      <w:r w:rsidRPr="00E034B5">
        <w:rPr>
          <w:i/>
          <w:sz w:val="24"/>
          <w:szCs w:val="24"/>
        </w:rPr>
        <w:t xml:space="preserve"> les mignons </w:t>
      </w:r>
      <w:r w:rsidRPr="00E034B5">
        <w:rPr>
          <w:sz w:val="24"/>
          <w:szCs w:val="24"/>
        </w:rPr>
        <w:t>in regard to his own, long-term relationship with Philippe, the Chevalier de Lorraine. The Chevalier de Lorraine was the great love of Monsieur’s life. The two men engaged in a sexual and romantic relationship for many years, in which the Chevalier resided in Monsieur’s Paris residence.</w:t>
      </w:r>
      <w:r w:rsidRPr="00E034B5">
        <w:rPr>
          <w:rStyle w:val="FootnoteReference"/>
          <w:sz w:val="24"/>
          <w:szCs w:val="24"/>
        </w:rPr>
        <w:footnoteReference w:id="39"/>
      </w:r>
      <w:r w:rsidRPr="00E034B5">
        <w:rPr>
          <w:sz w:val="24"/>
          <w:szCs w:val="24"/>
        </w:rPr>
        <w:t xml:space="preserve"> Regarded as an attractive man by his contemporaries,</w:t>
      </w:r>
      <w:r w:rsidRPr="00E034B5">
        <w:rPr>
          <w:rStyle w:val="FootnoteReference"/>
          <w:sz w:val="24"/>
          <w:szCs w:val="24"/>
        </w:rPr>
        <w:footnoteReference w:id="40"/>
      </w:r>
      <w:r w:rsidRPr="00E034B5">
        <w:rPr>
          <w:sz w:val="24"/>
          <w:szCs w:val="24"/>
        </w:rPr>
        <w:t xml:space="preserve"> the Chevalier de Lorraine acts in the </w:t>
      </w:r>
      <w:r w:rsidRPr="00E034B5">
        <w:rPr>
          <w:sz w:val="24"/>
          <w:szCs w:val="24"/>
        </w:rPr>
        <w:lastRenderedPageBreak/>
        <w:t>same way as a mistress would for the entirety of his relationship with Monsieur, however, due to his gender, he could not assume the title of the role. Contemporary author Cosnac quotes Monsieur as saying the Chevalier “wants absolutely to attach himself to me,”</w:t>
      </w:r>
      <w:r w:rsidRPr="00E034B5">
        <w:rPr>
          <w:rStyle w:val="FootnoteReference"/>
          <w:sz w:val="24"/>
          <w:szCs w:val="24"/>
        </w:rPr>
        <w:footnoteReference w:id="41"/>
      </w:r>
      <w:r w:rsidRPr="00E034B5">
        <w:rPr>
          <w:sz w:val="24"/>
          <w:szCs w:val="24"/>
        </w:rPr>
        <w:t xml:space="preserve"> in essence asking to become an official ‘mistress’. In return for this role, the Chevalier was willing to “renounce entirely all the graces he could obtain from the King”.</w:t>
      </w:r>
      <w:r w:rsidRPr="00E034B5">
        <w:rPr>
          <w:rStyle w:val="FootnoteReference"/>
          <w:sz w:val="24"/>
          <w:szCs w:val="24"/>
        </w:rPr>
        <w:footnoteReference w:id="42"/>
      </w:r>
      <w:r w:rsidRPr="00E034B5">
        <w:rPr>
          <w:sz w:val="24"/>
          <w:szCs w:val="24"/>
        </w:rPr>
        <w:t xml:space="preserve"> Eventually, the Chevalier’s request was heard, and he was publicly granted an official master of Monsieur’s household.</w:t>
      </w:r>
      <w:r w:rsidRPr="00E034B5">
        <w:rPr>
          <w:rStyle w:val="FootnoteReference"/>
          <w:sz w:val="24"/>
          <w:szCs w:val="24"/>
        </w:rPr>
        <w:footnoteReference w:id="43"/>
      </w:r>
      <w:r w:rsidRPr="00E034B5">
        <w:rPr>
          <w:sz w:val="24"/>
          <w:szCs w:val="24"/>
        </w:rPr>
        <w:t xml:space="preserve"> This action connotes a dedication made by Monsieur to the Chevalier and portrays a level of monogamy in their relationship. </w:t>
      </w:r>
    </w:p>
    <w:p w14:paraId="17AEBF97" w14:textId="77777777" w:rsidR="00A676E3" w:rsidRPr="00E034B5" w:rsidRDefault="00A676E3" w:rsidP="007F2DC0">
      <w:pPr>
        <w:spacing w:line="360" w:lineRule="auto"/>
        <w:rPr>
          <w:sz w:val="24"/>
          <w:szCs w:val="24"/>
        </w:rPr>
      </w:pPr>
    </w:p>
    <w:p w14:paraId="735EE2A8" w14:textId="3604F4A4" w:rsidR="00E034B5" w:rsidRDefault="00E034B5" w:rsidP="007F2DC0">
      <w:pPr>
        <w:spacing w:line="360" w:lineRule="auto"/>
        <w:rPr>
          <w:sz w:val="24"/>
          <w:szCs w:val="24"/>
        </w:rPr>
      </w:pPr>
      <w:r w:rsidRPr="00E034B5">
        <w:rPr>
          <w:sz w:val="24"/>
          <w:szCs w:val="24"/>
        </w:rPr>
        <w:t>Monogamy in a homosexual relationship during the seventeenth century was difficult, due to the societal pressures of producing legitimate offspring. Louis XIII, the father of Louis XIV and Philippe, however, kept monogamy in his homosexual affairs to the highest possible extremity. Louis XIII, who took the throne of France shortly before his ninth birthday, had his entire future handled by those around him, including the subject of his marriage. However, it is clear that Louis married only for duty and that his heart lay with the men at court. From infancy, Louis’ sexual awakening was highly anticipated at court, he was encouraged by doctors to participate in “auto-erotic activity, genital exhibitionism, and heterosexual play”,</w:t>
      </w:r>
      <w:r w:rsidRPr="00E034B5">
        <w:rPr>
          <w:rStyle w:val="FootnoteReference"/>
          <w:sz w:val="24"/>
          <w:szCs w:val="24"/>
        </w:rPr>
        <w:footnoteReference w:id="44"/>
      </w:r>
      <w:r w:rsidRPr="00E034B5">
        <w:rPr>
          <w:sz w:val="24"/>
          <w:szCs w:val="24"/>
        </w:rPr>
        <w:t xml:space="preserve"> which resulted in an invasive account of Louis every boyhood orgasm,</w:t>
      </w:r>
      <w:r w:rsidRPr="00E034B5">
        <w:rPr>
          <w:rStyle w:val="FootnoteReference"/>
          <w:sz w:val="24"/>
          <w:szCs w:val="24"/>
        </w:rPr>
        <w:footnoteReference w:id="45"/>
      </w:r>
      <w:r w:rsidRPr="00E034B5">
        <w:rPr>
          <w:sz w:val="24"/>
          <w:szCs w:val="24"/>
        </w:rPr>
        <w:t xml:space="preserve">  as recorded by his personal physician Jean Héroard. The invasive nature of Louis’ childhood aimed to create a sexually driven, heterosexual king who would produce </w:t>
      </w:r>
      <w:r w:rsidR="00CC2CE3" w:rsidRPr="00E034B5">
        <w:rPr>
          <w:sz w:val="24"/>
          <w:szCs w:val="24"/>
        </w:rPr>
        <w:t>several</w:t>
      </w:r>
      <w:r w:rsidRPr="00E034B5">
        <w:rPr>
          <w:sz w:val="24"/>
          <w:szCs w:val="24"/>
        </w:rPr>
        <w:t xml:space="preserve"> legitimate heirs in a time when France was riddled with religious wars.</w:t>
      </w:r>
      <w:r w:rsidRPr="00E034B5">
        <w:rPr>
          <w:rStyle w:val="FootnoteReference"/>
          <w:sz w:val="24"/>
          <w:szCs w:val="24"/>
        </w:rPr>
        <w:footnoteReference w:id="46"/>
      </w:r>
      <w:r w:rsidRPr="00E034B5">
        <w:rPr>
          <w:sz w:val="24"/>
          <w:szCs w:val="24"/>
        </w:rPr>
        <w:t xml:space="preserve"> However, despite Louis’ closest guardians’ best efforts, this did not produce a heterosexual king.</w:t>
      </w:r>
    </w:p>
    <w:p w14:paraId="5324F7F6" w14:textId="77777777" w:rsidR="00A676E3" w:rsidRPr="00E034B5" w:rsidRDefault="00A676E3" w:rsidP="007F2DC0">
      <w:pPr>
        <w:spacing w:line="360" w:lineRule="auto"/>
        <w:rPr>
          <w:sz w:val="24"/>
          <w:szCs w:val="24"/>
        </w:rPr>
      </w:pPr>
    </w:p>
    <w:p w14:paraId="1A2A36FA" w14:textId="4C4980BE" w:rsidR="00E034B5" w:rsidRDefault="00E034B5" w:rsidP="007F2DC0">
      <w:pPr>
        <w:spacing w:line="360" w:lineRule="auto"/>
        <w:rPr>
          <w:sz w:val="24"/>
          <w:szCs w:val="24"/>
        </w:rPr>
      </w:pPr>
      <w:r w:rsidRPr="00E034B5">
        <w:rPr>
          <w:sz w:val="24"/>
          <w:szCs w:val="24"/>
        </w:rPr>
        <w:t xml:space="preserve">Louis XIII married Anne of Austria at only fourteen years old and despite being taught that his first role as dauphin was to produce another dauphin, the consummation of his marriage to Anne did not occur on their wedding night. It took three years before the two consummated their marriage, when the king’s male lover Luynes carried a tearful Louis XIII to Anne’s </w:t>
      </w:r>
      <w:r w:rsidRPr="00E034B5">
        <w:rPr>
          <w:sz w:val="24"/>
          <w:szCs w:val="24"/>
        </w:rPr>
        <w:lastRenderedPageBreak/>
        <w:t>bedchamber and all but forced the situation.</w:t>
      </w:r>
      <w:r w:rsidRPr="00E034B5">
        <w:rPr>
          <w:rStyle w:val="FootnoteReference"/>
          <w:sz w:val="24"/>
          <w:szCs w:val="24"/>
        </w:rPr>
        <w:footnoteReference w:id="47"/>
      </w:r>
      <w:r w:rsidRPr="00E034B5">
        <w:rPr>
          <w:sz w:val="24"/>
          <w:szCs w:val="24"/>
        </w:rPr>
        <w:t xml:space="preserve"> It took twenty years of marriage before Louis and Anne finally had their first child, a son, who would later become Louis XIV.</w:t>
      </w:r>
      <w:r w:rsidRPr="00E034B5">
        <w:rPr>
          <w:rStyle w:val="FootnoteReference"/>
          <w:sz w:val="24"/>
          <w:szCs w:val="24"/>
        </w:rPr>
        <w:footnoteReference w:id="48"/>
      </w:r>
    </w:p>
    <w:p w14:paraId="3ADCD3D6" w14:textId="77777777" w:rsidR="00A676E3" w:rsidRPr="00E034B5" w:rsidRDefault="00A676E3" w:rsidP="007F2DC0">
      <w:pPr>
        <w:spacing w:line="360" w:lineRule="auto"/>
        <w:rPr>
          <w:sz w:val="24"/>
          <w:szCs w:val="24"/>
        </w:rPr>
      </w:pPr>
    </w:p>
    <w:p w14:paraId="608BD6AE" w14:textId="0A93A667" w:rsidR="00E034B5" w:rsidRDefault="00E034B5" w:rsidP="007F2DC0">
      <w:pPr>
        <w:spacing w:line="360" w:lineRule="auto"/>
        <w:rPr>
          <w:sz w:val="24"/>
          <w:szCs w:val="24"/>
        </w:rPr>
      </w:pPr>
      <w:r w:rsidRPr="00E034B5">
        <w:rPr>
          <w:sz w:val="24"/>
          <w:szCs w:val="24"/>
        </w:rPr>
        <w:t>Louis XIII had as close to a monogamous relationship as possible in his situation. His sexual interaction with his wife was limited and infrequent, born only out of duty to produce an heir and therefore the majority of his sexual activity was through his male lovers. Louis was dedicated to his lovers, who came one at a time, and therefore, his wife aside, it is most likely that Louis only had sexual relations with one person at a time. The first love of Louis’ life was Francois de Baradas, whom Louis “loved violently.”</w:t>
      </w:r>
      <w:r w:rsidRPr="00E034B5">
        <w:rPr>
          <w:rStyle w:val="FootnoteReference"/>
          <w:sz w:val="24"/>
          <w:szCs w:val="24"/>
        </w:rPr>
        <w:footnoteReference w:id="49"/>
      </w:r>
      <w:r w:rsidRPr="00E034B5">
        <w:rPr>
          <w:sz w:val="24"/>
          <w:szCs w:val="24"/>
        </w:rPr>
        <w:t xml:space="preserve"> Baradas had affairs with other male nobles in Paris, and after hearing about this, Louis became jealous and ended</w:t>
      </w:r>
      <w:r w:rsidR="00DD18B0">
        <w:rPr>
          <w:sz w:val="24"/>
          <w:szCs w:val="24"/>
        </w:rPr>
        <w:t xml:space="preserve"> their r</w:t>
      </w:r>
      <w:r w:rsidRPr="00E034B5">
        <w:rPr>
          <w:sz w:val="24"/>
          <w:szCs w:val="24"/>
        </w:rPr>
        <w:t>elationship.</w:t>
      </w:r>
      <w:r w:rsidRPr="00E034B5">
        <w:rPr>
          <w:rStyle w:val="FootnoteReference"/>
          <w:sz w:val="24"/>
          <w:szCs w:val="24"/>
        </w:rPr>
        <w:footnoteReference w:id="50"/>
      </w:r>
      <w:r w:rsidRPr="00E034B5">
        <w:rPr>
          <w:sz w:val="24"/>
          <w:szCs w:val="24"/>
        </w:rPr>
        <w:t xml:space="preserve"> Though Louis was married, this relationship presents the idea that Louis was monogamous with his male lovers, prioritising them as his main and only relationship. This displays the marriage between Louis and Anne as one of political value, without the growth of love between the two parties as Louis evidently does not consider his wife to be a sexual or romantic partner. This allows Louis to present a monogamous relationship with his male lovers, despite his marriage to Anne.</w:t>
      </w:r>
      <w:r w:rsidRPr="00E034B5">
        <w:rPr>
          <w:rStyle w:val="FootnoteReference"/>
          <w:sz w:val="24"/>
          <w:szCs w:val="24"/>
        </w:rPr>
        <w:footnoteReference w:id="51"/>
      </w:r>
    </w:p>
    <w:p w14:paraId="5259A5F9" w14:textId="77777777" w:rsidR="00A676E3" w:rsidRPr="00E034B5" w:rsidRDefault="00A676E3" w:rsidP="007F2DC0">
      <w:pPr>
        <w:spacing w:line="360" w:lineRule="auto"/>
        <w:rPr>
          <w:sz w:val="24"/>
          <w:szCs w:val="24"/>
        </w:rPr>
      </w:pPr>
    </w:p>
    <w:p w14:paraId="6FB7C473" w14:textId="5441148D" w:rsidR="00E034B5" w:rsidRDefault="00E034B5" w:rsidP="007F2DC0">
      <w:pPr>
        <w:spacing w:line="360" w:lineRule="auto"/>
        <w:rPr>
          <w:sz w:val="24"/>
          <w:szCs w:val="24"/>
        </w:rPr>
      </w:pPr>
      <w:r w:rsidRPr="00E034B5">
        <w:rPr>
          <w:sz w:val="24"/>
          <w:szCs w:val="24"/>
        </w:rPr>
        <w:t>Another of Louis’ lovers was the protégé of Cardinal Richelieu, Louis’ most trusted advisor.</w:t>
      </w:r>
      <w:r w:rsidRPr="00E034B5">
        <w:rPr>
          <w:rStyle w:val="FootnoteReference"/>
          <w:sz w:val="24"/>
          <w:szCs w:val="24"/>
        </w:rPr>
        <w:footnoteReference w:id="52"/>
      </w:r>
      <w:r w:rsidRPr="00E034B5">
        <w:rPr>
          <w:sz w:val="24"/>
          <w:szCs w:val="24"/>
        </w:rPr>
        <w:t xml:space="preserve"> This relationship between Richelieu’s protégé, Henri </w:t>
      </w:r>
      <w:proofErr w:type="spellStart"/>
      <w:r w:rsidRPr="00E034B5">
        <w:rPr>
          <w:sz w:val="24"/>
          <w:szCs w:val="24"/>
        </w:rPr>
        <w:t>Coiffer</w:t>
      </w:r>
      <w:proofErr w:type="spellEnd"/>
      <w:r w:rsidRPr="00E034B5">
        <w:rPr>
          <w:sz w:val="24"/>
          <w:szCs w:val="24"/>
        </w:rPr>
        <w:t xml:space="preserve"> de </w:t>
      </w:r>
      <w:proofErr w:type="spellStart"/>
      <w:r w:rsidRPr="00E034B5">
        <w:rPr>
          <w:sz w:val="24"/>
          <w:szCs w:val="24"/>
        </w:rPr>
        <w:t>Ruzé</w:t>
      </w:r>
      <w:proofErr w:type="spellEnd"/>
      <w:r w:rsidRPr="00E034B5">
        <w:rPr>
          <w:sz w:val="24"/>
          <w:szCs w:val="24"/>
        </w:rPr>
        <w:t>, Marquis of Cinq Mars, and Louis is often referred to as the most tragic of Louis’ love affairs. Cinq Mars was only nineteen when his relationship with thirty-eight-year-old Louis began, and the pair quarrelled regularly.</w:t>
      </w:r>
      <w:r w:rsidRPr="00E034B5">
        <w:rPr>
          <w:rStyle w:val="FootnoteReference"/>
          <w:sz w:val="24"/>
          <w:szCs w:val="24"/>
        </w:rPr>
        <w:footnoteReference w:id="53"/>
      </w:r>
      <w:r w:rsidRPr="00E034B5">
        <w:rPr>
          <w:sz w:val="24"/>
          <w:szCs w:val="24"/>
        </w:rPr>
        <w:t xml:space="preserve">  In Louis’ letters to Richelieu, he complained about his relationship with Cinq Mars, stating that he had not “slept a wink all night and [is] really upset.”</w:t>
      </w:r>
      <w:r w:rsidRPr="00E034B5">
        <w:rPr>
          <w:rStyle w:val="FootnoteReference"/>
          <w:sz w:val="24"/>
          <w:szCs w:val="24"/>
        </w:rPr>
        <w:footnoteReference w:id="54"/>
      </w:r>
      <w:r w:rsidRPr="00E034B5">
        <w:rPr>
          <w:sz w:val="24"/>
          <w:szCs w:val="24"/>
        </w:rPr>
        <w:t xml:space="preserve"> Once again, it is evident that Louis cared deeply for each of his lovers and was affected by how they acted and behaved toward him. </w:t>
      </w:r>
    </w:p>
    <w:p w14:paraId="5FBE4FEB" w14:textId="77777777" w:rsidR="00A676E3" w:rsidRPr="00E034B5" w:rsidRDefault="00A676E3" w:rsidP="007F2DC0">
      <w:pPr>
        <w:spacing w:line="360" w:lineRule="auto"/>
        <w:rPr>
          <w:sz w:val="24"/>
          <w:szCs w:val="24"/>
        </w:rPr>
      </w:pPr>
    </w:p>
    <w:p w14:paraId="77F8578D" w14:textId="4F3D40C8" w:rsidR="00E034B5" w:rsidRDefault="00E034B5" w:rsidP="007F2DC0">
      <w:pPr>
        <w:spacing w:line="360" w:lineRule="auto"/>
        <w:rPr>
          <w:sz w:val="24"/>
          <w:szCs w:val="24"/>
        </w:rPr>
      </w:pPr>
      <w:r w:rsidRPr="00E034B5">
        <w:rPr>
          <w:sz w:val="24"/>
          <w:szCs w:val="24"/>
        </w:rPr>
        <w:t xml:space="preserve">Unlike his father, Louis XIII, Philippe was evidently less monogamous in his life-long connection with the Chevalier. Despite the long-term, committed nature of their relationship, </w:t>
      </w:r>
      <w:r w:rsidRPr="00E034B5">
        <w:rPr>
          <w:sz w:val="24"/>
          <w:szCs w:val="24"/>
        </w:rPr>
        <w:lastRenderedPageBreak/>
        <w:t xml:space="preserve">Monsieur often engaged in sexual relations with other homosexual men at court. Monsieur often discussed his love life with his wife Liselotte, who despite hating </w:t>
      </w:r>
      <w:r w:rsidR="009968B0">
        <w:rPr>
          <w:sz w:val="24"/>
          <w:szCs w:val="24"/>
        </w:rPr>
        <w:t xml:space="preserve">the </w:t>
      </w:r>
      <w:r w:rsidRPr="00E034B5">
        <w:rPr>
          <w:sz w:val="24"/>
          <w:szCs w:val="24"/>
        </w:rPr>
        <w:t>Chevalier, was ever diplomatic in her responses.</w:t>
      </w:r>
      <w:r w:rsidRPr="00E034B5">
        <w:rPr>
          <w:rStyle w:val="FootnoteReference"/>
          <w:sz w:val="24"/>
          <w:szCs w:val="24"/>
        </w:rPr>
        <w:footnoteReference w:id="55"/>
      </w:r>
      <w:r w:rsidRPr="00E034B5">
        <w:rPr>
          <w:sz w:val="24"/>
          <w:szCs w:val="24"/>
        </w:rPr>
        <w:t xml:space="preserve"> In her letters, Liselotte also spoke of how after her husband’s death, she endeavoured to hide his sexual exploits by finding every love letter he received from his countless favourites and “burnt them all without reading them, in case they fell into other hands.”</w:t>
      </w:r>
      <w:r w:rsidRPr="00E034B5">
        <w:rPr>
          <w:rStyle w:val="FootnoteReference"/>
          <w:sz w:val="24"/>
          <w:szCs w:val="24"/>
        </w:rPr>
        <w:footnoteReference w:id="56"/>
      </w:r>
      <w:r w:rsidRPr="00E034B5">
        <w:rPr>
          <w:sz w:val="24"/>
          <w:szCs w:val="24"/>
        </w:rPr>
        <w:t xml:space="preserve"> Whether Monsieur was faithful to only his wife and </w:t>
      </w:r>
      <w:r w:rsidR="009968B0">
        <w:rPr>
          <w:sz w:val="24"/>
          <w:szCs w:val="24"/>
        </w:rPr>
        <w:t xml:space="preserve">the </w:t>
      </w:r>
      <w:r w:rsidRPr="00E034B5">
        <w:rPr>
          <w:sz w:val="24"/>
          <w:szCs w:val="24"/>
        </w:rPr>
        <w:t xml:space="preserve">Chevalier, or whether he had countless other lovers, does not change the way in which these relationships can be viewed. It is evident that Monsieur was not committed to his wife </w:t>
      </w:r>
      <w:r w:rsidR="00DD18B0">
        <w:rPr>
          <w:sz w:val="24"/>
          <w:szCs w:val="24"/>
        </w:rPr>
        <w:t>nor lived as a heterosexual male, with a wife and</w:t>
      </w:r>
      <w:r w:rsidR="009968B0">
        <w:rPr>
          <w:sz w:val="24"/>
          <w:szCs w:val="24"/>
        </w:rPr>
        <w:t xml:space="preserve"> </w:t>
      </w:r>
      <w:r w:rsidR="00DD18B0">
        <w:rPr>
          <w:sz w:val="24"/>
          <w:szCs w:val="24"/>
        </w:rPr>
        <w:t>female mistresses and affairs, like his brother</w:t>
      </w:r>
      <w:r w:rsidRPr="00E034B5">
        <w:rPr>
          <w:sz w:val="24"/>
          <w:szCs w:val="24"/>
        </w:rPr>
        <w:t xml:space="preserve"> Louis XIV.</w:t>
      </w:r>
      <w:r w:rsidRPr="00E034B5">
        <w:rPr>
          <w:rStyle w:val="FootnoteReference"/>
          <w:sz w:val="24"/>
          <w:szCs w:val="24"/>
        </w:rPr>
        <w:footnoteReference w:id="57"/>
      </w:r>
      <w:r w:rsidRPr="00E034B5">
        <w:rPr>
          <w:sz w:val="24"/>
          <w:szCs w:val="24"/>
        </w:rPr>
        <w:t xml:space="preserve"> Philippe’s relationship with </w:t>
      </w:r>
      <w:r w:rsidR="009968B0">
        <w:rPr>
          <w:sz w:val="24"/>
          <w:szCs w:val="24"/>
        </w:rPr>
        <w:t xml:space="preserve">the </w:t>
      </w:r>
      <w:r w:rsidRPr="00E034B5">
        <w:rPr>
          <w:sz w:val="24"/>
          <w:szCs w:val="24"/>
        </w:rPr>
        <w:t xml:space="preserve">Chevalier was also too engrained in his life to be a mere fling, especially considering the action of taking </w:t>
      </w:r>
      <w:r w:rsidR="009968B0">
        <w:rPr>
          <w:sz w:val="24"/>
          <w:szCs w:val="24"/>
        </w:rPr>
        <w:t xml:space="preserve">the </w:t>
      </w:r>
      <w:r w:rsidRPr="00E034B5">
        <w:rPr>
          <w:sz w:val="24"/>
          <w:szCs w:val="24"/>
        </w:rPr>
        <w:t xml:space="preserve">Chevalier as a male ‘mistress’. Through exploring the complexity of Monsieur’s relationship with the Chevalier it becomes evident that relationships are complex in any time period, and can include affairs, flings and open relationships, which does not limit one’s sexuality or orientation. </w:t>
      </w:r>
    </w:p>
    <w:p w14:paraId="3F95F1D6" w14:textId="77777777" w:rsidR="00A676E3" w:rsidRPr="00E034B5" w:rsidRDefault="00A676E3" w:rsidP="007F2DC0">
      <w:pPr>
        <w:spacing w:line="360" w:lineRule="auto"/>
        <w:rPr>
          <w:sz w:val="24"/>
          <w:szCs w:val="24"/>
        </w:rPr>
      </w:pPr>
    </w:p>
    <w:p w14:paraId="0D43AC18" w14:textId="766B7488" w:rsidR="00E034B5" w:rsidRDefault="00E034B5" w:rsidP="007F2DC0">
      <w:pPr>
        <w:spacing w:line="360" w:lineRule="auto"/>
        <w:rPr>
          <w:sz w:val="24"/>
          <w:szCs w:val="24"/>
        </w:rPr>
      </w:pPr>
      <w:r w:rsidRPr="00E034B5">
        <w:rPr>
          <w:i/>
          <w:sz w:val="24"/>
          <w:szCs w:val="24"/>
        </w:rPr>
        <w:t>Bon Amour</w:t>
      </w:r>
      <w:r w:rsidRPr="00E034B5">
        <w:rPr>
          <w:sz w:val="24"/>
          <w:szCs w:val="24"/>
        </w:rPr>
        <w:t xml:space="preserve"> presents same-sex mistresses and affairs, which when considered in a heterosexual nature were rife in the court of Louis XIV. Louis himself was infamous for his countless female lovers which led to Louis siring a large number of children, including six heirs by his wife Marie Thérèse, of which only one survived past infancy. Louis also sired at least eleven other children through his mistresses, notably Louise de la Vallière who gave him five children, and the Marquise de Montespan who bore six.</w:t>
      </w:r>
      <w:r w:rsidRPr="00E034B5">
        <w:rPr>
          <w:rStyle w:val="FootnoteReference"/>
          <w:sz w:val="24"/>
          <w:szCs w:val="24"/>
        </w:rPr>
        <w:footnoteReference w:id="58"/>
      </w:r>
      <w:r w:rsidRPr="00E034B5">
        <w:rPr>
          <w:sz w:val="24"/>
          <w:szCs w:val="24"/>
        </w:rPr>
        <w:t xml:space="preserve"> </w:t>
      </w:r>
    </w:p>
    <w:p w14:paraId="136284CA" w14:textId="77777777" w:rsidR="00A676E3" w:rsidRPr="00E034B5" w:rsidRDefault="00A676E3" w:rsidP="007F2DC0">
      <w:pPr>
        <w:spacing w:line="360" w:lineRule="auto"/>
        <w:rPr>
          <w:sz w:val="24"/>
          <w:szCs w:val="24"/>
        </w:rPr>
      </w:pPr>
    </w:p>
    <w:p w14:paraId="782DCF89" w14:textId="051199BA" w:rsidR="00E034B5" w:rsidRDefault="00E034B5" w:rsidP="007F2DC0">
      <w:pPr>
        <w:spacing w:line="360" w:lineRule="auto"/>
        <w:rPr>
          <w:sz w:val="24"/>
          <w:szCs w:val="24"/>
        </w:rPr>
      </w:pPr>
      <w:r w:rsidRPr="00E034B5">
        <w:rPr>
          <w:sz w:val="24"/>
          <w:szCs w:val="24"/>
        </w:rPr>
        <w:t>Louis’ own marriage was of duty, he wed Marie Thérèse hastily as a result of the queen-mother’s anxiety to make a suitable arrangement for her son.</w:t>
      </w:r>
      <w:r w:rsidRPr="00E034B5">
        <w:rPr>
          <w:rStyle w:val="FootnoteReference"/>
          <w:sz w:val="24"/>
          <w:szCs w:val="24"/>
        </w:rPr>
        <w:t xml:space="preserve"> </w:t>
      </w:r>
      <w:r w:rsidRPr="00E034B5">
        <w:rPr>
          <w:sz w:val="24"/>
          <w:szCs w:val="24"/>
        </w:rPr>
        <w:t xml:space="preserve">Marie Thérèse was a Spanish princess who Louis had never met. She had been raised to become a faithful and patient queen however was not prepared to please or amuse a husband who showed little interest. As a result, Louis and Marie Thérèse </w:t>
      </w:r>
      <w:r w:rsidR="009968B0" w:rsidRPr="00E034B5">
        <w:rPr>
          <w:sz w:val="24"/>
          <w:szCs w:val="24"/>
        </w:rPr>
        <w:t>entered</w:t>
      </w:r>
      <w:r w:rsidRPr="00E034B5">
        <w:rPr>
          <w:sz w:val="24"/>
          <w:szCs w:val="24"/>
        </w:rPr>
        <w:t xml:space="preserve"> their union with little desire and affection for one another, of which little grew over their long marriage.</w:t>
      </w:r>
      <w:r w:rsidRPr="00E034B5">
        <w:rPr>
          <w:rStyle w:val="FootnoteReference"/>
          <w:sz w:val="24"/>
          <w:szCs w:val="24"/>
        </w:rPr>
        <w:footnoteReference w:id="59"/>
      </w:r>
    </w:p>
    <w:p w14:paraId="49311390" w14:textId="77777777" w:rsidR="00A676E3" w:rsidRPr="00E034B5" w:rsidRDefault="00A676E3" w:rsidP="007F2DC0">
      <w:pPr>
        <w:spacing w:line="360" w:lineRule="auto"/>
        <w:rPr>
          <w:sz w:val="24"/>
          <w:szCs w:val="24"/>
        </w:rPr>
      </w:pPr>
    </w:p>
    <w:p w14:paraId="107FAB2A" w14:textId="3A3C13D5" w:rsidR="00E034B5" w:rsidRDefault="00E034B5" w:rsidP="007F2DC0">
      <w:pPr>
        <w:spacing w:line="360" w:lineRule="auto"/>
        <w:rPr>
          <w:sz w:val="24"/>
          <w:szCs w:val="24"/>
        </w:rPr>
      </w:pPr>
      <w:r w:rsidRPr="00E034B5">
        <w:rPr>
          <w:sz w:val="24"/>
          <w:szCs w:val="24"/>
        </w:rPr>
        <w:lastRenderedPageBreak/>
        <w:t>Despite the loveless nature of the King’s marriage to his Spanish bride,</w:t>
      </w:r>
      <w:r w:rsidR="00CF0DF8">
        <w:rPr>
          <w:sz w:val="24"/>
          <w:szCs w:val="24"/>
        </w:rPr>
        <w:t xml:space="preserve"> his mother</w:t>
      </w:r>
      <w:r w:rsidRPr="00E034B5">
        <w:rPr>
          <w:sz w:val="24"/>
          <w:szCs w:val="24"/>
        </w:rPr>
        <w:t xml:space="preserve"> Anne of Austria believed him to remain faithful, especially after the announcement of Marie Thérèse’s pregnancy in 1661, however Anne failed to account for the newcomer to French courts, Louis’ new sister-in-law, Henrietta of England.</w:t>
      </w:r>
      <w:r w:rsidRPr="00E034B5">
        <w:rPr>
          <w:rStyle w:val="FootnoteReference"/>
          <w:sz w:val="24"/>
          <w:szCs w:val="24"/>
        </w:rPr>
        <w:footnoteReference w:id="60"/>
      </w:r>
      <w:r w:rsidRPr="00E034B5">
        <w:rPr>
          <w:sz w:val="24"/>
          <w:szCs w:val="24"/>
        </w:rPr>
        <w:t xml:space="preserve"> A marriage union had been attempted between Louis and Henrietta before his union with Marie Thérèse, talks between Henrietta Maria, the wife of King Charles I of England, and Anne of Austria sought the union between the two children, however Anne preferred the union between her son Louis and the Spanish princess, later marrying Henrietta of England to her other son, Philippe Duke d’Orléans.</w:t>
      </w:r>
      <w:r w:rsidRPr="00E034B5">
        <w:rPr>
          <w:rStyle w:val="FootnoteReference"/>
          <w:sz w:val="24"/>
          <w:szCs w:val="24"/>
        </w:rPr>
        <w:footnoteReference w:id="61"/>
      </w:r>
      <w:r w:rsidRPr="00E034B5">
        <w:rPr>
          <w:sz w:val="24"/>
          <w:szCs w:val="24"/>
        </w:rPr>
        <w:t xml:space="preserve"> </w:t>
      </w:r>
    </w:p>
    <w:p w14:paraId="701BE5FF" w14:textId="77777777" w:rsidR="00A676E3" w:rsidRPr="00E034B5" w:rsidRDefault="00A676E3" w:rsidP="007F2DC0">
      <w:pPr>
        <w:spacing w:line="360" w:lineRule="auto"/>
        <w:rPr>
          <w:sz w:val="24"/>
          <w:szCs w:val="24"/>
        </w:rPr>
      </w:pPr>
    </w:p>
    <w:p w14:paraId="0CD62F6C" w14:textId="568FE8E2" w:rsidR="00E034B5" w:rsidRDefault="00E034B5" w:rsidP="007F2DC0">
      <w:pPr>
        <w:spacing w:line="360" w:lineRule="auto"/>
        <w:rPr>
          <w:sz w:val="24"/>
          <w:szCs w:val="24"/>
        </w:rPr>
      </w:pPr>
      <w:r w:rsidRPr="00E034B5">
        <w:rPr>
          <w:sz w:val="24"/>
          <w:szCs w:val="24"/>
        </w:rPr>
        <w:t xml:space="preserve">Louis XIV began a relationship of flirtation with his brother’s wife, Henrietta, shortly after her </w:t>
      </w:r>
      <w:r w:rsidR="004E5050">
        <w:rPr>
          <w:sz w:val="24"/>
          <w:szCs w:val="24"/>
        </w:rPr>
        <w:t>arrival at</w:t>
      </w:r>
      <w:r w:rsidRPr="00E034B5">
        <w:rPr>
          <w:sz w:val="24"/>
          <w:szCs w:val="24"/>
        </w:rPr>
        <w:t xml:space="preserve"> court.</w:t>
      </w:r>
      <w:r w:rsidRPr="00E034B5">
        <w:rPr>
          <w:rStyle w:val="FootnoteReference"/>
          <w:sz w:val="24"/>
          <w:szCs w:val="24"/>
        </w:rPr>
        <w:footnoteReference w:id="62"/>
      </w:r>
      <w:r w:rsidRPr="00E034B5">
        <w:rPr>
          <w:sz w:val="24"/>
          <w:szCs w:val="24"/>
        </w:rPr>
        <w:t xml:space="preserve"> Henrietta was energetic, beautiful and an eager flirt, every man at court loved her except her own husband, Louis often flirted with her in the ballroom and while out hunting, leading to rumours of an affair at court.</w:t>
      </w:r>
      <w:r w:rsidRPr="00E034B5">
        <w:rPr>
          <w:rStyle w:val="FootnoteReference"/>
          <w:sz w:val="24"/>
          <w:szCs w:val="24"/>
        </w:rPr>
        <w:t xml:space="preserve"> </w:t>
      </w:r>
      <w:r w:rsidRPr="00E034B5">
        <w:rPr>
          <w:rStyle w:val="FootnoteReference"/>
          <w:sz w:val="24"/>
          <w:szCs w:val="24"/>
        </w:rPr>
        <w:footnoteReference w:id="63"/>
      </w:r>
      <w:r w:rsidRPr="00E034B5">
        <w:rPr>
          <w:sz w:val="24"/>
          <w:szCs w:val="24"/>
        </w:rPr>
        <w:t xml:space="preserve"> After fear that Louis and Henrietta’s relationship was anything other than that of family, Anne of Austria sternly addressed the rumours in Monsieur and Henrietta’s company and reminded the pair of the political consequences of their actions and Philippe’s permitting of such an insult to his marriage.</w:t>
      </w:r>
      <w:r w:rsidRPr="00E034B5">
        <w:rPr>
          <w:rStyle w:val="FootnoteReference"/>
          <w:sz w:val="24"/>
          <w:szCs w:val="24"/>
        </w:rPr>
        <w:footnoteReference w:id="64"/>
      </w:r>
      <w:r w:rsidRPr="00E034B5">
        <w:rPr>
          <w:sz w:val="24"/>
          <w:szCs w:val="24"/>
        </w:rPr>
        <w:t xml:space="preserve"> To allow their flirtation to continue, Henrietta suggested Louis pretend to court one of her ladies, Louise de La Vallière, however th</w:t>
      </w:r>
      <w:r w:rsidR="008C2BDB">
        <w:rPr>
          <w:sz w:val="24"/>
          <w:szCs w:val="24"/>
        </w:rPr>
        <w:t>is</w:t>
      </w:r>
      <w:r w:rsidRPr="00E034B5">
        <w:rPr>
          <w:sz w:val="24"/>
          <w:szCs w:val="24"/>
        </w:rPr>
        <w:t xml:space="preserve"> </w:t>
      </w:r>
      <w:r w:rsidR="008C2BDB" w:rsidRPr="00E034B5">
        <w:rPr>
          <w:sz w:val="24"/>
          <w:szCs w:val="24"/>
        </w:rPr>
        <w:t>fabrication</w:t>
      </w:r>
      <w:r w:rsidRPr="00E034B5">
        <w:rPr>
          <w:sz w:val="24"/>
          <w:szCs w:val="24"/>
        </w:rPr>
        <w:t xml:space="preserve"> soon became the new reality, resulting in Louise becoming the official mistress of Louis XIV and the mother of five of his children, two of whom survived into adulthood and </w:t>
      </w:r>
      <w:r w:rsidR="008C2BDB">
        <w:rPr>
          <w:sz w:val="24"/>
          <w:szCs w:val="24"/>
        </w:rPr>
        <w:t xml:space="preserve">were </w:t>
      </w:r>
      <w:r w:rsidRPr="00E034B5">
        <w:rPr>
          <w:sz w:val="24"/>
          <w:szCs w:val="24"/>
        </w:rPr>
        <w:t>legitimised.</w:t>
      </w:r>
      <w:r w:rsidRPr="00E034B5">
        <w:rPr>
          <w:rStyle w:val="FootnoteReference"/>
          <w:sz w:val="24"/>
          <w:szCs w:val="24"/>
        </w:rPr>
        <w:footnoteReference w:id="65"/>
      </w:r>
      <w:r w:rsidRPr="00E034B5">
        <w:rPr>
          <w:sz w:val="24"/>
          <w:szCs w:val="24"/>
        </w:rPr>
        <w:t xml:space="preserve"> </w:t>
      </w:r>
    </w:p>
    <w:p w14:paraId="0D2892DC" w14:textId="77777777" w:rsidR="00A676E3" w:rsidRPr="00E034B5" w:rsidRDefault="00A676E3" w:rsidP="007F2DC0">
      <w:pPr>
        <w:spacing w:line="360" w:lineRule="auto"/>
        <w:rPr>
          <w:sz w:val="24"/>
          <w:szCs w:val="24"/>
        </w:rPr>
      </w:pPr>
    </w:p>
    <w:p w14:paraId="0FE5E873" w14:textId="77777777" w:rsidR="00E034B5" w:rsidRPr="00E034B5" w:rsidRDefault="00E034B5" w:rsidP="007F2DC0">
      <w:pPr>
        <w:spacing w:line="360" w:lineRule="auto"/>
        <w:rPr>
          <w:sz w:val="24"/>
          <w:szCs w:val="24"/>
        </w:rPr>
      </w:pPr>
      <w:r w:rsidRPr="00E034B5">
        <w:rPr>
          <w:sz w:val="24"/>
          <w:szCs w:val="24"/>
        </w:rPr>
        <w:t>Through the actions of Louis XIV, it is evident that he did not act distastefully towards sexual promiscuity of a heterosexual nature, as he engages in affairs and flirtations outside of his own marriage. However, the actions of his brother Philippe, despite being less promiscuous due to his taking only one official lover throughout the entirety of Louis’ reign, were considered less acceptable at court due to the homosexual nature of his actions.  Louis was known for the love and devotion he gave each of his mistresses and the children they bore him.</w:t>
      </w:r>
      <w:r w:rsidRPr="00E034B5">
        <w:rPr>
          <w:rStyle w:val="FootnoteReference"/>
          <w:sz w:val="24"/>
          <w:szCs w:val="24"/>
        </w:rPr>
        <w:footnoteReference w:id="66"/>
      </w:r>
      <w:r w:rsidRPr="00E034B5">
        <w:rPr>
          <w:sz w:val="24"/>
          <w:szCs w:val="24"/>
        </w:rPr>
        <w:t xml:space="preserve"> Therefore, considering the more long-lasting devotion given to the Chevalier de </w:t>
      </w:r>
      <w:r w:rsidRPr="00E034B5">
        <w:rPr>
          <w:sz w:val="24"/>
          <w:szCs w:val="24"/>
        </w:rPr>
        <w:lastRenderedPageBreak/>
        <w:t xml:space="preserve">Lorraine by Philippe, and the fact that Philippe is never recorded to have outwardly concerned himself with the flirtation between his wife and his brother, it is increasingly evident that Philippe cared more for his lover, the Chevalier, than he did his own wife. </w:t>
      </w:r>
    </w:p>
    <w:p w14:paraId="3F4B50D1" w14:textId="77777777" w:rsidR="00E034B5" w:rsidRPr="00E034B5" w:rsidRDefault="00E034B5" w:rsidP="007F2DC0">
      <w:pPr>
        <w:spacing w:line="360" w:lineRule="auto"/>
        <w:rPr>
          <w:sz w:val="24"/>
          <w:szCs w:val="24"/>
        </w:rPr>
      </w:pPr>
    </w:p>
    <w:p w14:paraId="47683B2A" w14:textId="77777777" w:rsidR="00E034B5" w:rsidRPr="00E034B5" w:rsidRDefault="00E034B5" w:rsidP="007F2DC0">
      <w:pPr>
        <w:spacing w:line="360" w:lineRule="auto"/>
        <w:rPr>
          <w:sz w:val="24"/>
          <w:szCs w:val="24"/>
        </w:rPr>
      </w:pPr>
    </w:p>
    <w:p w14:paraId="04B2A0EA" w14:textId="77777777" w:rsidR="00E034B5" w:rsidRPr="00E034B5" w:rsidRDefault="00E034B5" w:rsidP="007F2DC0">
      <w:pPr>
        <w:spacing w:line="360" w:lineRule="auto"/>
        <w:rPr>
          <w:sz w:val="24"/>
          <w:szCs w:val="24"/>
        </w:rPr>
      </w:pPr>
    </w:p>
    <w:p w14:paraId="3A808910" w14:textId="77777777" w:rsidR="00E034B5" w:rsidRPr="00E034B5" w:rsidRDefault="00E034B5" w:rsidP="007F2DC0">
      <w:pPr>
        <w:spacing w:line="360" w:lineRule="auto"/>
        <w:rPr>
          <w:sz w:val="24"/>
          <w:szCs w:val="24"/>
        </w:rPr>
      </w:pPr>
    </w:p>
    <w:p w14:paraId="60508245" w14:textId="0BA287C2" w:rsidR="00E034B5" w:rsidRPr="00E034B5" w:rsidRDefault="00E034B5" w:rsidP="007F2DC0">
      <w:pPr>
        <w:spacing w:line="360" w:lineRule="auto"/>
        <w:rPr>
          <w:sz w:val="24"/>
          <w:szCs w:val="24"/>
        </w:rPr>
      </w:pPr>
    </w:p>
    <w:p w14:paraId="753EC629" w14:textId="044504F0" w:rsidR="00E034B5" w:rsidRPr="00E034B5" w:rsidRDefault="00E034B5" w:rsidP="007F2DC0">
      <w:pPr>
        <w:spacing w:line="360" w:lineRule="auto"/>
        <w:rPr>
          <w:sz w:val="24"/>
          <w:szCs w:val="24"/>
        </w:rPr>
      </w:pPr>
    </w:p>
    <w:p w14:paraId="66DB3058" w14:textId="01DA92EA" w:rsidR="00E034B5" w:rsidRPr="00E034B5" w:rsidRDefault="00E034B5" w:rsidP="007F2DC0">
      <w:pPr>
        <w:spacing w:line="360" w:lineRule="auto"/>
        <w:rPr>
          <w:sz w:val="24"/>
          <w:szCs w:val="24"/>
        </w:rPr>
      </w:pPr>
    </w:p>
    <w:p w14:paraId="3942C08C" w14:textId="50E194C6" w:rsidR="00E034B5" w:rsidRDefault="00E034B5" w:rsidP="007F2DC0">
      <w:pPr>
        <w:spacing w:line="360" w:lineRule="auto"/>
        <w:rPr>
          <w:sz w:val="24"/>
        </w:rPr>
      </w:pPr>
    </w:p>
    <w:p w14:paraId="79155F92" w14:textId="23547EAA" w:rsidR="00E034B5" w:rsidRDefault="00E034B5" w:rsidP="007F2DC0">
      <w:pPr>
        <w:spacing w:line="360" w:lineRule="auto"/>
        <w:rPr>
          <w:sz w:val="24"/>
        </w:rPr>
      </w:pPr>
    </w:p>
    <w:p w14:paraId="7B8BFAF3" w14:textId="44272926" w:rsidR="00E034B5" w:rsidRDefault="00E034B5" w:rsidP="007F2DC0">
      <w:pPr>
        <w:spacing w:line="360" w:lineRule="auto"/>
        <w:rPr>
          <w:sz w:val="24"/>
        </w:rPr>
      </w:pPr>
    </w:p>
    <w:p w14:paraId="2D626DCC" w14:textId="341B0087" w:rsidR="00E034B5" w:rsidRDefault="00E034B5" w:rsidP="007F2DC0">
      <w:pPr>
        <w:spacing w:line="360" w:lineRule="auto"/>
        <w:rPr>
          <w:sz w:val="24"/>
        </w:rPr>
      </w:pPr>
    </w:p>
    <w:p w14:paraId="0AF01795" w14:textId="37C56F1E" w:rsidR="00E034B5" w:rsidRDefault="00E034B5" w:rsidP="007F2DC0">
      <w:pPr>
        <w:spacing w:line="360" w:lineRule="auto"/>
        <w:rPr>
          <w:sz w:val="24"/>
        </w:rPr>
      </w:pPr>
    </w:p>
    <w:p w14:paraId="2C44B062" w14:textId="622F7B50" w:rsidR="00E034B5" w:rsidRDefault="00E034B5" w:rsidP="007F2DC0">
      <w:pPr>
        <w:spacing w:line="360" w:lineRule="auto"/>
        <w:rPr>
          <w:sz w:val="24"/>
        </w:rPr>
      </w:pPr>
    </w:p>
    <w:p w14:paraId="529A927D" w14:textId="0EF2AADE" w:rsidR="00E034B5" w:rsidRDefault="00E034B5" w:rsidP="007F2DC0">
      <w:pPr>
        <w:spacing w:line="360" w:lineRule="auto"/>
        <w:rPr>
          <w:sz w:val="24"/>
        </w:rPr>
      </w:pPr>
    </w:p>
    <w:p w14:paraId="0E91B7E1" w14:textId="0747F32E" w:rsidR="00E034B5" w:rsidRDefault="00E034B5" w:rsidP="007F2DC0">
      <w:pPr>
        <w:spacing w:line="360" w:lineRule="auto"/>
        <w:rPr>
          <w:sz w:val="24"/>
        </w:rPr>
      </w:pPr>
    </w:p>
    <w:p w14:paraId="6E48E747" w14:textId="7DDD7824" w:rsidR="00E034B5" w:rsidRDefault="00E034B5" w:rsidP="007F2DC0">
      <w:pPr>
        <w:spacing w:line="360" w:lineRule="auto"/>
        <w:rPr>
          <w:sz w:val="24"/>
        </w:rPr>
      </w:pPr>
    </w:p>
    <w:p w14:paraId="3456E5E7" w14:textId="04BEAD42" w:rsidR="00E034B5" w:rsidRDefault="00E034B5" w:rsidP="007F2DC0">
      <w:pPr>
        <w:spacing w:line="360" w:lineRule="auto"/>
        <w:rPr>
          <w:sz w:val="24"/>
        </w:rPr>
      </w:pPr>
    </w:p>
    <w:p w14:paraId="22096464" w14:textId="5D5D18A2" w:rsidR="00E034B5" w:rsidRDefault="00E034B5" w:rsidP="007F2DC0">
      <w:pPr>
        <w:spacing w:line="360" w:lineRule="auto"/>
        <w:rPr>
          <w:sz w:val="24"/>
        </w:rPr>
      </w:pPr>
    </w:p>
    <w:p w14:paraId="5786E38E" w14:textId="6CD49D38" w:rsidR="00E034B5" w:rsidRDefault="00E034B5" w:rsidP="007F2DC0">
      <w:pPr>
        <w:spacing w:line="360" w:lineRule="auto"/>
        <w:rPr>
          <w:sz w:val="24"/>
        </w:rPr>
      </w:pPr>
    </w:p>
    <w:p w14:paraId="33A056FE" w14:textId="29362C9C" w:rsidR="00E034B5" w:rsidRDefault="00E034B5" w:rsidP="007F2DC0">
      <w:pPr>
        <w:spacing w:line="360" w:lineRule="auto"/>
        <w:rPr>
          <w:sz w:val="24"/>
        </w:rPr>
      </w:pPr>
    </w:p>
    <w:p w14:paraId="4CDF0594" w14:textId="3C3F3B94" w:rsidR="00E034B5" w:rsidRDefault="00E034B5" w:rsidP="007F2DC0">
      <w:pPr>
        <w:spacing w:line="360" w:lineRule="auto"/>
        <w:rPr>
          <w:sz w:val="24"/>
        </w:rPr>
      </w:pPr>
    </w:p>
    <w:p w14:paraId="60DD68BE" w14:textId="29082D5F" w:rsidR="00ED0141" w:rsidRDefault="00ED0141" w:rsidP="007F2DC0">
      <w:pPr>
        <w:spacing w:line="360" w:lineRule="auto"/>
        <w:rPr>
          <w:sz w:val="24"/>
        </w:rPr>
      </w:pPr>
    </w:p>
    <w:p w14:paraId="39C16204" w14:textId="4AD9F863" w:rsidR="00ED0141" w:rsidRDefault="00ED0141" w:rsidP="007F2DC0">
      <w:pPr>
        <w:spacing w:line="360" w:lineRule="auto"/>
        <w:rPr>
          <w:sz w:val="24"/>
        </w:rPr>
      </w:pPr>
    </w:p>
    <w:p w14:paraId="271ACC00" w14:textId="4A10F444" w:rsidR="00ED0141" w:rsidRDefault="00ED0141" w:rsidP="007F2DC0">
      <w:pPr>
        <w:spacing w:line="360" w:lineRule="auto"/>
        <w:rPr>
          <w:sz w:val="24"/>
        </w:rPr>
      </w:pPr>
    </w:p>
    <w:p w14:paraId="0777AD7F" w14:textId="15479DFB" w:rsidR="00ED0141" w:rsidRDefault="00ED0141" w:rsidP="007F2DC0">
      <w:pPr>
        <w:spacing w:line="360" w:lineRule="auto"/>
        <w:rPr>
          <w:sz w:val="24"/>
        </w:rPr>
      </w:pPr>
    </w:p>
    <w:p w14:paraId="77846C8A" w14:textId="2E44D97A" w:rsidR="00ED0141" w:rsidRDefault="00ED0141" w:rsidP="007F2DC0">
      <w:pPr>
        <w:spacing w:line="360" w:lineRule="auto"/>
        <w:rPr>
          <w:sz w:val="24"/>
        </w:rPr>
      </w:pPr>
    </w:p>
    <w:p w14:paraId="2257F42A" w14:textId="233EB6BE" w:rsidR="00ED0141" w:rsidRDefault="00ED0141" w:rsidP="007F2DC0">
      <w:pPr>
        <w:spacing w:line="360" w:lineRule="auto"/>
        <w:rPr>
          <w:sz w:val="24"/>
        </w:rPr>
      </w:pPr>
    </w:p>
    <w:p w14:paraId="37F55571" w14:textId="59DB8F4A" w:rsidR="00ED0141" w:rsidRDefault="00ED0141" w:rsidP="007F2DC0">
      <w:pPr>
        <w:spacing w:line="360" w:lineRule="auto"/>
        <w:rPr>
          <w:sz w:val="24"/>
        </w:rPr>
      </w:pPr>
    </w:p>
    <w:p w14:paraId="5714EF69" w14:textId="59316DB4" w:rsidR="00ED0141" w:rsidRDefault="00ED0141" w:rsidP="007F2DC0">
      <w:pPr>
        <w:spacing w:line="360" w:lineRule="auto"/>
        <w:rPr>
          <w:sz w:val="24"/>
        </w:rPr>
      </w:pPr>
    </w:p>
    <w:p w14:paraId="584A7512" w14:textId="77777777" w:rsidR="00ED0141" w:rsidRDefault="00ED0141" w:rsidP="007F2DC0">
      <w:pPr>
        <w:spacing w:line="360" w:lineRule="auto"/>
        <w:rPr>
          <w:sz w:val="24"/>
        </w:rPr>
      </w:pPr>
    </w:p>
    <w:p w14:paraId="48B3924D" w14:textId="77777777" w:rsidR="00A164E1" w:rsidRDefault="00A164E1" w:rsidP="007F2DC0">
      <w:pPr>
        <w:spacing w:line="360" w:lineRule="auto"/>
        <w:rPr>
          <w:sz w:val="24"/>
        </w:rPr>
      </w:pPr>
    </w:p>
    <w:p w14:paraId="7C7254EE" w14:textId="222842DA" w:rsidR="00E034B5" w:rsidRDefault="00A676E3" w:rsidP="00AB7F8E">
      <w:pPr>
        <w:spacing w:line="360" w:lineRule="auto"/>
        <w:jc w:val="center"/>
        <w:rPr>
          <w:b/>
          <w:i/>
          <w:sz w:val="24"/>
          <w:u w:val="single"/>
        </w:rPr>
      </w:pPr>
      <w:r>
        <w:rPr>
          <w:b/>
          <w:sz w:val="24"/>
          <w:u w:val="single"/>
        </w:rPr>
        <w:lastRenderedPageBreak/>
        <w:t>Ch</w:t>
      </w:r>
      <w:r w:rsidR="00E034B5" w:rsidRPr="00E034B5">
        <w:rPr>
          <w:b/>
          <w:sz w:val="24"/>
          <w:u w:val="single"/>
        </w:rPr>
        <w:t xml:space="preserve">apter two: </w:t>
      </w:r>
      <w:r w:rsidR="00E034B5" w:rsidRPr="00E034B5">
        <w:rPr>
          <w:b/>
          <w:i/>
          <w:sz w:val="24"/>
          <w:u w:val="single"/>
        </w:rPr>
        <w:t xml:space="preserve">Au Poil et </w:t>
      </w:r>
      <w:r w:rsidR="00E034B5" w:rsidRPr="00E034B5">
        <w:rPr>
          <w:rFonts w:cstheme="minorHAnsi"/>
          <w:b/>
          <w:i/>
          <w:sz w:val="24"/>
          <w:u w:val="single"/>
        </w:rPr>
        <w:t>á</w:t>
      </w:r>
      <w:r w:rsidR="00E034B5" w:rsidRPr="00E034B5">
        <w:rPr>
          <w:b/>
          <w:i/>
          <w:sz w:val="24"/>
          <w:u w:val="single"/>
        </w:rPr>
        <w:t xml:space="preserve"> la Plume.</w:t>
      </w:r>
    </w:p>
    <w:p w14:paraId="7D996E52" w14:textId="77777777" w:rsidR="00A676E3" w:rsidRPr="00E034B5" w:rsidRDefault="00A676E3" w:rsidP="007F2DC0">
      <w:pPr>
        <w:spacing w:line="360" w:lineRule="auto"/>
        <w:rPr>
          <w:b/>
          <w:sz w:val="24"/>
          <w:u w:val="single"/>
        </w:rPr>
      </w:pPr>
    </w:p>
    <w:p w14:paraId="414F141F" w14:textId="77777777" w:rsidR="00D86233" w:rsidRDefault="00E034B5" w:rsidP="007F2DC0">
      <w:pPr>
        <w:spacing w:line="360" w:lineRule="auto"/>
        <w:rPr>
          <w:sz w:val="24"/>
        </w:rPr>
      </w:pPr>
      <w:r w:rsidRPr="00E034B5">
        <w:rPr>
          <w:sz w:val="24"/>
        </w:rPr>
        <w:t xml:space="preserve">The concept of this branch focusses on the notion of genderless, or gender nonconforming sex. Genderless sex connotes less of a relationship between people of the same gender, and more of an oversexualised situational interaction. Genderless sex does not have many examples within the reign of Louis XIV, however it is a notable branch within other time periods, hence its inclusion. This branch pulls on the ancient historical concept of sex is just sex, despite gender, and therefore relations that fall into this category are either despite gender, or because of an equivalent to the modern sexual identity of bisexuality. </w:t>
      </w:r>
    </w:p>
    <w:p w14:paraId="1BE767BA" w14:textId="77777777" w:rsidR="00D86233" w:rsidRDefault="00D86233" w:rsidP="007F2DC0">
      <w:pPr>
        <w:spacing w:line="360" w:lineRule="auto"/>
        <w:rPr>
          <w:sz w:val="24"/>
        </w:rPr>
      </w:pPr>
    </w:p>
    <w:p w14:paraId="49312094" w14:textId="11C3B445" w:rsidR="00E034B5" w:rsidRDefault="00E034B5" w:rsidP="007F2DC0">
      <w:pPr>
        <w:spacing w:line="360" w:lineRule="auto"/>
        <w:rPr>
          <w:sz w:val="24"/>
        </w:rPr>
      </w:pPr>
      <w:r w:rsidRPr="00E034B5">
        <w:rPr>
          <w:sz w:val="24"/>
        </w:rPr>
        <w:t>For example, though there is no single opinion in ancient Athens, homosexuality was widely regarded as natural, as it only provokes a natural sexual inclination within a person.</w:t>
      </w:r>
      <w:r w:rsidRPr="00E034B5">
        <w:rPr>
          <w:rStyle w:val="FootnoteReference"/>
          <w:sz w:val="24"/>
        </w:rPr>
        <w:footnoteReference w:id="67"/>
      </w:r>
      <w:r w:rsidRPr="00E034B5">
        <w:rPr>
          <w:sz w:val="24"/>
        </w:rPr>
        <w:t xml:space="preserve"> This led to relationships between people that were purely based on sexual interaction, and therefore many people willingly slept with both men and women in ancient Athens.</w:t>
      </w:r>
      <w:r w:rsidRPr="00E034B5">
        <w:rPr>
          <w:rStyle w:val="FootnoteReference"/>
          <w:sz w:val="24"/>
        </w:rPr>
        <w:footnoteReference w:id="68"/>
      </w:r>
      <w:r w:rsidRPr="00E034B5">
        <w:rPr>
          <w:sz w:val="24"/>
        </w:rPr>
        <w:t xml:space="preserve"> The laws against homosexuality display this, as though there are laws for the sexual protection of people – such as laws against prostitution and assault – there are no blanket laws against homoerotic action.</w:t>
      </w:r>
      <w:r w:rsidRPr="00E034B5">
        <w:rPr>
          <w:rStyle w:val="FootnoteReference"/>
          <w:sz w:val="24"/>
        </w:rPr>
        <w:footnoteReference w:id="69"/>
      </w:r>
      <w:r w:rsidRPr="00E034B5">
        <w:rPr>
          <w:sz w:val="24"/>
        </w:rPr>
        <w:t xml:space="preserve"> Laws and persecution against people who engaged in homoerotic activity were prevalent in seventeenth-century France, however there is little evidence of this branch in this time period, due to the lack of writing about specific inclinations and drives towards homoerotic activity, due to its being illegal. Therefore, when considering this branch, it is crucial to look at the persecution of all forms of homosexuality, as it is due to illegality that there becomes a struggle for evidence. </w:t>
      </w:r>
    </w:p>
    <w:p w14:paraId="5E13A4F9" w14:textId="77777777" w:rsidR="00A676E3" w:rsidRPr="00E034B5" w:rsidRDefault="00A676E3" w:rsidP="007F2DC0">
      <w:pPr>
        <w:spacing w:line="360" w:lineRule="auto"/>
        <w:rPr>
          <w:sz w:val="24"/>
        </w:rPr>
      </w:pPr>
    </w:p>
    <w:p w14:paraId="719E9A0B" w14:textId="77777777" w:rsidR="00AA3466" w:rsidRDefault="00E034B5" w:rsidP="007F2DC0">
      <w:pPr>
        <w:spacing w:line="360" w:lineRule="auto"/>
        <w:rPr>
          <w:sz w:val="24"/>
        </w:rPr>
      </w:pPr>
      <w:r w:rsidRPr="00E034B5">
        <w:rPr>
          <w:sz w:val="24"/>
        </w:rPr>
        <w:t>In Europe, throughout the Medieval and Early Modern period, there was a slow change from a society where adult men engaged in sexual relations with both genders, to one divided by orientations as we see in the modern day.</w:t>
      </w:r>
      <w:r w:rsidRPr="00E034B5">
        <w:rPr>
          <w:rStyle w:val="FootnoteReference"/>
          <w:sz w:val="24"/>
        </w:rPr>
        <w:footnoteReference w:id="70"/>
      </w:r>
      <w:r w:rsidRPr="00E034B5">
        <w:rPr>
          <w:sz w:val="24"/>
        </w:rPr>
        <w:t xml:space="preserve"> In this society before sexual identities, loving men did not exclude loving women</w:t>
      </w:r>
      <w:r w:rsidRPr="00E034B5">
        <w:rPr>
          <w:rStyle w:val="FootnoteReference"/>
          <w:sz w:val="24"/>
        </w:rPr>
        <w:footnoteReference w:id="71"/>
      </w:r>
      <w:r w:rsidRPr="00E034B5">
        <w:rPr>
          <w:sz w:val="24"/>
        </w:rPr>
        <w:t xml:space="preserve"> and so long as men still performed their husbandly duties towards their wives, there was nothing wrong with having a relationship with a man.</w:t>
      </w:r>
      <w:r w:rsidRPr="00E034B5">
        <w:rPr>
          <w:rStyle w:val="FootnoteReference"/>
          <w:sz w:val="24"/>
        </w:rPr>
        <w:footnoteReference w:id="72"/>
      </w:r>
      <w:r w:rsidRPr="00E034B5">
        <w:rPr>
          <w:sz w:val="24"/>
        </w:rPr>
        <w:t xml:space="preserve"> </w:t>
      </w:r>
    </w:p>
    <w:p w14:paraId="7CBB99D1" w14:textId="72043C8F" w:rsidR="00E034B5" w:rsidRDefault="00AA3466" w:rsidP="007F2DC0">
      <w:pPr>
        <w:spacing w:line="360" w:lineRule="auto"/>
        <w:rPr>
          <w:sz w:val="24"/>
        </w:rPr>
      </w:pPr>
      <w:r>
        <w:rPr>
          <w:sz w:val="24"/>
        </w:rPr>
        <w:lastRenderedPageBreak/>
        <w:t xml:space="preserve">In this </w:t>
      </w:r>
      <w:r w:rsidR="001D66CB">
        <w:rPr>
          <w:sz w:val="24"/>
        </w:rPr>
        <w:t xml:space="preserve">new theory, </w:t>
      </w:r>
      <w:r>
        <w:rPr>
          <w:sz w:val="24"/>
        </w:rPr>
        <w:t>h</w:t>
      </w:r>
      <w:r w:rsidR="00E034B5" w:rsidRPr="00E034B5">
        <w:rPr>
          <w:sz w:val="24"/>
        </w:rPr>
        <w:t xml:space="preserve">omosexual sex and homosexual love </w:t>
      </w:r>
      <w:r>
        <w:rPr>
          <w:sz w:val="24"/>
        </w:rPr>
        <w:t xml:space="preserve">are </w:t>
      </w:r>
      <w:r w:rsidR="00E034B5" w:rsidRPr="00E034B5">
        <w:rPr>
          <w:sz w:val="24"/>
        </w:rPr>
        <w:t xml:space="preserve">viewed as two separate entities, as one </w:t>
      </w:r>
      <w:r w:rsidR="001D66CB">
        <w:rPr>
          <w:sz w:val="24"/>
        </w:rPr>
        <w:t xml:space="preserve">– </w:t>
      </w:r>
      <w:r w:rsidR="00E034B5" w:rsidRPr="00E034B5">
        <w:rPr>
          <w:sz w:val="24"/>
        </w:rPr>
        <w:t>homosexual love – connotes female rejection, whereas homosexual sex implie</w:t>
      </w:r>
      <w:r w:rsidR="001D66CB">
        <w:rPr>
          <w:sz w:val="24"/>
        </w:rPr>
        <w:t>s</w:t>
      </w:r>
      <w:r w:rsidR="00E034B5" w:rsidRPr="00E034B5">
        <w:rPr>
          <w:sz w:val="24"/>
        </w:rPr>
        <w:t xml:space="preserve"> the concept of sex is just sex, and therefore a man would still be performing his husbandly duties with his wife, even if maintaining a homosexual interest.</w:t>
      </w:r>
      <w:r w:rsidR="00E034B5" w:rsidRPr="00E034B5">
        <w:rPr>
          <w:rStyle w:val="FootnoteReference"/>
          <w:sz w:val="24"/>
        </w:rPr>
        <w:footnoteReference w:id="73"/>
      </w:r>
      <w:r w:rsidR="00E034B5" w:rsidRPr="00E034B5">
        <w:rPr>
          <w:sz w:val="24"/>
        </w:rPr>
        <w:t xml:space="preserve"> Homosexual interest was accommodated as a part of an ancient Greek lifestyle though there were unwritten rules to living a homosexual lifestyle.</w:t>
      </w:r>
      <w:r w:rsidR="00E034B5" w:rsidRPr="00E034B5">
        <w:rPr>
          <w:rStyle w:val="FootnoteReference"/>
          <w:sz w:val="24"/>
        </w:rPr>
        <w:footnoteReference w:id="74"/>
      </w:r>
      <w:r w:rsidR="00E034B5" w:rsidRPr="00E034B5">
        <w:rPr>
          <w:sz w:val="24"/>
        </w:rPr>
        <w:t xml:space="preserve"> In Athens, a hub of sexual liberation, societal rules became evident in the scenario of an older man taking a young lover, where both parties of the relationship must stick to their age orientated roles in the liaison.</w:t>
      </w:r>
      <w:r w:rsidR="00E034B5" w:rsidRPr="00E034B5">
        <w:rPr>
          <w:rStyle w:val="FootnoteReference"/>
          <w:sz w:val="24"/>
        </w:rPr>
        <w:footnoteReference w:id="75"/>
      </w:r>
      <w:r w:rsidR="00E034B5" w:rsidRPr="00E034B5">
        <w:rPr>
          <w:sz w:val="24"/>
        </w:rPr>
        <w:t xml:space="preserve"> Similarly, longer lasting relationships between two mature men and promiscuity were both less accepted than more simple, less romantic, liaisons between men.</w:t>
      </w:r>
      <w:r w:rsidR="00E034B5" w:rsidRPr="00E034B5">
        <w:rPr>
          <w:rStyle w:val="FootnoteReference"/>
          <w:sz w:val="24"/>
        </w:rPr>
        <w:footnoteReference w:id="76"/>
      </w:r>
      <w:r w:rsidR="00E034B5" w:rsidRPr="00E034B5">
        <w:rPr>
          <w:sz w:val="24"/>
        </w:rPr>
        <w:t xml:space="preserve"> Evidently, the more accepted homosexual relations were ones that fit into this branch of homosexuality rather than ones of more relationship value, despite this not being the case in the reign of Louis XIV.</w:t>
      </w:r>
    </w:p>
    <w:p w14:paraId="2CB345BE" w14:textId="77777777" w:rsidR="00A676E3" w:rsidRPr="00E034B5" w:rsidRDefault="00A676E3" w:rsidP="007F2DC0">
      <w:pPr>
        <w:spacing w:line="360" w:lineRule="auto"/>
        <w:rPr>
          <w:sz w:val="24"/>
        </w:rPr>
      </w:pPr>
    </w:p>
    <w:p w14:paraId="4408CEC7" w14:textId="3FE2EDBC" w:rsidR="00E034B5" w:rsidRDefault="00E034B5" w:rsidP="007F2DC0">
      <w:pPr>
        <w:spacing w:line="360" w:lineRule="auto"/>
        <w:rPr>
          <w:sz w:val="24"/>
        </w:rPr>
      </w:pPr>
      <w:r w:rsidRPr="00E034B5">
        <w:rPr>
          <w:sz w:val="24"/>
        </w:rPr>
        <w:t xml:space="preserve">Many of the best examples of this branch come from ancient mythology. In 1577 a number of poems circulated around France attacking Henri III’s sexuality and the role of </w:t>
      </w:r>
      <w:r w:rsidRPr="00E034B5">
        <w:rPr>
          <w:i/>
          <w:sz w:val="24"/>
        </w:rPr>
        <w:t xml:space="preserve">les mignons </w:t>
      </w:r>
      <w:r w:rsidRPr="00E034B5">
        <w:rPr>
          <w:sz w:val="24"/>
        </w:rPr>
        <w:t>in his court, referring to the unnatural element to their homoerotic relations by branding Henri as a “deceitful Ganymedes, reversing nature.”</w:t>
      </w:r>
      <w:r w:rsidRPr="00E034B5">
        <w:rPr>
          <w:rStyle w:val="FootnoteReference"/>
          <w:sz w:val="24"/>
        </w:rPr>
        <w:footnoteReference w:id="77"/>
      </w:r>
      <w:r w:rsidRPr="00E034B5">
        <w:rPr>
          <w:sz w:val="24"/>
        </w:rPr>
        <w:t xml:space="preserve"> A similar link between homosexuality and the Greek myth of Ganymede is also made in sonnets about Henri and </w:t>
      </w:r>
      <w:r w:rsidRPr="00F3791B">
        <w:rPr>
          <w:i/>
          <w:sz w:val="24"/>
        </w:rPr>
        <w:t>les mignons</w:t>
      </w:r>
      <w:r w:rsidRPr="00E034B5">
        <w:rPr>
          <w:sz w:val="24"/>
        </w:rPr>
        <w:t>, which dubbed</w:t>
      </w:r>
      <w:r w:rsidRPr="00F3791B">
        <w:rPr>
          <w:i/>
          <w:sz w:val="24"/>
        </w:rPr>
        <w:t xml:space="preserve"> les mignons </w:t>
      </w:r>
      <w:r w:rsidRPr="00E034B5">
        <w:rPr>
          <w:sz w:val="24"/>
        </w:rPr>
        <w:t>as “shameless Ganymede.”</w:t>
      </w:r>
      <w:r w:rsidRPr="00E034B5">
        <w:rPr>
          <w:rStyle w:val="FootnoteReference"/>
          <w:sz w:val="24"/>
        </w:rPr>
        <w:footnoteReference w:id="78"/>
      </w:r>
      <w:r w:rsidRPr="00E034B5">
        <w:rPr>
          <w:sz w:val="24"/>
        </w:rPr>
        <w:t xml:space="preserve"> Ganymede was a </w:t>
      </w:r>
      <w:r w:rsidR="00F3791B">
        <w:rPr>
          <w:sz w:val="24"/>
        </w:rPr>
        <w:t xml:space="preserve">male </w:t>
      </w:r>
      <w:r w:rsidRPr="00E034B5">
        <w:rPr>
          <w:sz w:val="24"/>
        </w:rPr>
        <w:t>figure in Greek myth, a</w:t>
      </w:r>
      <w:r w:rsidR="00F3791B">
        <w:rPr>
          <w:sz w:val="24"/>
        </w:rPr>
        <w:t xml:space="preserve"> </w:t>
      </w:r>
      <w:r w:rsidRPr="00E034B5">
        <w:rPr>
          <w:sz w:val="24"/>
        </w:rPr>
        <w:t>lover of the god Zeus. The relationship between Zeus and Ganymede is frequently mentioned in Ancient myths, including Ovid’s</w:t>
      </w:r>
      <w:r w:rsidRPr="00E034B5">
        <w:rPr>
          <w:i/>
          <w:sz w:val="24"/>
        </w:rPr>
        <w:t xml:space="preserve"> Metamorphosis </w:t>
      </w:r>
      <w:r w:rsidRPr="00E034B5">
        <w:rPr>
          <w:sz w:val="24"/>
        </w:rPr>
        <w:t>where Zeus is recorded to have “fell in love”</w:t>
      </w:r>
      <w:r w:rsidRPr="00E034B5">
        <w:rPr>
          <w:rStyle w:val="FootnoteReference"/>
          <w:sz w:val="24"/>
        </w:rPr>
        <w:footnoteReference w:id="79"/>
      </w:r>
      <w:r w:rsidRPr="00E034B5">
        <w:rPr>
          <w:sz w:val="24"/>
        </w:rPr>
        <w:t xml:space="preserve"> with Ganymede; Apollonius of </w:t>
      </w:r>
      <w:proofErr w:type="spellStart"/>
      <w:r w:rsidRPr="00E034B5">
        <w:rPr>
          <w:sz w:val="24"/>
        </w:rPr>
        <w:t>Rhodes</w:t>
      </w:r>
      <w:r w:rsidR="00F3791B">
        <w:rPr>
          <w:sz w:val="24"/>
        </w:rPr>
        <w:t>’</w:t>
      </w:r>
      <w:r w:rsidRPr="00E034B5">
        <w:rPr>
          <w:i/>
          <w:sz w:val="24"/>
        </w:rPr>
        <w:t>Argonautica</w:t>
      </w:r>
      <w:proofErr w:type="spellEnd"/>
      <w:r w:rsidR="00F3791B">
        <w:rPr>
          <w:i/>
          <w:sz w:val="24"/>
        </w:rPr>
        <w:t xml:space="preserve"> </w:t>
      </w:r>
      <w:r w:rsidR="00F3791B">
        <w:rPr>
          <w:sz w:val="24"/>
        </w:rPr>
        <w:t xml:space="preserve">also mentions </w:t>
      </w:r>
      <w:r w:rsidRPr="00E034B5">
        <w:rPr>
          <w:sz w:val="24"/>
        </w:rPr>
        <w:t xml:space="preserve">Ganymede’s beauty </w:t>
      </w:r>
      <w:r w:rsidR="00F3791B">
        <w:rPr>
          <w:sz w:val="24"/>
        </w:rPr>
        <w:t>which</w:t>
      </w:r>
      <w:r w:rsidRPr="00E034B5">
        <w:rPr>
          <w:sz w:val="24"/>
        </w:rPr>
        <w:t xml:space="preserve"> </w:t>
      </w:r>
      <w:r w:rsidR="00F3791B">
        <w:rPr>
          <w:sz w:val="24"/>
        </w:rPr>
        <w:t xml:space="preserve">“so </w:t>
      </w:r>
      <w:r w:rsidRPr="00E034B5">
        <w:rPr>
          <w:sz w:val="24"/>
        </w:rPr>
        <w:t>captivated Zeus that he took him up to heaven,”</w:t>
      </w:r>
      <w:r w:rsidRPr="00E034B5">
        <w:rPr>
          <w:rStyle w:val="FootnoteReference"/>
          <w:sz w:val="24"/>
        </w:rPr>
        <w:footnoteReference w:id="80"/>
      </w:r>
      <w:r w:rsidRPr="00E034B5">
        <w:rPr>
          <w:sz w:val="24"/>
        </w:rPr>
        <w:t xml:space="preserve"> and also in the </w:t>
      </w:r>
      <w:r w:rsidRPr="00E034B5">
        <w:rPr>
          <w:i/>
          <w:sz w:val="24"/>
        </w:rPr>
        <w:t>Homeric Hymns</w:t>
      </w:r>
      <w:r w:rsidRPr="00E034B5">
        <w:rPr>
          <w:sz w:val="24"/>
        </w:rPr>
        <w:t xml:space="preserve"> where Homer describes Ganymede as “beautiful” and “</w:t>
      </w:r>
      <w:proofErr w:type="spellStart"/>
      <w:r w:rsidRPr="00E034B5">
        <w:rPr>
          <w:sz w:val="24"/>
        </w:rPr>
        <w:t>honoured</w:t>
      </w:r>
      <w:proofErr w:type="spellEnd"/>
      <w:r w:rsidRPr="00E034B5">
        <w:rPr>
          <w:sz w:val="24"/>
        </w:rPr>
        <w:t xml:space="preserve"> by all the gods.”</w:t>
      </w:r>
      <w:r w:rsidRPr="00E034B5">
        <w:rPr>
          <w:rStyle w:val="FootnoteReference"/>
          <w:sz w:val="24"/>
        </w:rPr>
        <w:footnoteReference w:id="81"/>
      </w:r>
      <w:r w:rsidRPr="00E034B5">
        <w:rPr>
          <w:sz w:val="24"/>
        </w:rPr>
        <w:t xml:space="preserve"> Though L’Estoile in his writings about Henri is attempting a negative link between </w:t>
      </w:r>
      <w:r w:rsidR="000B6957">
        <w:rPr>
          <w:sz w:val="24"/>
        </w:rPr>
        <w:t xml:space="preserve">Henri </w:t>
      </w:r>
      <w:r w:rsidRPr="00E034B5">
        <w:rPr>
          <w:sz w:val="24"/>
        </w:rPr>
        <w:t xml:space="preserve">and the ancient myth of Zeus and Ganymedes, the attempt falls short of working. Zeus – being a prime example of genderless sexual interest – is only one of a </w:t>
      </w:r>
      <w:r w:rsidRPr="00E034B5">
        <w:rPr>
          <w:sz w:val="24"/>
        </w:rPr>
        <w:lastRenderedPageBreak/>
        <w:t>selection of Greek gods who engaged in this form of homoerotic interest,</w:t>
      </w:r>
      <w:r w:rsidRPr="00E034B5">
        <w:rPr>
          <w:rStyle w:val="FootnoteReference"/>
          <w:sz w:val="24"/>
        </w:rPr>
        <w:footnoteReference w:id="82"/>
      </w:r>
      <w:r w:rsidRPr="00E034B5">
        <w:rPr>
          <w:sz w:val="24"/>
        </w:rPr>
        <w:t xml:space="preserve"> and the example of Zeus and Ganymede has a positive tale to the myth, unlike other homoerotic stories in Greek mythology.</w:t>
      </w:r>
      <w:r w:rsidRPr="00E034B5">
        <w:rPr>
          <w:rStyle w:val="FootnoteReference"/>
          <w:sz w:val="24"/>
        </w:rPr>
        <w:footnoteReference w:id="83"/>
      </w:r>
      <w:r w:rsidRPr="00E034B5">
        <w:rPr>
          <w:sz w:val="24"/>
        </w:rPr>
        <w:t xml:space="preserve"> Therefore, the link between Ganymede and </w:t>
      </w:r>
      <w:r w:rsidRPr="00E034B5">
        <w:rPr>
          <w:i/>
          <w:sz w:val="24"/>
        </w:rPr>
        <w:t xml:space="preserve">les mignons </w:t>
      </w:r>
      <w:r w:rsidRPr="00E034B5">
        <w:rPr>
          <w:sz w:val="24"/>
        </w:rPr>
        <w:t>does not hold the negative connotation originally enforced by L’Estoile, and subsequently any negative comparisons draw</w:t>
      </w:r>
      <w:r w:rsidR="00C32276">
        <w:rPr>
          <w:sz w:val="24"/>
        </w:rPr>
        <w:t>n</w:t>
      </w:r>
      <w:r w:rsidRPr="00E034B5">
        <w:rPr>
          <w:sz w:val="24"/>
        </w:rPr>
        <w:t xml:space="preserve"> between Henri III and Monsieur do not translate the intended negativity to their sexual orientations. </w:t>
      </w:r>
    </w:p>
    <w:p w14:paraId="06460709" w14:textId="77777777" w:rsidR="00A676E3" w:rsidRPr="00E034B5" w:rsidRDefault="00A676E3" w:rsidP="007F2DC0">
      <w:pPr>
        <w:spacing w:line="360" w:lineRule="auto"/>
        <w:rPr>
          <w:sz w:val="24"/>
        </w:rPr>
      </w:pPr>
    </w:p>
    <w:p w14:paraId="20F178D8" w14:textId="3D889356" w:rsidR="00E034B5" w:rsidRDefault="00E034B5" w:rsidP="007F2DC0">
      <w:pPr>
        <w:spacing w:line="360" w:lineRule="auto"/>
        <w:rPr>
          <w:sz w:val="24"/>
        </w:rPr>
      </w:pPr>
      <w:r w:rsidRPr="00E034B5">
        <w:rPr>
          <w:sz w:val="24"/>
        </w:rPr>
        <w:t xml:space="preserve">The title of this chapter, </w:t>
      </w:r>
      <w:r w:rsidRPr="00E034B5">
        <w:rPr>
          <w:i/>
          <w:sz w:val="24"/>
        </w:rPr>
        <w:t>‘Au Poil et á la Plume’</w:t>
      </w:r>
      <w:r w:rsidRPr="00E034B5">
        <w:rPr>
          <w:sz w:val="24"/>
        </w:rPr>
        <w:t>, comes from the Comte de Guiche, a known lover of Philippe, Duke d’Orléans. Guiche was the first love of Monsieur’s life, before the Chevalier de Lorraine</w:t>
      </w:r>
      <w:r w:rsidR="00C32276">
        <w:rPr>
          <w:sz w:val="24"/>
        </w:rPr>
        <w:t xml:space="preserve">, who Monsieur </w:t>
      </w:r>
      <w:r w:rsidRPr="00E034B5">
        <w:rPr>
          <w:sz w:val="24"/>
        </w:rPr>
        <w:t>met through</w:t>
      </w:r>
      <w:r w:rsidR="00C32276">
        <w:rPr>
          <w:sz w:val="24"/>
        </w:rPr>
        <w:t xml:space="preserve"> a known crossdresser, </w:t>
      </w:r>
      <w:r w:rsidRPr="00E034B5">
        <w:rPr>
          <w:sz w:val="24"/>
        </w:rPr>
        <w:t xml:space="preserve">the </w:t>
      </w:r>
      <w:r w:rsidR="00C32276" w:rsidRPr="00E034B5">
        <w:rPr>
          <w:sz w:val="24"/>
        </w:rPr>
        <w:t>Abbé</w:t>
      </w:r>
      <w:r w:rsidRPr="00E034B5">
        <w:rPr>
          <w:sz w:val="24"/>
        </w:rPr>
        <w:t xml:space="preserve"> de Choisy.</w:t>
      </w:r>
      <w:r w:rsidRPr="00E034B5">
        <w:rPr>
          <w:rStyle w:val="FootnoteReference"/>
          <w:sz w:val="24"/>
        </w:rPr>
        <w:footnoteReference w:id="84"/>
      </w:r>
      <w:r w:rsidRPr="00E034B5">
        <w:rPr>
          <w:sz w:val="24"/>
        </w:rPr>
        <w:t xml:space="preserve"> Guiche seduced Monsieur</w:t>
      </w:r>
      <w:r w:rsidR="00C32276">
        <w:rPr>
          <w:sz w:val="24"/>
        </w:rPr>
        <w:t xml:space="preserve"> as well as his</w:t>
      </w:r>
      <w:r w:rsidRPr="00E034B5">
        <w:rPr>
          <w:sz w:val="24"/>
        </w:rPr>
        <w:t xml:space="preserve"> first wife, Henrietta</w:t>
      </w:r>
      <w:r w:rsidR="00C32276">
        <w:rPr>
          <w:sz w:val="24"/>
        </w:rPr>
        <w:t xml:space="preserve">, </w:t>
      </w:r>
      <w:r w:rsidRPr="00E034B5">
        <w:rPr>
          <w:sz w:val="24"/>
        </w:rPr>
        <w:t>and the married couple found themselves battling for the attention of the same man.</w:t>
      </w:r>
      <w:r w:rsidRPr="00E034B5">
        <w:rPr>
          <w:rStyle w:val="FootnoteReference"/>
          <w:sz w:val="24"/>
        </w:rPr>
        <w:footnoteReference w:id="85"/>
      </w:r>
      <w:r w:rsidRPr="00E034B5">
        <w:rPr>
          <w:sz w:val="24"/>
        </w:rPr>
        <w:t xml:space="preserve"> Guiche adopted the term</w:t>
      </w:r>
      <w:r w:rsidRPr="00C32276">
        <w:rPr>
          <w:i/>
          <w:sz w:val="24"/>
        </w:rPr>
        <w:t xml:space="preserve"> </w:t>
      </w:r>
      <w:r w:rsidR="00C32276" w:rsidRPr="00C32276">
        <w:rPr>
          <w:i/>
          <w:sz w:val="24"/>
        </w:rPr>
        <w:t>‘</w:t>
      </w:r>
      <w:r w:rsidRPr="00E034B5">
        <w:rPr>
          <w:i/>
          <w:sz w:val="24"/>
        </w:rPr>
        <w:t>au poil et á la plume,</w:t>
      </w:r>
      <w:r w:rsidR="00C32276">
        <w:rPr>
          <w:i/>
          <w:sz w:val="24"/>
        </w:rPr>
        <w:t>’</w:t>
      </w:r>
      <w:r w:rsidRPr="00E034B5">
        <w:rPr>
          <w:i/>
          <w:sz w:val="24"/>
        </w:rPr>
        <w:t xml:space="preserve"> </w:t>
      </w:r>
      <w:r w:rsidRPr="00E034B5">
        <w:rPr>
          <w:sz w:val="24"/>
        </w:rPr>
        <w:t>which translated to ‘after fur and feathers’, referring to huntsmen who sought after both fur and feathers from their victims.</w:t>
      </w:r>
      <w:r w:rsidRPr="00E034B5">
        <w:rPr>
          <w:rStyle w:val="FootnoteReference"/>
          <w:sz w:val="24"/>
        </w:rPr>
        <w:footnoteReference w:id="86"/>
      </w:r>
      <w:r w:rsidRPr="00E034B5">
        <w:rPr>
          <w:sz w:val="24"/>
        </w:rPr>
        <w:t xml:space="preserve"> This term was then given to Guiche, and men who conducted themselves in a similar fashion, to describe men who sought after both men and women in a sexual context, essentially becoming the terminology for what is known in a modern context as bisexuality. </w:t>
      </w:r>
    </w:p>
    <w:p w14:paraId="5C15E45F" w14:textId="77777777" w:rsidR="00A676E3" w:rsidRPr="00E034B5" w:rsidRDefault="00A676E3" w:rsidP="007F2DC0">
      <w:pPr>
        <w:spacing w:line="360" w:lineRule="auto"/>
        <w:rPr>
          <w:sz w:val="24"/>
        </w:rPr>
      </w:pPr>
    </w:p>
    <w:p w14:paraId="762E6C30" w14:textId="0AC9E5CE" w:rsidR="00C32276" w:rsidRDefault="00E034B5" w:rsidP="007F2DC0">
      <w:pPr>
        <w:spacing w:line="360" w:lineRule="auto"/>
        <w:rPr>
          <w:sz w:val="24"/>
        </w:rPr>
      </w:pPr>
      <w:r w:rsidRPr="00E034B5">
        <w:rPr>
          <w:sz w:val="24"/>
        </w:rPr>
        <w:t>As previous stated, there is little evidence of the homosexual branch under the reign of Louis XIV, due to the ruthless anti-sodomy laws he enforced. Despite the countless amount of flamboyant homosexuals living in Louis’ court, including his own brother Philippe, and the numerous heterosexual affairs Louis had himself, the level of virtue expected by the king in his court was high</w:t>
      </w:r>
      <w:r w:rsidR="00F348C9">
        <w:rPr>
          <w:sz w:val="24"/>
        </w:rPr>
        <w:t>.</w:t>
      </w:r>
      <w:r w:rsidRPr="00E034B5">
        <w:rPr>
          <w:rStyle w:val="FootnoteReference"/>
          <w:sz w:val="24"/>
        </w:rPr>
        <w:footnoteReference w:id="87"/>
      </w:r>
      <w:r w:rsidRPr="00E034B5">
        <w:rPr>
          <w:sz w:val="24"/>
        </w:rPr>
        <w:t xml:space="preserve"> Due to the ruthlessness of Louis, any relationships</w:t>
      </w:r>
      <w:r w:rsidR="00F348C9">
        <w:rPr>
          <w:sz w:val="24"/>
        </w:rPr>
        <w:t xml:space="preserve"> that went against his laws</w:t>
      </w:r>
      <w:r w:rsidRPr="00E034B5">
        <w:rPr>
          <w:sz w:val="24"/>
        </w:rPr>
        <w:t xml:space="preserve">, such as people who engaged in sexual actions with both genders, are not often recorded. </w:t>
      </w:r>
    </w:p>
    <w:p w14:paraId="159996C6" w14:textId="77777777" w:rsidR="00C32276" w:rsidRDefault="00C32276" w:rsidP="007F2DC0">
      <w:pPr>
        <w:spacing w:line="360" w:lineRule="auto"/>
        <w:rPr>
          <w:sz w:val="24"/>
        </w:rPr>
      </w:pPr>
    </w:p>
    <w:p w14:paraId="57C98920" w14:textId="294AB239" w:rsidR="00E034B5" w:rsidRDefault="00E034B5" w:rsidP="007F2DC0">
      <w:pPr>
        <w:spacing w:line="360" w:lineRule="auto"/>
        <w:rPr>
          <w:sz w:val="24"/>
        </w:rPr>
      </w:pPr>
      <w:r w:rsidRPr="00E034B5">
        <w:rPr>
          <w:sz w:val="24"/>
        </w:rPr>
        <w:t xml:space="preserve">François Ravaisson, the editor of the </w:t>
      </w:r>
      <w:r w:rsidRPr="00F348C9">
        <w:rPr>
          <w:i/>
          <w:sz w:val="24"/>
        </w:rPr>
        <w:t>Archives de la Bastille,</w:t>
      </w:r>
      <w:r w:rsidRPr="00E034B5">
        <w:rPr>
          <w:sz w:val="24"/>
        </w:rPr>
        <w:t xml:space="preserve"> believes that Louis XIV was the first French King concerned almost exclusively with the morality of his country,</w:t>
      </w:r>
      <w:r w:rsidRPr="00E034B5">
        <w:rPr>
          <w:rStyle w:val="FootnoteReference"/>
          <w:sz w:val="24"/>
        </w:rPr>
        <w:footnoteReference w:id="88"/>
      </w:r>
      <w:r w:rsidRPr="00E034B5">
        <w:rPr>
          <w:sz w:val="24"/>
        </w:rPr>
        <w:t xml:space="preserve"> though despite Louis’ hostility towards sodomy, homosexuality was rife in France.</w:t>
      </w:r>
      <w:r w:rsidRPr="00E034B5">
        <w:rPr>
          <w:rStyle w:val="FootnoteReference"/>
          <w:sz w:val="24"/>
        </w:rPr>
        <w:footnoteReference w:id="89"/>
      </w:r>
      <w:r w:rsidRPr="00E034B5">
        <w:rPr>
          <w:sz w:val="24"/>
        </w:rPr>
        <w:t xml:space="preserve">  A member of </w:t>
      </w:r>
      <w:r w:rsidRPr="00E034B5">
        <w:rPr>
          <w:sz w:val="24"/>
        </w:rPr>
        <w:lastRenderedPageBreak/>
        <w:t>the Paris police wrote in his</w:t>
      </w:r>
      <w:r w:rsidRPr="00E034B5">
        <w:rPr>
          <w:i/>
          <w:sz w:val="24"/>
        </w:rPr>
        <w:t xml:space="preserve"> Memoires </w:t>
      </w:r>
      <w:r w:rsidRPr="00E034B5">
        <w:rPr>
          <w:sz w:val="24"/>
        </w:rPr>
        <w:t xml:space="preserve">that the number of known sodomites in Paris in 1725 was estimated at 20,000, and so the vice that had before been only known as </w:t>
      </w:r>
      <w:r w:rsidRPr="00AF38E0">
        <w:rPr>
          <w:i/>
          <w:sz w:val="24"/>
        </w:rPr>
        <w:t>beau vice</w:t>
      </w:r>
      <w:r w:rsidRPr="00E034B5">
        <w:rPr>
          <w:sz w:val="24"/>
        </w:rPr>
        <w:t xml:space="preserve"> as it only affected noblemen, was now a society-wide fashion.</w:t>
      </w:r>
      <w:r w:rsidRPr="00E034B5">
        <w:rPr>
          <w:rStyle w:val="FootnoteReference"/>
          <w:sz w:val="24"/>
        </w:rPr>
        <w:footnoteReference w:id="90"/>
      </w:r>
      <w:r w:rsidRPr="00E034B5">
        <w:rPr>
          <w:sz w:val="24"/>
        </w:rPr>
        <w:t xml:space="preserve"> As part of his mission to stop sodomy in France, Louis became fond of reading the letters from court, so that he knew what was happening in Versailles at all times.</w:t>
      </w:r>
      <w:r w:rsidRPr="00E034B5">
        <w:rPr>
          <w:rStyle w:val="FootnoteReference"/>
          <w:sz w:val="24"/>
        </w:rPr>
        <w:footnoteReference w:id="91"/>
      </w:r>
      <w:r w:rsidRPr="00E034B5">
        <w:rPr>
          <w:sz w:val="24"/>
        </w:rPr>
        <w:t xml:space="preserve"> The letters were inspected first, and only the most interesting were taken to the King, including many homoerotic love letters, which at times led to the exiling of young men.</w:t>
      </w:r>
      <w:r w:rsidRPr="00E034B5">
        <w:rPr>
          <w:rStyle w:val="FootnoteReference"/>
          <w:sz w:val="24"/>
        </w:rPr>
        <w:footnoteReference w:id="92"/>
      </w:r>
      <w:r w:rsidRPr="00E034B5">
        <w:rPr>
          <w:sz w:val="24"/>
        </w:rPr>
        <w:t xml:space="preserve"> Monsieur’s second wife, Liselotte frequently wrote about her life in France to her friends and family, including details of her husband’s promiscuity.</w:t>
      </w:r>
      <w:r w:rsidRPr="00E034B5">
        <w:rPr>
          <w:rStyle w:val="FootnoteReference"/>
          <w:sz w:val="24"/>
        </w:rPr>
        <w:footnoteReference w:id="93"/>
      </w:r>
      <w:r w:rsidRPr="00E034B5">
        <w:rPr>
          <w:sz w:val="24"/>
        </w:rPr>
        <w:t xml:space="preserve"> Despite her brazen honesty </w:t>
      </w:r>
      <w:r w:rsidR="007264B1">
        <w:rPr>
          <w:sz w:val="24"/>
        </w:rPr>
        <w:t>at court regarding</w:t>
      </w:r>
      <w:r w:rsidRPr="00E034B5">
        <w:rPr>
          <w:sz w:val="24"/>
        </w:rPr>
        <w:t xml:space="preserve"> her distaste of the French court and its customs, Liselotte frequently exercised caution in her letters, knowing that the King often read her letters, which she feared would land her</w:t>
      </w:r>
      <w:r w:rsidR="007264B1">
        <w:rPr>
          <w:sz w:val="24"/>
        </w:rPr>
        <w:t xml:space="preserve">self </w:t>
      </w:r>
      <w:r w:rsidRPr="00E034B5">
        <w:rPr>
          <w:sz w:val="24"/>
        </w:rPr>
        <w:t>in trouble.</w:t>
      </w:r>
      <w:r w:rsidRPr="00E034B5">
        <w:rPr>
          <w:rStyle w:val="FootnoteReference"/>
          <w:sz w:val="24"/>
        </w:rPr>
        <w:footnoteReference w:id="94"/>
      </w:r>
    </w:p>
    <w:p w14:paraId="5DF9926B" w14:textId="77777777" w:rsidR="00A676E3" w:rsidRPr="00E034B5" w:rsidRDefault="00A676E3" w:rsidP="007F2DC0">
      <w:pPr>
        <w:spacing w:line="360" w:lineRule="auto"/>
        <w:rPr>
          <w:sz w:val="24"/>
        </w:rPr>
      </w:pPr>
    </w:p>
    <w:p w14:paraId="699E7D1E" w14:textId="3DB21ABD" w:rsidR="00E034B5" w:rsidRDefault="00E034B5" w:rsidP="007F2DC0">
      <w:pPr>
        <w:spacing w:line="360" w:lineRule="auto"/>
        <w:rPr>
          <w:sz w:val="24"/>
        </w:rPr>
      </w:pPr>
      <w:r w:rsidRPr="00E034B5">
        <w:rPr>
          <w:sz w:val="24"/>
        </w:rPr>
        <w:t>Despite his personal distaste for homosexuality and his frequent persecution of sodomites, Louis still maintained friendships with homosexuals who were of importance to him. Louis continued his patronage of Jean-Baptiste Lully, a composer, after his homosexual tendencies were made common knowledge,</w:t>
      </w:r>
      <w:r w:rsidRPr="00E034B5">
        <w:rPr>
          <w:rStyle w:val="FootnoteReference"/>
          <w:sz w:val="24"/>
        </w:rPr>
        <w:footnoteReference w:id="95"/>
      </w:r>
      <w:r w:rsidRPr="00E034B5">
        <w:rPr>
          <w:sz w:val="24"/>
        </w:rPr>
        <w:t xml:space="preserve"> and of course Louis continued his relationship with his brother Philippe. Louis and Philippe were close with one another, despite </w:t>
      </w:r>
      <w:r w:rsidR="007264B1">
        <w:rPr>
          <w:sz w:val="24"/>
        </w:rPr>
        <w:t>many</w:t>
      </w:r>
      <w:r w:rsidRPr="00E034B5">
        <w:rPr>
          <w:sz w:val="24"/>
        </w:rPr>
        <w:t xml:space="preserve"> nobles </w:t>
      </w:r>
      <w:r w:rsidR="007264B1">
        <w:rPr>
          <w:sz w:val="24"/>
        </w:rPr>
        <w:t>pushing for Monsieur to seize the throne however Monsieur never pushed the matter, instead preferring to stay in his correct place.</w:t>
      </w:r>
      <w:r w:rsidRPr="00E034B5">
        <w:rPr>
          <w:rStyle w:val="FootnoteReference"/>
          <w:sz w:val="24"/>
        </w:rPr>
        <w:footnoteReference w:id="96"/>
      </w:r>
      <w:r w:rsidRPr="00E034B5">
        <w:rPr>
          <w:sz w:val="24"/>
        </w:rPr>
        <w:t xml:space="preserve"> Louis called Philippe </w:t>
      </w:r>
      <w:r w:rsidRPr="00E034B5">
        <w:rPr>
          <w:i/>
          <w:sz w:val="24"/>
        </w:rPr>
        <w:t>‘Mon Frère’</w:t>
      </w:r>
      <w:r w:rsidRPr="00E034B5">
        <w:rPr>
          <w:sz w:val="24"/>
        </w:rPr>
        <w:t xml:space="preserve"> and is often quoted as saying to Philippe: ‘now, we are going to work; go and amuse yourself, Brother.’</w:t>
      </w:r>
      <w:r w:rsidRPr="00E034B5">
        <w:rPr>
          <w:rStyle w:val="FootnoteReference"/>
          <w:sz w:val="24"/>
        </w:rPr>
        <w:footnoteReference w:id="97"/>
      </w:r>
      <w:r w:rsidRPr="00E034B5">
        <w:rPr>
          <w:sz w:val="24"/>
        </w:rPr>
        <w:t xml:space="preserve"> This quote connotes the belittling of Monsieur, which Louis was known to frequently do, often putting his brother in his place to restrict </w:t>
      </w:r>
      <w:r w:rsidR="007264B1">
        <w:rPr>
          <w:sz w:val="24"/>
        </w:rPr>
        <w:t xml:space="preserve">his </w:t>
      </w:r>
      <w:r w:rsidRPr="00E034B5">
        <w:rPr>
          <w:sz w:val="24"/>
        </w:rPr>
        <w:t>political impac</w:t>
      </w:r>
      <w:r w:rsidR="007264B1">
        <w:rPr>
          <w:sz w:val="24"/>
        </w:rPr>
        <w:t>t</w:t>
      </w:r>
      <w:r w:rsidRPr="00E034B5">
        <w:rPr>
          <w:sz w:val="24"/>
        </w:rPr>
        <w:t>.</w:t>
      </w:r>
      <w:r w:rsidRPr="00E034B5">
        <w:rPr>
          <w:rStyle w:val="FootnoteReference"/>
          <w:sz w:val="24"/>
        </w:rPr>
        <w:footnoteReference w:id="98"/>
      </w:r>
      <w:r w:rsidRPr="00E034B5">
        <w:rPr>
          <w:sz w:val="24"/>
        </w:rPr>
        <w:t xml:space="preserve"> Due to the frequency of Louis’ legitimate children dying in infancy, and the fragility of Louis’ only heir, many nobles saw the likelihood of Philippe taking the throne from Louis</w:t>
      </w:r>
      <w:r w:rsidR="007264B1">
        <w:rPr>
          <w:sz w:val="24"/>
        </w:rPr>
        <w:t xml:space="preserve">, and welcomed </w:t>
      </w:r>
      <w:r w:rsidR="00E776EF">
        <w:rPr>
          <w:sz w:val="24"/>
        </w:rPr>
        <w:t>this, due to Louis’ ignorance of war and Monsieur’s fondness of it</w:t>
      </w:r>
      <w:r w:rsidRPr="00E034B5">
        <w:rPr>
          <w:sz w:val="24"/>
        </w:rPr>
        <w:t>.</w:t>
      </w:r>
      <w:r w:rsidRPr="00E034B5">
        <w:rPr>
          <w:rStyle w:val="FootnoteReference"/>
          <w:sz w:val="24"/>
        </w:rPr>
        <w:footnoteReference w:id="99"/>
      </w:r>
    </w:p>
    <w:p w14:paraId="35F59388" w14:textId="77777777" w:rsidR="00A676E3" w:rsidRPr="00E034B5" w:rsidRDefault="00A676E3" w:rsidP="007F2DC0">
      <w:pPr>
        <w:spacing w:line="360" w:lineRule="auto"/>
        <w:rPr>
          <w:sz w:val="24"/>
        </w:rPr>
      </w:pPr>
    </w:p>
    <w:p w14:paraId="0032E8B4" w14:textId="577B9514" w:rsidR="00E034B5" w:rsidRPr="00E034B5" w:rsidRDefault="00E776EF" w:rsidP="007F2DC0">
      <w:pPr>
        <w:spacing w:line="360" w:lineRule="auto"/>
        <w:rPr>
          <w:sz w:val="24"/>
        </w:rPr>
      </w:pPr>
      <w:r>
        <w:rPr>
          <w:sz w:val="24"/>
        </w:rPr>
        <w:lastRenderedPageBreak/>
        <w:t xml:space="preserve">The branch of </w:t>
      </w:r>
      <w:r w:rsidRPr="00E776EF">
        <w:rPr>
          <w:i/>
          <w:sz w:val="24"/>
        </w:rPr>
        <w:t xml:space="preserve">Au Poil et </w:t>
      </w:r>
      <w:r>
        <w:rPr>
          <w:i/>
          <w:sz w:val="24"/>
        </w:rPr>
        <w:t>á</w:t>
      </w:r>
      <w:r w:rsidRPr="00E776EF">
        <w:rPr>
          <w:i/>
          <w:sz w:val="24"/>
        </w:rPr>
        <w:t xml:space="preserve"> la Plume</w:t>
      </w:r>
      <w:r w:rsidR="00E034B5" w:rsidRPr="00E034B5">
        <w:rPr>
          <w:sz w:val="24"/>
        </w:rPr>
        <w:t xml:space="preserve"> is complex when considered in the context of the reign of Louis XIV. There is little evidence available to portray these gender free, bisexual forms of relationship, most prominently due to the anti-sodomy laws of Louis XIV.</w:t>
      </w:r>
      <w:r>
        <w:rPr>
          <w:sz w:val="24"/>
        </w:rPr>
        <w:t xml:space="preserve"> Louis’ laws are not easily assessable </w:t>
      </w:r>
      <w:r w:rsidR="005357E6">
        <w:rPr>
          <w:sz w:val="24"/>
        </w:rPr>
        <w:t>either, as most legal documents from his reign are yet to be translated or researched</w:t>
      </w:r>
      <w:r w:rsidR="005D649F">
        <w:rPr>
          <w:sz w:val="24"/>
        </w:rPr>
        <w:t>, an ideal next step in the research of homosexuality in his reign</w:t>
      </w:r>
      <w:r w:rsidR="005357E6">
        <w:rPr>
          <w:sz w:val="24"/>
        </w:rPr>
        <w:t>.</w:t>
      </w:r>
      <w:r w:rsidR="00E034B5" w:rsidRPr="00E034B5">
        <w:rPr>
          <w:sz w:val="24"/>
        </w:rPr>
        <w:t xml:space="preserve"> However, there is </w:t>
      </w:r>
      <w:r w:rsidR="00EC57C6">
        <w:rPr>
          <w:sz w:val="24"/>
        </w:rPr>
        <w:t>a visible</w:t>
      </w:r>
      <w:r w:rsidR="00E034B5" w:rsidRPr="00E034B5">
        <w:rPr>
          <w:sz w:val="24"/>
        </w:rPr>
        <w:t xml:space="preserve"> contrast between the strictly enforced laws of the people in France, against the more lenient, liberal lifestyle of homosexuals in court, perhaps suggesting why the existing evidence of the Comte de Guiche is recorded. Despite this branch holding little impact on the life of Philippe, Duke d’Orléans, it is still a prominent form of homosexual interest in history, hence the need for it to be included in this </w:t>
      </w:r>
      <w:r w:rsidR="00EC57C6">
        <w:rPr>
          <w:sz w:val="24"/>
        </w:rPr>
        <w:t>exploration of homosexuality.</w:t>
      </w:r>
    </w:p>
    <w:p w14:paraId="6213CCBC" w14:textId="77777777" w:rsidR="00E034B5" w:rsidRDefault="00E034B5" w:rsidP="007F2DC0">
      <w:pPr>
        <w:spacing w:line="360" w:lineRule="auto"/>
        <w:rPr>
          <w:sz w:val="24"/>
        </w:rPr>
      </w:pPr>
    </w:p>
    <w:p w14:paraId="5C0747CE" w14:textId="1E5A9F53" w:rsidR="00E034B5" w:rsidRDefault="00E034B5" w:rsidP="007F2DC0">
      <w:pPr>
        <w:spacing w:line="360" w:lineRule="auto"/>
        <w:rPr>
          <w:sz w:val="24"/>
        </w:rPr>
      </w:pPr>
    </w:p>
    <w:p w14:paraId="159F05CD" w14:textId="10AE4A5D" w:rsidR="00E034B5" w:rsidRDefault="00E034B5" w:rsidP="007F2DC0">
      <w:pPr>
        <w:spacing w:line="360" w:lineRule="auto"/>
        <w:rPr>
          <w:sz w:val="24"/>
        </w:rPr>
      </w:pPr>
    </w:p>
    <w:p w14:paraId="096790CE" w14:textId="652AD918" w:rsidR="00E034B5" w:rsidRDefault="00E034B5" w:rsidP="007F2DC0">
      <w:pPr>
        <w:spacing w:line="360" w:lineRule="auto"/>
        <w:rPr>
          <w:sz w:val="24"/>
        </w:rPr>
      </w:pPr>
    </w:p>
    <w:p w14:paraId="37D758A4" w14:textId="5B706D22" w:rsidR="00E034B5" w:rsidRDefault="00E034B5" w:rsidP="007F2DC0">
      <w:pPr>
        <w:spacing w:line="360" w:lineRule="auto"/>
        <w:rPr>
          <w:sz w:val="24"/>
        </w:rPr>
      </w:pPr>
    </w:p>
    <w:p w14:paraId="03179E3A" w14:textId="3C1DC7A0" w:rsidR="00E034B5" w:rsidRDefault="00E034B5" w:rsidP="007F2DC0">
      <w:pPr>
        <w:spacing w:line="360" w:lineRule="auto"/>
        <w:rPr>
          <w:sz w:val="24"/>
        </w:rPr>
      </w:pPr>
    </w:p>
    <w:p w14:paraId="5D801393" w14:textId="157BE611" w:rsidR="00E034B5" w:rsidRDefault="00E034B5" w:rsidP="007F2DC0">
      <w:pPr>
        <w:spacing w:line="360" w:lineRule="auto"/>
        <w:rPr>
          <w:sz w:val="24"/>
        </w:rPr>
      </w:pPr>
    </w:p>
    <w:p w14:paraId="4D35D0B9" w14:textId="24952C0A" w:rsidR="00E034B5" w:rsidRDefault="00E034B5" w:rsidP="007F2DC0">
      <w:pPr>
        <w:spacing w:line="360" w:lineRule="auto"/>
        <w:rPr>
          <w:sz w:val="24"/>
        </w:rPr>
      </w:pPr>
    </w:p>
    <w:p w14:paraId="09C74584" w14:textId="3CC2902D" w:rsidR="00E034B5" w:rsidRDefault="00E034B5" w:rsidP="007F2DC0">
      <w:pPr>
        <w:spacing w:line="360" w:lineRule="auto"/>
        <w:rPr>
          <w:sz w:val="24"/>
        </w:rPr>
      </w:pPr>
    </w:p>
    <w:p w14:paraId="0F21E32B" w14:textId="2214B3C7" w:rsidR="00E034B5" w:rsidRDefault="00E034B5" w:rsidP="007F2DC0">
      <w:pPr>
        <w:spacing w:line="360" w:lineRule="auto"/>
        <w:rPr>
          <w:sz w:val="24"/>
        </w:rPr>
      </w:pPr>
    </w:p>
    <w:p w14:paraId="0F4193E4" w14:textId="61D346F3" w:rsidR="00E034B5" w:rsidRDefault="00E034B5" w:rsidP="007F2DC0">
      <w:pPr>
        <w:spacing w:line="360" w:lineRule="auto"/>
        <w:rPr>
          <w:sz w:val="24"/>
        </w:rPr>
      </w:pPr>
    </w:p>
    <w:p w14:paraId="0155D02B" w14:textId="541FA6B6" w:rsidR="00E034B5" w:rsidRDefault="00E034B5" w:rsidP="007F2DC0">
      <w:pPr>
        <w:spacing w:line="360" w:lineRule="auto"/>
        <w:rPr>
          <w:sz w:val="24"/>
        </w:rPr>
      </w:pPr>
    </w:p>
    <w:p w14:paraId="5D4B6A96" w14:textId="3144D2F6" w:rsidR="00E034B5" w:rsidRDefault="00E034B5" w:rsidP="007F2DC0">
      <w:pPr>
        <w:spacing w:line="360" w:lineRule="auto"/>
        <w:rPr>
          <w:sz w:val="24"/>
        </w:rPr>
      </w:pPr>
    </w:p>
    <w:p w14:paraId="387897D7" w14:textId="7B5F902F" w:rsidR="00E034B5" w:rsidRDefault="00E034B5" w:rsidP="007F2DC0">
      <w:pPr>
        <w:spacing w:line="360" w:lineRule="auto"/>
        <w:rPr>
          <w:sz w:val="24"/>
        </w:rPr>
      </w:pPr>
    </w:p>
    <w:p w14:paraId="1C2B433A" w14:textId="3B1300EC" w:rsidR="00541710" w:rsidRDefault="00541710" w:rsidP="007F2DC0">
      <w:pPr>
        <w:spacing w:line="360" w:lineRule="auto"/>
        <w:rPr>
          <w:sz w:val="24"/>
        </w:rPr>
      </w:pPr>
    </w:p>
    <w:p w14:paraId="631743B6" w14:textId="0E8D7F20" w:rsidR="00EC57C6" w:rsidRDefault="00EC57C6" w:rsidP="007F2DC0">
      <w:pPr>
        <w:spacing w:line="360" w:lineRule="auto"/>
        <w:rPr>
          <w:sz w:val="24"/>
        </w:rPr>
      </w:pPr>
    </w:p>
    <w:p w14:paraId="6552B894" w14:textId="317FEA52" w:rsidR="00EC57C6" w:rsidRDefault="00EC57C6" w:rsidP="007F2DC0">
      <w:pPr>
        <w:spacing w:line="360" w:lineRule="auto"/>
        <w:rPr>
          <w:sz w:val="24"/>
        </w:rPr>
      </w:pPr>
    </w:p>
    <w:p w14:paraId="134D1C7D" w14:textId="104AB2F1" w:rsidR="00EC57C6" w:rsidRDefault="00EC57C6" w:rsidP="007F2DC0">
      <w:pPr>
        <w:spacing w:line="360" w:lineRule="auto"/>
        <w:rPr>
          <w:sz w:val="24"/>
        </w:rPr>
      </w:pPr>
    </w:p>
    <w:p w14:paraId="1CBF7EA0" w14:textId="79698701" w:rsidR="00EC57C6" w:rsidRDefault="00EC57C6" w:rsidP="007F2DC0">
      <w:pPr>
        <w:spacing w:line="360" w:lineRule="auto"/>
        <w:rPr>
          <w:sz w:val="24"/>
        </w:rPr>
      </w:pPr>
    </w:p>
    <w:p w14:paraId="606D2B1F" w14:textId="571C248B" w:rsidR="00EC57C6" w:rsidRDefault="00EC57C6" w:rsidP="007F2DC0">
      <w:pPr>
        <w:spacing w:line="360" w:lineRule="auto"/>
        <w:rPr>
          <w:sz w:val="24"/>
        </w:rPr>
      </w:pPr>
    </w:p>
    <w:p w14:paraId="6DB2D1FE" w14:textId="77777777" w:rsidR="00EC57C6" w:rsidRDefault="00EC57C6" w:rsidP="007F2DC0">
      <w:pPr>
        <w:spacing w:line="360" w:lineRule="auto"/>
        <w:rPr>
          <w:sz w:val="24"/>
        </w:rPr>
      </w:pPr>
    </w:p>
    <w:p w14:paraId="2CF69B76" w14:textId="3BE474BE" w:rsidR="00541710" w:rsidRDefault="00541710" w:rsidP="007F2DC0">
      <w:pPr>
        <w:spacing w:line="360" w:lineRule="auto"/>
        <w:rPr>
          <w:sz w:val="24"/>
        </w:rPr>
      </w:pPr>
    </w:p>
    <w:p w14:paraId="465F7CDB" w14:textId="77777777" w:rsidR="00541710" w:rsidRDefault="00541710" w:rsidP="007F2DC0">
      <w:pPr>
        <w:spacing w:line="360" w:lineRule="auto"/>
        <w:rPr>
          <w:sz w:val="24"/>
        </w:rPr>
      </w:pPr>
    </w:p>
    <w:p w14:paraId="09F12533" w14:textId="77777777" w:rsidR="00987B45" w:rsidRDefault="00987B45" w:rsidP="007F2DC0">
      <w:pPr>
        <w:spacing w:line="360" w:lineRule="auto"/>
        <w:rPr>
          <w:sz w:val="24"/>
        </w:rPr>
      </w:pPr>
      <w:bookmarkStart w:id="1" w:name="_Hlk5592152"/>
      <w:bookmarkStart w:id="2" w:name="_Hlk5592126"/>
    </w:p>
    <w:p w14:paraId="330CBB43" w14:textId="0C35513C" w:rsidR="00E034B5" w:rsidRDefault="00A676E3" w:rsidP="00AB7F8E">
      <w:pPr>
        <w:spacing w:line="360" w:lineRule="auto"/>
        <w:jc w:val="center"/>
        <w:rPr>
          <w:b/>
          <w:sz w:val="24"/>
          <w:u w:val="single"/>
        </w:rPr>
      </w:pPr>
      <w:r>
        <w:rPr>
          <w:b/>
          <w:sz w:val="24"/>
          <w:u w:val="single"/>
        </w:rPr>
        <w:lastRenderedPageBreak/>
        <w:t>Chap</w:t>
      </w:r>
      <w:r w:rsidR="00E034B5" w:rsidRPr="00E034B5">
        <w:rPr>
          <w:b/>
          <w:sz w:val="24"/>
          <w:u w:val="single"/>
        </w:rPr>
        <w:t xml:space="preserve">ter Three: </w:t>
      </w:r>
      <w:r w:rsidR="00C466EA" w:rsidRPr="00C466EA">
        <w:rPr>
          <w:b/>
          <w:i/>
          <w:sz w:val="24"/>
          <w:u w:val="single"/>
        </w:rPr>
        <w:t>Glorieux Pederasts.</w:t>
      </w:r>
    </w:p>
    <w:p w14:paraId="6F244E4A" w14:textId="77777777" w:rsidR="00A676E3" w:rsidRPr="00E034B5" w:rsidRDefault="00A676E3" w:rsidP="007F2DC0">
      <w:pPr>
        <w:spacing w:line="360" w:lineRule="auto"/>
        <w:rPr>
          <w:b/>
          <w:sz w:val="24"/>
          <w:u w:val="single"/>
        </w:rPr>
      </w:pPr>
    </w:p>
    <w:p w14:paraId="0A78CA1E" w14:textId="77777777" w:rsidR="00E034B5" w:rsidRPr="00E034B5" w:rsidRDefault="00E034B5" w:rsidP="007F2DC0">
      <w:pPr>
        <w:spacing w:line="360" w:lineRule="auto"/>
        <w:rPr>
          <w:sz w:val="24"/>
          <w:u w:val="single"/>
        </w:rPr>
      </w:pPr>
      <w:r w:rsidRPr="00E034B5">
        <w:rPr>
          <w:sz w:val="24"/>
          <w:u w:val="single"/>
        </w:rPr>
        <w:t>Rejection of Females:</w:t>
      </w:r>
    </w:p>
    <w:p w14:paraId="56EE8D08" w14:textId="5A7B0059" w:rsidR="00E034B5" w:rsidRDefault="00E034B5" w:rsidP="007F2DC0">
      <w:pPr>
        <w:spacing w:line="360" w:lineRule="auto"/>
        <w:rPr>
          <w:sz w:val="24"/>
        </w:rPr>
      </w:pPr>
      <w:r w:rsidRPr="00E034B5">
        <w:rPr>
          <w:sz w:val="24"/>
        </w:rPr>
        <w:t xml:space="preserve">During the reign of Louis XIV, a secret brotherhood emerged against the anti-sodomy laws that Louis had put in place. This brotherhood was named </w:t>
      </w:r>
      <w:r w:rsidRPr="002024EE">
        <w:rPr>
          <w:i/>
          <w:sz w:val="24"/>
        </w:rPr>
        <w:t>La Sainte Congregation des Glorieux Pederasts</w:t>
      </w:r>
      <w:r w:rsidRPr="00E034B5">
        <w:rPr>
          <w:sz w:val="24"/>
        </w:rPr>
        <w:t xml:space="preserve"> which translate</w:t>
      </w:r>
      <w:r w:rsidR="002024EE">
        <w:rPr>
          <w:sz w:val="24"/>
        </w:rPr>
        <w:t>d</w:t>
      </w:r>
      <w:r w:rsidRPr="00E034B5">
        <w:rPr>
          <w:sz w:val="24"/>
        </w:rPr>
        <w:t xml:space="preserve"> to The Fraternity of Glorious Pederasts.</w:t>
      </w:r>
      <w:r w:rsidRPr="00E034B5">
        <w:rPr>
          <w:rStyle w:val="FootnoteReference"/>
          <w:sz w:val="24"/>
        </w:rPr>
        <w:footnoteReference w:id="100"/>
      </w:r>
      <w:r w:rsidRPr="00E034B5">
        <w:rPr>
          <w:sz w:val="24"/>
        </w:rPr>
        <w:t xml:space="preserve"> This group was comprised mostly of France’s most highly ranked aristocrats, many of which lived in the courts of Louis XIV.</w:t>
      </w:r>
      <w:r w:rsidRPr="00E034B5">
        <w:rPr>
          <w:rStyle w:val="FootnoteReference"/>
          <w:sz w:val="24"/>
        </w:rPr>
        <w:footnoteReference w:id="101"/>
      </w:r>
      <w:r w:rsidRPr="00E034B5">
        <w:rPr>
          <w:sz w:val="24"/>
        </w:rPr>
        <w:t xml:space="preserve"> The brotherhood modelled itself on the religious order known as the Order of Saint Lazare</w:t>
      </w:r>
      <w:r w:rsidR="002024EE">
        <w:rPr>
          <w:sz w:val="24"/>
        </w:rPr>
        <w:t>,</w:t>
      </w:r>
      <w:r w:rsidRPr="00E034B5">
        <w:rPr>
          <w:sz w:val="24"/>
        </w:rPr>
        <w:t xml:space="preserve"> which</w:t>
      </w:r>
      <w:r w:rsidR="002024EE">
        <w:rPr>
          <w:sz w:val="24"/>
        </w:rPr>
        <w:t xml:space="preserve"> used </w:t>
      </w:r>
      <w:r w:rsidRPr="00E034B5">
        <w:rPr>
          <w:sz w:val="24"/>
        </w:rPr>
        <w:t xml:space="preserve">the insignia of St Michael trampling the devil which </w:t>
      </w:r>
      <w:r w:rsidRPr="00E034B5">
        <w:rPr>
          <w:i/>
          <w:sz w:val="24"/>
        </w:rPr>
        <w:t>La Sainte</w:t>
      </w:r>
      <w:r w:rsidRPr="00E034B5">
        <w:rPr>
          <w:sz w:val="24"/>
        </w:rPr>
        <w:t xml:space="preserve"> </w:t>
      </w:r>
      <w:r w:rsidR="002024EE">
        <w:rPr>
          <w:sz w:val="24"/>
        </w:rPr>
        <w:t>reimagined</w:t>
      </w:r>
      <w:r w:rsidRPr="00E034B5">
        <w:rPr>
          <w:sz w:val="24"/>
        </w:rPr>
        <w:t xml:space="preserve"> to be a man trampling a women, a symbol they wore on necklaces under their clothing.</w:t>
      </w:r>
      <w:r w:rsidRPr="00E034B5">
        <w:rPr>
          <w:rStyle w:val="FootnoteReference"/>
          <w:sz w:val="24"/>
        </w:rPr>
        <w:footnoteReference w:id="102"/>
      </w:r>
      <w:r w:rsidRPr="00E034B5">
        <w:rPr>
          <w:sz w:val="24"/>
        </w:rPr>
        <w:t xml:space="preserve"> Members of </w:t>
      </w:r>
      <w:r w:rsidRPr="00E034B5">
        <w:rPr>
          <w:i/>
          <w:sz w:val="24"/>
        </w:rPr>
        <w:t xml:space="preserve">La Sainte </w:t>
      </w:r>
      <w:r w:rsidRPr="00E034B5">
        <w:rPr>
          <w:sz w:val="24"/>
        </w:rPr>
        <w:t>devoted themselves to a lifetime of total</w:t>
      </w:r>
      <w:r w:rsidR="002024EE">
        <w:rPr>
          <w:sz w:val="24"/>
        </w:rPr>
        <w:t xml:space="preserve"> romantic and sexual</w:t>
      </w:r>
      <w:r w:rsidRPr="00E034B5">
        <w:rPr>
          <w:sz w:val="24"/>
        </w:rPr>
        <w:t xml:space="preserve"> avoidance of women and therefore complete devotion towards men.</w:t>
      </w:r>
      <w:r w:rsidRPr="00E034B5">
        <w:rPr>
          <w:rStyle w:val="FootnoteReference"/>
          <w:sz w:val="24"/>
        </w:rPr>
        <w:footnoteReference w:id="103"/>
      </w:r>
      <w:r w:rsidRPr="00E034B5">
        <w:rPr>
          <w:sz w:val="24"/>
        </w:rPr>
        <w:t xml:space="preserve"> The act of rejecting females in a sexual way and preferring men explicitly is in essence the meaning of homosexuality today, however in its original context, it is not the equivalent. The brotherhood is a version of extremity in a sexual orientation, despite being </w:t>
      </w:r>
      <w:r w:rsidR="002024EE">
        <w:rPr>
          <w:sz w:val="24"/>
        </w:rPr>
        <w:t xml:space="preserve">a modern norm. </w:t>
      </w:r>
    </w:p>
    <w:p w14:paraId="44D3EA78" w14:textId="77777777" w:rsidR="00A676E3" w:rsidRPr="00E034B5" w:rsidRDefault="00A676E3" w:rsidP="007F2DC0">
      <w:pPr>
        <w:spacing w:line="360" w:lineRule="auto"/>
        <w:rPr>
          <w:sz w:val="24"/>
        </w:rPr>
      </w:pPr>
    </w:p>
    <w:p w14:paraId="34575059" w14:textId="77777777" w:rsidR="002E03CA" w:rsidRDefault="00E034B5" w:rsidP="007F2DC0">
      <w:pPr>
        <w:spacing w:line="360" w:lineRule="auto"/>
        <w:rPr>
          <w:sz w:val="24"/>
          <w:szCs w:val="24"/>
        </w:rPr>
      </w:pPr>
      <w:r w:rsidRPr="00E034B5">
        <w:rPr>
          <w:i/>
          <w:sz w:val="24"/>
        </w:rPr>
        <w:t>La Sainte</w:t>
      </w:r>
      <w:r w:rsidRPr="00E034B5">
        <w:rPr>
          <w:sz w:val="24"/>
        </w:rPr>
        <w:t xml:space="preserve"> was under constant strain due to the leadership issues within. The Duc de </w:t>
      </w:r>
      <w:proofErr w:type="spellStart"/>
      <w:r w:rsidRPr="00E034B5">
        <w:rPr>
          <w:sz w:val="24"/>
        </w:rPr>
        <w:t>Gramont</w:t>
      </w:r>
      <w:proofErr w:type="spellEnd"/>
      <w:r w:rsidRPr="00E034B5">
        <w:rPr>
          <w:sz w:val="24"/>
        </w:rPr>
        <w:t xml:space="preserve">, the Marquis de </w:t>
      </w:r>
      <w:proofErr w:type="spellStart"/>
      <w:r w:rsidRPr="00E034B5">
        <w:rPr>
          <w:sz w:val="24"/>
        </w:rPr>
        <w:t>Manicamp</w:t>
      </w:r>
      <w:proofErr w:type="spellEnd"/>
      <w:r w:rsidRPr="00E034B5">
        <w:rPr>
          <w:sz w:val="24"/>
        </w:rPr>
        <w:t xml:space="preserve">, the Chevalier de </w:t>
      </w:r>
      <w:proofErr w:type="spellStart"/>
      <w:r w:rsidRPr="00E034B5">
        <w:rPr>
          <w:sz w:val="24"/>
        </w:rPr>
        <w:t>Tilladet</w:t>
      </w:r>
      <w:proofErr w:type="spellEnd"/>
      <w:r w:rsidRPr="00E034B5">
        <w:rPr>
          <w:sz w:val="24"/>
        </w:rPr>
        <w:t xml:space="preserve"> and the Marquis de </w:t>
      </w:r>
      <w:proofErr w:type="spellStart"/>
      <w:r w:rsidRPr="00E034B5">
        <w:rPr>
          <w:sz w:val="24"/>
        </w:rPr>
        <w:t>Biran</w:t>
      </w:r>
      <w:proofErr w:type="spellEnd"/>
      <w:r w:rsidRPr="00E034B5">
        <w:rPr>
          <w:sz w:val="24"/>
        </w:rPr>
        <w:t xml:space="preserve"> all contended for leadership throughout the brotherhood’s active years.</w:t>
      </w:r>
      <w:r w:rsidRPr="00E034B5">
        <w:rPr>
          <w:rStyle w:val="FootnoteReference"/>
          <w:sz w:val="24"/>
        </w:rPr>
        <w:footnoteReference w:id="104"/>
      </w:r>
      <w:r w:rsidRPr="00E034B5">
        <w:rPr>
          <w:sz w:val="24"/>
        </w:rPr>
        <w:t xml:space="preserve"> Among the other members of </w:t>
      </w:r>
      <w:r w:rsidRPr="00E034B5">
        <w:rPr>
          <w:i/>
          <w:sz w:val="24"/>
        </w:rPr>
        <w:t>La Sainte</w:t>
      </w:r>
      <w:r w:rsidRPr="00E034B5">
        <w:rPr>
          <w:sz w:val="24"/>
        </w:rPr>
        <w:t xml:space="preserve"> were Philippe’s lover the Chevalier de Lorraine and Louis XIV’s illegitimate son by </w:t>
      </w:r>
      <w:r w:rsidRPr="002024EE">
        <w:rPr>
          <w:sz w:val="24"/>
          <w:szCs w:val="24"/>
        </w:rPr>
        <w:t>Louise de la Vallière, Louis, Comte de Vermandois.</w:t>
      </w:r>
      <w:r w:rsidRPr="002024EE">
        <w:rPr>
          <w:rStyle w:val="FootnoteReference"/>
          <w:sz w:val="24"/>
          <w:szCs w:val="24"/>
        </w:rPr>
        <w:footnoteReference w:id="105"/>
      </w:r>
      <w:r w:rsidRPr="002024EE">
        <w:rPr>
          <w:sz w:val="24"/>
          <w:szCs w:val="24"/>
        </w:rPr>
        <w:t xml:space="preserve"> Vermandois was fifteen at the time of his introduction to </w:t>
      </w:r>
      <w:r w:rsidRPr="002024EE">
        <w:rPr>
          <w:i/>
          <w:sz w:val="24"/>
          <w:szCs w:val="24"/>
        </w:rPr>
        <w:t>La Sainte</w:t>
      </w:r>
      <w:r w:rsidRPr="002024EE">
        <w:rPr>
          <w:sz w:val="24"/>
          <w:szCs w:val="24"/>
        </w:rPr>
        <w:t xml:space="preserve"> and had be</w:t>
      </w:r>
      <w:r w:rsidR="002024EE" w:rsidRPr="002024EE">
        <w:rPr>
          <w:sz w:val="24"/>
          <w:szCs w:val="24"/>
        </w:rPr>
        <w:t>e</w:t>
      </w:r>
      <w:r w:rsidRPr="002024EE">
        <w:rPr>
          <w:sz w:val="24"/>
          <w:szCs w:val="24"/>
        </w:rPr>
        <w:t>n marked and trained for high office by his father, the King.</w:t>
      </w:r>
      <w:r w:rsidRPr="002024EE">
        <w:rPr>
          <w:rStyle w:val="FootnoteReference"/>
          <w:sz w:val="24"/>
          <w:szCs w:val="24"/>
        </w:rPr>
        <w:footnoteReference w:id="106"/>
      </w:r>
      <w:r w:rsidRPr="002024EE">
        <w:rPr>
          <w:sz w:val="24"/>
          <w:szCs w:val="24"/>
        </w:rPr>
        <w:t xml:space="preserve"> </w:t>
      </w:r>
    </w:p>
    <w:p w14:paraId="12358D9D" w14:textId="77777777" w:rsidR="002E03CA" w:rsidRDefault="002E03CA" w:rsidP="007F2DC0">
      <w:pPr>
        <w:spacing w:line="360" w:lineRule="auto"/>
        <w:rPr>
          <w:sz w:val="24"/>
          <w:szCs w:val="24"/>
        </w:rPr>
      </w:pPr>
    </w:p>
    <w:p w14:paraId="18A54539" w14:textId="2B866DD1" w:rsidR="00E034B5" w:rsidRPr="002024EE" w:rsidRDefault="002024EE" w:rsidP="007F2DC0">
      <w:pPr>
        <w:spacing w:line="360" w:lineRule="auto"/>
        <w:rPr>
          <w:sz w:val="24"/>
          <w:szCs w:val="24"/>
        </w:rPr>
      </w:pPr>
      <w:r w:rsidRPr="002024EE">
        <w:rPr>
          <w:i/>
          <w:sz w:val="24"/>
          <w:szCs w:val="24"/>
        </w:rPr>
        <w:t>La Sainte Congregation</w:t>
      </w:r>
      <w:r w:rsidRPr="002024EE">
        <w:rPr>
          <w:sz w:val="24"/>
          <w:szCs w:val="24"/>
        </w:rPr>
        <w:t xml:space="preserve"> was a </w:t>
      </w:r>
      <w:r w:rsidRPr="002024EE">
        <w:rPr>
          <w:i/>
          <w:sz w:val="24"/>
          <w:szCs w:val="24"/>
        </w:rPr>
        <w:t>confrére,</w:t>
      </w:r>
      <w:r w:rsidRPr="002024EE">
        <w:rPr>
          <w:sz w:val="24"/>
          <w:szCs w:val="24"/>
        </w:rPr>
        <w:t xml:space="preserve"> a ‘secret brotherhood’, but despite members of court not being aware of the brotherhood’s existence, many of its members were often noticed to be involved in secret schemes, Liselotte wrote that “unfortunately the Chevalier [de Lorraine] and his satellites always succeed in their wicked schemes”.</w:t>
      </w:r>
      <w:r w:rsidRPr="002024EE">
        <w:rPr>
          <w:rStyle w:val="FootnoteReference"/>
          <w:sz w:val="24"/>
          <w:szCs w:val="24"/>
        </w:rPr>
        <w:footnoteReference w:id="107"/>
      </w:r>
      <w:r w:rsidRPr="002024EE">
        <w:rPr>
          <w:sz w:val="24"/>
          <w:szCs w:val="24"/>
        </w:rPr>
        <w:t xml:space="preserve"> For example, it was the belief </w:t>
      </w:r>
      <w:r w:rsidRPr="002024EE">
        <w:rPr>
          <w:sz w:val="24"/>
          <w:szCs w:val="24"/>
        </w:rPr>
        <w:lastRenderedPageBreak/>
        <w:t>of many at court that the Chevalier aimed to be the only romantic relationship in Monsieur’s life, Liselotte wrote to the Duchess of Hanover stating the Chevalier had provided poison that was given to Henrietta, Monsieur’s first wife,</w:t>
      </w:r>
      <w:r w:rsidRPr="002024EE">
        <w:rPr>
          <w:rStyle w:val="FootnoteReference"/>
          <w:sz w:val="24"/>
          <w:szCs w:val="24"/>
        </w:rPr>
        <w:footnoteReference w:id="108"/>
      </w:r>
      <w:r w:rsidRPr="002024EE">
        <w:rPr>
          <w:sz w:val="24"/>
          <w:szCs w:val="24"/>
        </w:rPr>
        <w:t xml:space="preserve">  as well as accusing him of acting with malicious intent to herself.</w:t>
      </w:r>
      <w:r w:rsidRPr="002024EE">
        <w:rPr>
          <w:rStyle w:val="FootnoteReference"/>
          <w:sz w:val="24"/>
          <w:szCs w:val="24"/>
        </w:rPr>
        <w:footnoteReference w:id="109"/>
      </w:r>
    </w:p>
    <w:p w14:paraId="1DDFA5D1" w14:textId="77777777" w:rsidR="00A676E3" w:rsidRPr="00E034B5" w:rsidRDefault="00A676E3" w:rsidP="007F2DC0">
      <w:pPr>
        <w:spacing w:line="360" w:lineRule="auto"/>
        <w:rPr>
          <w:sz w:val="24"/>
        </w:rPr>
      </w:pPr>
    </w:p>
    <w:p w14:paraId="175D62F7" w14:textId="044796BF" w:rsidR="00E034B5" w:rsidRDefault="00E034B5" w:rsidP="007F2DC0">
      <w:pPr>
        <w:spacing w:line="360" w:lineRule="auto"/>
        <w:rPr>
          <w:sz w:val="24"/>
        </w:rPr>
      </w:pPr>
      <w:r w:rsidRPr="00E034B5">
        <w:rPr>
          <w:sz w:val="24"/>
        </w:rPr>
        <w:t>The brotherhood had a set of ordinances which proposed the initiation process of new members, which required their approval by ‘Grand Priors’ of the organisation.</w:t>
      </w:r>
      <w:r w:rsidRPr="00E034B5">
        <w:rPr>
          <w:rStyle w:val="FootnoteReference"/>
          <w:sz w:val="24"/>
        </w:rPr>
        <w:footnoteReference w:id="110"/>
      </w:r>
      <w:r w:rsidRPr="00E034B5">
        <w:rPr>
          <w:sz w:val="24"/>
        </w:rPr>
        <w:t xml:space="preserve"> These rules are </w:t>
      </w:r>
      <w:r w:rsidR="002E03CA">
        <w:rPr>
          <w:sz w:val="24"/>
        </w:rPr>
        <w:t>regarded as</w:t>
      </w:r>
      <w:r w:rsidRPr="00E034B5">
        <w:rPr>
          <w:sz w:val="24"/>
        </w:rPr>
        <w:t xml:space="preserve"> mocking other orders and </w:t>
      </w:r>
      <w:proofErr w:type="spellStart"/>
      <w:r w:rsidRPr="00E034B5">
        <w:rPr>
          <w:sz w:val="24"/>
        </w:rPr>
        <w:t>organisations</w:t>
      </w:r>
      <w:proofErr w:type="spellEnd"/>
      <w:r w:rsidRPr="00E034B5">
        <w:rPr>
          <w:sz w:val="24"/>
        </w:rPr>
        <w:t xml:space="preserve"> of the time.</w:t>
      </w:r>
      <w:r w:rsidRPr="00E034B5">
        <w:rPr>
          <w:rStyle w:val="FootnoteReference"/>
          <w:sz w:val="24"/>
        </w:rPr>
        <w:footnoteReference w:id="111"/>
      </w:r>
      <w:r w:rsidRPr="00E034B5">
        <w:rPr>
          <w:sz w:val="24"/>
        </w:rPr>
        <w:t xml:space="preserve"> After the admittance of the Prince of Conti to the brotherhood, Louis XIV became aware of the organisation and made efforts to dispel the group permanently.</w:t>
      </w:r>
      <w:r w:rsidRPr="00E034B5">
        <w:rPr>
          <w:rStyle w:val="FootnoteReference"/>
          <w:sz w:val="24"/>
        </w:rPr>
        <w:footnoteReference w:id="112"/>
      </w:r>
      <w:r w:rsidRPr="00E034B5">
        <w:rPr>
          <w:sz w:val="24"/>
        </w:rPr>
        <w:t xml:space="preserve"> Louis</w:t>
      </w:r>
      <w:r w:rsidR="002024EE">
        <w:rPr>
          <w:sz w:val="24"/>
        </w:rPr>
        <w:t xml:space="preserve">’ learning of the group came in </w:t>
      </w:r>
      <w:r w:rsidRPr="00E034B5">
        <w:rPr>
          <w:sz w:val="24"/>
        </w:rPr>
        <w:t>1682, at a time where Louis’ efforts against sodomy was at its highest, Louis quickly disbanded the group and punished all of the known members.</w:t>
      </w:r>
      <w:r w:rsidRPr="00E034B5">
        <w:rPr>
          <w:rStyle w:val="FootnoteReference"/>
          <w:sz w:val="24"/>
        </w:rPr>
        <w:footnoteReference w:id="113"/>
      </w:r>
      <w:r w:rsidRPr="00E034B5">
        <w:rPr>
          <w:sz w:val="24"/>
        </w:rPr>
        <w:t xml:space="preserve"> Vermandois was whipped and exiled in front of his father, which was the punishment also given to another prince, two Chevaliers, a Marquis and two Counts.</w:t>
      </w:r>
      <w:r w:rsidRPr="00E034B5">
        <w:rPr>
          <w:rStyle w:val="FootnoteReference"/>
          <w:sz w:val="24"/>
        </w:rPr>
        <w:footnoteReference w:id="114"/>
      </w:r>
      <w:r w:rsidRPr="00E034B5">
        <w:rPr>
          <w:sz w:val="24"/>
        </w:rPr>
        <w:t xml:space="preserve"> </w:t>
      </w:r>
    </w:p>
    <w:p w14:paraId="0694CBE9" w14:textId="77777777" w:rsidR="002024EE" w:rsidRPr="00E034B5" w:rsidRDefault="002024EE" w:rsidP="007F2DC0">
      <w:pPr>
        <w:spacing w:line="360" w:lineRule="auto"/>
        <w:rPr>
          <w:sz w:val="24"/>
        </w:rPr>
      </w:pPr>
    </w:p>
    <w:p w14:paraId="15286D37" w14:textId="02F4A151" w:rsidR="00895100" w:rsidRDefault="00E034B5" w:rsidP="002024EE">
      <w:pPr>
        <w:spacing w:line="360" w:lineRule="auto"/>
        <w:rPr>
          <w:sz w:val="24"/>
          <w:szCs w:val="24"/>
        </w:rPr>
      </w:pPr>
      <w:r w:rsidRPr="002024EE">
        <w:rPr>
          <w:sz w:val="24"/>
          <w:szCs w:val="24"/>
        </w:rPr>
        <w:t xml:space="preserve">In </w:t>
      </w:r>
      <w:proofErr w:type="spellStart"/>
      <w:r w:rsidRPr="002024EE">
        <w:rPr>
          <w:i/>
          <w:sz w:val="24"/>
          <w:szCs w:val="24"/>
        </w:rPr>
        <w:t>Apologie</w:t>
      </w:r>
      <w:proofErr w:type="spellEnd"/>
      <w:r w:rsidRPr="002024EE">
        <w:rPr>
          <w:i/>
          <w:sz w:val="24"/>
          <w:szCs w:val="24"/>
        </w:rPr>
        <w:t xml:space="preserve"> de la </w:t>
      </w:r>
      <w:proofErr w:type="spellStart"/>
      <w:r w:rsidRPr="002024EE">
        <w:rPr>
          <w:i/>
          <w:sz w:val="24"/>
          <w:szCs w:val="24"/>
        </w:rPr>
        <w:t>Secte</w:t>
      </w:r>
      <w:proofErr w:type="spellEnd"/>
      <w:r w:rsidRPr="002024EE">
        <w:rPr>
          <w:i/>
          <w:sz w:val="24"/>
          <w:szCs w:val="24"/>
        </w:rPr>
        <w:t xml:space="preserve"> </w:t>
      </w:r>
      <w:proofErr w:type="spellStart"/>
      <w:r w:rsidRPr="002024EE">
        <w:rPr>
          <w:i/>
          <w:sz w:val="24"/>
          <w:szCs w:val="24"/>
        </w:rPr>
        <w:t>Anandryne</w:t>
      </w:r>
      <w:proofErr w:type="spellEnd"/>
      <w:r w:rsidRPr="002024EE">
        <w:rPr>
          <w:sz w:val="24"/>
          <w:szCs w:val="24"/>
        </w:rPr>
        <w:t xml:space="preserve"> by </w:t>
      </w:r>
      <w:proofErr w:type="spellStart"/>
      <w:r w:rsidRPr="002024EE">
        <w:rPr>
          <w:sz w:val="24"/>
          <w:szCs w:val="24"/>
        </w:rPr>
        <w:t>Pidauzet</w:t>
      </w:r>
      <w:proofErr w:type="spellEnd"/>
      <w:r w:rsidRPr="002024EE">
        <w:rPr>
          <w:sz w:val="24"/>
          <w:szCs w:val="24"/>
        </w:rPr>
        <w:t xml:space="preserve"> de </w:t>
      </w:r>
      <w:proofErr w:type="spellStart"/>
      <w:r w:rsidRPr="002024EE">
        <w:rPr>
          <w:sz w:val="24"/>
          <w:szCs w:val="24"/>
        </w:rPr>
        <w:t>Mairobert</w:t>
      </w:r>
      <w:proofErr w:type="spellEnd"/>
      <w:r w:rsidRPr="002024EE">
        <w:rPr>
          <w:sz w:val="24"/>
          <w:szCs w:val="24"/>
        </w:rPr>
        <w:t xml:space="preserve">, there are claims of an organisation similar to </w:t>
      </w:r>
      <w:r w:rsidRPr="002E03CA">
        <w:rPr>
          <w:i/>
          <w:sz w:val="24"/>
          <w:szCs w:val="24"/>
        </w:rPr>
        <w:t>La Sainte</w:t>
      </w:r>
      <w:r w:rsidR="002E03CA">
        <w:rPr>
          <w:i/>
          <w:sz w:val="24"/>
          <w:szCs w:val="24"/>
        </w:rPr>
        <w:t xml:space="preserve"> Congregation</w:t>
      </w:r>
      <w:r w:rsidRPr="002024EE">
        <w:rPr>
          <w:sz w:val="24"/>
          <w:szCs w:val="24"/>
        </w:rPr>
        <w:t xml:space="preserve"> that instead involved women, Louis XIV also found out about this group and made efforts to dispel it,</w:t>
      </w:r>
      <w:r w:rsidRPr="002024EE">
        <w:rPr>
          <w:rStyle w:val="FootnoteReference"/>
          <w:sz w:val="24"/>
          <w:szCs w:val="24"/>
        </w:rPr>
        <w:t xml:space="preserve"> </w:t>
      </w:r>
      <w:r w:rsidRPr="002024EE">
        <w:rPr>
          <w:rStyle w:val="FootnoteReference"/>
          <w:sz w:val="24"/>
          <w:szCs w:val="24"/>
        </w:rPr>
        <w:footnoteReference w:id="115"/>
      </w:r>
      <w:r w:rsidRPr="002024EE">
        <w:rPr>
          <w:sz w:val="24"/>
          <w:szCs w:val="24"/>
        </w:rPr>
        <w:t xml:space="preserve"> however this group, like most evidence of female homosexuality in history, is less well known and spoke</w:t>
      </w:r>
      <w:r w:rsidR="002024EE" w:rsidRPr="002024EE">
        <w:rPr>
          <w:sz w:val="24"/>
          <w:szCs w:val="24"/>
        </w:rPr>
        <w:t>n</w:t>
      </w:r>
      <w:r w:rsidRPr="002024EE">
        <w:rPr>
          <w:sz w:val="24"/>
          <w:szCs w:val="24"/>
        </w:rPr>
        <w:t xml:space="preserve"> about.</w:t>
      </w:r>
      <w:r w:rsidR="002024EE" w:rsidRPr="002024EE">
        <w:rPr>
          <w:sz w:val="24"/>
          <w:szCs w:val="24"/>
        </w:rPr>
        <w:t xml:space="preserve"> Due to the male centred recording of historical events, a female organisation like </w:t>
      </w:r>
      <w:r w:rsidR="002024EE" w:rsidRPr="002E03CA">
        <w:rPr>
          <w:i/>
          <w:sz w:val="24"/>
          <w:szCs w:val="24"/>
        </w:rPr>
        <w:t>La Sainte Congregation</w:t>
      </w:r>
      <w:r w:rsidR="002024EE" w:rsidRPr="002024EE">
        <w:rPr>
          <w:sz w:val="24"/>
          <w:szCs w:val="24"/>
        </w:rPr>
        <w:t xml:space="preserve"> was </w:t>
      </w:r>
      <w:r w:rsidR="00895100">
        <w:rPr>
          <w:sz w:val="24"/>
          <w:szCs w:val="24"/>
        </w:rPr>
        <w:t>less</w:t>
      </w:r>
      <w:r w:rsidR="002024EE" w:rsidRPr="002024EE">
        <w:rPr>
          <w:sz w:val="24"/>
          <w:szCs w:val="24"/>
        </w:rPr>
        <w:t xml:space="preserve"> recorde</w:t>
      </w:r>
      <w:r w:rsidR="002E03CA">
        <w:rPr>
          <w:sz w:val="24"/>
          <w:szCs w:val="24"/>
        </w:rPr>
        <w:t>d</w:t>
      </w:r>
      <w:r w:rsidR="002024EE" w:rsidRPr="002024EE">
        <w:rPr>
          <w:sz w:val="24"/>
          <w:szCs w:val="24"/>
        </w:rPr>
        <w:t>.</w:t>
      </w:r>
    </w:p>
    <w:p w14:paraId="57E702F5" w14:textId="77777777" w:rsidR="00895100" w:rsidRDefault="00895100" w:rsidP="002024EE">
      <w:pPr>
        <w:spacing w:line="360" w:lineRule="auto"/>
        <w:rPr>
          <w:sz w:val="24"/>
          <w:szCs w:val="24"/>
        </w:rPr>
      </w:pPr>
    </w:p>
    <w:p w14:paraId="66A56F6C" w14:textId="77777777" w:rsidR="00895100" w:rsidRDefault="00895100" w:rsidP="002024EE">
      <w:pPr>
        <w:spacing w:line="360" w:lineRule="auto"/>
        <w:rPr>
          <w:sz w:val="24"/>
          <w:szCs w:val="24"/>
        </w:rPr>
      </w:pPr>
    </w:p>
    <w:p w14:paraId="53FF0613" w14:textId="77777777" w:rsidR="00895100" w:rsidRDefault="00895100" w:rsidP="002024EE">
      <w:pPr>
        <w:spacing w:line="360" w:lineRule="auto"/>
        <w:rPr>
          <w:sz w:val="24"/>
          <w:szCs w:val="24"/>
        </w:rPr>
      </w:pPr>
    </w:p>
    <w:p w14:paraId="1355DCA8" w14:textId="73B0782B" w:rsidR="002024EE" w:rsidRPr="002024EE" w:rsidRDefault="002024EE" w:rsidP="002024EE">
      <w:pPr>
        <w:spacing w:line="360" w:lineRule="auto"/>
        <w:rPr>
          <w:sz w:val="24"/>
          <w:szCs w:val="24"/>
        </w:rPr>
      </w:pPr>
      <w:r w:rsidRPr="002024EE">
        <w:rPr>
          <w:sz w:val="24"/>
          <w:szCs w:val="24"/>
        </w:rPr>
        <w:t xml:space="preserve"> </w:t>
      </w:r>
    </w:p>
    <w:p w14:paraId="74AA6D9A" w14:textId="496EC3C0" w:rsidR="00E034B5" w:rsidRDefault="00E034B5" w:rsidP="007F2DC0">
      <w:pPr>
        <w:spacing w:line="360" w:lineRule="auto"/>
        <w:rPr>
          <w:sz w:val="24"/>
          <w:szCs w:val="24"/>
        </w:rPr>
      </w:pPr>
    </w:p>
    <w:p w14:paraId="39587697" w14:textId="77777777" w:rsidR="002E03CA" w:rsidRPr="002024EE" w:rsidRDefault="002E03CA" w:rsidP="007F2DC0">
      <w:pPr>
        <w:spacing w:line="360" w:lineRule="auto"/>
        <w:rPr>
          <w:sz w:val="24"/>
          <w:szCs w:val="24"/>
        </w:rPr>
      </w:pPr>
    </w:p>
    <w:p w14:paraId="493B9EE9" w14:textId="77777777" w:rsidR="00E034B5" w:rsidRPr="00E034B5" w:rsidRDefault="00E034B5" w:rsidP="007F2DC0">
      <w:pPr>
        <w:spacing w:line="360" w:lineRule="auto"/>
        <w:rPr>
          <w:sz w:val="24"/>
        </w:rPr>
      </w:pPr>
    </w:p>
    <w:p w14:paraId="0F4C3520" w14:textId="77777777" w:rsidR="00E034B5" w:rsidRPr="00E034B5" w:rsidRDefault="00E034B5" w:rsidP="007F2DC0">
      <w:pPr>
        <w:spacing w:line="360" w:lineRule="auto"/>
        <w:rPr>
          <w:sz w:val="24"/>
          <w:u w:val="single"/>
        </w:rPr>
      </w:pPr>
      <w:bookmarkStart w:id="3" w:name="_Hlk5592191"/>
      <w:r w:rsidRPr="00E034B5">
        <w:rPr>
          <w:sz w:val="24"/>
          <w:u w:val="single"/>
        </w:rPr>
        <w:lastRenderedPageBreak/>
        <w:t>Self-Feminising:</w:t>
      </w:r>
    </w:p>
    <w:p w14:paraId="799ED65A" w14:textId="6AF6A8A8" w:rsidR="00E034B5" w:rsidRDefault="00E034B5" w:rsidP="007F2DC0">
      <w:pPr>
        <w:spacing w:line="360" w:lineRule="auto"/>
        <w:rPr>
          <w:sz w:val="24"/>
        </w:rPr>
      </w:pPr>
      <w:r w:rsidRPr="00E034B5">
        <w:rPr>
          <w:sz w:val="24"/>
        </w:rPr>
        <w:t>Self-feminising, in a similar way to the rejection of females, focusses on the extremity of an orientation. Historically, to be masculine was to experience sexual desire towards only women,</w:t>
      </w:r>
      <w:r w:rsidRPr="00E034B5">
        <w:rPr>
          <w:rStyle w:val="FootnoteReference"/>
          <w:sz w:val="24"/>
        </w:rPr>
        <w:footnoteReference w:id="116"/>
      </w:r>
      <w:r w:rsidRPr="00E034B5">
        <w:rPr>
          <w:sz w:val="24"/>
        </w:rPr>
        <w:t xml:space="preserve"> and therefore any non-heteronormative man was considered feminine by default.</w:t>
      </w:r>
      <w:r w:rsidRPr="00E034B5">
        <w:rPr>
          <w:rStyle w:val="FootnoteReference"/>
          <w:sz w:val="24"/>
        </w:rPr>
        <w:footnoteReference w:id="117"/>
      </w:r>
      <w:r w:rsidRPr="00E034B5">
        <w:rPr>
          <w:sz w:val="24"/>
        </w:rPr>
        <w:t xml:space="preserve"> This is equivalent to the modern stereotype of ‘camp’ equals homosexual orientation, which is evidently not always the case and cannot be viewed as such. Tinkcom in </w:t>
      </w:r>
      <w:r w:rsidRPr="00E034B5">
        <w:rPr>
          <w:i/>
          <w:sz w:val="24"/>
        </w:rPr>
        <w:t>Working Like a Homosexual</w:t>
      </w:r>
      <w:r w:rsidRPr="00E034B5">
        <w:rPr>
          <w:sz w:val="24"/>
        </w:rPr>
        <w:t xml:space="preserve"> explores the use of “camp style”</w:t>
      </w:r>
      <w:r w:rsidRPr="00E034B5">
        <w:rPr>
          <w:rStyle w:val="FootnoteReference"/>
          <w:sz w:val="24"/>
        </w:rPr>
        <w:footnoteReference w:id="118"/>
      </w:r>
      <w:r w:rsidRPr="00E034B5">
        <w:rPr>
          <w:sz w:val="24"/>
        </w:rPr>
        <w:t xml:space="preserve"> as an alibi for homosexuality, and “takes seriously”</w:t>
      </w:r>
      <w:r w:rsidRPr="00E034B5">
        <w:rPr>
          <w:rStyle w:val="FootnoteReference"/>
          <w:sz w:val="24"/>
        </w:rPr>
        <w:footnoteReference w:id="119"/>
      </w:r>
      <w:r w:rsidRPr="00E034B5">
        <w:rPr>
          <w:sz w:val="24"/>
        </w:rPr>
        <w:t xml:space="preserve"> the impact that being camp has on a philosophical level of homosexuality. Acting in a camp fashion in the modern day associates a person with homosexual culture, due to the overlapping connotations of the two.</w:t>
      </w:r>
      <w:r w:rsidRPr="00E034B5">
        <w:rPr>
          <w:rStyle w:val="FootnoteReference"/>
          <w:sz w:val="24"/>
        </w:rPr>
        <w:footnoteReference w:id="120"/>
      </w:r>
      <w:r w:rsidRPr="00E034B5">
        <w:rPr>
          <w:sz w:val="24"/>
        </w:rPr>
        <w:t xml:space="preserve"> In a similar way, self-feminising links the parties involved to homosexual culture in the seventeenth century. </w:t>
      </w:r>
    </w:p>
    <w:p w14:paraId="3155672A" w14:textId="77777777" w:rsidR="00A676E3" w:rsidRPr="00E034B5" w:rsidRDefault="00A676E3" w:rsidP="007F2DC0">
      <w:pPr>
        <w:spacing w:line="360" w:lineRule="auto"/>
        <w:rPr>
          <w:sz w:val="24"/>
        </w:rPr>
      </w:pPr>
    </w:p>
    <w:p w14:paraId="5D9230B5" w14:textId="4776463D" w:rsidR="00E034B5" w:rsidRDefault="00E034B5" w:rsidP="007F2DC0">
      <w:pPr>
        <w:spacing w:line="360" w:lineRule="auto"/>
        <w:rPr>
          <w:sz w:val="24"/>
        </w:rPr>
      </w:pPr>
      <w:r w:rsidRPr="00E034B5">
        <w:rPr>
          <w:sz w:val="24"/>
        </w:rPr>
        <w:t xml:space="preserve">The act of self-feminising in a historical context is the conscious effort to act in way that is deemed </w:t>
      </w:r>
      <w:r w:rsidR="007C2D3B">
        <w:rPr>
          <w:sz w:val="24"/>
        </w:rPr>
        <w:t xml:space="preserve">stereotypically </w:t>
      </w:r>
      <w:r w:rsidRPr="00E034B5">
        <w:rPr>
          <w:sz w:val="24"/>
        </w:rPr>
        <w:t>feminine, or emasculating. The most evident act of self-feminising in seventeenth century France is crossdressing, usually through men wearing women’s clothing such as dresses, or more subtlety female jewellery or makeup.</w:t>
      </w:r>
      <w:r w:rsidRPr="00E034B5">
        <w:rPr>
          <w:rStyle w:val="FootnoteReference"/>
          <w:sz w:val="24"/>
        </w:rPr>
        <w:footnoteReference w:id="121"/>
      </w:r>
      <w:r w:rsidRPr="00E034B5">
        <w:rPr>
          <w:sz w:val="24"/>
        </w:rPr>
        <w:t xml:space="preserve"> For many contemporary sources, crossdressing</w:t>
      </w:r>
      <w:r w:rsidR="007C2D3B">
        <w:rPr>
          <w:sz w:val="24"/>
        </w:rPr>
        <w:t xml:space="preserve"> </w:t>
      </w:r>
      <w:r w:rsidRPr="00E034B5">
        <w:rPr>
          <w:sz w:val="24"/>
        </w:rPr>
        <w:t>was a public announcement of homosexuality, and the main way of identifying sodomites.</w:t>
      </w:r>
      <w:r w:rsidRPr="00E034B5">
        <w:rPr>
          <w:rStyle w:val="FootnoteReference"/>
          <w:sz w:val="24"/>
        </w:rPr>
        <w:footnoteReference w:id="122"/>
      </w:r>
      <w:r w:rsidRPr="00E034B5">
        <w:rPr>
          <w:sz w:val="24"/>
        </w:rPr>
        <w:t xml:space="preserve"> Some primary sources allude to the two factors, homosexual interest and crossdressing, as being co-</w:t>
      </w:r>
      <w:r w:rsidR="007C2D3B" w:rsidRPr="00E034B5">
        <w:rPr>
          <w:sz w:val="24"/>
        </w:rPr>
        <w:t>dependent</w:t>
      </w:r>
      <w:r w:rsidRPr="00E034B5">
        <w:rPr>
          <w:sz w:val="24"/>
        </w:rPr>
        <w:t>, implying that a person could not be one without the other. The main source which indicates this is Pierre de L’Estoile who, when writing about Henri III, often entwines the concepts of self-feminising and homosexuality. Due to strain in the translations of L’Estoile’s texts, they are most easily and accurately accessed through the work of other historians, who have translated the texts for their own usage.</w:t>
      </w:r>
    </w:p>
    <w:p w14:paraId="6B45791F" w14:textId="77777777" w:rsidR="00A676E3" w:rsidRPr="00E034B5" w:rsidRDefault="00A676E3" w:rsidP="007F2DC0">
      <w:pPr>
        <w:spacing w:line="360" w:lineRule="auto"/>
        <w:rPr>
          <w:sz w:val="24"/>
        </w:rPr>
      </w:pPr>
    </w:p>
    <w:p w14:paraId="3D0BF9BD" w14:textId="75DE8FD6" w:rsidR="00CC37FB" w:rsidRDefault="00E034B5" w:rsidP="007F2DC0">
      <w:pPr>
        <w:spacing w:line="360" w:lineRule="auto"/>
        <w:rPr>
          <w:sz w:val="24"/>
        </w:rPr>
      </w:pPr>
      <w:r w:rsidRPr="00E034B5">
        <w:rPr>
          <w:sz w:val="24"/>
        </w:rPr>
        <w:t xml:space="preserve">Louis XIV’s openly homosexual brother Philippe, Duc d’Orléans, was an avid crossdresser. From his early childhood, Louis and Philippe’s mother, Anne of Austria, would call Philippe </w:t>
      </w:r>
      <w:r w:rsidRPr="00E034B5">
        <w:rPr>
          <w:sz w:val="24"/>
        </w:rPr>
        <w:lastRenderedPageBreak/>
        <w:t>her “little girl” and encouraged the young boy to wear feminine clothing.</w:t>
      </w:r>
      <w:r w:rsidRPr="00E034B5">
        <w:rPr>
          <w:rStyle w:val="FootnoteReference"/>
          <w:sz w:val="24"/>
        </w:rPr>
        <w:footnoteReference w:id="123"/>
      </w:r>
      <w:r w:rsidRPr="00E034B5">
        <w:rPr>
          <w:sz w:val="24"/>
        </w:rPr>
        <w:t xml:space="preserve"> Philippe then led his life fascinated by women’s dresses and adornments and loved wigs, high heels, ribbons and perfumes.</w:t>
      </w:r>
      <w:r w:rsidRPr="00E034B5">
        <w:rPr>
          <w:rStyle w:val="FootnoteReference"/>
          <w:sz w:val="24"/>
        </w:rPr>
        <w:footnoteReference w:id="124"/>
      </w:r>
      <w:r w:rsidRPr="00E034B5">
        <w:rPr>
          <w:sz w:val="24"/>
        </w:rPr>
        <w:t xml:space="preserve"> Decades after his mother’s influence, a member of court asked the Duc de Chartres, the son of Philippe and his second wife Liselotte, if he also engaged in dressing up, his response was “I like it better than Madame does, but not as much as </w:t>
      </w:r>
      <w:bookmarkEnd w:id="1"/>
      <w:bookmarkEnd w:id="3"/>
      <w:r w:rsidRPr="00E034B5">
        <w:rPr>
          <w:sz w:val="24"/>
        </w:rPr>
        <w:t>Monsieur.”</w:t>
      </w:r>
      <w:r w:rsidRPr="00E034B5">
        <w:rPr>
          <w:rStyle w:val="FootnoteReference"/>
          <w:sz w:val="24"/>
        </w:rPr>
        <w:footnoteReference w:id="125"/>
      </w:r>
      <w:r w:rsidRPr="00E034B5">
        <w:rPr>
          <w:sz w:val="24"/>
        </w:rPr>
        <w:t xml:space="preserve"> </w:t>
      </w:r>
      <w:bookmarkEnd w:id="2"/>
    </w:p>
    <w:p w14:paraId="5AD669DD" w14:textId="77777777" w:rsidR="007C2D3B" w:rsidRDefault="007C2D3B" w:rsidP="007F2DC0">
      <w:pPr>
        <w:spacing w:line="360" w:lineRule="auto"/>
        <w:rPr>
          <w:sz w:val="24"/>
        </w:rPr>
      </w:pPr>
    </w:p>
    <w:p w14:paraId="1D553834" w14:textId="25572A5A" w:rsidR="00E034B5" w:rsidRDefault="007C2D3B" w:rsidP="007F2DC0">
      <w:pPr>
        <w:spacing w:line="360" w:lineRule="auto"/>
        <w:rPr>
          <w:sz w:val="24"/>
        </w:rPr>
      </w:pPr>
      <w:r w:rsidRPr="00E034B5">
        <w:rPr>
          <w:noProof/>
          <w:sz w:val="24"/>
        </w:rPr>
        <w:drawing>
          <wp:anchor distT="0" distB="0" distL="114300" distR="114300" simplePos="0" relativeHeight="251660288" behindDoc="0" locked="0" layoutInCell="1" allowOverlap="1" wp14:anchorId="25B82E74" wp14:editId="69943641">
            <wp:simplePos x="0" y="0"/>
            <wp:positionH relativeFrom="margin">
              <wp:align>left</wp:align>
            </wp:positionH>
            <wp:positionV relativeFrom="paragraph">
              <wp:posOffset>6350</wp:posOffset>
            </wp:positionV>
            <wp:extent cx="1900555" cy="221107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8175"/>
                    <a:stretch/>
                  </pic:blipFill>
                  <pic:spPr bwMode="auto">
                    <a:xfrm>
                      <a:off x="0" y="0"/>
                      <a:ext cx="1900555" cy="22110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37FB" w:rsidRPr="00E034B5">
        <w:rPr>
          <w:noProof/>
          <w:sz w:val="24"/>
        </w:rPr>
        <mc:AlternateContent>
          <mc:Choice Requires="wps">
            <w:drawing>
              <wp:anchor distT="45720" distB="45720" distL="114300" distR="114300" simplePos="0" relativeHeight="251661312" behindDoc="0" locked="0" layoutInCell="1" allowOverlap="1" wp14:anchorId="2777EC20" wp14:editId="321C13FF">
                <wp:simplePos x="0" y="0"/>
                <wp:positionH relativeFrom="margin">
                  <wp:align>left</wp:align>
                </wp:positionH>
                <wp:positionV relativeFrom="paragraph">
                  <wp:posOffset>2199005</wp:posOffset>
                </wp:positionV>
                <wp:extent cx="1889760" cy="501650"/>
                <wp:effectExtent l="0" t="0" r="1524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9760" cy="501650"/>
                        </a:xfrm>
                        <a:prstGeom prst="rect">
                          <a:avLst/>
                        </a:prstGeom>
                        <a:solidFill>
                          <a:srgbClr val="FFFFFF"/>
                        </a:solidFill>
                        <a:ln w="9525">
                          <a:solidFill>
                            <a:srgbClr val="000000"/>
                          </a:solidFill>
                          <a:miter lim="800000"/>
                          <a:headEnd/>
                          <a:tailEnd/>
                        </a:ln>
                      </wps:spPr>
                      <wps:txbx>
                        <w:txbxContent>
                          <w:p w14:paraId="033555B5" w14:textId="6866AFE5" w:rsidR="00B1011A" w:rsidRPr="00FB0850" w:rsidRDefault="00B1011A" w:rsidP="00E034B5">
                            <w:pPr>
                              <w:jc w:val="center"/>
                              <w:rPr>
                                <w:sz w:val="16"/>
                                <w:szCs w:val="16"/>
                              </w:rPr>
                            </w:pPr>
                            <w:r w:rsidRPr="00FB0850">
                              <w:rPr>
                                <w:sz w:val="16"/>
                                <w:szCs w:val="16"/>
                              </w:rPr>
                              <w:t xml:space="preserve">Figure </w:t>
                            </w:r>
                            <w:r>
                              <w:rPr>
                                <w:sz w:val="16"/>
                                <w:szCs w:val="16"/>
                              </w:rPr>
                              <w:t>1</w:t>
                            </w:r>
                            <w:r w:rsidRPr="00FB0850">
                              <w:rPr>
                                <w:sz w:val="16"/>
                                <w:szCs w:val="16"/>
                              </w:rPr>
                              <w:t>: Anne of Austria with her sons Louis XIV, King of France</w:t>
                            </w:r>
                            <w:r w:rsidRPr="00FB0850">
                              <w:rPr>
                                <w:color w:val="333333"/>
                                <w:spacing w:val="-6"/>
                                <w:sz w:val="16"/>
                                <w:szCs w:val="16"/>
                                <w:shd w:val="clear" w:color="auto" w:fill="FFFFFF"/>
                              </w:rPr>
                              <w:t xml:space="preserve"> XIV and Philippe Duke d’Orléans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77EC20" id="_x0000_s1027" type="#_x0000_t202" style="position:absolute;margin-left:0;margin-top:173.15pt;width:148.8pt;height:39.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">
                <v:textbox>
                  <w:txbxContent>
                    <w:p w14:paraId="033555B5" w14:textId="6866AFE5" w:rsidR="00B1011A" w:rsidRPr="00FB0850" w:rsidRDefault="00B1011A" w:rsidP="00E034B5">
                      <w:pPr>
                        <w:jc w:val="center"/>
                        <w:rPr>
                          <w:sz w:val="16"/>
                          <w:szCs w:val="16"/>
                        </w:rPr>
                      </w:pPr>
                      <w:r w:rsidRPr="00FB0850">
                        <w:rPr>
                          <w:sz w:val="16"/>
                          <w:szCs w:val="16"/>
                        </w:rPr>
                        <w:t xml:space="preserve">Figure </w:t>
                      </w:r>
                      <w:r>
                        <w:rPr>
                          <w:sz w:val="16"/>
                          <w:szCs w:val="16"/>
                        </w:rPr>
                        <w:t>1</w:t>
                      </w:r>
                      <w:r w:rsidRPr="00FB0850">
                        <w:rPr>
                          <w:sz w:val="16"/>
                          <w:szCs w:val="16"/>
                        </w:rPr>
                        <w:t>: Anne of Austria with her sons Louis XIV, King of France</w:t>
                      </w:r>
                      <w:r w:rsidRPr="00FB0850">
                        <w:rPr>
                          <w:color w:val="333333"/>
                          <w:spacing w:val="-6"/>
                          <w:sz w:val="16"/>
                          <w:szCs w:val="16"/>
                          <w:shd w:val="clear" w:color="auto" w:fill="FFFFFF"/>
                        </w:rPr>
                        <w:t xml:space="preserve"> XIV and Philippe Duke d’Orléans</w:t>
                      </w:r>
                    </w:p>
                  </w:txbxContent>
                </v:textbox>
                <w10:wrap type="square" anchorx="margin"/>
              </v:shape>
            </w:pict>
          </mc:Fallback>
        </mc:AlternateContent>
      </w:r>
      <w:r w:rsidR="00E034B5" w:rsidRPr="00E034B5">
        <w:rPr>
          <w:sz w:val="24"/>
        </w:rPr>
        <w:t>The early crossdressing of Monsieur is evident through official royal portraits</w:t>
      </w:r>
      <w:r>
        <w:rPr>
          <w:sz w:val="24"/>
        </w:rPr>
        <w:t>.</w:t>
      </w:r>
      <w:r w:rsidR="00381AA2">
        <w:rPr>
          <w:rStyle w:val="FootnoteReference"/>
          <w:sz w:val="24"/>
        </w:rPr>
        <w:footnoteReference w:id="126"/>
      </w:r>
      <w:r>
        <w:rPr>
          <w:sz w:val="24"/>
        </w:rPr>
        <w:t xml:space="preserve"> P</w:t>
      </w:r>
      <w:r w:rsidR="00E034B5" w:rsidRPr="00E034B5">
        <w:rPr>
          <w:sz w:val="24"/>
        </w:rPr>
        <w:t xml:space="preserve">ictured in figure </w:t>
      </w:r>
      <w:r>
        <w:rPr>
          <w:sz w:val="24"/>
        </w:rPr>
        <w:t xml:space="preserve">1 </w:t>
      </w:r>
      <w:r w:rsidR="00E034B5" w:rsidRPr="00E034B5">
        <w:rPr>
          <w:sz w:val="24"/>
        </w:rPr>
        <w:t>is a young Philippe with his brother Louis XIV and their mother, Anne of Austria. This portrait is dated to 1646, putting Philippe at six years old, and thought to be by Charles Beaubrun.</w:t>
      </w:r>
      <w:r w:rsidR="00E034B5" w:rsidRPr="00E034B5">
        <w:rPr>
          <w:rStyle w:val="FootnoteReference"/>
          <w:sz w:val="24"/>
        </w:rPr>
        <w:footnoteReference w:id="127"/>
      </w:r>
      <w:r w:rsidR="00E034B5" w:rsidRPr="00E034B5">
        <w:rPr>
          <w:sz w:val="24"/>
        </w:rPr>
        <w:t xml:space="preserve"> This portrait is now kept in the National Museum of Sweden.</w:t>
      </w:r>
      <w:r w:rsidR="00E034B5" w:rsidRPr="00E034B5">
        <w:rPr>
          <w:rStyle w:val="FootnoteReference"/>
          <w:sz w:val="24"/>
        </w:rPr>
        <w:footnoteReference w:id="128"/>
      </w:r>
      <w:r w:rsidR="00CC37FB">
        <w:rPr>
          <w:sz w:val="24"/>
        </w:rPr>
        <w:t xml:space="preserve"> </w:t>
      </w:r>
      <w:r w:rsidR="00E034B5" w:rsidRPr="00E034B5">
        <w:rPr>
          <w:sz w:val="24"/>
        </w:rPr>
        <w:t xml:space="preserve">Children in the seventeenth century were often dressed to mimic the adults around them, consequently young boys wore smaller versions of adult male’s hats, as Louis </w:t>
      </w:r>
      <w:r>
        <w:rPr>
          <w:sz w:val="24"/>
        </w:rPr>
        <w:t xml:space="preserve">(far left) </w:t>
      </w:r>
      <w:r w:rsidR="00E034B5" w:rsidRPr="00E034B5">
        <w:rPr>
          <w:sz w:val="24"/>
        </w:rPr>
        <w:t>is wearing in this portrait.</w:t>
      </w:r>
      <w:r w:rsidR="00E034B5" w:rsidRPr="00E034B5">
        <w:rPr>
          <w:rStyle w:val="FootnoteReference"/>
          <w:sz w:val="24"/>
        </w:rPr>
        <w:footnoteReference w:id="129"/>
      </w:r>
      <w:r w:rsidR="00E034B5" w:rsidRPr="00E034B5">
        <w:rPr>
          <w:sz w:val="24"/>
        </w:rPr>
        <w:t xml:space="preserve"> Young girls however were depicted in bonnets, with their hair often pushed away from their faces, as well as having intricate lace collars and often a smaller version of sham hanging sleeves.</w:t>
      </w:r>
      <w:r w:rsidR="00E034B5" w:rsidRPr="00E034B5">
        <w:rPr>
          <w:rStyle w:val="FootnoteReference"/>
          <w:sz w:val="24"/>
        </w:rPr>
        <w:footnoteReference w:id="130"/>
      </w:r>
      <w:r w:rsidR="00E034B5" w:rsidRPr="00E034B5">
        <w:rPr>
          <w:sz w:val="24"/>
        </w:rPr>
        <w:t xml:space="preserve"> Through this portrait of Louis and Philippe it is evident that Louis’ fashion mimics that of a masculine style, with a shorter hem and a hat, however Philippe’s ensemble looks closer to the fashion of Anne of Austria in this portrait</w:t>
      </w:r>
      <w:r w:rsidR="00315CDE">
        <w:rPr>
          <w:sz w:val="24"/>
        </w:rPr>
        <w:t xml:space="preserve">. </w:t>
      </w:r>
      <w:r w:rsidR="00E034B5" w:rsidRPr="00E034B5">
        <w:rPr>
          <w:sz w:val="24"/>
        </w:rPr>
        <w:t xml:space="preserve">Philippe is depicted without the usual masculine fashions and with a more typically feminine style dress, with a longer hem and sleeve length, less styled shape and hair shaped to copy Anne’s. </w:t>
      </w:r>
    </w:p>
    <w:p w14:paraId="542063FD" w14:textId="77777777" w:rsidR="00A676E3" w:rsidRPr="00E034B5" w:rsidRDefault="00A676E3" w:rsidP="007F2DC0">
      <w:pPr>
        <w:spacing w:line="360" w:lineRule="auto"/>
        <w:rPr>
          <w:sz w:val="24"/>
        </w:rPr>
      </w:pPr>
    </w:p>
    <w:p w14:paraId="6959E068" w14:textId="0913E33A" w:rsidR="00E034B5" w:rsidRDefault="00E034B5" w:rsidP="007F2DC0">
      <w:pPr>
        <w:spacing w:line="360" w:lineRule="auto"/>
        <w:rPr>
          <w:sz w:val="24"/>
        </w:rPr>
      </w:pPr>
      <w:r w:rsidRPr="00E034B5">
        <w:rPr>
          <w:sz w:val="24"/>
        </w:rPr>
        <w:t xml:space="preserve">Henri III, a known sodomite, also openly displayed his homosexuality through his clothing, often being noted to dress in a feminine fashion, especially while keeping the company of </w:t>
      </w:r>
      <w:r w:rsidRPr="00E034B5">
        <w:rPr>
          <w:sz w:val="24"/>
        </w:rPr>
        <w:lastRenderedPageBreak/>
        <w:t>poets and playwriters.</w:t>
      </w:r>
      <w:r w:rsidRPr="00E034B5">
        <w:rPr>
          <w:rStyle w:val="FootnoteReference"/>
          <w:sz w:val="24"/>
        </w:rPr>
        <w:footnoteReference w:id="131"/>
      </w:r>
      <w:r w:rsidRPr="00E034B5">
        <w:rPr>
          <w:sz w:val="24"/>
        </w:rPr>
        <w:t xml:space="preserve"> Pierre de L’Estoile writes Henri</w:t>
      </w:r>
      <w:r w:rsidR="00315CDE">
        <w:rPr>
          <w:sz w:val="24"/>
        </w:rPr>
        <w:t xml:space="preserve"> as being</w:t>
      </w:r>
      <w:r w:rsidRPr="00E034B5">
        <w:rPr>
          <w:sz w:val="24"/>
        </w:rPr>
        <w:t xml:space="preserve"> “dressed as an amazon”,</w:t>
      </w:r>
      <w:r w:rsidRPr="00E034B5">
        <w:rPr>
          <w:rStyle w:val="FootnoteReference"/>
          <w:sz w:val="24"/>
        </w:rPr>
        <w:footnoteReference w:id="132"/>
      </w:r>
      <w:r w:rsidRPr="00E034B5">
        <w:rPr>
          <w:sz w:val="24"/>
        </w:rPr>
        <w:t xml:space="preserve"> </w:t>
      </w:r>
      <w:r w:rsidR="00315CDE">
        <w:rPr>
          <w:sz w:val="24"/>
        </w:rPr>
        <w:t xml:space="preserve"> </w:t>
      </w:r>
      <w:r w:rsidRPr="00E034B5">
        <w:rPr>
          <w:sz w:val="24"/>
        </w:rPr>
        <w:t>also noted by L’Estoile is the king in a “velvet bonnet[s] like the whores in the brothels.”</w:t>
      </w:r>
      <w:r w:rsidRPr="00E034B5">
        <w:rPr>
          <w:rStyle w:val="FootnoteReference"/>
          <w:sz w:val="24"/>
        </w:rPr>
        <w:footnoteReference w:id="133"/>
      </w:r>
      <w:r w:rsidRPr="00E034B5">
        <w:rPr>
          <w:sz w:val="24"/>
        </w:rPr>
        <w:t xml:space="preserve"> Despite these two accounts of crossdressing, L’Estoile as a source of accurate information on Henri III is not assured, as due to L’Estoile’s public distaste for Henri and his frequent role in humiliating and vilifying Henri to his people, his actions as an author are often biased. </w:t>
      </w:r>
    </w:p>
    <w:p w14:paraId="3DA5A4ED" w14:textId="77777777" w:rsidR="00A676E3" w:rsidRPr="00E034B5" w:rsidRDefault="00A676E3" w:rsidP="007F2DC0">
      <w:pPr>
        <w:spacing w:line="360" w:lineRule="auto"/>
        <w:rPr>
          <w:sz w:val="24"/>
        </w:rPr>
      </w:pPr>
    </w:p>
    <w:p w14:paraId="3802D47E" w14:textId="3AB7A5C8" w:rsidR="00E034B5" w:rsidRDefault="00E034B5" w:rsidP="007F2DC0">
      <w:pPr>
        <w:spacing w:line="360" w:lineRule="auto"/>
        <w:rPr>
          <w:sz w:val="24"/>
        </w:rPr>
      </w:pPr>
      <w:r w:rsidRPr="00E034B5">
        <w:rPr>
          <w:sz w:val="24"/>
        </w:rPr>
        <w:t xml:space="preserve">L’Estoile, more regularly than he mentions Henri’s self-feminising, refers to the crossdressing nature of </w:t>
      </w:r>
      <w:r w:rsidRPr="00E034B5">
        <w:rPr>
          <w:i/>
          <w:sz w:val="24"/>
        </w:rPr>
        <w:t>les mignons</w:t>
      </w:r>
      <w:r w:rsidRPr="00E034B5">
        <w:rPr>
          <w:sz w:val="24"/>
        </w:rPr>
        <w:t xml:space="preserve">, Henri surrounded himself with men of all style of dress and adornment, and often </w:t>
      </w:r>
      <w:r w:rsidRPr="00E034B5">
        <w:rPr>
          <w:i/>
          <w:sz w:val="24"/>
        </w:rPr>
        <w:t>les mignons</w:t>
      </w:r>
      <w:r w:rsidRPr="00E034B5">
        <w:rPr>
          <w:sz w:val="24"/>
        </w:rPr>
        <w:t xml:space="preserve"> were noted to wear makeup.</w:t>
      </w:r>
      <w:r w:rsidRPr="00E034B5">
        <w:rPr>
          <w:rStyle w:val="FootnoteReference"/>
          <w:sz w:val="24"/>
        </w:rPr>
        <w:footnoteReference w:id="134"/>
      </w:r>
      <w:r w:rsidRPr="00E034B5">
        <w:rPr>
          <w:sz w:val="24"/>
        </w:rPr>
        <w:t xml:space="preserve"> L’Estoile remarks that les mignons “wear their hair long, curled… with little bonnets”,</w:t>
      </w:r>
      <w:r w:rsidRPr="00E034B5">
        <w:rPr>
          <w:rStyle w:val="FootnoteReference"/>
          <w:sz w:val="24"/>
        </w:rPr>
        <w:footnoteReference w:id="135"/>
      </w:r>
      <w:r w:rsidRPr="00E034B5">
        <w:rPr>
          <w:sz w:val="24"/>
        </w:rPr>
        <w:t xml:space="preserve"> while also mentioning their “violet powders and odiferous scents, which smell up the streets”.</w:t>
      </w:r>
      <w:r w:rsidRPr="00E034B5">
        <w:rPr>
          <w:rStyle w:val="FootnoteReference"/>
          <w:sz w:val="24"/>
        </w:rPr>
        <w:footnoteReference w:id="136"/>
      </w:r>
      <w:r w:rsidRPr="00E034B5">
        <w:rPr>
          <w:sz w:val="24"/>
        </w:rPr>
        <w:t xml:space="preserve">  It is possible that </w:t>
      </w:r>
      <w:r w:rsidRPr="00E034B5">
        <w:rPr>
          <w:i/>
          <w:sz w:val="24"/>
        </w:rPr>
        <w:t>les mignons</w:t>
      </w:r>
      <w:r w:rsidRPr="00E034B5">
        <w:rPr>
          <w:sz w:val="24"/>
        </w:rPr>
        <w:t xml:space="preserve"> were the ones who frequently self-feminised</w:t>
      </w:r>
      <w:r w:rsidR="00315CDE">
        <w:rPr>
          <w:sz w:val="24"/>
        </w:rPr>
        <w:t xml:space="preserve">, not Henri </w:t>
      </w:r>
      <w:r w:rsidRPr="00E034B5">
        <w:rPr>
          <w:sz w:val="24"/>
        </w:rPr>
        <w:t xml:space="preserve">. However, due to the nature of </w:t>
      </w:r>
      <w:r w:rsidRPr="00E034B5">
        <w:rPr>
          <w:i/>
          <w:sz w:val="24"/>
        </w:rPr>
        <w:t xml:space="preserve">les mignons </w:t>
      </w:r>
      <w:r w:rsidRPr="00E034B5">
        <w:rPr>
          <w:sz w:val="24"/>
        </w:rPr>
        <w:t xml:space="preserve">and their role in Henri’s life, </w:t>
      </w:r>
      <w:r w:rsidR="00315CDE">
        <w:rPr>
          <w:sz w:val="24"/>
        </w:rPr>
        <w:t>it is also likely</w:t>
      </w:r>
      <w:r w:rsidRPr="00E034B5">
        <w:rPr>
          <w:sz w:val="24"/>
        </w:rPr>
        <w:t xml:space="preserve"> that </w:t>
      </w:r>
      <w:r w:rsidRPr="00E034B5">
        <w:rPr>
          <w:i/>
          <w:sz w:val="24"/>
        </w:rPr>
        <w:t>les mignons</w:t>
      </w:r>
      <w:r w:rsidRPr="00E034B5">
        <w:rPr>
          <w:sz w:val="24"/>
        </w:rPr>
        <w:t xml:space="preserve"> imitated the King’s style of dress</w:t>
      </w:r>
      <w:r w:rsidRPr="00E034B5">
        <w:rPr>
          <w:rStyle w:val="FootnoteReference"/>
          <w:sz w:val="24"/>
        </w:rPr>
        <w:footnoteReference w:id="137"/>
      </w:r>
      <w:r w:rsidRPr="00E034B5">
        <w:rPr>
          <w:sz w:val="24"/>
        </w:rPr>
        <w:t xml:space="preserve"> and therefore Henri set the example of crossdressing</w:t>
      </w:r>
      <w:r w:rsidR="00315CDE">
        <w:rPr>
          <w:sz w:val="24"/>
        </w:rPr>
        <w:t>.</w:t>
      </w:r>
    </w:p>
    <w:p w14:paraId="4DCA5573" w14:textId="77777777" w:rsidR="00315CDE" w:rsidRPr="00E034B5" w:rsidRDefault="00315CDE" w:rsidP="007F2DC0">
      <w:pPr>
        <w:spacing w:line="360" w:lineRule="auto"/>
        <w:rPr>
          <w:sz w:val="24"/>
        </w:rPr>
      </w:pPr>
    </w:p>
    <w:p w14:paraId="5F9EB007" w14:textId="3FB72422" w:rsidR="00E034B5" w:rsidRDefault="00E034B5" w:rsidP="007F2DC0">
      <w:pPr>
        <w:spacing w:line="360" w:lineRule="auto"/>
        <w:rPr>
          <w:sz w:val="24"/>
        </w:rPr>
      </w:pPr>
      <w:r w:rsidRPr="00E034B5">
        <w:rPr>
          <w:sz w:val="24"/>
        </w:rPr>
        <w:t xml:space="preserve">However, </w:t>
      </w:r>
      <w:r w:rsidR="00315CDE">
        <w:rPr>
          <w:sz w:val="24"/>
        </w:rPr>
        <w:t>crossdressing did not limit men to only feminine tasks</w:t>
      </w:r>
      <w:r w:rsidRPr="00E034B5">
        <w:rPr>
          <w:sz w:val="24"/>
        </w:rPr>
        <w:t>. Despite his evident love for self-feminising, Philippe was also an effective warrior, a stereotypically masculine role in seventeenth century France.</w:t>
      </w:r>
      <w:r w:rsidRPr="00E034B5">
        <w:rPr>
          <w:rStyle w:val="FootnoteReference"/>
          <w:sz w:val="24"/>
        </w:rPr>
        <w:footnoteReference w:id="138"/>
      </w:r>
      <w:r w:rsidRPr="00E034B5">
        <w:rPr>
          <w:sz w:val="24"/>
        </w:rPr>
        <w:t xml:space="preserve"> During the 1677 war with Holland, Philippe was credited for defeating the forces of William of Orange in the Battle of Cassel, a huge honour as a military man.</w:t>
      </w:r>
      <w:r w:rsidRPr="00E034B5">
        <w:rPr>
          <w:rStyle w:val="FootnoteReference"/>
          <w:sz w:val="24"/>
        </w:rPr>
        <w:footnoteReference w:id="139"/>
      </w:r>
      <w:r w:rsidRPr="00E034B5">
        <w:rPr>
          <w:sz w:val="24"/>
        </w:rPr>
        <w:t xml:space="preserve"> Even Saint-Simon, who often sketched the Duke in an outwardly critical light, admitted that Philippe showed “much valour” in his military triumphs.</w:t>
      </w:r>
      <w:r w:rsidRPr="00E034B5">
        <w:rPr>
          <w:rStyle w:val="FootnoteReference"/>
          <w:sz w:val="24"/>
        </w:rPr>
        <w:footnoteReference w:id="140"/>
      </w:r>
      <w:r w:rsidRPr="00E034B5">
        <w:rPr>
          <w:sz w:val="24"/>
        </w:rPr>
        <w:t xml:space="preserve"> </w:t>
      </w:r>
    </w:p>
    <w:p w14:paraId="375ECE1A" w14:textId="77777777" w:rsidR="00A676E3" w:rsidRPr="00E034B5" w:rsidRDefault="00A676E3" w:rsidP="007F2DC0">
      <w:pPr>
        <w:spacing w:line="360" w:lineRule="auto"/>
        <w:rPr>
          <w:sz w:val="24"/>
        </w:rPr>
      </w:pPr>
    </w:p>
    <w:p w14:paraId="65D3D69B" w14:textId="76064E3D" w:rsidR="00E034B5" w:rsidRPr="00E034B5" w:rsidRDefault="00E034B5" w:rsidP="007F2DC0">
      <w:pPr>
        <w:spacing w:line="360" w:lineRule="auto"/>
        <w:rPr>
          <w:sz w:val="24"/>
          <w:u w:val="single"/>
        </w:rPr>
      </w:pPr>
      <w:r w:rsidRPr="00E034B5">
        <w:rPr>
          <w:sz w:val="24"/>
        </w:rPr>
        <w:t xml:space="preserve">Similarly, Philippe’s father Louis XIII also steered away from the self-feminising stereotype in favour of war. Louis was arguably the most openly homosexual of them all, due to his lifelong obsession with homosexual sex and countless male lovers, however, Louis cared </w:t>
      </w:r>
      <w:r w:rsidRPr="00E034B5">
        <w:rPr>
          <w:sz w:val="24"/>
        </w:rPr>
        <w:lastRenderedPageBreak/>
        <w:t>nothing for fashion.</w:t>
      </w:r>
      <w:r w:rsidRPr="00E034B5">
        <w:rPr>
          <w:rStyle w:val="FootnoteReference"/>
          <w:sz w:val="24"/>
        </w:rPr>
        <w:footnoteReference w:id="141"/>
      </w:r>
      <w:r w:rsidRPr="00E034B5">
        <w:rPr>
          <w:sz w:val="24"/>
        </w:rPr>
        <w:t xml:space="preserve"> Louis’ interests did not fall into the stereotypical realms of art</w:t>
      </w:r>
      <w:r w:rsidR="00315CDE">
        <w:rPr>
          <w:sz w:val="24"/>
        </w:rPr>
        <w:t xml:space="preserve">, </w:t>
      </w:r>
      <w:r w:rsidRPr="00E034B5">
        <w:rPr>
          <w:sz w:val="24"/>
        </w:rPr>
        <w:t>literature</w:t>
      </w:r>
      <w:r w:rsidR="00315CDE">
        <w:rPr>
          <w:sz w:val="24"/>
        </w:rPr>
        <w:t xml:space="preserve"> and</w:t>
      </w:r>
      <w:r w:rsidRPr="00E034B5">
        <w:rPr>
          <w:sz w:val="24"/>
        </w:rPr>
        <w:t xml:space="preserve"> feminine clothes, instead he preferred activities of hunting and enjoyed leading his troops through warfare.</w:t>
      </w:r>
      <w:r w:rsidRPr="00E034B5">
        <w:rPr>
          <w:rStyle w:val="FootnoteReference"/>
          <w:sz w:val="24"/>
        </w:rPr>
        <w:footnoteReference w:id="142"/>
      </w:r>
      <w:r w:rsidRPr="00E034B5">
        <w:rPr>
          <w:sz w:val="24"/>
        </w:rPr>
        <w:t xml:space="preserve"> There is no doubt historically regarding Louis’ sexual orientation and therefore his personal interests are evidence against the stereotype of female rejection and self-feminising being entwined. </w:t>
      </w:r>
      <w:r w:rsidR="00315CDE">
        <w:rPr>
          <w:sz w:val="24"/>
        </w:rPr>
        <w:t xml:space="preserve">Therefore, to assume homosexual interest from all crossdressers, or to expect all homosexuals to self-feminise is a stereotype that there is no evidence for and therefore the two, though complimentary, are not always found together.  </w:t>
      </w:r>
    </w:p>
    <w:p w14:paraId="0ADCDEE4" w14:textId="51229BFD" w:rsidR="00E034B5" w:rsidRDefault="00E034B5" w:rsidP="007F2DC0">
      <w:pPr>
        <w:spacing w:line="360" w:lineRule="auto"/>
        <w:rPr>
          <w:sz w:val="24"/>
          <w:u w:val="single"/>
        </w:rPr>
      </w:pPr>
    </w:p>
    <w:p w14:paraId="37C72302" w14:textId="33A69580" w:rsidR="00541710" w:rsidRDefault="00541710" w:rsidP="007F2DC0">
      <w:pPr>
        <w:spacing w:line="360" w:lineRule="auto"/>
        <w:rPr>
          <w:sz w:val="24"/>
          <w:u w:val="single"/>
        </w:rPr>
      </w:pPr>
    </w:p>
    <w:p w14:paraId="18C22C44" w14:textId="6C28DB3B" w:rsidR="00541710" w:rsidRDefault="00541710" w:rsidP="007F2DC0">
      <w:pPr>
        <w:spacing w:line="360" w:lineRule="auto"/>
        <w:rPr>
          <w:sz w:val="24"/>
          <w:u w:val="single"/>
        </w:rPr>
      </w:pPr>
    </w:p>
    <w:p w14:paraId="766F5EEA" w14:textId="29993A35" w:rsidR="00541710" w:rsidRDefault="00541710" w:rsidP="007F2DC0">
      <w:pPr>
        <w:spacing w:line="360" w:lineRule="auto"/>
        <w:rPr>
          <w:sz w:val="24"/>
          <w:u w:val="single"/>
        </w:rPr>
      </w:pPr>
    </w:p>
    <w:p w14:paraId="765ADF30" w14:textId="17312FC6" w:rsidR="00541710" w:rsidRDefault="00541710" w:rsidP="007F2DC0">
      <w:pPr>
        <w:spacing w:line="360" w:lineRule="auto"/>
        <w:rPr>
          <w:sz w:val="24"/>
          <w:u w:val="single"/>
        </w:rPr>
      </w:pPr>
    </w:p>
    <w:p w14:paraId="550271CE" w14:textId="59D4D27D" w:rsidR="00541710" w:rsidRDefault="00541710" w:rsidP="007F2DC0">
      <w:pPr>
        <w:spacing w:line="360" w:lineRule="auto"/>
        <w:rPr>
          <w:sz w:val="24"/>
          <w:u w:val="single"/>
        </w:rPr>
      </w:pPr>
    </w:p>
    <w:p w14:paraId="549BD967" w14:textId="79F03602" w:rsidR="00541710" w:rsidRDefault="00541710" w:rsidP="007F2DC0">
      <w:pPr>
        <w:spacing w:line="360" w:lineRule="auto"/>
        <w:rPr>
          <w:sz w:val="24"/>
          <w:u w:val="single"/>
        </w:rPr>
      </w:pPr>
    </w:p>
    <w:p w14:paraId="0F54D2A8" w14:textId="4422281C" w:rsidR="00541710" w:rsidRDefault="00541710" w:rsidP="007F2DC0">
      <w:pPr>
        <w:spacing w:line="360" w:lineRule="auto"/>
        <w:rPr>
          <w:sz w:val="24"/>
          <w:u w:val="single"/>
        </w:rPr>
      </w:pPr>
    </w:p>
    <w:p w14:paraId="6D699309" w14:textId="063AAA72" w:rsidR="00541710" w:rsidRDefault="00541710" w:rsidP="007F2DC0">
      <w:pPr>
        <w:spacing w:line="360" w:lineRule="auto"/>
        <w:rPr>
          <w:sz w:val="24"/>
          <w:u w:val="single"/>
        </w:rPr>
      </w:pPr>
    </w:p>
    <w:p w14:paraId="13A999BB" w14:textId="6C7B44E4" w:rsidR="00541710" w:rsidRDefault="00541710" w:rsidP="007F2DC0">
      <w:pPr>
        <w:spacing w:line="360" w:lineRule="auto"/>
        <w:rPr>
          <w:sz w:val="24"/>
          <w:u w:val="single"/>
        </w:rPr>
      </w:pPr>
    </w:p>
    <w:p w14:paraId="500ED43D" w14:textId="63F11A46" w:rsidR="00541710" w:rsidRDefault="00541710" w:rsidP="007F2DC0">
      <w:pPr>
        <w:spacing w:line="360" w:lineRule="auto"/>
        <w:rPr>
          <w:sz w:val="24"/>
          <w:u w:val="single"/>
        </w:rPr>
      </w:pPr>
    </w:p>
    <w:p w14:paraId="3389E1C5" w14:textId="4BA72373" w:rsidR="00541710" w:rsidRDefault="00541710" w:rsidP="007F2DC0">
      <w:pPr>
        <w:spacing w:line="360" w:lineRule="auto"/>
        <w:rPr>
          <w:sz w:val="24"/>
          <w:u w:val="single"/>
        </w:rPr>
      </w:pPr>
    </w:p>
    <w:p w14:paraId="6607C74B" w14:textId="53758440" w:rsidR="00541710" w:rsidRDefault="00541710" w:rsidP="007F2DC0">
      <w:pPr>
        <w:spacing w:line="360" w:lineRule="auto"/>
        <w:rPr>
          <w:sz w:val="24"/>
          <w:u w:val="single"/>
        </w:rPr>
      </w:pPr>
    </w:p>
    <w:p w14:paraId="5E5F7CB1" w14:textId="103F6C4B" w:rsidR="00541710" w:rsidRDefault="00541710" w:rsidP="007F2DC0">
      <w:pPr>
        <w:spacing w:line="360" w:lineRule="auto"/>
        <w:rPr>
          <w:sz w:val="24"/>
          <w:u w:val="single"/>
        </w:rPr>
      </w:pPr>
    </w:p>
    <w:p w14:paraId="6C2A327D" w14:textId="29DFDCEC" w:rsidR="00541710" w:rsidRDefault="00541710" w:rsidP="007F2DC0">
      <w:pPr>
        <w:spacing w:line="360" w:lineRule="auto"/>
        <w:rPr>
          <w:sz w:val="24"/>
          <w:u w:val="single"/>
        </w:rPr>
      </w:pPr>
    </w:p>
    <w:p w14:paraId="0C2B18CA" w14:textId="6C62A2B2" w:rsidR="00541710" w:rsidRDefault="00541710" w:rsidP="007F2DC0">
      <w:pPr>
        <w:spacing w:line="360" w:lineRule="auto"/>
        <w:rPr>
          <w:sz w:val="24"/>
          <w:u w:val="single"/>
        </w:rPr>
      </w:pPr>
    </w:p>
    <w:p w14:paraId="1F08720A" w14:textId="220BA85A" w:rsidR="00541710" w:rsidRDefault="00541710" w:rsidP="007F2DC0">
      <w:pPr>
        <w:spacing w:line="360" w:lineRule="auto"/>
        <w:rPr>
          <w:sz w:val="24"/>
          <w:u w:val="single"/>
        </w:rPr>
      </w:pPr>
    </w:p>
    <w:p w14:paraId="34463972" w14:textId="05169F76" w:rsidR="00541710" w:rsidRDefault="00541710" w:rsidP="007F2DC0">
      <w:pPr>
        <w:spacing w:line="360" w:lineRule="auto"/>
        <w:rPr>
          <w:sz w:val="24"/>
          <w:u w:val="single"/>
        </w:rPr>
      </w:pPr>
    </w:p>
    <w:p w14:paraId="4FF02B90" w14:textId="4BC407E8" w:rsidR="00541710" w:rsidRDefault="00541710" w:rsidP="007F2DC0">
      <w:pPr>
        <w:spacing w:line="360" w:lineRule="auto"/>
        <w:rPr>
          <w:sz w:val="24"/>
          <w:u w:val="single"/>
        </w:rPr>
      </w:pPr>
    </w:p>
    <w:p w14:paraId="3A702BE5" w14:textId="7C50B725" w:rsidR="00541710" w:rsidRDefault="00541710" w:rsidP="007F2DC0">
      <w:pPr>
        <w:spacing w:line="360" w:lineRule="auto"/>
        <w:rPr>
          <w:sz w:val="24"/>
          <w:u w:val="single"/>
        </w:rPr>
      </w:pPr>
    </w:p>
    <w:p w14:paraId="3F8F072B" w14:textId="6D12D8DB" w:rsidR="00541710" w:rsidRDefault="00541710" w:rsidP="007F2DC0">
      <w:pPr>
        <w:spacing w:line="360" w:lineRule="auto"/>
        <w:rPr>
          <w:sz w:val="24"/>
          <w:u w:val="single"/>
        </w:rPr>
      </w:pPr>
    </w:p>
    <w:p w14:paraId="07163A68" w14:textId="7ACB4A2C" w:rsidR="00541710" w:rsidRDefault="00541710" w:rsidP="007F2DC0">
      <w:pPr>
        <w:spacing w:line="360" w:lineRule="auto"/>
        <w:rPr>
          <w:sz w:val="24"/>
          <w:u w:val="single"/>
        </w:rPr>
      </w:pPr>
    </w:p>
    <w:p w14:paraId="23B15818" w14:textId="6AF48021" w:rsidR="00541710" w:rsidRDefault="00541710" w:rsidP="007F2DC0">
      <w:pPr>
        <w:spacing w:line="360" w:lineRule="auto"/>
        <w:rPr>
          <w:sz w:val="24"/>
          <w:u w:val="single"/>
        </w:rPr>
      </w:pPr>
    </w:p>
    <w:p w14:paraId="40E46980" w14:textId="15B0228D" w:rsidR="00315CDE" w:rsidRDefault="00315CDE" w:rsidP="007F2DC0">
      <w:pPr>
        <w:spacing w:line="360" w:lineRule="auto"/>
        <w:rPr>
          <w:sz w:val="24"/>
          <w:u w:val="single"/>
        </w:rPr>
      </w:pPr>
    </w:p>
    <w:p w14:paraId="212A46E7" w14:textId="77777777" w:rsidR="00315CDE" w:rsidRPr="00E034B5" w:rsidRDefault="00315CDE" w:rsidP="007F2DC0">
      <w:pPr>
        <w:spacing w:line="360" w:lineRule="auto"/>
        <w:rPr>
          <w:sz w:val="24"/>
          <w:u w:val="single"/>
        </w:rPr>
      </w:pPr>
    </w:p>
    <w:p w14:paraId="5C591CC6" w14:textId="060B8212" w:rsidR="00E034B5" w:rsidRDefault="00E034B5" w:rsidP="00AB7F8E">
      <w:pPr>
        <w:spacing w:line="360" w:lineRule="auto"/>
        <w:jc w:val="center"/>
        <w:rPr>
          <w:b/>
          <w:sz w:val="24"/>
          <w:u w:val="single"/>
        </w:rPr>
      </w:pPr>
      <w:r w:rsidRPr="00E034B5">
        <w:rPr>
          <w:b/>
          <w:sz w:val="24"/>
          <w:u w:val="single"/>
        </w:rPr>
        <w:lastRenderedPageBreak/>
        <w:t>Chapter Four:</w:t>
      </w:r>
      <w:r w:rsidRPr="00E034B5">
        <w:rPr>
          <w:b/>
          <w:i/>
          <w:sz w:val="24"/>
          <w:u w:val="single"/>
        </w:rPr>
        <w:t xml:space="preserve"> </w:t>
      </w:r>
      <w:r w:rsidRPr="00E034B5">
        <w:rPr>
          <w:b/>
          <w:sz w:val="24"/>
          <w:u w:val="single"/>
        </w:rPr>
        <w:t>Pseudohomosexuality.</w:t>
      </w:r>
    </w:p>
    <w:p w14:paraId="0289A03E" w14:textId="77777777" w:rsidR="00AB7F8E" w:rsidRPr="00E034B5" w:rsidRDefault="00AB7F8E" w:rsidP="00AB7F8E">
      <w:pPr>
        <w:spacing w:line="360" w:lineRule="auto"/>
        <w:jc w:val="center"/>
        <w:rPr>
          <w:b/>
          <w:sz w:val="24"/>
          <w:u w:val="single"/>
        </w:rPr>
      </w:pPr>
    </w:p>
    <w:p w14:paraId="61B1CB78" w14:textId="5BCB10FB" w:rsidR="00E034B5" w:rsidRDefault="00E034B5" w:rsidP="007F2DC0">
      <w:pPr>
        <w:spacing w:line="360" w:lineRule="auto"/>
        <w:rPr>
          <w:sz w:val="24"/>
        </w:rPr>
      </w:pPr>
      <w:r w:rsidRPr="00E034B5">
        <w:rPr>
          <w:sz w:val="24"/>
        </w:rPr>
        <w:t xml:space="preserve">Pseudohomosexuality is the act of homoerotic behaviour in order to gain, rather than for any form of personal fulfilment on a romantic or sexual basis. Throughout history, anal penetration has been used to establish </w:t>
      </w:r>
      <w:r w:rsidR="00D13625">
        <w:rPr>
          <w:sz w:val="24"/>
        </w:rPr>
        <w:t>dominance</w:t>
      </w:r>
      <w:r w:rsidRPr="00E034B5">
        <w:rPr>
          <w:sz w:val="24"/>
        </w:rPr>
        <w:t xml:space="preserve"> in a situation between men, as the act of receiving a sexual act </w:t>
      </w:r>
      <w:r w:rsidR="00D13625">
        <w:rPr>
          <w:sz w:val="24"/>
        </w:rPr>
        <w:t>feminise</w:t>
      </w:r>
      <w:r w:rsidRPr="00E034B5">
        <w:rPr>
          <w:sz w:val="24"/>
        </w:rPr>
        <w:t>s the submissive.</w:t>
      </w:r>
      <w:r w:rsidRPr="00E034B5">
        <w:rPr>
          <w:rStyle w:val="FootnoteReference"/>
          <w:sz w:val="24"/>
        </w:rPr>
        <w:footnoteReference w:id="143"/>
      </w:r>
      <w:r w:rsidRPr="00E034B5">
        <w:rPr>
          <w:sz w:val="24"/>
        </w:rPr>
        <w:t xml:space="preserve"> In the animal kingdom, for example, two males will engage in a series of threats until one surrenders, usually by</w:t>
      </w:r>
      <w:r w:rsidR="00D13625">
        <w:rPr>
          <w:sz w:val="24"/>
        </w:rPr>
        <w:t xml:space="preserve"> adopting</w:t>
      </w:r>
      <w:r w:rsidRPr="00E034B5">
        <w:rPr>
          <w:sz w:val="24"/>
        </w:rPr>
        <w:t xml:space="preserve"> </w:t>
      </w:r>
      <w:r w:rsidR="00D13625">
        <w:rPr>
          <w:sz w:val="24"/>
        </w:rPr>
        <w:t xml:space="preserve">female </w:t>
      </w:r>
      <w:r w:rsidRPr="00E034B5">
        <w:rPr>
          <w:sz w:val="24"/>
        </w:rPr>
        <w:t>sexual behaviour.</w:t>
      </w:r>
      <w:r w:rsidRPr="00E034B5">
        <w:rPr>
          <w:rStyle w:val="FootnoteReference"/>
          <w:sz w:val="24"/>
        </w:rPr>
        <w:footnoteReference w:id="144"/>
      </w:r>
      <w:r w:rsidRPr="00E034B5">
        <w:rPr>
          <w:sz w:val="24"/>
        </w:rPr>
        <w:t xml:space="preserve"> For example, baboon males surrender by presenting themselves as a female ready for intercourse, the victorious male will then mount the submissive to show its triumph.</w:t>
      </w:r>
      <w:r w:rsidRPr="00E034B5">
        <w:rPr>
          <w:rStyle w:val="FootnoteReference"/>
          <w:sz w:val="24"/>
        </w:rPr>
        <w:footnoteReference w:id="145"/>
      </w:r>
    </w:p>
    <w:p w14:paraId="1A946DAA" w14:textId="77777777" w:rsidR="00A676E3" w:rsidRPr="00E034B5" w:rsidRDefault="00A676E3" w:rsidP="007F2DC0">
      <w:pPr>
        <w:spacing w:line="360" w:lineRule="auto"/>
        <w:rPr>
          <w:sz w:val="24"/>
        </w:rPr>
      </w:pPr>
    </w:p>
    <w:p w14:paraId="7CD797E0" w14:textId="0A0AB928" w:rsidR="00E034B5" w:rsidRDefault="00E034B5" w:rsidP="007F2DC0">
      <w:pPr>
        <w:spacing w:line="360" w:lineRule="auto"/>
        <w:rPr>
          <w:sz w:val="24"/>
        </w:rPr>
      </w:pPr>
      <w:r w:rsidRPr="00E034B5">
        <w:rPr>
          <w:sz w:val="24"/>
        </w:rPr>
        <w:t xml:space="preserve">In humans, the label of homosexuality was found to </w:t>
      </w:r>
      <w:r w:rsidR="00D13625">
        <w:rPr>
          <w:sz w:val="24"/>
        </w:rPr>
        <w:t xml:space="preserve">also </w:t>
      </w:r>
      <w:r w:rsidRPr="00E034B5">
        <w:rPr>
          <w:sz w:val="24"/>
        </w:rPr>
        <w:t>disguise nonsexual forms of homoerotic acts, such as sexual acts that were used for dependency, domination, competition and aggression.</w:t>
      </w:r>
      <w:r w:rsidRPr="00E034B5">
        <w:rPr>
          <w:rStyle w:val="FootnoteReference"/>
          <w:sz w:val="24"/>
        </w:rPr>
        <w:footnoteReference w:id="146"/>
      </w:r>
      <w:r w:rsidRPr="00E034B5">
        <w:rPr>
          <w:sz w:val="24"/>
        </w:rPr>
        <w:t xml:space="preserve"> Sexual acts can be divided into three motivations: sex, dependency and power,</w:t>
      </w:r>
      <w:r w:rsidRPr="00E034B5">
        <w:rPr>
          <w:rStyle w:val="FootnoteReference"/>
          <w:sz w:val="24"/>
        </w:rPr>
        <w:footnoteReference w:id="147"/>
      </w:r>
      <w:r w:rsidRPr="00E034B5">
        <w:rPr>
          <w:sz w:val="24"/>
        </w:rPr>
        <w:t xml:space="preserve"> out of these three only acts with the motivation of sex can be considered true homosexual acts as they require the basis of attraction. Sexual acts with the motivation of dependency or power</w:t>
      </w:r>
      <w:r w:rsidR="00D13625">
        <w:rPr>
          <w:sz w:val="24"/>
        </w:rPr>
        <w:t>,</w:t>
      </w:r>
      <w:r w:rsidRPr="00E034B5">
        <w:rPr>
          <w:sz w:val="24"/>
        </w:rPr>
        <w:t xml:space="preserve"> however</w:t>
      </w:r>
      <w:r w:rsidR="00D13625">
        <w:rPr>
          <w:sz w:val="24"/>
        </w:rPr>
        <w:t>,</w:t>
      </w:r>
      <w:r w:rsidRPr="00E034B5">
        <w:rPr>
          <w:sz w:val="24"/>
        </w:rPr>
        <w:t xml:space="preserve"> are not rooted in genuine sexual orientation and therefore any homoerotic acts under these motivations are not true acts of homosexual </w:t>
      </w:r>
      <w:r w:rsidR="00D13625">
        <w:rPr>
          <w:sz w:val="24"/>
        </w:rPr>
        <w:t>intent</w:t>
      </w:r>
      <w:r w:rsidRPr="00E034B5">
        <w:rPr>
          <w:sz w:val="24"/>
        </w:rPr>
        <w:t xml:space="preserve">, leading to the coining of the term pseudohomosexuality. </w:t>
      </w:r>
    </w:p>
    <w:p w14:paraId="6606D60F" w14:textId="77777777" w:rsidR="00A676E3" w:rsidRPr="00E034B5" w:rsidRDefault="00A676E3" w:rsidP="007F2DC0">
      <w:pPr>
        <w:spacing w:line="360" w:lineRule="auto"/>
        <w:rPr>
          <w:sz w:val="24"/>
        </w:rPr>
      </w:pPr>
    </w:p>
    <w:p w14:paraId="75EA720B" w14:textId="65D15C8A" w:rsidR="00E034B5" w:rsidRDefault="00E034B5" w:rsidP="007F2DC0">
      <w:pPr>
        <w:spacing w:line="360" w:lineRule="auto"/>
        <w:rPr>
          <w:sz w:val="24"/>
        </w:rPr>
      </w:pPr>
      <w:r w:rsidRPr="00E034B5">
        <w:rPr>
          <w:sz w:val="24"/>
        </w:rPr>
        <w:t>Though there is evidence to suggest that the Chevalier de Lorraine loved his lifelong lover Philippe, Duke d’Orléans, the possibility of the Chevalier being a pseudohomosexual cannot be ruled out. With the lack of evidence of homosexual orientation throughout Louis XIV’s reign due to Louis’ anti-sodomy laws, there is no conclusive evidence to depict the Chevalier as either a pseudohomosexual or genuine homosexual.</w:t>
      </w:r>
      <w:r w:rsidRPr="00E034B5">
        <w:rPr>
          <w:rStyle w:val="FootnoteReference"/>
          <w:sz w:val="24"/>
        </w:rPr>
        <w:footnoteReference w:id="148"/>
      </w:r>
      <w:r w:rsidRPr="00E034B5">
        <w:rPr>
          <w:sz w:val="24"/>
        </w:rPr>
        <w:t xml:space="preserve"> Monsieur and the Chevalier’s relationship lasted for over thirty years, and saw Monsieur through two marriages and multiple children, suggesting a relationship rooted in genuine love for one another.</w:t>
      </w:r>
      <w:r w:rsidRPr="00E034B5">
        <w:rPr>
          <w:rStyle w:val="FootnoteReference"/>
          <w:sz w:val="24"/>
        </w:rPr>
        <w:footnoteReference w:id="149"/>
      </w:r>
      <w:r w:rsidRPr="00E034B5">
        <w:rPr>
          <w:sz w:val="24"/>
        </w:rPr>
        <w:t xml:space="preserve"> </w:t>
      </w:r>
      <w:r w:rsidRPr="00E034B5">
        <w:rPr>
          <w:sz w:val="24"/>
        </w:rPr>
        <w:lastRenderedPageBreak/>
        <w:t xml:space="preserve">However, there are three different ways in which the Chevalier gained from his relationship with Monsieur, whether these were unintentional perks or the Chevalier’s main goal from his relationship with </w:t>
      </w:r>
      <w:r w:rsidR="00B1011A">
        <w:rPr>
          <w:sz w:val="24"/>
        </w:rPr>
        <w:t>Monsieur</w:t>
      </w:r>
      <w:r w:rsidRPr="00E034B5">
        <w:rPr>
          <w:sz w:val="24"/>
        </w:rPr>
        <w:t xml:space="preserve"> is inconclusive. </w:t>
      </w:r>
    </w:p>
    <w:p w14:paraId="7F1EBE1F" w14:textId="77777777" w:rsidR="00A676E3" w:rsidRPr="00E034B5" w:rsidRDefault="00A676E3" w:rsidP="007F2DC0">
      <w:pPr>
        <w:spacing w:line="360" w:lineRule="auto"/>
        <w:rPr>
          <w:sz w:val="24"/>
        </w:rPr>
      </w:pPr>
    </w:p>
    <w:p w14:paraId="3E2611FF" w14:textId="61CCE76E" w:rsidR="00E034B5" w:rsidRDefault="00B1011A" w:rsidP="007F2DC0">
      <w:pPr>
        <w:spacing w:line="360" w:lineRule="auto"/>
        <w:rPr>
          <w:sz w:val="24"/>
        </w:rPr>
      </w:pPr>
      <w:r>
        <w:rPr>
          <w:sz w:val="24"/>
        </w:rPr>
        <w:t>Firstly,</w:t>
      </w:r>
      <w:r w:rsidR="00E034B5" w:rsidRPr="00E034B5">
        <w:rPr>
          <w:sz w:val="24"/>
        </w:rPr>
        <w:t xml:space="preserve"> the Chevalier gained financially</w:t>
      </w:r>
      <w:r>
        <w:rPr>
          <w:sz w:val="24"/>
        </w:rPr>
        <w:t xml:space="preserve"> through his relationship with Monsieur</w:t>
      </w:r>
      <w:r w:rsidR="00E034B5" w:rsidRPr="00E034B5">
        <w:rPr>
          <w:sz w:val="24"/>
        </w:rPr>
        <w:t>. Monsieur was known to buy the Chevalier a multitude of gifts, as well as paying him a yearly income and securing him a pension from the King.</w:t>
      </w:r>
      <w:r w:rsidR="00E034B5" w:rsidRPr="00E034B5">
        <w:rPr>
          <w:rStyle w:val="FootnoteReference"/>
          <w:sz w:val="24"/>
        </w:rPr>
        <w:footnoteReference w:id="150"/>
      </w:r>
      <w:r w:rsidR="00E034B5" w:rsidRPr="00E034B5">
        <w:rPr>
          <w:sz w:val="24"/>
        </w:rPr>
        <w:t xml:space="preserve"> At the time of the Chevalier’s death in 1702, Liselotte put his annual income at around 100,000 </w:t>
      </w:r>
      <w:r w:rsidR="00E034B5" w:rsidRPr="00E034B5">
        <w:rPr>
          <w:rFonts w:cstheme="minorHAnsi"/>
          <w:sz w:val="24"/>
        </w:rPr>
        <w:t>é</w:t>
      </w:r>
      <w:r w:rsidR="00E034B5" w:rsidRPr="00E034B5">
        <w:rPr>
          <w:sz w:val="24"/>
        </w:rPr>
        <w:t xml:space="preserve">cus, </w:t>
      </w:r>
      <w:r w:rsidR="00D749DE">
        <w:rPr>
          <w:sz w:val="24"/>
        </w:rPr>
        <w:t>roughly £75,000 to modern collectors</w:t>
      </w:r>
      <w:r w:rsidR="00E034B5" w:rsidRPr="00E034B5">
        <w:rPr>
          <w:sz w:val="24"/>
        </w:rPr>
        <w:t>.</w:t>
      </w:r>
      <w:r w:rsidR="00E034B5" w:rsidRPr="00E034B5">
        <w:rPr>
          <w:rStyle w:val="FootnoteReference"/>
          <w:sz w:val="24"/>
        </w:rPr>
        <w:footnoteReference w:id="151"/>
      </w:r>
      <w:r w:rsidR="00E034B5" w:rsidRPr="00E034B5">
        <w:rPr>
          <w:sz w:val="24"/>
        </w:rPr>
        <w:t xml:space="preserve"> It is possible that Liselotte exaggerated th</w:t>
      </w:r>
      <w:r w:rsidR="00D749DE">
        <w:rPr>
          <w:sz w:val="24"/>
        </w:rPr>
        <w:t xml:space="preserve">is </w:t>
      </w:r>
      <w:r w:rsidR="00E034B5" w:rsidRPr="00E034B5">
        <w:rPr>
          <w:sz w:val="24"/>
        </w:rPr>
        <w:t xml:space="preserve">amount, as she was prone to slandering the Chevalier, however despite the accuracy of Liselotte’s calculations, the increase in wealth seen in the case of the Chevalier </w:t>
      </w:r>
      <w:r w:rsidR="00D749DE">
        <w:rPr>
          <w:sz w:val="24"/>
        </w:rPr>
        <w:t>is</w:t>
      </w:r>
      <w:r w:rsidR="00E034B5" w:rsidRPr="00E034B5">
        <w:rPr>
          <w:sz w:val="24"/>
        </w:rPr>
        <w:t xml:space="preserve"> undeniable.</w:t>
      </w:r>
      <w:r w:rsidR="00E034B5" w:rsidRPr="00E034B5">
        <w:rPr>
          <w:rStyle w:val="FootnoteReference"/>
          <w:sz w:val="24"/>
        </w:rPr>
        <w:footnoteReference w:id="152"/>
      </w:r>
    </w:p>
    <w:p w14:paraId="4F6C68A3" w14:textId="77777777" w:rsidR="00A676E3" w:rsidRPr="00E034B5" w:rsidRDefault="00A676E3" w:rsidP="007F2DC0">
      <w:pPr>
        <w:spacing w:line="360" w:lineRule="auto"/>
        <w:rPr>
          <w:sz w:val="24"/>
        </w:rPr>
      </w:pPr>
    </w:p>
    <w:p w14:paraId="558D432B" w14:textId="05785C31" w:rsidR="00E034B5" w:rsidRDefault="00E034B5" w:rsidP="007F2DC0">
      <w:pPr>
        <w:spacing w:line="360" w:lineRule="auto"/>
        <w:rPr>
          <w:sz w:val="24"/>
        </w:rPr>
      </w:pPr>
      <w:r w:rsidRPr="00E034B5">
        <w:rPr>
          <w:sz w:val="24"/>
        </w:rPr>
        <w:t xml:space="preserve">Another way in which the Chevalier gained through his relationship with Monsieur is through the persuasion he had at court due to his status as Monsieur’s lover. Liselotte in her letters often writes </w:t>
      </w:r>
      <w:r w:rsidR="00D749DE">
        <w:rPr>
          <w:sz w:val="24"/>
        </w:rPr>
        <w:t>that</w:t>
      </w:r>
      <w:r w:rsidRPr="00E034B5">
        <w:rPr>
          <w:sz w:val="24"/>
        </w:rPr>
        <w:t xml:space="preserve"> the Chevalier has </w:t>
      </w:r>
      <w:r w:rsidR="00D749DE">
        <w:rPr>
          <w:sz w:val="24"/>
        </w:rPr>
        <w:t>power over her</w:t>
      </w:r>
      <w:r w:rsidRPr="00E034B5">
        <w:rPr>
          <w:sz w:val="24"/>
        </w:rPr>
        <w:t>, and later, her children. She writes that “the Chevalier… [has] far too much power over my affairs.”</w:t>
      </w:r>
      <w:r w:rsidRPr="00E034B5">
        <w:rPr>
          <w:rStyle w:val="FootnoteReference"/>
          <w:sz w:val="24"/>
        </w:rPr>
        <w:footnoteReference w:id="153"/>
      </w:r>
      <w:r w:rsidRPr="00E034B5">
        <w:rPr>
          <w:sz w:val="24"/>
        </w:rPr>
        <w:t xml:space="preserve"> Liselotte also believed that the Chevalier tried to poison her, using poison given to him by Madame </w:t>
      </w:r>
      <w:proofErr w:type="spellStart"/>
      <w:r w:rsidRPr="00E034B5">
        <w:rPr>
          <w:sz w:val="24"/>
        </w:rPr>
        <w:t>d’Effiat</w:t>
      </w:r>
      <w:proofErr w:type="spellEnd"/>
      <w:r w:rsidRPr="00E034B5">
        <w:rPr>
          <w:sz w:val="24"/>
        </w:rPr>
        <w:t>.</w:t>
      </w:r>
      <w:r w:rsidRPr="00E034B5">
        <w:rPr>
          <w:rStyle w:val="FootnoteReference"/>
          <w:sz w:val="24"/>
        </w:rPr>
        <w:footnoteReference w:id="154"/>
      </w:r>
      <w:r w:rsidRPr="00E034B5">
        <w:rPr>
          <w:sz w:val="24"/>
        </w:rPr>
        <w:t xml:space="preserve"> It is evident that Monsieur cared deeply for the opinion of the Chevalier, and took his judgement into account, therefore presenting the theory of the Chevalier gaining through his relationship with Monsieur.</w:t>
      </w:r>
    </w:p>
    <w:p w14:paraId="7CCD0078" w14:textId="77777777" w:rsidR="00A676E3" w:rsidRPr="00E034B5" w:rsidRDefault="00A676E3" w:rsidP="007F2DC0">
      <w:pPr>
        <w:spacing w:line="360" w:lineRule="auto"/>
        <w:rPr>
          <w:sz w:val="24"/>
        </w:rPr>
      </w:pPr>
    </w:p>
    <w:p w14:paraId="2756B92A" w14:textId="757583A3" w:rsidR="00E034B5" w:rsidRDefault="00E034B5" w:rsidP="007F2DC0">
      <w:pPr>
        <w:spacing w:line="360" w:lineRule="auto"/>
        <w:rPr>
          <w:sz w:val="24"/>
        </w:rPr>
      </w:pPr>
      <w:r w:rsidRPr="00E034B5">
        <w:rPr>
          <w:sz w:val="24"/>
        </w:rPr>
        <w:t>The final way in which the Chevalier gained through his long-term relationship with Monsieur is the leniency he received from the King. Despite Louis XIV’s hatred for sodomites and anyone who engaged in homoerotic activity, there were a few known homosexuals who when unpunished for their crimes.</w:t>
      </w:r>
      <w:r w:rsidRPr="00E034B5">
        <w:rPr>
          <w:rStyle w:val="FootnoteReference"/>
          <w:sz w:val="24"/>
        </w:rPr>
        <w:footnoteReference w:id="155"/>
      </w:r>
      <w:r w:rsidRPr="00E034B5">
        <w:rPr>
          <w:sz w:val="24"/>
        </w:rPr>
        <w:t xml:space="preserve"> The main person to receive such leniency was the King’s brother Philippe, and by association the Chevalier de Lorraine also </w:t>
      </w:r>
      <w:r w:rsidRPr="00E034B5">
        <w:rPr>
          <w:sz w:val="24"/>
        </w:rPr>
        <w:lastRenderedPageBreak/>
        <w:t>saw the merciful side to the Sun King.</w:t>
      </w:r>
      <w:r w:rsidRPr="00E034B5">
        <w:rPr>
          <w:rStyle w:val="FootnoteReference"/>
          <w:sz w:val="24"/>
        </w:rPr>
        <w:footnoteReference w:id="156"/>
      </w:r>
      <w:r w:rsidRPr="00E034B5">
        <w:rPr>
          <w:sz w:val="24"/>
        </w:rPr>
        <w:t xml:space="preserve"> The Chevalier did at times receive punishment for his more extreme crimes, such as when he was found to be associated with </w:t>
      </w:r>
      <w:r w:rsidRPr="00E034B5">
        <w:rPr>
          <w:i/>
          <w:sz w:val="24"/>
        </w:rPr>
        <w:t>La Sainte Congregation des Glorieux Pederasts</w:t>
      </w:r>
      <w:r w:rsidRPr="00E034B5">
        <w:rPr>
          <w:sz w:val="24"/>
        </w:rPr>
        <w:t>. However due to Monsieur’s love for him, the King never saw him punished for long.</w:t>
      </w:r>
      <w:r w:rsidRPr="00E034B5">
        <w:rPr>
          <w:rStyle w:val="FootnoteReference"/>
          <w:sz w:val="24"/>
        </w:rPr>
        <w:footnoteReference w:id="157"/>
      </w:r>
      <w:r w:rsidRPr="00E034B5">
        <w:rPr>
          <w:sz w:val="24"/>
        </w:rPr>
        <w:t xml:space="preserve"> Liselotte wrote to her friend, the Duchess of Hanover, that “the King treats… the Chevalier de Lorraine with so much favour”.</w:t>
      </w:r>
      <w:r w:rsidRPr="00E034B5">
        <w:rPr>
          <w:rStyle w:val="FootnoteReference"/>
          <w:sz w:val="24"/>
        </w:rPr>
        <w:footnoteReference w:id="158"/>
      </w:r>
    </w:p>
    <w:p w14:paraId="660AE29D" w14:textId="77777777" w:rsidR="00A676E3" w:rsidRPr="00E034B5" w:rsidRDefault="00A676E3" w:rsidP="007F2DC0">
      <w:pPr>
        <w:spacing w:line="360" w:lineRule="auto"/>
        <w:rPr>
          <w:sz w:val="24"/>
        </w:rPr>
      </w:pPr>
    </w:p>
    <w:p w14:paraId="450A535A" w14:textId="7FE8D142" w:rsidR="00E034B5" w:rsidRDefault="00E034B5" w:rsidP="007F2DC0">
      <w:pPr>
        <w:spacing w:line="360" w:lineRule="auto"/>
        <w:rPr>
          <w:sz w:val="24"/>
        </w:rPr>
      </w:pPr>
      <w:r w:rsidRPr="00E034B5">
        <w:rPr>
          <w:sz w:val="24"/>
        </w:rPr>
        <w:t xml:space="preserve">Evidently, there was much to gain from a sexual relationship with the King’s only sibling, and the Chevalier received a luxurious life. </w:t>
      </w:r>
      <w:r w:rsidR="00D749DE" w:rsidRPr="00E034B5">
        <w:rPr>
          <w:sz w:val="24"/>
        </w:rPr>
        <w:t>However,</w:t>
      </w:r>
      <w:r w:rsidRPr="00E034B5">
        <w:rPr>
          <w:sz w:val="24"/>
        </w:rPr>
        <w:t xml:space="preserve"> to be in such a relationship with Monsieur, the Chevalier had to renounce the graces </w:t>
      </w:r>
      <w:r w:rsidR="00D749DE">
        <w:rPr>
          <w:sz w:val="24"/>
        </w:rPr>
        <w:t>of</w:t>
      </w:r>
      <w:r w:rsidRPr="00E034B5">
        <w:rPr>
          <w:sz w:val="24"/>
        </w:rPr>
        <w:t xml:space="preserve"> his family name and status,</w:t>
      </w:r>
      <w:r w:rsidRPr="00E034B5">
        <w:rPr>
          <w:rStyle w:val="FootnoteReference"/>
          <w:sz w:val="24"/>
        </w:rPr>
        <w:footnoteReference w:id="159"/>
      </w:r>
      <w:r w:rsidRPr="00E034B5">
        <w:rPr>
          <w:sz w:val="24"/>
        </w:rPr>
        <w:t xml:space="preserve"> therefore presenting a complex situation that led to gains and losses on the Chevalier’s part. The Chevalier de Lorraine remained a central part of Monsieur’s life for many years and therefore the dedication the Chevalier had towards Monsieur cannot go unnoticed. Due to the longevity of the relationship between Monsieur and the Chevalier it is difficult to view in a negative fashion as</w:t>
      </w:r>
      <w:r w:rsidR="00D749DE">
        <w:rPr>
          <w:sz w:val="24"/>
        </w:rPr>
        <w:t xml:space="preserve"> the Chevalier</w:t>
      </w:r>
      <w:r w:rsidRPr="00E034B5">
        <w:rPr>
          <w:sz w:val="24"/>
        </w:rPr>
        <w:t xml:space="preserve"> </w:t>
      </w:r>
      <w:r w:rsidR="00D749DE">
        <w:rPr>
          <w:sz w:val="24"/>
        </w:rPr>
        <w:t>“</w:t>
      </w:r>
      <w:r w:rsidRPr="00E034B5">
        <w:rPr>
          <w:sz w:val="24"/>
        </w:rPr>
        <w:t>remained all of</w:t>
      </w:r>
      <w:r w:rsidR="00D749DE">
        <w:rPr>
          <w:sz w:val="24"/>
        </w:rPr>
        <w:t xml:space="preserve"> [Monsieur’s]</w:t>
      </w:r>
      <w:r w:rsidRPr="00E034B5">
        <w:rPr>
          <w:sz w:val="24"/>
        </w:rPr>
        <w:t xml:space="preserve"> life.”</w:t>
      </w:r>
      <w:r w:rsidRPr="00E034B5">
        <w:rPr>
          <w:rStyle w:val="FootnoteReference"/>
          <w:sz w:val="24"/>
        </w:rPr>
        <w:footnoteReference w:id="160"/>
      </w:r>
    </w:p>
    <w:p w14:paraId="2643AFEF" w14:textId="77777777" w:rsidR="00A676E3" w:rsidRPr="00E034B5" w:rsidRDefault="00A676E3" w:rsidP="007F2DC0">
      <w:pPr>
        <w:spacing w:line="360" w:lineRule="auto"/>
        <w:rPr>
          <w:sz w:val="24"/>
        </w:rPr>
      </w:pPr>
    </w:p>
    <w:p w14:paraId="01A43CA2" w14:textId="77777777" w:rsidR="00D749DE" w:rsidRDefault="00E034B5" w:rsidP="007F2DC0">
      <w:pPr>
        <w:spacing w:line="360" w:lineRule="auto"/>
        <w:rPr>
          <w:sz w:val="24"/>
        </w:rPr>
      </w:pPr>
      <w:r w:rsidRPr="00E034B5">
        <w:rPr>
          <w:sz w:val="24"/>
        </w:rPr>
        <w:t xml:space="preserve">Contrasting this, pseudohomosexuality in the reign of Louis XIII presents itself in a different form than in the other time periods, as it was not the sexual partners that used homoerotic acts to gain, but rather Cardinal Richelieu, an advisor of Louis XIII, used the King’s sexual partners for his </w:t>
      </w:r>
      <w:r w:rsidR="00D749DE">
        <w:rPr>
          <w:sz w:val="24"/>
        </w:rPr>
        <w:t>own</w:t>
      </w:r>
      <w:r w:rsidRPr="00E034B5">
        <w:rPr>
          <w:sz w:val="24"/>
        </w:rPr>
        <w:t xml:space="preserve"> gain. Towards the end of Louis’ life, Richelieu strategically chose the lover</w:t>
      </w:r>
      <w:r w:rsidR="00D749DE">
        <w:rPr>
          <w:sz w:val="24"/>
        </w:rPr>
        <w:t>s</w:t>
      </w:r>
      <w:r w:rsidRPr="00E034B5">
        <w:rPr>
          <w:sz w:val="24"/>
        </w:rPr>
        <w:t xml:space="preserve"> Louis would take and orchestrated their meeting and relationship.</w:t>
      </w:r>
      <w:r w:rsidRPr="00E034B5">
        <w:rPr>
          <w:rStyle w:val="FootnoteReference"/>
          <w:sz w:val="24"/>
        </w:rPr>
        <w:footnoteReference w:id="161"/>
      </w:r>
      <w:r w:rsidRPr="00E034B5">
        <w:rPr>
          <w:sz w:val="24"/>
        </w:rPr>
        <w:t xml:space="preserve"> Richelieu was appointed by Louis as the chief adviser in 1624, and with Richelieu’s help, Louis managed to keep his rule over a growingly tiresome nobility, Louis therefore trusted Richelieu with every aspect of his life, including his relationships.</w:t>
      </w:r>
      <w:r w:rsidRPr="00E034B5">
        <w:rPr>
          <w:rStyle w:val="FootnoteReference"/>
          <w:sz w:val="24"/>
        </w:rPr>
        <w:footnoteReference w:id="162"/>
      </w:r>
      <w:r w:rsidRPr="00E034B5">
        <w:rPr>
          <w:sz w:val="24"/>
        </w:rPr>
        <w:t xml:space="preserve"> Richelieu did not care for Louis’ orientation, instead only cared for whether his relations were politically innocuous and therefore Richelieu chose lover</w:t>
      </w:r>
      <w:r w:rsidR="00D749DE">
        <w:rPr>
          <w:sz w:val="24"/>
        </w:rPr>
        <w:t>s</w:t>
      </w:r>
      <w:r w:rsidRPr="00E034B5">
        <w:rPr>
          <w:sz w:val="24"/>
        </w:rPr>
        <w:t xml:space="preserve"> for Louis that he believed would be beneficial</w:t>
      </w:r>
      <w:r w:rsidR="00D749DE">
        <w:rPr>
          <w:sz w:val="24"/>
        </w:rPr>
        <w:t xml:space="preserve"> </w:t>
      </w:r>
      <w:r w:rsidRPr="00E034B5">
        <w:rPr>
          <w:sz w:val="24"/>
        </w:rPr>
        <w:t>to France and its political alliances in the time of religious wars.</w:t>
      </w:r>
      <w:r w:rsidRPr="00E034B5">
        <w:rPr>
          <w:rStyle w:val="FootnoteReference"/>
          <w:sz w:val="24"/>
        </w:rPr>
        <w:footnoteReference w:id="163"/>
      </w:r>
      <w:r w:rsidRPr="00E034B5">
        <w:rPr>
          <w:sz w:val="24"/>
        </w:rPr>
        <w:t xml:space="preserve"> </w:t>
      </w:r>
    </w:p>
    <w:p w14:paraId="205F8558" w14:textId="14B6C535" w:rsidR="00E034B5" w:rsidRDefault="00E034B5" w:rsidP="007F2DC0">
      <w:pPr>
        <w:spacing w:line="360" w:lineRule="auto"/>
        <w:rPr>
          <w:sz w:val="24"/>
        </w:rPr>
      </w:pPr>
      <w:r w:rsidRPr="00E034B5">
        <w:rPr>
          <w:sz w:val="24"/>
        </w:rPr>
        <w:lastRenderedPageBreak/>
        <w:t>In the case of Saint-Simon, a man Louis loved for over ten years, Richelieu had him banished after finding out Saint-Simon was associating with some of his enemies, despite the fact that these enemies did not affect Louis, or his position in court.</w:t>
      </w:r>
      <w:r w:rsidRPr="00E034B5">
        <w:rPr>
          <w:rStyle w:val="FootnoteReference"/>
          <w:sz w:val="24"/>
        </w:rPr>
        <w:footnoteReference w:id="164"/>
      </w:r>
      <w:r w:rsidRPr="00E034B5">
        <w:rPr>
          <w:sz w:val="24"/>
        </w:rPr>
        <w:t xml:space="preserve"> Later in his life, Richelieu found the Marquis de Cinq-Mars, a handsome, spoiled aristocrat and constructed Cinq-Mars and Louis’ meeting and subsequent relationship. Cinq-Mars lifted Louis out of the depressive state he had found himself in and the two engaged in a passionate relationship filled with quarrels.</w:t>
      </w:r>
      <w:r w:rsidRPr="00E034B5">
        <w:rPr>
          <w:rStyle w:val="FootnoteReference"/>
          <w:sz w:val="24"/>
        </w:rPr>
        <w:footnoteReference w:id="165"/>
      </w:r>
      <w:r w:rsidRPr="00E034B5">
        <w:rPr>
          <w:sz w:val="24"/>
        </w:rPr>
        <w:t xml:space="preserve"> Cinq-Mars’ downfall came when he aligned himself with a plot to assassinate the Cardinal Richelieu and began secret talks with the Spanish, which Richelieu soon discovered, and led to Louis ruling to have Cinq-Mars beheaded for treason, despite his intense love for the man.</w:t>
      </w:r>
      <w:r w:rsidRPr="00E034B5">
        <w:rPr>
          <w:rStyle w:val="FootnoteReference"/>
          <w:sz w:val="24"/>
        </w:rPr>
        <w:footnoteReference w:id="166"/>
      </w:r>
    </w:p>
    <w:p w14:paraId="50C33887" w14:textId="77777777" w:rsidR="00A676E3" w:rsidRPr="00E034B5" w:rsidRDefault="00A676E3" w:rsidP="007F2DC0">
      <w:pPr>
        <w:spacing w:line="360" w:lineRule="auto"/>
        <w:rPr>
          <w:sz w:val="24"/>
        </w:rPr>
      </w:pPr>
    </w:p>
    <w:p w14:paraId="0B8B53D8" w14:textId="446D14A6" w:rsidR="00E034B5" w:rsidRDefault="00E034B5" w:rsidP="007F2DC0">
      <w:pPr>
        <w:spacing w:line="360" w:lineRule="auto"/>
        <w:rPr>
          <w:sz w:val="24"/>
        </w:rPr>
      </w:pPr>
      <w:r w:rsidRPr="00E034B5">
        <w:rPr>
          <w:sz w:val="24"/>
        </w:rPr>
        <w:t>There is no evidence to show that the lovers of Louis XIII were pseudohomosexuals themselves</w:t>
      </w:r>
      <w:r w:rsidR="00D749DE">
        <w:rPr>
          <w:sz w:val="24"/>
        </w:rPr>
        <w:t xml:space="preserve"> and</w:t>
      </w:r>
      <w:r w:rsidRPr="00E034B5">
        <w:rPr>
          <w:sz w:val="24"/>
        </w:rPr>
        <w:t xml:space="preserve"> therefore this point does not fit into the branch of pseudohomosexuality in the same way that the evidence from the reign of Louis XIV does. Th</w:t>
      </w:r>
      <w:r w:rsidR="00D749DE">
        <w:rPr>
          <w:sz w:val="24"/>
        </w:rPr>
        <w:t>is</w:t>
      </w:r>
      <w:r w:rsidRPr="00E034B5">
        <w:rPr>
          <w:sz w:val="24"/>
        </w:rPr>
        <w:t xml:space="preserve"> evidence does, however, show how easily sex can be used to manipulate someone. Pseudohomosexuality is a major branch of homosexuality that does not fit into our own ideology of homosexual identity from a modern perspective. Therefore, when evaluating historical sodomy, many homoerotic interactions get </w:t>
      </w:r>
      <w:r w:rsidR="00C66440" w:rsidRPr="00E034B5">
        <w:rPr>
          <w:sz w:val="24"/>
        </w:rPr>
        <w:t>mislabeled</w:t>
      </w:r>
      <w:r w:rsidRPr="00E034B5">
        <w:rPr>
          <w:sz w:val="24"/>
        </w:rPr>
        <w:t xml:space="preserve"> as homoerotic despite at least one participant in the relationship not being homosexual in nature. Therefore, it is important to view pseudohomosexuality as a separate form of homoerotic relation when investigating historical cases of homosexuality, as this is separate entity entirely to standard homosexual love and sex. Pseudohomosexuality is more easily recognisable in the ancient period and frequently manifests into ancient mythology and creation myth.</w:t>
      </w:r>
      <w:r w:rsidRPr="00E034B5">
        <w:rPr>
          <w:rStyle w:val="FootnoteReference"/>
          <w:sz w:val="24"/>
        </w:rPr>
        <w:footnoteReference w:id="167"/>
      </w:r>
      <w:r w:rsidRPr="00E034B5">
        <w:rPr>
          <w:sz w:val="24"/>
        </w:rPr>
        <w:t xml:space="preserve"> </w:t>
      </w:r>
    </w:p>
    <w:p w14:paraId="31EF1E95" w14:textId="77777777" w:rsidR="00A676E3" w:rsidRPr="00E034B5" w:rsidRDefault="00A676E3" w:rsidP="007F2DC0">
      <w:pPr>
        <w:spacing w:line="360" w:lineRule="auto"/>
        <w:rPr>
          <w:sz w:val="24"/>
        </w:rPr>
      </w:pPr>
    </w:p>
    <w:p w14:paraId="7B1C34E5" w14:textId="44E54C8E" w:rsidR="00E034B5" w:rsidRDefault="00E034B5" w:rsidP="007F2DC0">
      <w:pPr>
        <w:spacing w:line="360" w:lineRule="auto"/>
        <w:rPr>
          <w:sz w:val="24"/>
        </w:rPr>
      </w:pPr>
      <w:r w:rsidRPr="00E034B5">
        <w:rPr>
          <w:sz w:val="24"/>
        </w:rPr>
        <w:t>One mythological story that displays the power of homoerotic activity is the ancient Egyptian myth of the gods Seth and Horus. There are multiple versions of this, however a Middle Kingdom papyrus from Kahun provides the longest and most detailed version and is also believed to be one of the first account of this myth.</w:t>
      </w:r>
      <w:r w:rsidRPr="00E034B5">
        <w:rPr>
          <w:rStyle w:val="FootnoteReference"/>
          <w:sz w:val="24"/>
        </w:rPr>
        <w:footnoteReference w:id="168"/>
      </w:r>
      <w:r w:rsidRPr="00E034B5">
        <w:rPr>
          <w:sz w:val="24"/>
        </w:rPr>
        <w:t xml:space="preserve"> After a long-standing feud between the two over who is more powerful, Seth propositions Horus for intercourse to prove his </w:t>
      </w:r>
      <w:r w:rsidRPr="00E034B5">
        <w:rPr>
          <w:sz w:val="24"/>
        </w:rPr>
        <w:lastRenderedPageBreak/>
        <w:t>dominance, Horus is advised by his mother Isis to allow Seth to ejaculate into Horus’ hands, and throw the semen away, Horus then produced his own seed which Isis tricked Seth into consuming by spreading it onto lettuce.</w:t>
      </w:r>
      <w:r w:rsidRPr="00E034B5">
        <w:rPr>
          <w:rStyle w:val="FootnoteReference"/>
          <w:sz w:val="24"/>
        </w:rPr>
        <w:footnoteReference w:id="169"/>
      </w:r>
      <w:r w:rsidRPr="00E034B5">
        <w:rPr>
          <w:sz w:val="24"/>
        </w:rPr>
        <w:t xml:space="preserve"> Later, Seth claimed before the gods that he reigns supreme over Horus as Horus allowed a sexual act to be performed where he takes the submissive role. Thoth, who presided over the court</w:t>
      </w:r>
      <w:r w:rsidR="00D749DE">
        <w:rPr>
          <w:sz w:val="24"/>
        </w:rPr>
        <w:t>,</w:t>
      </w:r>
      <w:r w:rsidRPr="00E034B5">
        <w:rPr>
          <w:sz w:val="24"/>
        </w:rPr>
        <w:t xml:space="preserve"> summoned the seeds of both men to speak to him, in order to establish who was the dominant male. </w:t>
      </w:r>
      <w:r w:rsidR="00A676E3">
        <w:rPr>
          <w:sz w:val="24"/>
        </w:rPr>
        <w:t>Seth’s seed</w:t>
      </w:r>
      <w:r w:rsidRPr="00E034B5">
        <w:rPr>
          <w:sz w:val="24"/>
        </w:rPr>
        <w:t xml:space="preserve"> replied from deep underwater, where Horus had thrown it. However, Horus’ seed spoke from within Seth, and showed itself as a golden disc above his head, establishing Horus as the dominant male</w:t>
      </w:r>
      <w:r w:rsidR="006C7AD2">
        <w:rPr>
          <w:sz w:val="24"/>
        </w:rPr>
        <w:t xml:space="preserve"> as Seth seemingly took a submissive sexual role</w:t>
      </w:r>
      <w:r w:rsidRPr="00E034B5">
        <w:rPr>
          <w:sz w:val="24"/>
        </w:rPr>
        <w:t xml:space="preserve">. </w:t>
      </w:r>
      <w:r w:rsidRPr="00E034B5">
        <w:rPr>
          <w:rStyle w:val="FootnoteReference"/>
          <w:sz w:val="24"/>
        </w:rPr>
        <w:footnoteReference w:id="170"/>
      </w:r>
    </w:p>
    <w:p w14:paraId="4FB9E0B2" w14:textId="77777777" w:rsidR="00A676E3" w:rsidRPr="00E034B5" w:rsidRDefault="00A676E3" w:rsidP="007F2DC0">
      <w:pPr>
        <w:spacing w:line="360" w:lineRule="auto"/>
        <w:rPr>
          <w:sz w:val="24"/>
        </w:rPr>
      </w:pPr>
    </w:p>
    <w:p w14:paraId="04263493" w14:textId="2BB6C00D" w:rsidR="00E034B5" w:rsidRPr="00E034B5" w:rsidRDefault="00E034B5" w:rsidP="007F2DC0">
      <w:pPr>
        <w:spacing w:line="360" w:lineRule="auto"/>
        <w:rPr>
          <w:sz w:val="24"/>
        </w:rPr>
      </w:pPr>
      <w:r w:rsidRPr="00E034B5">
        <w:rPr>
          <w:sz w:val="24"/>
        </w:rPr>
        <w:t>This myth presents the power dynamic between stereotypically dominant and submissive gender roles in sex. To receive a sexual act is to behave as a submissive, and therefore as a female. To take a dominant position in sexual activity is to behave masculine. Therefore, when the gender roles become blurred due to the act being performed by two males, it is the position taken that establishes the dominant and submissive roles.</w:t>
      </w:r>
      <w:r w:rsidRPr="00E034B5">
        <w:rPr>
          <w:rStyle w:val="FootnoteReference"/>
          <w:sz w:val="24"/>
        </w:rPr>
        <w:footnoteReference w:id="171"/>
      </w:r>
      <w:r w:rsidRPr="00E034B5">
        <w:rPr>
          <w:sz w:val="24"/>
        </w:rPr>
        <w:t xml:space="preserve"> The myth of Seth and Horus, therefore, presents how establishing dominance in sexual activity can be translated into non-sexual situations. By taking a submissive role in sex, as Seth is tricked to do, he gives up the ability to be considered dominant by others.</w:t>
      </w:r>
      <w:r w:rsidRPr="00E034B5">
        <w:rPr>
          <w:rStyle w:val="FootnoteReference"/>
          <w:sz w:val="24"/>
        </w:rPr>
        <w:footnoteReference w:id="172"/>
      </w:r>
      <w:r w:rsidRPr="00E034B5">
        <w:rPr>
          <w:sz w:val="24"/>
        </w:rPr>
        <w:t xml:space="preserve"> It is this outlook, as displayed in ancient Egypt, that is still prominent in seventeenth century France. The Chevalier can establish dominance over one of the most powerful men in France, the brother to the king, by engaging in sexual activity where Philippe takes the receiving role, the typically feminine and submissive part of the activity. </w:t>
      </w:r>
    </w:p>
    <w:p w14:paraId="48BB96C9" w14:textId="77777777" w:rsidR="00E034B5" w:rsidRPr="00E034B5" w:rsidRDefault="00E034B5" w:rsidP="007F2DC0">
      <w:pPr>
        <w:spacing w:line="360" w:lineRule="auto"/>
        <w:rPr>
          <w:sz w:val="24"/>
        </w:rPr>
      </w:pPr>
    </w:p>
    <w:p w14:paraId="5F947D60" w14:textId="77777777" w:rsidR="00E034B5" w:rsidRPr="00E034B5" w:rsidRDefault="00E034B5" w:rsidP="007F2DC0">
      <w:pPr>
        <w:spacing w:line="360" w:lineRule="auto"/>
        <w:rPr>
          <w:sz w:val="24"/>
        </w:rPr>
      </w:pPr>
    </w:p>
    <w:p w14:paraId="1C9875BB" w14:textId="2C359149" w:rsidR="00E034B5" w:rsidRDefault="00E034B5" w:rsidP="007F2DC0">
      <w:pPr>
        <w:spacing w:line="360" w:lineRule="auto"/>
        <w:rPr>
          <w:sz w:val="24"/>
        </w:rPr>
      </w:pPr>
    </w:p>
    <w:p w14:paraId="1E136082" w14:textId="686A1D89" w:rsidR="00224878" w:rsidRDefault="00224878" w:rsidP="007F2DC0">
      <w:pPr>
        <w:spacing w:line="360" w:lineRule="auto"/>
        <w:rPr>
          <w:sz w:val="24"/>
        </w:rPr>
      </w:pPr>
    </w:p>
    <w:p w14:paraId="49FC0775" w14:textId="64B6E28D" w:rsidR="00224878" w:rsidRDefault="00224878" w:rsidP="007F2DC0">
      <w:pPr>
        <w:spacing w:line="360" w:lineRule="auto"/>
        <w:rPr>
          <w:sz w:val="24"/>
        </w:rPr>
      </w:pPr>
    </w:p>
    <w:p w14:paraId="571E2D43" w14:textId="3BBB4EB6" w:rsidR="00224878" w:rsidRDefault="00224878" w:rsidP="007F2DC0">
      <w:pPr>
        <w:spacing w:line="360" w:lineRule="auto"/>
        <w:rPr>
          <w:sz w:val="24"/>
        </w:rPr>
      </w:pPr>
    </w:p>
    <w:p w14:paraId="1809DBB8" w14:textId="1CF26BBF" w:rsidR="00C66440" w:rsidRDefault="00C66440" w:rsidP="007F2DC0">
      <w:pPr>
        <w:spacing w:line="360" w:lineRule="auto"/>
        <w:rPr>
          <w:sz w:val="24"/>
        </w:rPr>
      </w:pPr>
    </w:p>
    <w:p w14:paraId="1B1C3AA2" w14:textId="77777777" w:rsidR="006C7AD2" w:rsidRDefault="006C7AD2" w:rsidP="007F2DC0">
      <w:pPr>
        <w:spacing w:line="360" w:lineRule="auto"/>
        <w:rPr>
          <w:sz w:val="24"/>
        </w:rPr>
      </w:pPr>
    </w:p>
    <w:p w14:paraId="2D53B164" w14:textId="1EB6CB8D" w:rsidR="00E034B5" w:rsidRDefault="00E034B5" w:rsidP="00AB7F8E">
      <w:pPr>
        <w:spacing w:line="360" w:lineRule="auto"/>
        <w:jc w:val="center"/>
        <w:rPr>
          <w:b/>
          <w:sz w:val="24"/>
          <w:u w:val="single"/>
        </w:rPr>
      </w:pPr>
      <w:r w:rsidRPr="00E034B5">
        <w:rPr>
          <w:b/>
          <w:sz w:val="24"/>
          <w:u w:val="single"/>
        </w:rPr>
        <w:lastRenderedPageBreak/>
        <w:t>Conclusion:</w:t>
      </w:r>
    </w:p>
    <w:p w14:paraId="65ABA1C8" w14:textId="77777777" w:rsidR="00AB7F8E" w:rsidRPr="00E034B5" w:rsidRDefault="00AB7F8E" w:rsidP="00AB7F8E">
      <w:pPr>
        <w:spacing w:line="360" w:lineRule="auto"/>
        <w:jc w:val="center"/>
        <w:rPr>
          <w:b/>
          <w:sz w:val="24"/>
          <w:u w:val="single"/>
        </w:rPr>
      </w:pPr>
    </w:p>
    <w:p w14:paraId="7EC91B12" w14:textId="25020DD4" w:rsidR="00E034B5" w:rsidRPr="00E034B5" w:rsidRDefault="00E034B5" w:rsidP="007F2DC0">
      <w:pPr>
        <w:spacing w:line="360" w:lineRule="auto"/>
        <w:rPr>
          <w:sz w:val="24"/>
        </w:rPr>
      </w:pPr>
      <w:r w:rsidRPr="00E034B5">
        <w:rPr>
          <w:sz w:val="24"/>
        </w:rPr>
        <w:t xml:space="preserve">To conclude, I believe that the way in which historians study homosexuality is flawed due to the inaccuracy of applying contemporary contexts to historical relations. The Branch Theory I developed aims to create an easier way of applying contextual differences to history and allowing homosexuality to be viewed in a way that is more accurate to each case. </w:t>
      </w:r>
    </w:p>
    <w:p w14:paraId="04208844" w14:textId="05BA48A4" w:rsidR="00E034B5" w:rsidRDefault="00E034B5" w:rsidP="007F2DC0">
      <w:pPr>
        <w:spacing w:line="360" w:lineRule="auto"/>
        <w:rPr>
          <w:sz w:val="24"/>
        </w:rPr>
      </w:pPr>
      <w:r w:rsidRPr="00E034B5">
        <w:rPr>
          <w:sz w:val="24"/>
        </w:rPr>
        <w:t xml:space="preserve">The </w:t>
      </w:r>
      <w:r w:rsidR="006C7AD2">
        <w:rPr>
          <w:sz w:val="24"/>
        </w:rPr>
        <w:t>B</w:t>
      </w:r>
      <w:r w:rsidRPr="00E034B5">
        <w:rPr>
          <w:sz w:val="24"/>
        </w:rPr>
        <w:t xml:space="preserve">ranch </w:t>
      </w:r>
      <w:r w:rsidR="006C7AD2">
        <w:rPr>
          <w:sz w:val="24"/>
        </w:rPr>
        <w:t>T</w:t>
      </w:r>
      <w:r w:rsidRPr="00E034B5">
        <w:rPr>
          <w:sz w:val="24"/>
        </w:rPr>
        <w:t xml:space="preserve">heory bases itself on the four types of homosexual relations that I have pinpointed; </w:t>
      </w:r>
      <w:r w:rsidRPr="00E034B5">
        <w:rPr>
          <w:i/>
          <w:sz w:val="24"/>
        </w:rPr>
        <w:t xml:space="preserve">Bon Amour, Au Poil et </w:t>
      </w:r>
      <w:r w:rsidRPr="00E034B5">
        <w:rPr>
          <w:rFonts w:cstheme="minorHAnsi"/>
          <w:i/>
          <w:sz w:val="24"/>
        </w:rPr>
        <w:t>á</w:t>
      </w:r>
      <w:r w:rsidRPr="00E034B5">
        <w:rPr>
          <w:i/>
          <w:sz w:val="24"/>
        </w:rPr>
        <w:t xml:space="preserve"> la Plume, </w:t>
      </w:r>
      <w:r w:rsidR="006C7AD2" w:rsidRPr="006C7AD2">
        <w:rPr>
          <w:i/>
          <w:sz w:val="24"/>
        </w:rPr>
        <w:t>Glorieux Pederasts</w:t>
      </w:r>
      <w:r w:rsidR="006C7AD2">
        <w:rPr>
          <w:sz w:val="24"/>
        </w:rPr>
        <w:t xml:space="preserve"> </w:t>
      </w:r>
      <w:r w:rsidRPr="00E034B5">
        <w:rPr>
          <w:sz w:val="24"/>
        </w:rPr>
        <w:t xml:space="preserve">and finally, </w:t>
      </w:r>
      <w:r w:rsidR="006C7AD2">
        <w:rPr>
          <w:sz w:val="24"/>
        </w:rPr>
        <w:t>P</w:t>
      </w:r>
      <w:r w:rsidRPr="00E034B5">
        <w:rPr>
          <w:sz w:val="24"/>
        </w:rPr>
        <w:t xml:space="preserve">seudohomosexuality. Using Philippe Duke d’Orléans under the reign of Louis XIV and historical figures in sixteenth and seventeenth-century France, these four branches can be adequately displayed and explained. When applying this theory to other time periods, these branches are subject to adaptation, however I do believe that I have formulated this theory so that it is transferable into other time periods, though needing perhaps some flexibility. </w:t>
      </w:r>
    </w:p>
    <w:p w14:paraId="573DDA3A" w14:textId="77777777" w:rsidR="00A676E3" w:rsidRPr="00E034B5" w:rsidRDefault="00A676E3" w:rsidP="007F2DC0">
      <w:pPr>
        <w:spacing w:line="360" w:lineRule="auto"/>
        <w:rPr>
          <w:sz w:val="24"/>
        </w:rPr>
      </w:pPr>
    </w:p>
    <w:p w14:paraId="6F183C97" w14:textId="51675F27" w:rsidR="00E034B5" w:rsidRDefault="00E034B5" w:rsidP="007F2DC0">
      <w:pPr>
        <w:spacing w:line="360" w:lineRule="auto"/>
        <w:rPr>
          <w:sz w:val="24"/>
        </w:rPr>
      </w:pPr>
      <w:r w:rsidRPr="00E034B5">
        <w:rPr>
          <w:sz w:val="24"/>
        </w:rPr>
        <w:t xml:space="preserve">Using the example of Philippe Duke d’Orléans, </w:t>
      </w:r>
      <w:r w:rsidR="006C7AD2">
        <w:rPr>
          <w:sz w:val="24"/>
        </w:rPr>
        <w:t>T</w:t>
      </w:r>
      <w:r w:rsidRPr="00E034B5">
        <w:rPr>
          <w:sz w:val="24"/>
        </w:rPr>
        <w:t xml:space="preserve">he Branch Theory can be adequately explored within a historical context and the four branches can be easily evaluated. The branches portray the four different sides to homosexual relationships: </w:t>
      </w:r>
      <w:r w:rsidRPr="00E034B5">
        <w:rPr>
          <w:i/>
          <w:sz w:val="24"/>
        </w:rPr>
        <w:t>Bon Amour,</w:t>
      </w:r>
      <w:r w:rsidRPr="00E034B5">
        <w:rPr>
          <w:sz w:val="24"/>
        </w:rPr>
        <w:t xml:space="preserve"> the concept of love in relationships; </w:t>
      </w:r>
      <w:r w:rsidRPr="00E034B5">
        <w:rPr>
          <w:i/>
          <w:sz w:val="24"/>
        </w:rPr>
        <w:t xml:space="preserve">Au Poil et </w:t>
      </w:r>
      <w:r w:rsidRPr="00E034B5">
        <w:rPr>
          <w:rFonts w:cstheme="minorHAnsi"/>
          <w:i/>
          <w:sz w:val="24"/>
        </w:rPr>
        <w:t>á</w:t>
      </w:r>
      <w:r w:rsidRPr="00E034B5">
        <w:rPr>
          <w:i/>
          <w:sz w:val="24"/>
        </w:rPr>
        <w:t xml:space="preserve"> la Plume</w:t>
      </w:r>
      <w:r w:rsidRPr="00E034B5">
        <w:rPr>
          <w:sz w:val="24"/>
        </w:rPr>
        <w:t xml:space="preserve">, lust and sexual interaction; </w:t>
      </w:r>
      <w:r w:rsidR="006C7AD2" w:rsidRPr="006C7AD2">
        <w:rPr>
          <w:i/>
          <w:sz w:val="24"/>
        </w:rPr>
        <w:t>Glorieux Pederasts</w:t>
      </w:r>
      <w:r w:rsidRPr="006C7AD2">
        <w:rPr>
          <w:i/>
          <w:sz w:val="24"/>
        </w:rPr>
        <w:t xml:space="preserve">, </w:t>
      </w:r>
      <w:r w:rsidRPr="006C7AD2">
        <w:rPr>
          <w:sz w:val="24"/>
        </w:rPr>
        <w:t>modern</w:t>
      </w:r>
      <w:r w:rsidRPr="006C7AD2">
        <w:rPr>
          <w:i/>
          <w:sz w:val="24"/>
        </w:rPr>
        <w:t xml:space="preserve"> </w:t>
      </w:r>
      <w:r w:rsidRPr="00E034B5">
        <w:rPr>
          <w:sz w:val="24"/>
        </w:rPr>
        <w:t xml:space="preserve">stereotypes applied to historical contexts and Pseudohomosexuality, faking </w:t>
      </w:r>
      <w:r w:rsidR="006C7AD2">
        <w:rPr>
          <w:sz w:val="24"/>
        </w:rPr>
        <w:t>homosexuality</w:t>
      </w:r>
      <w:r w:rsidRPr="00E034B5">
        <w:rPr>
          <w:sz w:val="24"/>
        </w:rPr>
        <w:t xml:space="preserve"> in order to </w:t>
      </w:r>
      <w:r w:rsidR="006C7AD2">
        <w:rPr>
          <w:sz w:val="24"/>
        </w:rPr>
        <w:t>progress</w:t>
      </w:r>
      <w:r w:rsidRPr="00E034B5">
        <w:rPr>
          <w:sz w:val="24"/>
        </w:rPr>
        <w:t xml:space="preserve">. All these of these branches are visible in the reign of Louis XIV and in </w:t>
      </w:r>
      <w:r w:rsidR="004E5050" w:rsidRPr="00E034B5">
        <w:rPr>
          <w:sz w:val="24"/>
        </w:rPr>
        <w:t>Philippe</w:t>
      </w:r>
      <w:r w:rsidR="004E5050">
        <w:rPr>
          <w:sz w:val="24"/>
        </w:rPr>
        <w:t xml:space="preserve">’s </w:t>
      </w:r>
      <w:r w:rsidR="004E5050" w:rsidRPr="00E034B5">
        <w:rPr>
          <w:sz w:val="24"/>
        </w:rPr>
        <w:t>relationships</w:t>
      </w:r>
      <w:r w:rsidRPr="00E034B5">
        <w:rPr>
          <w:sz w:val="24"/>
        </w:rPr>
        <w:t xml:space="preserve">, making him the perfect example to apply this theory to. </w:t>
      </w:r>
    </w:p>
    <w:p w14:paraId="75F531D0" w14:textId="77777777" w:rsidR="00A676E3" w:rsidRPr="00E034B5" w:rsidRDefault="00A676E3" w:rsidP="007F2DC0">
      <w:pPr>
        <w:spacing w:line="360" w:lineRule="auto"/>
        <w:rPr>
          <w:sz w:val="24"/>
        </w:rPr>
      </w:pPr>
    </w:p>
    <w:p w14:paraId="0FD96D49" w14:textId="44C42AA4" w:rsidR="00E034B5" w:rsidRDefault="00E034B5" w:rsidP="007F2DC0">
      <w:pPr>
        <w:spacing w:line="360" w:lineRule="auto"/>
        <w:rPr>
          <w:sz w:val="24"/>
        </w:rPr>
      </w:pPr>
      <w:r w:rsidRPr="00E034B5">
        <w:rPr>
          <w:sz w:val="24"/>
        </w:rPr>
        <w:t>The development of a new way to research homosexuality throughout history is crucial to the longevity of accurate study into this topic. Current research into homosexuality is clouded by stigma and an inability to put aside modern-day assumptions and stereotypes and look into homosexuality from a new perspective for each time period.</w:t>
      </w:r>
      <w:r w:rsidRPr="00E034B5">
        <w:rPr>
          <w:rStyle w:val="FootnoteReference"/>
          <w:sz w:val="24"/>
        </w:rPr>
        <w:footnoteReference w:id="173"/>
      </w:r>
      <w:r w:rsidRPr="00E034B5">
        <w:rPr>
          <w:sz w:val="24"/>
        </w:rPr>
        <w:t xml:space="preserve"> Therefore, in order to ensure research into homosexuality is not wasted through biased contexts and stigmatised assumptions, a new foundation of homosexuality was needed. This is what </w:t>
      </w:r>
      <w:r w:rsidR="006C7AD2">
        <w:rPr>
          <w:sz w:val="24"/>
        </w:rPr>
        <w:t>T</w:t>
      </w:r>
      <w:r w:rsidRPr="00E034B5">
        <w:rPr>
          <w:sz w:val="24"/>
        </w:rPr>
        <w:t xml:space="preserve">he Branch Theory aims to be. </w:t>
      </w:r>
    </w:p>
    <w:p w14:paraId="363D7782" w14:textId="77777777" w:rsidR="00A676E3" w:rsidRPr="00E034B5" w:rsidRDefault="00A676E3" w:rsidP="007F2DC0">
      <w:pPr>
        <w:spacing w:line="360" w:lineRule="auto"/>
        <w:rPr>
          <w:sz w:val="24"/>
        </w:rPr>
      </w:pPr>
    </w:p>
    <w:p w14:paraId="234249E3" w14:textId="61F5231A" w:rsidR="00E034B5" w:rsidRDefault="00E034B5" w:rsidP="007F2DC0">
      <w:pPr>
        <w:spacing w:line="360" w:lineRule="auto"/>
        <w:rPr>
          <w:sz w:val="24"/>
        </w:rPr>
      </w:pPr>
      <w:r w:rsidRPr="00E034B5">
        <w:rPr>
          <w:sz w:val="24"/>
        </w:rPr>
        <w:lastRenderedPageBreak/>
        <w:t xml:space="preserve">By applying </w:t>
      </w:r>
      <w:r w:rsidR="006C7AD2">
        <w:rPr>
          <w:sz w:val="24"/>
        </w:rPr>
        <w:t>T</w:t>
      </w:r>
      <w:r w:rsidRPr="00E034B5">
        <w:rPr>
          <w:sz w:val="24"/>
        </w:rPr>
        <w:t xml:space="preserve">he Branch Theory to a certain time period, an individual or a group of people, relationships within that area can be more easily categorised. Previously, historians have been taking relationships and using modern-day influences to categorise aspects of each case into two classes: is a relationship and isn’t a relationship. However, the process of evaluating a relationship, especially in a homosexual context due to the fluctuating level of scrutiny they faced, is more complex than deciding if there is ample evidence to suggest any form of romantic or sexual interaction. This, therefore, leads to the complexity and specific nature of each relationship being overlooked however using a method such as </w:t>
      </w:r>
      <w:r w:rsidR="006C7AD2">
        <w:rPr>
          <w:sz w:val="24"/>
        </w:rPr>
        <w:t>T</w:t>
      </w:r>
      <w:r w:rsidRPr="00E034B5">
        <w:rPr>
          <w:sz w:val="24"/>
        </w:rPr>
        <w:t xml:space="preserve">he Branch Theory takes this away. </w:t>
      </w:r>
    </w:p>
    <w:p w14:paraId="01A0D854" w14:textId="77777777" w:rsidR="00A676E3" w:rsidRPr="00E034B5" w:rsidRDefault="00A676E3" w:rsidP="007F2DC0">
      <w:pPr>
        <w:spacing w:line="360" w:lineRule="auto"/>
        <w:rPr>
          <w:sz w:val="24"/>
        </w:rPr>
      </w:pPr>
    </w:p>
    <w:p w14:paraId="41193E11" w14:textId="48692D20" w:rsidR="00E034B5" w:rsidRDefault="00E034B5" w:rsidP="007F2DC0">
      <w:pPr>
        <w:spacing w:line="360" w:lineRule="auto"/>
        <w:rPr>
          <w:sz w:val="24"/>
        </w:rPr>
      </w:pPr>
      <w:r w:rsidRPr="00E034B5">
        <w:rPr>
          <w:sz w:val="24"/>
        </w:rPr>
        <w:t xml:space="preserve">In order to better develop </w:t>
      </w:r>
      <w:r w:rsidR="006C7AD2">
        <w:rPr>
          <w:sz w:val="24"/>
        </w:rPr>
        <w:t>T</w:t>
      </w:r>
      <w:r w:rsidRPr="00E034B5">
        <w:rPr>
          <w:sz w:val="24"/>
        </w:rPr>
        <w:t>he Branch Theory, more research into the specific types of homosexual relationships would need conducting. I believe that going forward</w:t>
      </w:r>
      <w:r w:rsidR="006C7AD2">
        <w:rPr>
          <w:sz w:val="24"/>
        </w:rPr>
        <w:t xml:space="preserve"> it</w:t>
      </w:r>
      <w:r w:rsidRPr="00E034B5">
        <w:rPr>
          <w:sz w:val="24"/>
        </w:rPr>
        <w:t xml:space="preserve"> would be</w:t>
      </w:r>
      <w:r w:rsidR="006C7AD2">
        <w:rPr>
          <w:sz w:val="24"/>
        </w:rPr>
        <w:t xml:space="preserve"> beneficial</w:t>
      </w:r>
      <w:r w:rsidRPr="00E034B5">
        <w:rPr>
          <w:sz w:val="24"/>
        </w:rPr>
        <w:t xml:space="preserve"> to attempt applying </w:t>
      </w:r>
      <w:r w:rsidR="006C7AD2">
        <w:rPr>
          <w:sz w:val="24"/>
        </w:rPr>
        <w:t>T</w:t>
      </w:r>
      <w:r w:rsidRPr="00E034B5">
        <w:rPr>
          <w:sz w:val="24"/>
        </w:rPr>
        <w:t>he Branch Theory to other time periods. Most logically, selecting influential and contrasting periods of time throughout history th</w:t>
      </w:r>
      <w:r w:rsidR="00F57A9B">
        <w:rPr>
          <w:sz w:val="24"/>
        </w:rPr>
        <w:t>en</w:t>
      </w:r>
      <w:r w:rsidRPr="00E034B5">
        <w:rPr>
          <w:sz w:val="24"/>
        </w:rPr>
        <w:t xml:space="preserve"> evaluating whether </w:t>
      </w:r>
      <w:r w:rsidR="00F57A9B">
        <w:rPr>
          <w:sz w:val="24"/>
        </w:rPr>
        <w:t>T</w:t>
      </w:r>
      <w:r w:rsidRPr="00E034B5">
        <w:rPr>
          <w:sz w:val="24"/>
        </w:rPr>
        <w:t xml:space="preserve">he Branch Theory can be used accurately between them all. Personally, I would select the following periods: early ancient myths, such as the Egyptians; ancient examples, such as the Greeks or Romans; an example of the medieval period, </w:t>
      </w:r>
      <w:r w:rsidR="00F57A9B">
        <w:rPr>
          <w:sz w:val="24"/>
        </w:rPr>
        <w:t xml:space="preserve">perhaps </w:t>
      </w:r>
      <w:r w:rsidRPr="00E034B5">
        <w:rPr>
          <w:sz w:val="24"/>
        </w:rPr>
        <w:t xml:space="preserve">King Edward II of England and finally an early modern perspective, such as the First World War. I believe that with the applying of </w:t>
      </w:r>
      <w:r w:rsidR="00F57A9B">
        <w:rPr>
          <w:sz w:val="24"/>
        </w:rPr>
        <w:t>T</w:t>
      </w:r>
      <w:r w:rsidRPr="00E034B5">
        <w:rPr>
          <w:sz w:val="24"/>
        </w:rPr>
        <w:t xml:space="preserve">he Branch Theory to each of these time periods, any weaknesses of the theory would be illuminated, and these time periods would allow for the adaptation of the theory to occur. </w:t>
      </w:r>
    </w:p>
    <w:p w14:paraId="6133D361" w14:textId="77777777" w:rsidR="00A676E3" w:rsidRPr="00E034B5" w:rsidRDefault="00A676E3" w:rsidP="007F2DC0">
      <w:pPr>
        <w:spacing w:line="360" w:lineRule="auto"/>
        <w:rPr>
          <w:sz w:val="24"/>
        </w:rPr>
      </w:pPr>
    </w:p>
    <w:p w14:paraId="006ED949" w14:textId="2E2AA0CD" w:rsidR="00E034B5" w:rsidRPr="00E034B5" w:rsidRDefault="00E034B5" w:rsidP="007F2DC0">
      <w:pPr>
        <w:spacing w:line="360" w:lineRule="auto"/>
        <w:rPr>
          <w:sz w:val="24"/>
        </w:rPr>
      </w:pPr>
      <w:r w:rsidRPr="00E034B5">
        <w:rPr>
          <w:sz w:val="24"/>
        </w:rPr>
        <w:t xml:space="preserve">However, </w:t>
      </w:r>
      <w:r w:rsidR="00F57A9B">
        <w:rPr>
          <w:sz w:val="24"/>
        </w:rPr>
        <w:t>regarding</w:t>
      </w:r>
      <w:r w:rsidRPr="00E034B5">
        <w:rPr>
          <w:sz w:val="24"/>
        </w:rPr>
        <w:t xml:space="preserve"> Philippe, Duke d’Orléans and the reign of Louis XIV in seventeenth-century France, </w:t>
      </w:r>
      <w:r w:rsidR="00F57A9B">
        <w:rPr>
          <w:sz w:val="24"/>
        </w:rPr>
        <w:t>T</w:t>
      </w:r>
      <w:r w:rsidRPr="00E034B5">
        <w:rPr>
          <w:sz w:val="24"/>
        </w:rPr>
        <w:t>he Branch Theory is an accurate representation of the types of homosexual relationships that can be fo</w:t>
      </w:r>
      <w:r w:rsidR="00F57A9B">
        <w:rPr>
          <w:sz w:val="24"/>
        </w:rPr>
        <w:t>und</w:t>
      </w:r>
      <w:r w:rsidRPr="00E034B5">
        <w:rPr>
          <w:sz w:val="24"/>
        </w:rPr>
        <w:t xml:space="preserve">. Through applying </w:t>
      </w:r>
      <w:r w:rsidR="00F57A9B">
        <w:rPr>
          <w:sz w:val="24"/>
        </w:rPr>
        <w:t>T</w:t>
      </w:r>
      <w:r w:rsidRPr="00E034B5">
        <w:rPr>
          <w:sz w:val="24"/>
        </w:rPr>
        <w:t>he Branch Theory</w:t>
      </w:r>
      <w:r w:rsidR="00F57A9B">
        <w:rPr>
          <w:sz w:val="24"/>
        </w:rPr>
        <w:t>,</w:t>
      </w:r>
      <w:r w:rsidRPr="00E034B5">
        <w:rPr>
          <w:sz w:val="24"/>
        </w:rPr>
        <w:t xml:space="preserve"> I have been able to identify factors of each branch through evidence in the seventeenth century and apply them back into the relationships of Philippe. </w:t>
      </w:r>
    </w:p>
    <w:p w14:paraId="662C8A15" w14:textId="06FE13EE" w:rsidR="00E034B5" w:rsidRDefault="00E034B5" w:rsidP="007F2DC0">
      <w:pPr>
        <w:spacing w:line="360" w:lineRule="auto"/>
        <w:rPr>
          <w:sz w:val="24"/>
        </w:rPr>
      </w:pPr>
    </w:p>
    <w:p w14:paraId="67AA3A30" w14:textId="41669E5F" w:rsidR="00E034B5" w:rsidRDefault="00E034B5" w:rsidP="007F2DC0">
      <w:pPr>
        <w:spacing w:line="360" w:lineRule="auto"/>
        <w:rPr>
          <w:sz w:val="24"/>
        </w:rPr>
      </w:pPr>
    </w:p>
    <w:p w14:paraId="18D67682" w14:textId="768D2474" w:rsidR="00C56DFE" w:rsidRDefault="00C56DFE" w:rsidP="007F2DC0">
      <w:pPr>
        <w:spacing w:line="360" w:lineRule="auto"/>
        <w:rPr>
          <w:sz w:val="24"/>
        </w:rPr>
      </w:pPr>
    </w:p>
    <w:p w14:paraId="1FBC5E12" w14:textId="34679504" w:rsidR="00C56DFE" w:rsidRDefault="00C56DFE" w:rsidP="007F2DC0">
      <w:pPr>
        <w:spacing w:line="360" w:lineRule="auto"/>
        <w:rPr>
          <w:sz w:val="24"/>
        </w:rPr>
      </w:pPr>
    </w:p>
    <w:p w14:paraId="04CC8B4E" w14:textId="3608E270" w:rsidR="00F57A9B" w:rsidRDefault="00F57A9B" w:rsidP="007F2DC0">
      <w:pPr>
        <w:spacing w:line="360" w:lineRule="auto"/>
        <w:rPr>
          <w:sz w:val="24"/>
        </w:rPr>
      </w:pPr>
    </w:p>
    <w:p w14:paraId="0DE3B7E2" w14:textId="77777777" w:rsidR="00F57A9B" w:rsidRDefault="00F57A9B" w:rsidP="007F2DC0">
      <w:pPr>
        <w:spacing w:line="360" w:lineRule="auto"/>
        <w:rPr>
          <w:sz w:val="24"/>
        </w:rPr>
      </w:pPr>
    </w:p>
    <w:p w14:paraId="47E48021" w14:textId="241453EC" w:rsidR="00E034B5" w:rsidRDefault="00E034B5" w:rsidP="007F2DC0">
      <w:pPr>
        <w:spacing w:line="360" w:lineRule="auto"/>
        <w:rPr>
          <w:sz w:val="24"/>
        </w:rPr>
      </w:pPr>
    </w:p>
    <w:p w14:paraId="17354E54" w14:textId="4390B8B7" w:rsidR="00E034B5" w:rsidRDefault="000A7557" w:rsidP="00AB7F8E">
      <w:pPr>
        <w:spacing w:line="360" w:lineRule="auto"/>
        <w:jc w:val="center"/>
        <w:rPr>
          <w:b/>
          <w:sz w:val="24"/>
          <w:u w:val="single"/>
        </w:rPr>
      </w:pPr>
      <w:r w:rsidRPr="00A676E3">
        <w:rPr>
          <w:b/>
          <w:sz w:val="24"/>
          <w:u w:val="single"/>
        </w:rPr>
        <w:lastRenderedPageBreak/>
        <w:t>Bibliography</w:t>
      </w:r>
      <w:r w:rsidR="00A676E3" w:rsidRPr="00A676E3">
        <w:rPr>
          <w:b/>
          <w:sz w:val="24"/>
          <w:u w:val="single"/>
        </w:rPr>
        <w:t>:</w:t>
      </w:r>
    </w:p>
    <w:p w14:paraId="35E85BEB" w14:textId="2E1B18CB" w:rsidR="00F1161F" w:rsidRPr="00B640D0" w:rsidRDefault="00F1161F" w:rsidP="00B640D0">
      <w:pPr>
        <w:spacing w:line="360" w:lineRule="auto"/>
        <w:rPr>
          <w:b/>
          <w:sz w:val="24"/>
          <w:szCs w:val="24"/>
          <w:u w:val="single"/>
        </w:rPr>
      </w:pPr>
    </w:p>
    <w:p w14:paraId="6092F617" w14:textId="032063C5" w:rsidR="00F1161F" w:rsidRPr="009434D1" w:rsidRDefault="00F1161F" w:rsidP="00B640D0">
      <w:pPr>
        <w:spacing w:line="360" w:lineRule="auto"/>
        <w:rPr>
          <w:b/>
          <w:sz w:val="24"/>
          <w:szCs w:val="24"/>
          <w:u w:val="single"/>
        </w:rPr>
      </w:pPr>
      <w:r w:rsidRPr="009434D1">
        <w:rPr>
          <w:b/>
          <w:sz w:val="24"/>
          <w:szCs w:val="24"/>
          <w:u w:val="single"/>
        </w:rPr>
        <w:t>Primary Sources:</w:t>
      </w:r>
    </w:p>
    <w:p w14:paraId="0B427AC7" w14:textId="77777777" w:rsidR="0093573C" w:rsidRDefault="0093573C" w:rsidP="00CA438B">
      <w:pPr>
        <w:spacing w:line="360" w:lineRule="auto"/>
        <w:rPr>
          <w:sz w:val="24"/>
          <w:szCs w:val="24"/>
        </w:rPr>
      </w:pPr>
    </w:p>
    <w:p w14:paraId="45864669" w14:textId="304CBEDA" w:rsidR="007F7D2D" w:rsidRDefault="007F7D2D" w:rsidP="00CA438B">
      <w:pPr>
        <w:spacing w:line="360" w:lineRule="auto"/>
        <w:rPr>
          <w:sz w:val="24"/>
          <w:szCs w:val="24"/>
        </w:rPr>
      </w:pPr>
      <w:r w:rsidRPr="009434D1">
        <w:rPr>
          <w:sz w:val="24"/>
          <w:szCs w:val="24"/>
        </w:rPr>
        <w:t xml:space="preserve">Apollonius, </w:t>
      </w:r>
      <w:r w:rsidRPr="009434D1">
        <w:rPr>
          <w:i/>
          <w:sz w:val="24"/>
          <w:szCs w:val="24"/>
        </w:rPr>
        <w:t>Argonautica,</w:t>
      </w:r>
      <w:r w:rsidRPr="009434D1">
        <w:rPr>
          <w:sz w:val="24"/>
          <w:szCs w:val="24"/>
        </w:rPr>
        <w:t xml:space="preserve"> translated by A. </w:t>
      </w:r>
      <w:proofErr w:type="spellStart"/>
      <w:r w:rsidRPr="009434D1">
        <w:rPr>
          <w:sz w:val="24"/>
          <w:szCs w:val="24"/>
        </w:rPr>
        <w:t>Poochigan</w:t>
      </w:r>
      <w:proofErr w:type="spellEnd"/>
      <w:r w:rsidRPr="009434D1">
        <w:rPr>
          <w:sz w:val="24"/>
          <w:szCs w:val="24"/>
        </w:rPr>
        <w:t xml:space="preserve"> (London: Penguin Classes, 2015)</w:t>
      </w:r>
      <w:r>
        <w:rPr>
          <w:sz w:val="24"/>
          <w:szCs w:val="24"/>
        </w:rPr>
        <w:t>.</w:t>
      </w:r>
    </w:p>
    <w:p w14:paraId="3F637FA9" w14:textId="77777777" w:rsidR="0093573C" w:rsidRDefault="0093573C" w:rsidP="00CA438B">
      <w:pPr>
        <w:spacing w:line="360" w:lineRule="auto"/>
        <w:rPr>
          <w:sz w:val="24"/>
          <w:szCs w:val="24"/>
        </w:rPr>
      </w:pPr>
    </w:p>
    <w:p w14:paraId="641175ED" w14:textId="2468D8E3" w:rsidR="007F7D2D" w:rsidRDefault="007F7D2D" w:rsidP="00CA438B">
      <w:pPr>
        <w:spacing w:line="360" w:lineRule="auto"/>
        <w:rPr>
          <w:sz w:val="24"/>
          <w:szCs w:val="24"/>
        </w:rPr>
      </w:pPr>
      <w:r w:rsidRPr="00400FE5">
        <w:rPr>
          <w:sz w:val="24"/>
          <w:szCs w:val="24"/>
        </w:rPr>
        <w:t xml:space="preserve">D’Aubigne, </w:t>
      </w:r>
      <w:r w:rsidRPr="00400FE5">
        <w:rPr>
          <w:i/>
          <w:sz w:val="24"/>
          <w:szCs w:val="24"/>
        </w:rPr>
        <w:t>Universal History</w:t>
      </w:r>
      <w:r w:rsidRPr="00400FE5">
        <w:rPr>
          <w:sz w:val="24"/>
          <w:szCs w:val="24"/>
        </w:rPr>
        <w:t xml:space="preserve"> in Crompton</w:t>
      </w:r>
      <w:r>
        <w:rPr>
          <w:sz w:val="24"/>
          <w:szCs w:val="24"/>
        </w:rPr>
        <w:t>, L.</w:t>
      </w:r>
      <w:r w:rsidRPr="00400FE5">
        <w:rPr>
          <w:sz w:val="24"/>
          <w:szCs w:val="24"/>
        </w:rPr>
        <w:t xml:space="preserve">, </w:t>
      </w:r>
      <w:r w:rsidRPr="00400FE5">
        <w:rPr>
          <w:i/>
          <w:sz w:val="24"/>
          <w:szCs w:val="24"/>
        </w:rPr>
        <w:t xml:space="preserve">Homosexuality and Civilisation, </w:t>
      </w:r>
      <w:r w:rsidRPr="00400FE5">
        <w:rPr>
          <w:sz w:val="24"/>
          <w:szCs w:val="24"/>
        </w:rPr>
        <w:t>(London: The Belknap Press of Harvard University Press, 2006).</w:t>
      </w:r>
    </w:p>
    <w:p w14:paraId="1B0A17B0" w14:textId="77777777" w:rsidR="0093573C" w:rsidRDefault="0093573C" w:rsidP="00B640D0">
      <w:pPr>
        <w:spacing w:line="360" w:lineRule="auto"/>
        <w:rPr>
          <w:sz w:val="24"/>
          <w:szCs w:val="24"/>
        </w:rPr>
      </w:pPr>
    </w:p>
    <w:p w14:paraId="0CE5EE00" w14:textId="35FABACC" w:rsidR="007F7D2D" w:rsidRPr="0093573C" w:rsidRDefault="007F7D2D" w:rsidP="00B640D0">
      <w:pPr>
        <w:spacing w:line="360" w:lineRule="auto"/>
        <w:rPr>
          <w:i/>
          <w:sz w:val="24"/>
          <w:szCs w:val="24"/>
        </w:rPr>
      </w:pPr>
      <w:r w:rsidRPr="00237330">
        <w:rPr>
          <w:sz w:val="24"/>
          <w:szCs w:val="24"/>
        </w:rPr>
        <w:t xml:space="preserve">Elizabeth-Charlotte, </w:t>
      </w:r>
      <w:r w:rsidRPr="00237330">
        <w:rPr>
          <w:i/>
          <w:sz w:val="24"/>
          <w:szCs w:val="24"/>
        </w:rPr>
        <w:t xml:space="preserve">Letters, </w:t>
      </w:r>
      <w:r w:rsidRPr="00237330">
        <w:rPr>
          <w:sz w:val="24"/>
          <w:szCs w:val="24"/>
        </w:rPr>
        <w:t xml:space="preserve">Gerard, K., and Hekma, G. (eds.), </w:t>
      </w:r>
      <w:r w:rsidRPr="00237330">
        <w:rPr>
          <w:i/>
          <w:sz w:val="24"/>
          <w:szCs w:val="24"/>
        </w:rPr>
        <w:t>The Pursuit of Sodomy: Male Homosexuality in Renaissance and Enlightenment Europe</w:t>
      </w:r>
      <w:r w:rsidRPr="00237330">
        <w:rPr>
          <w:sz w:val="24"/>
          <w:szCs w:val="24"/>
        </w:rPr>
        <w:t xml:space="preserve"> (London: Harrington Park Press, 1989).</w:t>
      </w:r>
    </w:p>
    <w:p w14:paraId="13F6F5DE" w14:textId="77777777" w:rsidR="0093573C" w:rsidRDefault="0093573C" w:rsidP="00B640D0">
      <w:pPr>
        <w:spacing w:line="360" w:lineRule="auto"/>
        <w:rPr>
          <w:sz w:val="24"/>
        </w:rPr>
      </w:pPr>
    </w:p>
    <w:p w14:paraId="6BE834DD" w14:textId="655549A4" w:rsidR="007F7D2D" w:rsidRDefault="007F7D2D" w:rsidP="00B640D0">
      <w:pPr>
        <w:spacing w:line="360" w:lineRule="auto"/>
        <w:rPr>
          <w:sz w:val="24"/>
        </w:rPr>
      </w:pPr>
      <w:r w:rsidRPr="003E1F22">
        <w:rPr>
          <w:sz w:val="24"/>
        </w:rPr>
        <w:t xml:space="preserve">Elizabeth-Charlotte, </w:t>
      </w:r>
      <w:r w:rsidRPr="003E1F22">
        <w:rPr>
          <w:i/>
          <w:sz w:val="24"/>
        </w:rPr>
        <w:t>The Letters of Madame: The Correspondence of Elizabeth-Charlotte of Bavaria, Princess Palatine, Duchess of Orleans, called ‘Madame’ at the Court of Louis XIV,</w:t>
      </w:r>
      <w:r w:rsidRPr="003E1F22">
        <w:rPr>
          <w:sz w:val="24"/>
        </w:rPr>
        <w:t xml:space="preserve"> vol.1, translated by G. S. Stevenson (London: Chapman and Dodd, 1924).</w:t>
      </w:r>
    </w:p>
    <w:p w14:paraId="192DE8DC" w14:textId="77777777" w:rsidR="0093573C" w:rsidRDefault="0093573C" w:rsidP="0061281C">
      <w:pPr>
        <w:spacing w:line="360" w:lineRule="auto"/>
        <w:rPr>
          <w:sz w:val="24"/>
          <w:szCs w:val="24"/>
        </w:rPr>
      </w:pPr>
    </w:p>
    <w:p w14:paraId="4640EB56" w14:textId="0442FE99" w:rsidR="007F7D2D" w:rsidRPr="00400FE5" w:rsidRDefault="007F7D2D" w:rsidP="0061281C">
      <w:pPr>
        <w:spacing w:line="360" w:lineRule="auto"/>
        <w:rPr>
          <w:sz w:val="24"/>
          <w:szCs w:val="24"/>
        </w:rPr>
      </w:pPr>
      <w:proofErr w:type="spellStart"/>
      <w:r w:rsidRPr="00054613">
        <w:rPr>
          <w:sz w:val="24"/>
          <w:szCs w:val="24"/>
        </w:rPr>
        <w:t>Gédéon</w:t>
      </w:r>
      <w:proofErr w:type="spellEnd"/>
      <w:r w:rsidRPr="00054613">
        <w:rPr>
          <w:sz w:val="24"/>
          <w:szCs w:val="24"/>
        </w:rPr>
        <w:t xml:space="preserve"> </w:t>
      </w:r>
      <w:proofErr w:type="spellStart"/>
      <w:r w:rsidRPr="00054613">
        <w:rPr>
          <w:sz w:val="24"/>
          <w:szCs w:val="24"/>
        </w:rPr>
        <w:t>Tallemant</w:t>
      </w:r>
      <w:proofErr w:type="spellEnd"/>
      <w:r w:rsidRPr="00054613">
        <w:rPr>
          <w:sz w:val="24"/>
          <w:szCs w:val="24"/>
        </w:rPr>
        <w:t xml:space="preserve"> des </w:t>
      </w:r>
      <w:proofErr w:type="spellStart"/>
      <w:r w:rsidRPr="00054613">
        <w:rPr>
          <w:sz w:val="24"/>
          <w:szCs w:val="24"/>
        </w:rPr>
        <w:t>Réaux</w:t>
      </w:r>
      <w:proofErr w:type="spellEnd"/>
      <w:r w:rsidRPr="00054613">
        <w:rPr>
          <w:sz w:val="24"/>
          <w:szCs w:val="24"/>
        </w:rPr>
        <w:t xml:space="preserve">, </w:t>
      </w:r>
      <w:proofErr w:type="spellStart"/>
      <w:r w:rsidRPr="00054613">
        <w:rPr>
          <w:i/>
          <w:sz w:val="24"/>
          <w:szCs w:val="24"/>
        </w:rPr>
        <w:t>Historiettes</w:t>
      </w:r>
      <w:proofErr w:type="spellEnd"/>
      <w:r w:rsidRPr="00054613">
        <w:rPr>
          <w:sz w:val="24"/>
          <w:szCs w:val="24"/>
        </w:rPr>
        <w:t xml:space="preserve"> in Crompton</w:t>
      </w:r>
      <w:r>
        <w:rPr>
          <w:sz w:val="24"/>
          <w:szCs w:val="24"/>
        </w:rPr>
        <w:t>, L.</w:t>
      </w:r>
      <w:r w:rsidRPr="00054613">
        <w:rPr>
          <w:sz w:val="24"/>
          <w:szCs w:val="24"/>
        </w:rPr>
        <w:t xml:space="preserve">, </w:t>
      </w:r>
      <w:r w:rsidRPr="00054613">
        <w:rPr>
          <w:i/>
          <w:sz w:val="24"/>
          <w:szCs w:val="24"/>
        </w:rPr>
        <w:t xml:space="preserve">Homosexuality and Civilisation, </w:t>
      </w:r>
      <w:r w:rsidRPr="00054613">
        <w:rPr>
          <w:sz w:val="24"/>
          <w:szCs w:val="24"/>
        </w:rPr>
        <w:t>(</w:t>
      </w:r>
      <w:r w:rsidRPr="00400FE5">
        <w:rPr>
          <w:sz w:val="24"/>
          <w:szCs w:val="24"/>
        </w:rPr>
        <w:t>London: The Belknap Press of Harvard University Press, 2006).</w:t>
      </w:r>
    </w:p>
    <w:p w14:paraId="043FF808" w14:textId="77777777" w:rsidR="0093573C" w:rsidRDefault="0093573C" w:rsidP="00B640D0">
      <w:pPr>
        <w:spacing w:line="360" w:lineRule="auto"/>
        <w:rPr>
          <w:sz w:val="24"/>
          <w:szCs w:val="24"/>
        </w:rPr>
      </w:pPr>
    </w:p>
    <w:p w14:paraId="43910F32" w14:textId="114AF905" w:rsidR="007F7D2D" w:rsidRPr="009434D1" w:rsidRDefault="007F7D2D" w:rsidP="00B640D0">
      <w:pPr>
        <w:spacing w:line="360" w:lineRule="auto"/>
        <w:rPr>
          <w:sz w:val="24"/>
          <w:szCs w:val="24"/>
        </w:rPr>
      </w:pPr>
      <w:r w:rsidRPr="009434D1">
        <w:rPr>
          <w:sz w:val="24"/>
          <w:szCs w:val="24"/>
        </w:rPr>
        <w:t xml:space="preserve">Homer, </w:t>
      </w:r>
      <w:r w:rsidRPr="009434D1">
        <w:rPr>
          <w:i/>
          <w:sz w:val="24"/>
          <w:szCs w:val="24"/>
        </w:rPr>
        <w:t>Homeric Hymns</w:t>
      </w:r>
      <w:r w:rsidRPr="009434D1">
        <w:rPr>
          <w:sz w:val="24"/>
          <w:szCs w:val="24"/>
        </w:rPr>
        <w:t xml:space="preserve">, translated by J. </w:t>
      </w:r>
      <w:proofErr w:type="spellStart"/>
      <w:r w:rsidRPr="009434D1">
        <w:rPr>
          <w:sz w:val="24"/>
          <w:szCs w:val="24"/>
        </w:rPr>
        <w:t>Cashfood</w:t>
      </w:r>
      <w:proofErr w:type="spellEnd"/>
      <w:r w:rsidRPr="009434D1">
        <w:rPr>
          <w:sz w:val="24"/>
          <w:szCs w:val="24"/>
        </w:rPr>
        <w:t xml:space="preserve"> (London: Penguin Classics, 2003)</w:t>
      </w:r>
      <w:r>
        <w:rPr>
          <w:sz w:val="24"/>
          <w:szCs w:val="24"/>
        </w:rPr>
        <w:t>.</w:t>
      </w:r>
    </w:p>
    <w:p w14:paraId="17392BCD" w14:textId="77777777" w:rsidR="0093573C" w:rsidRDefault="0093573C" w:rsidP="00B640D0">
      <w:pPr>
        <w:spacing w:line="360" w:lineRule="auto"/>
        <w:rPr>
          <w:sz w:val="24"/>
        </w:rPr>
      </w:pPr>
    </w:p>
    <w:p w14:paraId="2F00B98C" w14:textId="251AFBC3" w:rsidR="007F7D2D" w:rsidRDefault="007F7D2D" w:rsidP="00B640D0">
      <w:pPr>
        <w:spacing w:line="360" w:lineRule="auto"/>
        <w:rPr>
          <w:sz w:val="24"/>
          <w:szCs w:val="24"/>
        </w:rPr>
      </w:pPr>
      <w:r w:rsidRPr="009C1D23">
        <w:rPr>
          <w:sz w:val="24"/>
        </w:rPr>
        <w:t xml:space="preserve">L’Estoile, </w:t>
      </w:r>
      <w:proofErr w:type="spellStart"/>
      <w:r w:rsidRPr="009C1D23">
        <w:rPr>
          <w:i/>
          <w:sz w:val="24"/>
        </w:rPr>
        <w:t>Mémoires-Journaux</w:t>
      </w:r>
      <w:proofErr w:type="spellEnd"/>
      <w:r w:rsidRPr="009C1D23">
        <w:rPr>
          <w:sz w:val="24"/>
        </w:rPr>
        <w:t xml:space="preserve"> in Crawford, ‘Love, Sodomy and Scandal: Controlling the Sexual Reputation of Henry III’, </w:t>
      </w:r>
      <w:r w:rsidRPr="009C1D23">
        <w:rPr>
          <w:i/>
          <w:sz w:val="24"/>
        </w:rPr>
        <w:t>Journal of the History of Sexuality</w:t>
      </w:r>
      <w:r w:rsidRPr="009C1D23">
        <w:rPr>
          <w:sz w:val="24"/>
        </w:rPr>
        <w:t>,</w:t>
      </w:r>
      <w:r>
        <w:rPr>
          <w:sz w:val="24"/>
        </w:rPr>
        <w:t xml:space="preserve"> (</w:t>
      </w:r>
      <w:r w:rsidRPr="009434D1">
        <w:rPr>
          <w:sz w:val="24"/>
          <w:szCs w:val="24"/>
        </w:rPr>
        <w:t>London: The Belknap Press of Harvard University Press, 2006).</w:t>
      </w:r>
    </w:p>
    <w:p w14:paraId="75C7CC6A" w14:textId="77777777" w:rsidR="0093573C" w:rsidRDefault="0093573C" w:rsidP="0061281C">
      <w:pPr>
        <w:spacing w:line="360" w:lineRule="auto"/>
        <w:rPr>
          <w:sz w:val="24"/>
        </w:rPr>
      </w:pPr>
    </w:p>
    <w:p w14:paraId="49DAF52B" w14:textId="075227A6" w:rsidR="007F7D2D" w:rsidRDefault="007F7D2D" w:rsidP="0061281C">
      <w:pPr>
        <w:spacing w:line="360" w:lineRule="auto"/>
        <w:rPr>
          <w:sz w:val="24"/>
          <w:szCs w:val="24"/>
        </w:rPr>
      </w:pPr>
      <w:r w:rsidRPr="004263EC">
        <w:rPr>
          <w:sz w:val="24"/>
        </w:rPr>
        <w:t xml:space="preserve">Louis XIII, </w:t>
      </w:r>
      <w:r w:rsidRPr="004263EC">
        <w:rPr>
          <w:i/>
          <w:sz w:val="24"/>
        </w:rPr>
        <w:t>Letters</w:t>
      </w:r>
      <w:r w:rsidRPr="004263EC">
        <w:rPr>
          <w:sz w:val="24"/>
        </w:rPr>
        <w:t xml:space="preserve"> in Crompton,</w:t>
      </w:r>
      <w:r>
        <w:rPr>
          <w:sz w:val="24"/>
        </w:rPr>
        <w:t xml:space="preserve"> L.,</w:t>
      </w:r>
      <w:r w:rsidRPr="004263EC">
        <w:rPr>
          <w:sz w:val="24"/>
        </w:rPr>
        <w:t xml:space="preserve"> </w:t>
      </w:r>
      <w:r w:rsidRPr="004263EC">
        <w:rPr>
          <w:i/>
          <w:sz w:val="24"/>
        </w:rPr>
        <w:t>Homosexuality and Civilisation,</w:t>
      </w:r>
      <w:r>
        <w:rPr>
          <w:sz w:val="32"/>
          <w:szCs w:val="24"/>
        </w:rPr>
        <w:t xml:space="preserve"> </w:t>
      </w:r>
      <w:r w:rsidRPr="00400FE5">
        <w:rPr>
          <w:sz w:val="24"/>
          <w:szCs w:val="24"/>
        </w:rPr>
        <w:t>(London: The Belknap Press of Harvard University Press, 2006).</w:t>
      </w:r>
    </w:p>
    <w:p w14:paraId="6CCA4801" w14:textId="77777777" w:rsidR="0093573C" w:rsidRDefault="0093573C" w:rsidP="00237330">
      <w:pPr>
        <w:spacing w:line="360" w:lineRule="auto"/>
        <w:rPr>
          <w:sz w:val="24"/>
        </w:rPr>
      </w:pPr>
    </w:p>
    <w:p w14:paraId="6FFC4D22" w14:textId="0CF9F8CB" w:rsidR="007F7D2D" w:rsidRPr="00B640D0" w:rsidRDefault="007F7D2D" w:rsidP="00237330">
      <w:pPr>
        <w:spacing w:line="360" w:lineRule="auto"/>
        <w:rPr>
          <w:sz w:val="24"/>
          <w:szCs w:val="24"/>
        </w:rPr>
      </w:pPr>
      <w:r w:rsidRPr="00237330">
        <w:rPr>
          <w:sz w:val="24"/>
        </w:rPr>
        <w:t xml:space="preserve">Madame de </w:t>
      </w:r>
      <w:proofErr w:type="spellStart"/>
      <w:r w:rsidRPr="00237330">
        <w:rPr>
          <w:sz w:val="24"/>
        </w:rPr>
        <w:t>Sévigne</w:t>
      </w:r>
      <w:proofErr w:type="spellEnd"/>
      <w:r w:rsidRPr="00237330">
        <w:rPr>
          <w:sz w:val="24"/>
        </w:rPr>
        <w:t xml:space="preserve">, </w:t>
      </w:r>
      <w:r w:rsidRPr="00237330">
        <w:rPr>
          <w:i/>
          <w:sz w:val="24"/>
        </w:rPr>
        <w:t xml:space="preserve">Letters </w:t>
      </w:r>
      <w:r w:rsidRPr="00237330">
        <w:rPr>
          <w:sz w:val="24"/>
        </w:rPr>
        <w:t xml:space="preserve">in </w:t>
      </w:r>
      <w:r w:rsidRPr="00B640D0">
        <w:rPr>
          <w:sz w:val="24"/>
          <w:szCs w:val="24"/>
        </w:rPr>
        <w:t xml:space="preserve">Gerard, K., and Hekma, G. (eds.), </w:t>
      </w:r>
      <w:r w:rsidRPr="00B640D0">
        <w:rPr>
          <w:i/>
          <w:sz w:val="24"/>
          <w:szCs w:val="24"/>
        </w:rPr>
        <w:t>The Pursuit of Sodomy: Male Homosexuality in Renaissance and Enlightenment Europe</w:t>
      </w:r>
      <w:r w:rsidRPr="00B640D0">
        <w:rPr>
          <w:sz w:val="24"/>
          <w:szCs w:val="24"/>
        </w:rPr>
        <w:t xml:space="preserve"> (London: Harrington Park Press, 1989).</w:t>
      </w:r>
    </w:p>
    <w:p w14:paraId="5982A549" w14:textId="77777777" w:rsidR="0093573C" w:rsidRDefault="0093573C" w:rsidP="00B640D0">
      <w:pPr>
        <w:spacing w:line="360" w:lineRule="auto"/>
        <w:rPr>
          <w:sz w:val="24"/>
          <w:szCs w:val="24"/>
        </w:rPr>
      </w:pPr>
    </w:p>
    <w:p w14:paraId="3D27FB60" w14:textId="27393A69" w:rsidR="007F7D2D" w:rsidRPr="009434D1" w:rsidRDefault="007F7D2D" w:rsidP="00B640D0">
      <w:pPr>
        <w:spacing w:line="360" w:lineRule="auto"/>
        <w:rPr>
          <w:b/>
          <w:sz w:val="24"/>
          <w:szCs w:val="24"/>
          <w:u w:val="single"/>
        </w:rPr>
      </w:pPr>
      <w:r w:rsidRPr="009434D1">
        <w:rPr>
          <w:sz w:val="24"/>
          <w:szCs w:val="24"/>
        </w:rPr>
        <w:t xml:space="preserve">Ovid, </w:t>
      </w:r>
      <w:r w:rsidRPr="009434D1">
        <w:rPr>
          <w:i/>
          <w:sz w:val="24"/>
          <w:szCs w:val="24"/>
        </w:rPr>
        <w:t>Metamorphosis,</w:t>
      </w:r>
      <w:r w:rsidRPr="009434D1">
        <w:rPr>
          <w:sz w:val="24"/>
          <w:szCs w:val="24"/>
        </w:rPr>
        <w:t xml:space="preserve"> translated by D. Raeburn (London: Penguin Classics, 2004)</w:t>
      </w:r>
      <w:r>
        <w:rPr>
          <w:sz w:val="24"/>
          <w:szCs w:val="24"/>
        </w:rPr>
        <w:t>.</w:t>
      </w:r>
    </w:p>
    <w:p w14:paraId="528C99AB" w14:textId="77777777" w:rsidR="0093573C" w:rsidRDefault="0093573C" w:rsidP="0061281C">
      <w:pPr>
        <w:spacing w:line="360" w:lineRule="auto"/>
        <w:rPr>
          <w:sz w:val="24"/>
          <w:szCs w:val="24"/>
        </w:rPr>
      </w:pPr>
    </w:p>
    <w:p w14:paraId="41E36C9D" w14:textId="040BC4E1" w:rsidR="007F7D2D" w:rsidRDefault="007F7D2D" w:rsidP="0061281C">
      <w:pPr>
        <w:spacing w:line="360" w:lineRule="auto"/>
        <w:rPr>
          <w:sz w:val="24"/>
          <w:szCs w:val="24"/>
        </w:rPr>
      </w:pPr>
      <w:r>
        <w:rPr>
          <w:sz w:val="24"/>
          <w:szCs w:val="24"/>
        </w:rPr>
        <w:t xml:space="preserve">Philippe, Duke </w:t>
      </w:r>
      <w:proofErr w:type="spellStart"/>
      <w:r>
        <w:rPr>
          <w:sz w:val="24"/>
          <w:szCs w:val="24"/>
        </w:rPr>
        <w:t>d’Orleans</w:t>
      </w:r>
      <w:proofErr w:type="spellEnd"/>
      <w:r>
        <w:rPr>
          <w:sz w:val="24"/>
          <w:szCs w:val="24"/>
        </w:rPr>
        <w:t xml:space="preserve">, </w:t>
      </w:r>
      <w:r w:rsidRPr="0061281C">
        <w:rPr>
          <w:i/>
          <w:sz w:val="24"/>
          <w:szCs w:val="24"/>
        </w:rPr>
        <w:t>Cosnac,</w:t>
      </w:r>
      <w:r>
        <w:rPr>
          <w:sz w:val="24"/>
          <w:szCs w:val="24"/>
        </w:rPr>
        <w:t xml:space="preserve"> </w:t>
      </w:r>
      <w:r w:rsidRPr="00B640D0">
        <w:rPr>
          <w:sz w:val="24"/>
          <w:szCs w:val="24"/>
        </w:rPr>
        <w:t xml:space="preserve">Gerard, K., and Hekma, G. (eds.), </w:t>
      </w:r>
      <w:r w:rsidRPr="00B640D0">
        <w:rPr>
          <w:i/>
          <w:sz w:val="24"/>
          <w:szCs w:val="24"/>
        </w:rPr>
        <w:t>The Pursuit of Sodomy: Male Homosexuality in Renaissance and Enlightenment Europe</w:t>
      </w:r>
      <w:r w:rsidRPr="00B640D0">
        <w:rPr>
          <w:sz w:val="24"/>
          <w:szCs w:val="24"/>
        </w:rPr>
        <w:t xml:space="preserve"> (London: Harrington Park Press, 1989).</w:t>
      </w:r>
    </w:p>
    <w:p w14:paraId="74778E25" w14:textId="77777777" w:rsidR="0093573C" w:rsidRDefault="0093573C" w:rsidP="00B640D0">
      <w:pPr>
        <w:spacing w:line="360" w:lineRule="auto"/>
        <w:rPr>
          <w:sz w:val="24"/>
        </w:rPr>
      </w:pPr>
    </w:p>
    <w:p w14:paraId="4CCA9B9A" w14:textId="76F01C38" w:rsidR="007F7D2D" w:rsidRPr="009C1D23" w:rsidRDefault="007F7D2D" w:rsidP="00B640D0">
      <w:pPr>
        <w:spacing w:line="360" w:lineRule="auto"/>
        <w:rPr>
          <w:sz w:val="32"/>
          <w:szCs w:val="24"/>
        </w:rPr>
      </w:pPr>
      <w:r w:rsidRPr="009C1D23">
        <w:rPr>
          <w:sz w:val="24"/>
        </w:rPr>
        <w:t xml:space="preserve">Pierre de L’Estoile, </w:t>
      </w:r>
      <w:proofErr w:type="spellStart"/>
      <w:r w:rsidRPr="009C1D23">
        <w:rPr>
          <w:i/>
          <w:sz w:val="24"/>
        </w:rPr>
        <w:t>Mémoires-Journaux</w:t>
      </w:r>
      <w:proofErr w:type="spellEnd"/>
      <w:r w:rsidRPr="009C1D23">
        <w:rPr>
          <w:sz w:val="24"/>
        </w:rPr>
        <w:t xml:space="preserve"> in</w:t>
      </w:r>
      <w:r>
        <w:rPr>
          <w:sz w:val="24"/>
        </w:rPr>
        <w:t xml:space="preserve"> </w:t>
      </w:r>
      <w:r w:rsidRPr="009C1D23">
        <w:rPr>
          <w:sz w:val="24"/>
        </w:rPr>
        <w:t>Crawford,</w:t>
      </w:r>
      <w:r>
        <w:rPr>
          <w:sz w:val="24"/>
        </w:rPr>
        <w:t xml:space="preserve"> K.,</w:t>
      </w:r>
      <w:r w:rsidRPr="009C1D23">
        <w:rPr>
          <w:sz w:val="24"/>
        </w:rPr>
        <w:t xml:space="preserve"> ‘Love, Sodomy and Scandal: Controlling the Sexual Reputation of Henry III’, </w:t>
      </w:r>
      <w:r w:rsidRPr="009C1D23">
        <w:rPr>
          <w:i/>
          <w:sz w:val="24"/>
        </w:rPr>
        <w:t>Journal of the History of Sexuality</w:t>
      </w:r>
      <w:r w:rsidRPr="009C1D23">
        <w:rPr>
          <w:sz w:val="24"/>
        </w:rPr>
        <w:t>, vol.12 no.4 (2003)</w:t>
      </w:r>
      <w:r>
        <w:rPr>
          <w:sz w:val="24"/>
        </w:rPr>
        <w:t>.</w:t>
      </w:r>
    </w:p>
    <w:p w14:paraId="59160A3D" w14:textId="77777777" w:rsidR="0093573C" w:rsidRDefault="0093573C" w:rsidP="00B640D0">
      <w:pPr>
        <w:spacing w:line="360" w:lineRule="auto"/>
        <w:rPr>
          <w:sz w:val="24"/>
          <w:szCs w:val="24"/>
        </w:rPr>
      </w:pPr>
    </w:p>
    <w:p w14:paraId="13C03140" w14:textId="299520BF" w:rsidR="007F7D2D" w:rsidRDefault="007F7D2D" w:rsidP="00B640D0">
      <w:pPr>
        <w:spacing w:line="360" w:lineRule="auto"/>
        <w:rPr>
          <w:sz w:val="24"/>
          <w:szCs w:val="24"/>
        </w:rPr>
      </w:pPr>
      <w:r w:rsidRPr="009434D1">
        <w:rPr>
          <w:sz w:val="24"/>
          <w:szCs w:val="24"/>
        </w:rPr>
        <w:t xml:space="preserve">Pierre de L’Estoile, </w:t>
      </w:r>
      <w:r w:rsidRPr="009434D1">
        <w:rPr>
          <w:i/>
          <w:sz w:val="24"/>
          <w:szCs w:val="24"/>
        </w:rPr>
        <w:t>Sonnet</w:t>
      </w:r>
      <w:r w:rsidRPr="009434D1">
        <w:rPr>
          <w:sz w:val="24"/>
          <w:szCs w:val="24"/>
        </w:rPr>
        <w:t xml:space="preserve"> in Crompton</w:t>
      </w:r>
      <w:r>
        <w:rPr>
          <w:sz w:val="24"/>
          <w:szCs w:val="24"/>
        </w:rPr>
        <w:t>, L.</w:t>
      </w:r>
      <w:r w:rsidRPr="009434D1">
        <w:rPr>
          <w:sz w:val="24"/>
          <w:szCs w:val="24"/>
        </w:rPr>
        <w:t xml:space="preserve">, </w:t>
      </w:r>
      <w:r w:rsidRPr="009434D1">
        <w:rPr>
          <w:i/>
          <w:sz w:val="24"/>
          <w:szCs w:val="24"/>
        </w:rPr>
        <w:t>Homosexuality and Civilisation</w:t>
      </w:r>
      <w:r w:rsidRPr="009434D1">
        <w:rPr>
          <w:sz w:val="24"/>
          <w:szCs w:val="24"/>
        </w:rPr>
        <w:t>, (London: The Belknap Press of Harvard University Press, 2006).</w:t>
      </w:r>
    </w:p>
    <w:p w14:paraId="45BF3296" w14:textId="77777777" w:rsidR="00237330" w:rsidRPr="00237330" w:rsidRDefault="00237330" w:rsidP="00B640D0">
      <w:pPr>
        <w:spacing w:line="360" w:lineRule="auto"/>
        <w:rPr>
          <w:sz w:val="24"/>
          <w:szCs w:val="24"/>
        </w:rPr>
      </w:pPr>
    </w:p>
    <w:p w14:paraId="3CC099AB" w14:textId="77777777" w:rsidR="0093573C" w:rsidRDefault="0093573C" w:rsidP="00B640D0">
      <w:pPr>
        <w:spacing w:line="360" w:lineRule="auto"/>
        <w:rPr>
          <w:b/>
          <w:sz w:val="24"/>
          <w:szCs w:val="24"/>
          <w:u w:val="single"/>
        </w:rPr>
      </w:pPr>
    </w:p>
    <w:p w14:paraId="36E1E0F9" w14:textId="77777777" w:rsidR="0093573C" w:rsidRDefault="0093573C" w:rsidP="00B640D0">
      <w:pPr>
        <w:spacing w:line="360" w:lineRule="auto"/>
        <w:rPr>
          <w:b/>
          <w:sz w:val="24"/>
          <w:szCs w:val="24"/>
          <w:u w:val="single"/>
        </w:rPr>
      </w:pPr>
    </w:p>
    <w:p w14:paraId="68F1CD30" w14:textId="43D3FEC7" w:rsidR="00F1161F" w:rsidRPr="00B640D0" w:rsidRDefault="00F1161F" w:rsidP="00B640D0">
      <w:pPr>
        <w:spacing w:line="360" w:lineRule="auto"/>
        <w:rPr>
          <w:b/>
          <w:sz w:val="24"/>
          <w:szCs w:val="24"/>
          <w:u w:val="single"/>
        </w:rPr>
      </w:pPr>
      <w:r w:rsidRPr="00B640D0">
        <w:rPr>
          <w:b/>
          <w:sz w:val="24"/>
          <w:szCs w:val="24"/>
          <w:u w:val="single"/>
        </w:rPr>
        <w:t>Secondary Sources:</w:t>
      </w:r>
    </w:p>
    <w:p w14:paraId="2721FB60" w14:textId="77777777" w:rsidR="007F7D2D" w:rsidRPr="00B640D0" w:rsidRDefault="007F7D2D" w:rsidP="00B640D0">
      <w:pPr>
        <w:spacing w:line="360" w:lineRule="auto"/>
        <w:rPr>
          <w:sz w:val="24"/>
          <w:szCs w:val="24"/>
        </w:rPr>
      </w:pPr>
    </w:p>
    <w:p w14:paraId="5DB55C34" w14:textId="77777777" w:rsidR="007F7D2D" w:rsidRPr="00B640D0" w:rsidRDefault="007F7D2D" w:rsidP="00B640D0">
      <w:pPr>
        <w:spacing w:line="360" w:lineRule="auto"/>
        <w:rPr>
          <w:sz w:val="24"/>
          <w:szCs w:val="24"/>
        </w:rPr>
      </w:pPr>
      <w:proofErr w:type="spellStart"/>
      <w:r w:rsidRPr="00B640D0">
        <w:rPr>
          <w:sz w:val="24"/>
          <w:szCs w:val="24"/>
        </w:rPr>
        <w:t>Ashelford</w:t>
      </w:r>
      <w:proofErr w:type="spellEnd"/>
      <w:r w:rsidRPr="00B640D0">
        <w:rPr>
          <w:sz w:val="24"/>
          <w:szCs w:val="24"/>
        </w:rPr>
        <w:t xml:space="preserve">, J., </w:t>
      </w:r>
      <w:r w:rsidRPr="00B640D0">
        <w:rPr>
          <w:i/>
          <w:sz w:val="24"/>
          <w:szCs w:val="24"/>
        </w:rPr>
        <w:t>The Art of Dress: Clothes and Society 1500 – 1914</w:t>
      </w:r>
      <w:r w:rsidRPr="00B640D0">
        <w:rPr>
          <w:sz w:val="24"/>
          <w:szCs w:val="24"/>
        </w:rPr>
        <w:t xml:space="preserve"> (Chicago: </w:t>
      </w:r>
      <w:proofErr w:type="spellStart"/>
      <w:r w:rsidRPr="00B640D0">
        <w:rPr>
          <w:sz w:val="24"/>
          <w:szCs w:val="24"/>
        </w:rPr>
        <w:t>Anova</w:t>
      </w:r>
      <w:proofErr w:type="spellEnd"/>
      <w:r w:rsidRPr="00B640D0">
        <w:rPr>
          <w:sz w:val="24"/>
          <w:szCs w:val="24"/>
        </w:rPr>
        <w:t xml:space="preserve"> Books, 2009).</w:t>
      </w:r>
    </w:p>
    <w:p w14:paraId="66117347" w14:textId="77777777" w:rsidR="0093573C" w:rsidRDefault="0093573C" w:rsidP="00B640D0">
      <w:pPr>
        <w:spacing w:line="360" w:lineRule="auto"/>
        <w:rPr>
          <w:sz w:val="24"/>
          <w:szCs w:val="24"/>
        </w:rPr>
      </w:pPr>
    </w:p>
    <w:p w14:paraId="119F17ED" w14:textId="3D93B19C" w:rsidR="007F7D2D" w:rsidRPr="00B640D0" w:rsidRDefault="007F7D2D" w:rsidP="00B640D0">
      <w:pPr>
        <w:spacing w:line="360" w:lineRule="auto"/>
        <w:rPr>
          <w:sz w:val="24"/>
          <w:szCs w:val="24"/>
        </w:rPr>
      </w:pPr>
      <w:r w:rsidRPr="00B640D0">
        <w:rPr>
          <w:sz w:val="24"/>
          <w:szCs w:val="24"/>
        </w:rPr>
        <w:t xml:space="preserve">Bullough, V. L., ‘Homosexuality as Submissive Behaviour: Example from Mythology’, </w:t>
      </w:r>
      <w:r w:rsidRPr="00B640D0">
        <w:rPr>
          <w:i/>
          <w:sz w:val="24"/>
          <w:szCs w:val="24"/>
        </w:rPr>
        <w:t>The Journal of Sex Research,</w:t>
      </w:r>
      <w:r w:rsidRPr="00B640D0">
        <w:rPr>
          <w:sz w:val="24"/>
          <w:szCs w:val="24"/>
        </w:rPr>
        <w:t xml:space="preserve"> vol.9, no.4 (1973).</w:t>
      </w:r>
    </w:p>
    <w:p w14:paraId="461CFB40" w14:textId="77777777" w:rsidR="0093573C" w:rsidRDefault="0093573C" w:rsidP="00B640D0">
      <w:pPr>
        <w:spacing w:line="360" w:lineRule="auto"/>
        <w:rPr>
          <w:color w:val="333333"/>
          <w:sz w:val="24"/>
          <w:szCs w:val="24"/>
          <w:shd w:val="clear" w:color="auto" w:fill="FFFFFF"/>
        </w:rPr>
      </w:pPr>
    </w:p>
    <w:p w14:paraId="1F659B31" w14:textId="4680612E" w:rsidR="007F7D2D" w:rsidRPr="00B640D0" w:rsidRDefault="007F7D2D" w:rsidP="00B640D0">
      <w:pPr>
        <w:spacing w:line="360" w:lineRule="auto"/>
        <w:rPr>
          <w:color w:val="333333"/>
          <w:sz w:val="24"/>
          <w:szCs w:val="24"/>
          <w:shd w:val="clear" w:color="auto" w:fill="FFFFFF"/>
        </w:rPr>
      </w:pPr>
      <w:r w:rsidRPr="00B640D0">
        <w:rPr>
          <w:color w:val="333333"/>
          <w:sz w:val="24"/>
          <w:szCs w:val="24"/>
          <w:shd w:val="clear" w:color="auto" w:fill="FFFFFF"/>
        </w:rPr>
        <w:t xml:space="preserve">Cohen, D., ‘Law, Society and Homosexuality in Classical Athens: Reply’, </w:t>
      </w:r>
      <w:r w:rsidRPr="00B640D0">
        <w:rPr>
          <w:i/>
          <w:iCs/>
          <w:color w:val="333333"/>
          <w:sz w:val="24"/>
          <w:szCs w:val="24"/>
          <w:shd w:val="clear" w:color="auto" w:fill="FFFFFF"/>
        </w:rPr>
        <w:t>Past &amp; Present</w:t>
      </w:r>
      <w:r w:rsidRPr="00B640D0">
        <w:rPr>
          <w:color w:val="333333"/>
          <w:sz w:val="24"/>
          <w:szCs w:val="24"/>
          <w:shd w:val="clear" w:color="auto" w:fill="FFFFFF"/>
        </w:rPr>
        <w:t>, no. 133 (1991).</w:t>
      </w:r>
    </w:p>
    <w:p w14:paraId="7E668004" w14:textId="77777777" w:rsidR="0093573C" w:rsidRDefault="0093573C" w:rsidP="00B640D0">
      <w:pPr>
        <w:spacing w:line="360" w:lineRule="auto"/>
        <w:rPr>
          <w:sz w:val="24"/>
          <w:szCs w:val="24"/>
        </w:rPr>
      </w:pPr>
    </w:p>
    <w:p w14:paraId="17FF7434" w14:textId="60DFA269" w:rsidR="007F7D2D" w:rsidRPr="00B640D0" w:rsidRDefault="007F7D2D" w:rsidP="00B640D0">
      <w:pPr>
        <w:spacing w:line="360" w:lineRule="auto"/>
        <w:rPr>
          <w:sz w:val="24"/>
          <w:szCs w:val="24"/>
        </w:rPr>
      </w:pPr>
      <w:r w:rsidRPr="00B640D0">
        <w:rPr>
          <w:sz w:val="24"/>
          <w:szCs w:val="24"/>
        </w:rPr>
        <w:t xml:space="preserve">Crompton, L., </w:t>
      </w:r>
      <w:r w:rsidRPr="00B640D0">
        <w:rPr>
          <w:i/>
          <w:sz w:val="24"/>
          <w:szCs w:val="24"/>
        </w:rPr>
        <w:t>Homosexuality and Civilisation</w:t>
      </w:r>
      <w:r w:rsidRPr="00B640D0">
        <w:rPr>
          <w:sz w:val="24"/>
          <w:szCs w:val="24"/>
        </w:rPr>
        <w:t xml:space="preserve"> (London: The Belknap Press of Harvard University Press, 2006).</w:t>
      </w:r>
    </w:p>
    <w:p w14:paraId="5CD00A55" w14:textId="77777777" w:rsidR="0093573C" w:rsidRDefault="0093573C" w:rsidP="00B640D0">
      <w:pPr>
        <w:spacing w:line="360" w:lineRule="auto"/>
        <w:rPr>
          <w:sz w:val="24"/>
          <w:szCs w:val="24"/>
        </w:rPr>
      </w:pPr>
    </w:p>
    <w:p w14:paraId="3E19BAB8" w14:textId="3D4A0C8B" w:rsidR="007F7D2D" w:rsidRPr="00B640D0" w:rsidRDefault="007F7D2D" w:rsidP="00B640D0">
      <w:pPr>
        <w:spacing w:line="360" w:lineRule="auto"/>
        <w:rPr>
          <w:sz w:val="24"/>
          <w:szCs w:val="24"/>
        </w:rPr>
      </w:pPr>
      <w:r w:rsidRPr="00B640D0">
        <w:rPr>
          <w:sz w:val="24"/>
          <w:szCs w:val="24"/>
        </w:rPr>
        <w:t xml:space="preserve">Duberman, M. B., Vicinus, M. and Chauncey, G. (eds.), </w:t>
      </w:r>
      <w:r w:rsidRPr="00B640D0">
        <w:rPr>
          <w:i/>
          <w:sz w:val="24"/>
          <w:szCs w:val="24"/>
        </w:rPr>
        <w:t>Hidden from History</w:t>
      </w:r>
      <w:r w:rsidRPr="00B640D0">
        <w:rPr>
          <w:sz w:val="24"/>
          <w:szCs w:val="24"/>
        </w:rPr>
        <w:t xml:space="preserve"> (London: Penguin Books, 1989).</w:t>
      </w:r>
    </w:p>
    <w:p w14:paraId="30F82866" w14:textId="77777777" w:rsidR="0093573C" w:rsidRDefault="0093573C" w:rsidP="00B640D0">
      <w:pPr>
        <w:spacing w:line="360" w:lineRule="auto"/>
        <w:rPr>
          <w:sz w:val="24"/>
          <w:szCs w:val="24"/>
        </w:rPr>
      </w:pPr>
    </w:p>
    <w:p w14:paraId="7C1CF7C9" w14:textId="342956EA" w:rsidR="007F7D2D" w:rsidRPr="00B640D0" w:rsidRDefault="007F7D2D" w:rsidP="00B640D0">
      <w:pPr>
        <w:spacing w:line="360" w:lineRule="auto"/>
        <w:rPr>
          <w:sz w:val="24"/>
          <w:szCs w:val="24"/>
        </w:rPr>
      </w:pPr>
      <w:r w:rsidRPr="00B640D0">
        <w:rPr>
          <w:sz w:val="24"/>
          <w:szCs w:val="24"/>
        </w:rPr>
        <w:t xml:space="preserve">Gerard, K., and Hekma, G. (eds.), </w:t>
      </w:r>
      <w:r w:rsidRPr="00B640D0">
        <w:rPr>
          <w:i/>
          <w:sz w:val="24"/>
          <w:szCs w:val="24"/>
        </w:rPr>
        <w:t>The Pursuit of Sodomy: Male Homosexuality in Renaissance and Enlightenment Europe</w:t>
      </w:r>
      <w:r w:rsidRPr="00B640D0">
        <w:rPr>
          <w:sz w:val="24"/>
          <w:szCs w:val="24"/>
        </w:rPr>
        <w:t xml:space="preserve"> (London: Harrington Park Press, 1989).</w:t>
      </w:r>
    </w:p>
    <w:p w14:paraId="201558E9" w14:textId="77777777" w:rsidR="0093573C" w:rsidRDefault="0093573C" w:rsidP="00B640D0">
      <w:pPr>
        <w:spacing w:line="360" w:lineRule="auto"/>
        <w:rPr>
          <w:sz w:val="24"/>
          <w:szCs w:val="24"/>
        </w:rPr>
      </w:pPr>
    </w:p>
    <w:p w14:paraId="7E5ADD24" w14:textId="3B329F48" w:rsidR="007F7D2D" w:rsidRPr="00B640D0" w:rsidRDefault="007F7D2D" w:rsidP="00B640D0">
      <w:pPr>
        <w:spacing w:line="360" w:lineRule="auto"/>
        <w:rPr>
          <w:sz w:val="24"/>
          <w:szCs w:val="24"/>
        </w:rPr>
      </w:pPr>
      <w:r w:rsidRPr="00B640D0">
        <w:rPr>
          <w:sz w:val="24"/>
          <w:szCs w:val="24"/>
        </w:rPr>
        <w:lastRenderedPageBreak/>
        <w:t xml:space="preserve">Greenberg, D. F., </w:t>
      </w:r>
      <w:r w:rsidRPr="00B640D0">
        <w:rPr>
          <w:i/>
          <w:sz w:val="24"/>
          <w:szCs w:val="24"/>
        </w:rPr>
        <w:t>Construction of Homosexuality</w:t>
      </w:r>
      <w:r w:rsidRPr="00B640D0">
        <w:rPr>
          <w:sz w:val="24"/>
          <w:szCs w:val="24"/>
        </w:rPr>
        <w:t xml:space="preserve"> (Chicago: University of Chicago Press, 1990).</w:t>
      </w:r>
    </w:p>
    <w:p w14:paraId="08237A51" w14:textId="77777777" w:rsidR="0093573C" w:rsidRDefault="0093573C" w:rsidP="00B640D0">
      <w:pPr>
        <w:spacing w:line="360" w:lineRule="auto"/>
        <w:rPr>
          <w:sz w:val="24"/>
          <w:szCs w:val="24"/>
        </w:rPr>
      </w:pPr>
    </w:p>
    <w:p w14:paraId="7EE2A97B" w14:textId="4C4EDA8F" w:rsidR="007F7D2D" w:rsidRPr="00B640D0" w:rsidRDefault="007F7D2D" w:rsidP="00B640D0">
      <w:pPr>
        <w:spacing w:line="360" w:lineRule="auto"/>
        <w:rPr>
          <w:sz w:val="24"/>
          <w:szCs w:val="24"/>
        </w:rPr>
      </w:pPr>
      <w:r w:rsidRPr="00B640D0">
        <w:rPr>
          <w:sz w:val="24"/>
          <w:szCs w:val="24"/>
        </w:rPr>
        <w:t xml:space="preserve">Karras, R. M., </w:t>
      </w:r>
      <w:r w:rsidRPr="00B640D0">
        <w:rPr>
          <w:i/>
          <w:sz w:val="24"/>
          <w:szCs w:val="24"/>
        </w:rPr>
        <w:t>Sexuality in Medieval Europe: Doing unto Others</w:t>
      </w:r>
      <w:r w:rsidRPr="00B640D0">
        <w:rPr>
          <w:sz w:val="24"/>
          <w:szCs w:val="24"/>
        </w:rPr>
        <w:t xml:space="preserve"> (New York: Routledge, 2005).</w:t>
      </w:r>
    </w:p>
    <w:p w14:paraId="3E3C33B6" w14:textId="77777777" w:rsidR="0093573C" w:rsidRDefault="0093573C" w:rsidP="00B640D0">
      <w:pPr>
        <w:spacing w:line="360" w:lineRule="auto"/>
        <w:rPr>
          <w:sz w:val="24"/>
          <w:szCs w:val="24"/>
        </w:rPr>
      </w:pPr>
    </w:p>
    <w:p w14:paraId="588CDA2E" w14:textId="54182B26" w:rsidR="007F7D2D" w:rsidRPr="00B640D0" w:rsidRDefault="007F7D2D" w:rsidP="00B640D0">
      <w:pPr>
        <w:spacing w:line="360" w:lineRule="auto"/>
        <w:rPr>
          <w:sz w:val="24"/>
          <w:szCs w:val="24"/>
        </w:rPr>
      </w:pPr>
      <w:r w:rsidRPr="00B640D0">
        <w:rPr>
          <w:sz w:val="24"/>
          <w:szCs w:val="24"/>
        </w:rPr>
        <w:t xml:space="preserve">Knutson, D. C., ‘Homosexuality and the Law’, </w:t>
      </w:r>
      <w:r w:rsidRPr="00B640D0">
        <w:rPr>
          <w:i/>
          <w:sz w:val="24"/>
          <w:szCs w:val="24"/>
        </w:rPr>
        <w:t xml:space="preserve">Journal of Homosexuality, </w:t>
      </w:r>
      <w:r w:rsidRPr="00B640D0">
        <w:rPr>
          <w:sz w:val="24"/>
          <w:szCs w:val="24"/>
        </w:rPr>
        <w:t>vol.5, no.1 (1979).</w:t>
      </w:r>
    </w:p>
    <w:p w14:paraId="47F0E632" w14:textId="77777777" w:rsidR="0093573C" w:rsidRDefault="0093573C" w:rsidP="00B640D0">
      <w:pPr>
        <w:spacing w:line="360" w:lineRule="auto"/>
        <w:rPr>
          <w:sz w:val="24"/>
          <w:szCs w:val="24"/>
        </w:rPr>
      </w:pPr>
    </w:p>
    <w:p w14:paraId="2E9AF25A" w14:textId="26989DF7" w:rsidR="007F7D2D" w:rsidRPr="00B640D0" w:rsidRDefault="007F7D2D" w:rsidP="00B640D0">
      <w:pPr>
        <w:spacing w:line="360" w:lineRule="auto"/>
        <w:rPr>
          <w:sz w:val="24"/>
          <w:szCs w:val="24"/>
        </w:rPr>
      </w:pPr>
      <w:r w:rsidRPr="00B640D0">
        <w:rPr>
          <w:sz w:val="24"/>
          <w:szCs w:val="24"/>
        </w:rPr>
        <w:t xml:space="preserve">Licata, S. J. and Petersen, R. P., </w:t>
      </w:r>
      <w:r w:rsidRPr="00B640D0">
        <w:rPr>
          <w:i/>
          <w:sz w:val="24"/>
          <w:szCs w:val="24"/>
        </w:rPr>
        <w:t>Historical Perspective on Homosexuality</w:t>
      </w:r>
      <w:r w:rsidRPr="00B640D0">
        <w:rPr>
          <w:sz w:val="24"/>
          <w:szCs w:val="24"/>
        </w:rPr>
        <w:t xml:space="preserve"> (New York: Haworth Press Inc. and Stein and Day, 1981). </w:t>
      </w:r>
    </w:p>
    <w:p w14:paraId="65C14E0D" w14:textId="77777777" w:rsidR="0093573C" w:rsidRDefault="0093573C" w:rsidP="00B640D0">
      <w:pPr>
        <w:spacing w:line="360" w:lineRule="auto"/>
        <w:rPr>
          <w:sz w:val="24"/>
          <w:szCs w:val="24"/>
        </w:rPr>
      </w:pPr>
    </w:p>
    <w:p w14:paraId="09501FCB" w14:textId="7FBBE15B" w:rsidR="007F7D2D" w:rsidRPr="00B640D0" w:rsidRDefault="007F7D2D" w:rsidP="00B640D0">
      <w:pPr>
        <w:spacing w:line="360" w:lineRule="auto"/>
        <w:rPr>
          <w:sz w:val="24"/>
          <w:szCs w:val="24"/>
        </w:rPr>
      </w:pPr>
      <w:r w:rsidRPr="00B640D0">
        <w:rPr>
          <w:sz w:val="24"/>
          <w:szCs w:val="24"/>
        </w:rPr>
        <w:t xml:space="preserve">Marvick, E. W., ‘The Character of Louis XIII: The Role of his Physician’, </w:t>
      </w:r>
      <w:r w:rsidRPr="00B640D0">
        <w:rPr>
          <w:i/>
          <w:sz w:val="24"/>
          <w:szCs w:val="24"/>
        </w:rPr>
        <w:t xml:space="preserve">Journal of Interdisciplinary History, </w:t>
      </w:r>
      <w:r w:rsidRPr="00B640D0">
        <w:rPr>
          <w:sz w:val="24"/>
          <w:szCs w:val="24"/>
        </w:rPr>
        <w:t>vol.4, no.3 (1974).</w:t>
      </w:r>
    </w:p>
    <w:p w14:paraId="72E1150C" w14:textId="77777777" w:rsidR="0093573C" w:rsidRDefault="0093573C" w:rsidP="00B640D0">
      <w:pPr>
        <w:spacing w:line="360" w:lineRule="auto"/>
        <w:rPr>
          <w:sz w:val="24"/>
          <w:szCs w:val="24"/>
        </w:rPr>
      </w:pPr>
    </w:p>
    <w:p w14:paraId="61E071F4" w14:textId="43DC3B70" w:rsidR="007F7D2D" w:rsidRPr="00B640D0" w:rsidRDefault="007F7D2D" w:rsidP="00B640D0">
      <w:pPr>
        <w:spacing w:line="360" w:lineRule="auto"/>
        <w:rPr>
          <w:sz w:val="24"/>
          <w:szCs w:val="24"/>
        </w:rPr>
      </w:pPr>
      <w:r w:rsidRPr="00B640D0">
        <w:rPr>
          <w:sz w:val="24"/>
          <w:szCs w:val="24"/>
        </w:rPr>
        <w:t xml:space="preserve">Mitford, N., </w:t>
      </w:r>
      <w:r w:rsidRPr="00B640D0">
        <w:rPr>
          <w:i/>
          <w:sz w:val="24"/>
          <w:szCs w:val="24"/>
        </w:rPr>
        <w:t>The Sun King</w:t>
      </w:r>
      <w:r w:rsidRPr="00B640D0">
        <w:rPr>
          <w:sz w:val="24"/>
          <w:szCs w:val="24"/>
        </w:rPr>
        <w:t xml:space="preserve"> (London: Vintage, 2011).</w:t>
      </w:r>
    </w:p>
    <w:p w14:paraId="28226BCF" w14:textId="77777777" w:rsidR="0093573C" w:rsidRDefault="0093573C" w:rsidP="00B640D0">
      <w:pPr>
        <w:spacing w:line="360" w:lineRule="auto"/>
        <w:rPr>
          <w:sz w:val="24"/>
          <w:szCs w:val="24"/>
        </w:rPr>
      </w:pPr>
    </w:p>
    <w:p w14:paraId="7A809B38" w14:textId="3FF153A3" w:rsidR="007F7D2D" w:rsidRPr="00B640D0" w:rsidRDefault="007F7D2D" w:rsidP="00B640D0">
      <w:pPr>
        <w:spacing w:line="360" w:lineRule="auto"/>
        <w:rPr>
          <w:sz w:val="24"/>
          <w:szCs w:val="24"/>
        </w:rPr>
      </w:pPr>
      <w:r w:rsidRPr="00B640D0">
        <w:rPr>
          <w:sz w:val="24"/>
          <w:szCs w:val="24"/>
        </w:rPr>
        <w:t xml:space="preserve">Morford, M. P. O., </w:t>
      </w:r>
      <w:proofErr w:type="spellStart"/>
      <w:r w:rsidRPr="00B640D0">
        <w:rPr>
          <w:sz w:val="24"/>
          <w:szCs w:val="24"/>
        </w:rPr>
        <w:t>Lenardon</w:t>
      </w:r>
      <w:proofErr w:type="spellEnd"/>
      <w:r w:rsidRPr="00B640D0">
        <w:rPr>
          <w:sz w:val="24"/>
          <w:szCs w:val="24"/>
        </w:rPr>
        <w:t xml:space="preserve">, R. J. and Sham, M., </w:t>
      </w:r>
      <w:r w:rsidRPr="00B640D0">
        <w:rPr>
          <w:i/>
          <w:sz w:val="24"/>
          <w:szCs w:val="24"/>
        </w:rPr>
        <w:t>Classical mythology,</w:t>
      </w:r>
      <w:r w:rsidRPr="00B640D0">
        <w:rPr>
          <w:sz w:val="24"/>
          <w:szCs w:val="24"/>
        </w:rPr>
        <w:t xml:space="preserve"> tenth </w:t>
      </w:r>
      <w:proofErr w:type="spellStart"/>
      <w:r w:rsidRPr="00B640D0">
        <w:rPr>
          <w:sz w:val="24"/>
          <w:szCs w:val="24"/>
        </w:rPr>
        <w:t>edn</w:t>
      </w:r>
      <w:proofErr w:type="spellEnd"/>
      <w:r w:rsidRPr="00B640D0">
        <w:rPr>
          <w:sz w:val="24"/>
          <w:szCs w:val="24"/>
        </w:rPr>
        <w:t xml:space="preserve">. (New York: Oxford University Press, </w:t>
      </w:r>
      <w:proofErr w:type="spellStart"/>
      <w:r w:rsidRPr="00B640D0">
        <w:rPr>
          <w:sz w:val="24"/>
          <w:szCs w:val="24"/>
        </w:rPr>
        <w:t>nd</w:t>
      </w:r>
      <w:proofErr w:type="spellEnd"/>
      <w:r w:rsidRPr="00B640D0">
        <w:rPr>
          <w:sz w:val="24"/>
          <w:szCs w:val="24"/>
        </w:rPr>
        <w:t xml:space="preserve">). </w:t>
      </w:r>
    </w:p>
    <w:p w14:paraId="3A4EE326" w14:textId="77777777" w:rsidR="0093573C" w:rsidRDefault="0093573C" w:rsidP="00B640D0">
      <w:pPr>
        <w:spacing w:line="360" w:lineRule="auto"/>
        <w:rPr>
          <w:sz w:val="24"/>
          <w:szCs w:val="24"/>
        </w:rPr>
      </w:pPr>
    </w:p>
    <w:p w14:paraId="32CF9DAB" w14:textId="4B8EA4A3" w:rsidR="007F7D2D" w:rsidRPr="00B640D0" w:rsidRDefault="007F7D2D" w:rsidP="00B640D0">
      <w:pPr>
        <w:spacing w:line="360" w:lineRule="auto"/>
        <w:rPr>
          <w:sz w:val="24"/>
          <w:szCs w:val="24"/>
        </w:rPr>
      </w:pPr>
      <w:r w:rsidRPr="00B640D0">
        <w:rPr>
          <w:sz w:val="24"/>
          <w:szCs w:val="24"/>
        </w:rPr>
        <w:t xml:space="preserve">Neill, J., </w:t>
      </w:r>
      <w:r w:rsidRPr="00B640D0">
        <w:rPr>
          <w:i/>
          <w:sz w:val="24"/>
          <w:szCs w:val="24"/>
        </w:rPr>
        <w:t xml:space="preserve">The Origins and Role of Same-Sex Relations in Human </w:t>
      </w:r>
      <w:r w:rsidRPr="00B640D0">
        <w:rPr>
          <w:sz w:val="24"/>
          <w:szCs w:val="24"/>
        </w:rPr>
        <w:t>Societies (London: McFarland and Company, Inc., 1940).</w:t>
      </w:r>
    </w:p>
    <w:p w14:paraId="109E8D10" w14:textId="77777777" w:rsidR="0093573C" w:rsidRDefault="0093573C" w:rsidP="00B640D0">
      <w:pPr>
        <w:spacing w:line="360" w:lineRule="auto"/>
        <w:rPr>
          <w:sz w:val="24"/>
          <w:szCs w:val="24"/>
        </w:rPr>
      </w:pPr>
    </w:p>
    <w:p w14:paraId="61E0795E" w14:textId="7F6CEBC9" w:rsidR="007F7D2D" w:rsidRPr="00B640D0" w:rsidRDefault="007F7D2D" w:rsidP="00B640D0">
      <w:pPr>
        <w:spacing w:line="360" w:lineRule="auto"/>
        <w:rPr>
          <w:sz w:val="24"/>
          <w:szCs w:val="24"/>
        </w:rPr>
      </w:pPr>
      <w:r w:rsidRPr="00B640D0">
        <w:rPr>
          <w:sz w:val="24"/>
          <w:szCs w:val="24"/>
        </w:rPr>
        <w:t xml:space="preserve">Norton, L., </w:t>
      </w:r>
      <w:r w:rsidRPr="00B640D0">
        <w:rPr>
          <w:i/>
          <w:sz w:val="24"/>
          <w:szCs w:val="24"/>
        </w:rPr>
        <w:t>The Sun King and His Loves</w:t>
      </w:r>
      <w:r w:rsidRPr="00B640D0">
        <w:rPr>
          <w:sz w:val="24"/>
          <w:szCs w:val="24"/>
        </w:rPr>
        <w:t xml:space="preserve"> (London: Folio Society, 1982).</w:t>
      </w:r>
    </w:p>
    <w:p w14:paraId="797582D9" w14:textId="77777777" w:rsidR="0093573C" w:rsidRDefault="0093573C" w:rsidP="00B640D0">
      <w:pPr>
        <w:spacing w:line="360" w:lineRule="auto"/>
        <w:rPr>
          <w:sz w:val="24"/>
          <w:szCs w:val="24"/>
        </w:rPr>
      </w:pPr>
    </w:p>
    <w:p w14:paraId="7B9CF997" w14:textId="2D9648D9" w:rsidR="007F7D2D" w:rsidRPr="00B640D0" w:rsidRDefault="007F7D2D" w:rsidP="00B640D0">
      <w:pPr>
        <w:spacing w:line="360" w:lineRule="auto"/>
        <w:rPr>
          <w:sz w:val="24"/>
          <w:szCs w:val="24"/>
        </w:rPr>
      </w:pPr>
      <w:proofErr w:type="spellStart"/>
      <w:r w:rsidRPr="00B640D0">
        <w:rPr>
          <w:sz w:val="24"/>
          <w:szCs w:val="24"/>
        </w:rPr>
        <w:t>Ovesey</w:t>
      </w:r>
      <w:proofErr w:type="spellEnd"/>
      <w:r w:rsidRPr="00B640D0">
        <w:rPr>
          <w:sz w:val="24"/>
          <w:szCs w:val="24"/>
        </w:rPr>
        <w:t xml:space="preserve">, L., </w:t>
      </w:r>
      <w:r w:rsidRPr="00B640D0">
        <w:rPr>
          <w:i/>
          <w:sz w:val="24"/>
          <w:szCs w:val="24"/>
        </w:rPr>
        <w:t>Homosexuality and Pseudohomosexuality</w:t>
      </w:r>
      <w:r w:rsidRPr="00B640D0">
        <w:rPr>
          <w:sz w:val="24"/>
          <w:szCs w:val="24"/>
        </w:rPr>
        <w:t xml:space="preserve"> (New York: Science House, 1969).</w:t>
      </w:r>
    </w:p>
    <w:p w14:paraId="55D52D92" w14:textId="77777777" w:rsidR="0093573C" w:rsidRDefault="0093573C" w:rsidP="00B640D0">
      <w:pPr>
        <w:spacing w:line="360" w:lineRule="auto"/>
        <w:rPr>
          <w:sz w:val="24"/>
          <w:szCs w:val="24"/>
        </w:rPr>
      </w:pPr>
    </w:p>
    <w:p w14:paraId="50200C04" w14:textId="2C29ACC1" w:rsidR="007F7D2D" w:rsidRPr="00B640D0" w:rsidRDefault="007F7D2D" w:rsidP="00B640D0">
      <w:pPr>
        <w:spacing w:line="360" w:lineRule="auto"/>
        <w:rPr>
          <w:sz w:val="24"/>
          <w:szCs w:val="24"/>
        </w:rPr>
      </w:pPr>
      <w:r w:rsidRPr="00B640D0">
        <w:rPr>
          <w:sz w:val="24"/>
          <w:szCs w:val="24"/>
        </w:rPr>
        <w:t xml:space="preserve">Pomeroy, S. B., </w:t>
      </w:r>
      <w:r w:rsidRPr="00B640D0">
        <w:rPr>
          <w:i/>
          <w:sz w:val="24"/>
          <w:szCs w:val="24"/>
        </w:rPr>
        <w:t>Goddesses, Whores, Wives and Slaves</w:t>
      </w:r>
      <w:r w:rsidRPr="00B640D0">
        <w:rPr>
          <w:sz w:val="24"/>
          <w:szCs w:val="24"/>
        </w:rPr>
        <w:t xml:space="preserve"> (London: The Bodley Head, 1975).</w:t>
      </w:r>
    </w:p>
    <w:p w14:paraId="7A31F730" w14:textId="77777777" w:rsidR="0093573C" w:rsidRDefault="0093573C" w:rsidP="00B640D0">
      <w:pPr>
        <w:spacing w:line="360" w:lineRule="auto"/>
        <w:rPr>
          <w:sz w:val="24"/>
          <w:szCs w:val="24"/>
        </w:rPr>
      </w:pPr>
    </w:p>
    <w:p w14:paraId="7879E086" w14:textId="6E42227D" w:rsidR="007F7D2D" w:rsidRPr="00B640D0" w:rsidRDefault="007F7D2D" w:rsidP="00B640D0">
      <w:pPr>
        <w:spacing w:line="360" w:lineRule="auto"/>
        <w:rPr>
          <w:sz w:val="24"/>
          <w:szCs w:val="24"/>
        </w:rPr>
      </w:pPr>
      <w:r w:rsidRPr="00B640D0">
        <w:rPr>
          <w:sz w:val="24"/>
          <w:szCs w:val="24"/>
        </w:rPr>
        <w:t xml:space="preserve">Riley, P. F., </w:t>
      </w:r>
      <w:r w:rsidRPr="00B640D0">
        <w:rPr>
          <w:i/>
          <w:sz w:val="24"/>
          <w:szCs w:val="24"/>
        </w:rPr>
        <w:t>A Lust for Virtue: Louis XIV’s Attack on Sin in Seventeenth Century France</w:t>
      </w:r>
      <w:r w:rsidRPr="00B640D0">
        <w:rPr>
          <w:sz w:val="24"/>
          <w:szCs w:val="24"/>
        </w:rPr>
        <w:t xml:space="preserve"> (London: Greenwood Publishing Group, 2001).</w:t>
      </w:r>
    </w:p>
    <w:p w14:paraId="0E965E7C" w14:textId="77777777" w:rsidR="0093573C" w:rsidRDefault="0093573C" w:rsidP="00B640D0">
      <w:pPr>
        <w:spacing w:line="360" w:lineRule="auto"/>
        <w:rPr>
          <w:sz w:val="24"/>
          <w:szCs w:val="24"/>
        </w:rPr>
      </w:pPr>
    </w:p>
    <w:p w14:paraId="76A7642C" w14:textId="69E4EE49" w:rsidR="007F7D2D" w:rsidRPr="00B640D0" w:rsidRDefault="007F7D2D" w:rsidP="00B640D0">
      <w:pPr>
        <w:spacing w:line="360" w:lineRule="auto"/>
        <w:rPr>
          <w:sz w:val="24"/>
          <w:szCs w:val="24"/>
        </w:rPr>
      </w:pPr>
      <w:r w:rsidRPr="00B640D0">
        <w:rPr>
          <w:sz w:val="24"/>
          <w:szCs w:val="24"/>
        </w:rPr>
        <w:t xml:space="preserve">Tinkcom, M., </w:t>
      </w:r>
      <w:r w:rsidRPr="00B640D0">
        <w:rPr>
          <w:i/>
          <w:sz w:val="24"/>
          <w:szCs w:val="24"/>
        </w:rPr>
        <w:t>Working Like a Homosexual</w:t>
      </w:r>
      <w:r w:rsidRPr="00B640D0">
        <w:rPr>
          <w:sz w:val="24"/>
          <w:szCs w:val="24"/>
        </w:rPr>
        <w:t xml:space="preserve"> (North Carolina: Duke University Press, 2002).</w:t>
      </w:r>
    </w:p>
    <w:p w14:paraId="32874928" w14:textId="77777777" w:rsidR="0093573C" w:rsidRDefault="0093573C" w:rsidP="00B640D0">
      <w:pPr>
        <w:spacing w:line="360" w:lineRule="auto"/>
        <w:rPr>
          <w:sz w:val="24"/>
          <w:szCs w:val="24"/>
        </w:rPr>
      </w:pPr>
    </w:p>
    <w:p w14:paraId="2016E769" w14:textId="77777777" w:rsidR="0093573C" w:rsidRDefault="007F7D2D" w:rsidP="00B640D0">
      <w:pPr>
        <w:spacing w:line="360" w:lineRule="auto"/>
        <w:rPr>
          <w:sz w:val="24"/>
          <w:szCs w:val="24"/>
        </w:rPr>
      </w:pPr>
      <w:r w:rsidRPr="00B640D0">
        <w:rPr>
          <w:sz w:val="24"/>
          <w:szCs w:val="24"/>
        </w:rPr>
        <w:t xml:space="preserve">Wolf, J. B., </w:t>
      </w:r>
      <w:r w:rsidRPr="00B640D0">
        <w:rPr>
          <w:i/>
          <w:sz w:val="24"/>
          <w:szCs w:val="24"/>
        </w:rPr>
        <w:t>Louis XIV</w:t>
      </w:r>
      <w:r w:rsidRPr="00B640D0">
        <w:rPr>
          <w:sz w:val="24"/>
          <w:szCs w:val="24"/>
        </w:rPr>
        <w:t xml:space="preserve"> (New York: W. W. Norton and Company,1968).</w:t>
      </w:r>
    </w:p>
    <w:p w14:paraId="5CCCA177" w14:textId="600AF99D" w:rsidR="006046BE" w:rsidRPr="0093573C" w:rsidRDefault="00F1161F" w:rsidP="00B640D0">
      <w:pPr>
        <w:spacing w:line="360" w:lineRule="auto"/>
        <w:rPr>
          <w:sz w:val="24"/>
          <w:szCs w:val="24"/>
        </w:rPr>
      </w:pPr>
      <w:r w:rsidRPr="00B640D0">
        <w:rPr>
          <w:b/>
          <w:sz w:val="24"/>
          <w:szCs w:val="24"/>
          <w:u w:val="single"/>
        </w:rPr>
        <w:lastRenderedPageBreak/>
        <w:t xml:space="preserve">Electronic Sources: </w:t>
      </w:r>
    </w:p>
    <w:p w14:paraId="1FD54742" w14:textId="77777777" w:rsidR="0093573C" w:rsidRDefault="0093573C" w:rsidP="00B640D0">
      <w:pPr>
        <w:spacing w:line="360" w:lineRule="auto"/>
        <w:rPr>
          <w:sz w:val="24"/>
          <w:szCs w:val="24"/>
        </w:rPr>
      </w:pPr>
    </w:p>
    <w:p w14:paraId="242BDC5B" w14:textId="77777777" w:rsidR="002F4AED" w:rsidRPr="00B640D0" w:rsidRDefault="002F4AED" w:rsidP="00B640D0">
      <w:pPr>
        <w:spacing w:line="360" w:lineRule="auto"/>
        <w:rPr>
          <w:b/>
          <w:sz w:val="24"/>
          <w:szCs w:val="24"/>
          <w:u w:val="single"/>
        </w:rPr>
      </w:pPr>
      <w:r w:rsidRPr="00B640D0">
        <w:rPr>
          <w:sz w:val="24"/>
          <w:szCs w:val="24"/>
        </w:rPr>
        <w:t>Farlex, ‘Pederasty’,</w:t>
      </w:r>
      <w:r w:rsidRPr="00B640D0">
        <w:rPr>
          <w:i/>
          <w:sz w:val="24"/>
          <w:szCs w:val="24"/>
        </w:rPr>
        <w:t xml:space="preserve"> Encyclopedia of American Law</w:t>
      </w:r>
      <w:r w:rsidRPr="00B640D0">
        <w:rPr>
          <w:sz w:val="24"/>
          <w:szCs w:val="24"/>
        </w:rPr>
        <w:t xml:space="preserve">, vol.2, [online], available at </w:t>
      </w:r>
      <w:hyperlink r:id="rId11" w:history="1">
        <w:r w:rsidRPr="00B640D0">
          <w:rPr>
            <w:rStyle w:val="Hyperlink"/>
            <w:color w:val="2484C6"/>
            <w:sz w:val="24"/>
            <w:szCs w:val="24"/>
            <w:shd w:val="clear" w:color="auto" w:fill="FFFFFF"/>
          </w:rPr>
          <w:t>https://legal-dictionary.thefreedictionary.com/sodomy</w:t>
        </w:r>
      </w:hyperlink>
      <w:r w:rsidRPr="00B640D0">
        <w:rPr>
          <w:rStyle w:val="Hyperlink"/>
          <w:color w:val="2484C6"/>
          <w:sz w:val="24"/>
          <w:szCs w:val="24"/>
          <w:u w:val="none"/>
          <w:shd w:val="clear" w:color="auto" w:fill="FFFFFF"/>
        </w:rPr>
        <w:t xml:space="preserve"> </w:t>
      </w:r>
      <w:r w:rsidRPr="00B640D0">
        <w:rPr>
          <w:rStyle w:val="Hyperlink"/>
          <w:color w:val="auto"/>
          <w:sz w:val="24"/>
          <w:szCs w:val="24"/>
          <w:u w:val="none"/>
          <w:shd w:val="clear" w:color="auto" w:fill="FFFFFF"/>
        </w:rPr>
        <w:t>(accessed: 19</w:t>
      </w:r>
      <w:r w:rsidRPr="00B640D0">
        <w:rPr>
          <w:rStyle w:val="Hyperlink"/>
          <w:color w:val="auto"/>
          <w:sz w:val="24"/>
          <w:szCs w:val="24"/>
          <w:u w:val="none"/>
          <w:shd w:val="clear" w:color="auto" w:fill="FFFFFF"/>
          <w:vertAlign w:val="superscript"/>
        </w:rPr>
        <w:t>th</w:t>
      </w:r>
      <w:r w:rsidRPr="00B640D0">
        <w:rPr>
          <w:rStyle w:val="Hyperlink"/>
          <w:color w:val="auto"/>
          <w:sz w:val="24"/>
          <w:szCs w:val="24"/>
          <w:u w:val="none"/>
          <w:shd w:val="clear" w:color="auto" w:fill="FFFFFF"/>
        </w:rPr>
        <w:t xml:space="preserve"> October 2018).</w:t>
      </w:r>
    </w:p>
    <w:p w14:paraId="19205947" w14:textId="77777777" w:rsidR="002F4AED" w:rsidRDefault="002F4AED" w:rsidP="00B640D0">
      <w:pPr>
        <w:spacing w:line="360" w:lineRule="auto"/>
        <w:rPr>
          <w:sz w:val="24"/>
          <w:szCs w:val="24"/>
        </w:rPr>
      </w:pPr>
    </w:p>
    <w:p w14:paraId="41B15A49" w14:textId="6E35984B" w:rsidR="002F4AED" w:rsidRPr="00B640D0" w:rsidRDefault="002F4AED" w:rsidP="00B640D0">
      <w:pPr>
        <w:spacing w:line="360" w:lineRule="auto"/>
        <w:rPr>
          <w:rStyle w:val="Hyperlink"/>
          <w:color w:val="auto"/>
          <w:sz w:val="24"/>
          <w:szCs w:val="24"/>
          <w:u w:val="none"/>
          <w:shd w:val="clear" w:color="auto" w:fill="FFFFFF"/>
        </w:rPr>
      </w:pPr>
      <w:r w:rsidRPr="00B640D0">
        <w:rPr>
          <w:sz w:val="24"/>
          <w:szCs w:val="24"/>
        </w:rPr>
        <w:t>Farlex, ‘Sodomy’,</w:t>
      </w:r>
      <w:r w:rsidRPr="00B640D0">
        <w:rPr>
          <w:i/>
          <w:sz w:val="24"/>
          <w:szCs w:val="24"/>
        </w:rPr>
        <w:t xml:space="preserve"> Encyclopedia of American Law</w:t>
      </w:r>
      <w:r w:rsidRPr="00B640D0">
        <w:rPr>
          <w:sz w:val="24"/>
          <w:szCs w:val="24"/>
        </w:rPr>
        <w:t xml:space="preserve">, vol.2, [online], available at </w:t>
      </w:r>
      <w:hyperlink r:id="rId12" w:history="1">
        <w:r w:rsidRPr="00B640D0">
          <w:rPr>
            <w:rStyle w:val="Hyperlink"/>
            <w:color w:val="2484C6"/>
            <w:sz w:val="24"/>
            <w:szCs w:val="24"/>
            <w:shd w:val="clear" w:color="auto" w:fill="FFFFFF"/>
          </w:rPr>
          <w:t>https://legal-dictionary.thefreedictionary.com/sodomy</w:t>
        </w:r>
      </w:hyperlink>
      <w:r w:rsidRPr="00B640D0">
        <w:rPr>
          <w:rStyle w:val="Hyperlink"/>
          <w:color w:val="2484C6"/>
          <w:sz w:val="24"/>
          <w:szCs w:val="24"/>
          <w:u w:val="none"/>
          <w:shd w:val="clear" w:color="auto" w:fill="FFFFFF"/>
        </w:rPr>
        <w:t xml:space="preserve"> </w:t>
      </w:r>
      <w:r w:rsidRPr="00B640D0">
        <w:rPr>
          <w:rStyle w:val="Hyperlink"/>
          <w:color w:val="auto"/>
          <w:sz w:val="24"/>
          <w:szCs w:val="24"/>
          <w:u w:val="none"/>
          <w:shd w:val="clear" w:color="auto" w:fill="FFFFFF"/>
        </w:rPr>
        <w:t>(accessed: 19</w:t>
      </w:r>
      <w:r w:rsidRPr="00B640D0">
        <w:rPr>
          <w:rStyle w:val="Hyperlink"/>
          <w:color w:val="auto"/>
          <w:sz w:val="24"/>
          <w:szCs w:val="24"/>
          <w:u w:val="none"/>
          <w:shd w:val="clear" w:color="auto" w:fill="FFFFFF"/>
          <w:vertAlign w:val="superscript"/>
        </w:rPr>
        <w:t>th</w:t>
      </w:r>
      <w:r w:rsidRPr="00B640D0">
        <w:rPr>
          <w:rStyle w:val="Hyperlink"/>
          <w:color w:val="auto"/>
          <w:sz w:val="24"/>
          <w:szCs w:val="24"/>
          <w:u w:val="none"/>
          <w:shd w:val="clear" w:color="auto" w:fill="FFFFFF"/>
        </w:rPr>
        <w:t xml:space="preserve"> October 2018).</w:t>
      </w:r>
    </w:p>
    <w:p w14:paraId="6F6B0425" w14:textId="77777777" w:rsidR="002F4AED" w:rsidRDefault="002F4AED" w:rsidP="00B640D0">
      <w:pPr>
        <w:spacing w:line="360" w:lineRule="auto"/>
        <w:rPr>
          <w:sz w:val="24"/>
          <w:szCs w:val="24"/>
        </w:rPr>
      </w:pPr>
    </w:p>
    <w:p w14:paraId="4BE18A72" w14:textId="090DBF28" w:rsidR="002F4AED" w:rsidRDefault="002F4AED" w:rsidP="00B640D0">
      <w:pPr>
        <w:spacing w:line="360" w:lineRule="auto"/>
        <w:rPr>
          <w:sz w:val="24"/>
          <w:szCs w:val="24"/>
        </w:rPr>
      </w:pPr>
      <w:r w:rsidRPr="00B640D0">
        <w:rPr>
          <w:sz w:val="24"/>
          <w:szCs w:val="24"/>
        </w:rPr>
        <w:t xml:space="preserve">Numista, </w:t>
      </w:r>
      <w:r w:rsidRPr="00B640D0">
        <w:rPr>
          <w:i/>
          <w:sz w:val="24"/>
          <w:szCs w:val="24"/>
        </w:rPr>
        <w:t>2.8 ECUs,</w:t>
      </w:r>
      <w:r w:rsidRPr="00B640D0">
        <w:rPr>
          <w:sz w:val="24"/>
          <w:szCs w:val="24"/>
        </w:rPr>
        <w:t xml:space="preserve"> [online], available at </w:t>
      </w:r>
      <w:hyperlink r:id="rId13" w:history="1">
        <w:r w:rsidRPr="00B640D0">
          <w:rPr>
            <w:rStyle w:val="Hyperlink"/>
            <w:sz w:val="24"/>
            <w:szCs w:val="24"/>
          </w:rPr>
          <w:t>https://en.numista.com/catalogue/pieces25538.html</w:t>
        </w:r>
      </w:hyperlink>
      <w:r w:rsidRPr="00B640D0">
        <w:rPr>
          <w:sz w:val="24"/>
          <w:szCs w:val="24"/>
        </w:rPr>
        <w:t xml:space="preserve"> (accessed: 6</w:t>
      </w:r>
      <w:r w:rsidRPr="00B640D0">
        <w:rPr>
          <w:sz w:val="24"/>
          <w:szCs w:val="24"/>
          <w:vertAlign w:val="superscript"/>
        </w:rPr>
        <w:t>th</w:t>
      </w:r>
      <w:r w:rsidRPr="00B640D0">
        <w:rPr>
          <w:sz w:val="24"/>
          <w:szCs w:val="24"/>
        </w:rPr>
        <w:t xml:space="preserve"> February 2019).</w:t>
      </w:r>
    </w:p>
    <w:p w14:paraId="2A05741F" w14:textId="77777777" w:rsidR="002F4AED" w:rsidRDefault="002F4AED" w:rsidP="00B640D0">
      <w:pPr>
        <w:spacing w:line="360" w:lineRule="auto"/>
        <w:rPr>
          <w:sz w:val="24"/>
          <w:szCs w:val="24"/>
        </w:rPr>
      </w:pPr>
    </w:p>
    <w:p w14:paraId="26890EC8" w14:textId="778AFC7E" w:rsidR="002F4AED" w:rsidRPr="002F4AED" w:rsidRDefault="002F4AED" w:rsidP="00B640D0">
      <w:pPr>
        <w:spacing w:line="360" w:lineRule="auto"/>
        <w:rPr>
          <w:sz w:val="24"/>
          <w:szCs w:val="24"/>
        </w:rPr>
      </w:pPr>
      <w:r w:rsidRPr="002F4AED">
        <w:rPr>
          <w:sz w:val="24"/>
          <w:szCs w:val="24"/>
        </w:rPr>
        <w:t xml:space="preserve">Painting of Philippe, Duke d’Orléans, Chateau de Versailles, Louis XIV Collection, [online]. Available </w:t>
      </w:r>
      <w:r>
        <w:rPr>
          <w:sz w:val="24"/>
          <w:szCs w:val="24"/>
        </w:rPr>
        <w:t xml:space="preserve">at </w:t>
      </w:r>
      <w:hyperlink r:id="rId14" w:anchor="465e82c6-9426-4716-8e84-924cdbfffc7e" w:history="1">
        <w:r w:rsidRPr="00805811">
          <w:rPr>
            <w:rStyle w:val="Hyperlink"/>
            <w:sz w:val="24"/>
            <w:szCs w:val="24"/>
          </w:rPr>
          <w:t>http://collections.chateauversailles.fr/#465e82c6-9426-4716-8e84-924cdbfffc7e</w:t>
        </w:r>
      </w:hyperlink>
      <w:r w:rsidRPr="002F4AED">
        <w:rPr>
          <w:sz w:val="24"/>
          <w:szCs w:val="24"/>
        </w:rPr>
        <w:t xml:space="preserve"> </w:t>
      </w:r>
      <w:r>
        <w:rPr>
          <w:sz w:val="24"/>
          <w:szCs w:val="24"/>
        </w:rPr>
        <w:t>(Accessed: 2</w:t>
      </w:r>
      <w:r w:rsidRPr="002F4AED">
        <w:rPr>
          <w:sz w:val="24"/>
          <w:szCs w:val="24"/>
          <w:vertAlign w:val="superscript"/>
        </w:rPr>
        <w:t>nd</w:t>
      </w:r>
      <w:r>
        <w:rPr>
          <w:sz w:val="24"/>
          <w:szCs w:val="24"/>
        </w:rPr>
        <w:t xml:space="preserve"> April 2019).</w:t>
      </w:r>
    </w:p>
    <w:p w14:paraId="18604312" w14:textId="77777777" w:rsidR="002F4AED" w:rsidRDefault="002F4AED" w:rsidP="00B640D0">
      <w:pPr>
        <w:spacing w:line="360" w:lineRule="auto"/>
        <w:rPr>
          <w:sz w:val="24"/>
          <w:szCs w:val="24"/>
        </w:rPr>
      </w:pPr>
    </w:p>
    <w:p w14:paraId="7308E08D" w14:textId="2E4496F7" w:rsidR="002F4AED" w:rsidRPr="00704F7D" w:rsidRDefault="002F4AED" w:rsidP="00B640D0">
      <w:pPr>
        <w:spacing w:line="360" w:lineRule="auto"/>
        <w:rPr>
          <w:sz w:val="24"/>
          <w:szCs w:val="24"/>
        </w:rPr>
      </w:pPr>
      <w:r w:rsidRPr="00704F7D">
        <w:rPr>
          <w:sz w:val="24"/>
          <w:szCs w:val="24"/>
        </w:rPr>
        <w:t xml:space="preserve">Portrait of Anne of Austria with her Sons by Charles Beaubrun, National Museum of Sweden, </w:t>
      </w:r>
      <w:proofErr w:type="spellStart"/>
      <w:r w:rsidRPr="007E7444">
        <w:rPr>
          <w:i/>
          <w:sz w:val="24"/>
          <w:szCs w:val="24"/>
        </w:rPr>
        <w:t>Gripsholm</w:t>
      </w:r>
      <w:proofErr w:type="spellEnd"/>
      <w:r w:rsidRPr="007E7444">
        <w:rPr>
          <w:i/>
          <w:sz w:val="24"/>
          <w:szCs w:val="24"/>
        </w:rPr>
        <w:t xml:space="preserve"> Castle Collection,</w:t>
      </w:r>
      <w:r w:rsidRPr="00704F7D">
        <w:rPr>
          <w:sz w:val="24"/>
          <w:szCs w:val="24"/>
        </w:rPr>
        <w:t xml:space="preserve"> [online]. Available</w:t>
      </w:r>
      <w:r>
        <w:rPr>
          <w:sz w:val="24"/>
          <w:szCs w:val="24"/>
        </w:rPr>
        <w:t xml:space="preserve"> at</w:t>
      </w:r>
      <w:r w:rsidRPr="00704F7D">
        <w:rPr>
          <w:sz w:val="24"/>
          <w:szCs w:val="24"/>
        </w:rPr>
        <w:t xml:space="preserve"> </w:t>
      </w:r>
      <w:hyperlink r:id="rId15" w:history="1">
        <w:r w:rsidRPr="00704F7D">
          <w:rPr>
            <w:rStyle w:val="Hyperlink"/>
            <w:sz w:val="24"/>
            <w:szCs w:val="24"/>
          </w:rPr>
          <w:t>http://emp-web-84.zetcom.ch/eMP/eMuseumPlus?service=direct/1/ResultListView/result.t1.collection_list.$TspTitleImageLink.link&amp;sp=10&amp;sp=Scollection&amp;sp=SfieldValue&amp;sp=0&amp;sp=0&amp;sp=3&amp;sp=SdetailList&amp;sp=0&amp;sp=Sdetail&amp;sp=0&amp;sp=F&amp;sp=T&amp;sp=0</w:t>
        </w:r>
      </w:hyperlink>
      <w:r w:rsidRPr="00704F7D">
        <w:rPr>
          <w:sz w:val="24"/>
          <w:szCs w:val="24"/>
        </w:rPr>
        <w:t xml:space="preserve"> (Accessed: 8</w:t>
      </w:r>
      <w:r w:rsidRPr="00704F7D">
        <w:rPr>
          <w:sz w:val="24"/>
          <w:szCs w:val="24"/>
          <w:vertAlign w:val="superscript"/>
        </w:rPr>
        <w:t>th</w:t>
      </w:r>
      <w:r w:rsidRPr="00704F7D">
        <w:rPr>
          <w:sz w:val="24"/>
          <w:szCs w:val="24"/>
        </w:rPr>
        <w:t xml:space="preserve"> April 2019).</w:t>
      </w:r>
    </w:p>
    <w:p w14:paraId="0C04311A" w14:textId="17DC6DB7" w:rsidR="000A7557" w:rsidRDefault="000A7557" w:rsidP="00B640D0">
      <w:pPr>
        <w:spacing w:line="360" w:lineRule="auto"/>
        <w:rPr>
          <w:sz w:val="24"/>
        </w:rPr>
      </w:pPr>
    </w:p>
    <w:p w14:paraId="4D1ABA63" w14:textId="156D4D32" w:rsidR="000A7557" w:rsidRDefault="000A7557" w:rsidP="007F2DC0">
      <w:pPr>
        <w:spacing w:line="360" w:lineRule="auto"/>
        <w:rPr>
          <w:sz w:val="24"/>
        </w:rPr>
      </w:pPr>
    </w:p>
    <w:p w14:paraId="1D3739DA" w14:textId="6AB32CFF" w:rsidR="000A7557" w:rsidRDefault="000A7557" w:rsidP="007F2DC0">
      <w:pPr>
        <w:spacing w:line="360" w:lineRule="auto"/>
        <w:rPr>
          <w:sz w:val="24"/>
        </w:rPr>
      </w:pPr>
    </w:p>
    <w:p w14:paraId="76D21371" w14:textId="77777777" w:rsidR="000A7557" w:rsidRPr="008D46B0" w:rsidRDefault="000A7557" w:rsidP="007F2DC0">
      <w:pPr>
        <w:spacing w:line="360" w:lineRule="auto"/>
        <w:rPr>
          <w:sz w:val="24"/>
        </w:rPr>
      </w:pPr>
    </w:p>
    <w:sectPr w:rsidR="000A7557" w:rsidRPr="008D46B0" w:rsidSect="00E32DA9">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593F2" w14:textId="77777777" w:rsidR="00100F36" w:rsidRDefault="00100F36" w:rsidP="00E034B5">
      <w:r>
        <w:separator/>
      </w:r>
    </w:p>
  </w:endnote>
  <w:endnote w:type="continuationSeparator" w:id="0">
    <w:p w14:paraId="02C298D8" w14:textId="77777777" w:rsidR="00100F36" w:rsidRDefault="00100F36" w:rsidP="00E03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7092883"/>
      <w:docPartObj>
        <w:docPartGallery w:val="Page Numbers (Bottom of Page)"/>
        <w:docPartUnique/>
      </w:docPartObj>
    </w:sdtPr>
    <w:sdtEndPr>
      <w:rPr>
        <w:color w:val="7F7F7F" w:themeColor="background1" w:themeShade="7F"/>
        <w:spacing w:val="60"/>
      </w:rPr>
    </w:sdtEndPr>
    <w:sdtContent>
      <w:p w14:paraId="7B2803ED" w14:textId="33008090" w:rsidR="00B1011A" w:rsidRDefault="00B1011A" w:rsidP="00DE1BA9">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Pr>
            <w:b/>
            <w:bCs/>
            <w:noProof/>
          </w:rPr>
          <w:t>2</w:t>
        </w:r>
        <w:r>
          <w:rPr>
            <w:b/>
            <w:bCs/>
            <w:noProof/>
          </w:rPr>
          <w:fldChar w:fldCharType="end"/>
        </w:r>
      </w:p>
    </w:sdtContent>
  </w:sdt>
  <w:p w14:paraId="68032C1B" w14:textId="77777777" w:rsidR="00B1011A" w:rsidRDefault="00B1011A" w:rsidP="003A2524">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4627218"/>
      <w:docPartObj>
        <w:docPartGallery w:val="Page Numbers (Bottom of Page)"/>
        <w:docPartUnique/>
      </w:docPartObj>
    </w:sdtPr>
    <w:sdtEndPr>
      <w:rPr>
        <w:color w:val="7F7F7F" w:themeColor="background1" w:themeShade="7F"/>
        <w:spacing w:val="60"/>
      </w:rPr>
    </w:sdtEndPr>
    <w:sdtContent>
      <w:p w14:paraId="4AE592F7" w14:textId="5392B08D" w:rsidR="00B1011A" w:rsidRPr="00BF6FAD" w:rsidRDefault="00B1011A" w:rsidP="00DE1BA9">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Pr>
            <w:b/>
            <w:bCs/>
            <w:noProof/>
          </w:rPr>
          <w:t>2</w:t>
        </w:r>
        <w:r>
          <w:rPr>
            <w:b/>
            <w:bCs/>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8EE01" w14:textId="77777777" w:rsidR="00100F36" w:rsidRDefault="00100F36" w:rsidP="00E034B5">
      <w:r>
        <w:separator/>
      </w:r>
    </w:p>
  </w:footnote>
  <w:footnote w:type="continuationSeparator" w:id="0">
    <w:p w14:paraId="664AB49D" w14:textId="77777777" w:rsidR="00100F36" w:rsidRDefault="00100F36" w:rsidP="00E034B5">
      <w:r>
        <w:continuationSeparator/>
      </w:r>
    </w:p>
  </w:footnote>
  <w:footnote w:id="1">
    <w:p w14:paraId="4712E69C" w14:textId="77777777" w:rsidR="00FA6CE8" w:rsidRPr="00D472D6" w:rsidRDefault="00FA6CE8" w:rsidP="00FA6CE8">
      <w:pPr>
        <w:pStyle w:val="FootnoteText"/>
        <w:rPr>
          <w:rFonts w:ascii="Times New Roman" w:hAnsi="Times New Roman" w:cs="Times New Roman"/>
        </w:rPr>
      </w:pPr>
      <w:r w:rsidRPr="00D472D6">
        <w:rPr>
          <w:rStyle w:val="FootnoteReference"/>
          <w:rFonts w:ascii="Times New Roman" w:hAnsi="Times New Roman" w:cs="Times New Roman"/>
        </w:rPr>
        <w:footnoteRef/>
      </w:r>
      <w:r w:rsidRPr="00D472D6">
        <w:rPr>
          <w:rFonts w:ascii="Times New Roman" w:hAnsi="Times New Roman" w:cs="Times New Roman"/>
        </w:rPr>
        <w:t xml:space="preserve"> </w:t>
      </w:r>
      <w:r>
        <w:rPr>
          <w:rFonts w:ascii="Times New Roman" w:hAnsi="Times New Roman" w:cs="Times New Roman"/>
        </w:rPr>
        <w:t xml:space="preserve">D. F. Greenberg, </w:t>
      </w:r>
      <w:r w:rsidRPr="007529EB">
        <w:rPr>
          <w:rFonts w:ascii="Times New Roman" w:hAnsi="Times New Roman" w:cs="Times New Roman"/>
          <w:i/>
        </w:rPr>
        <w:t>Construction of Homosexuality</w:t>
      </w:r>
      <w:r w:rsidRPr="00D472D6">
        <w:rPr>
          <w:rFonts w:ascii="Times New Roman" w:hAnsi="Times New Roman" w:cs="Times New Roman"/>
        </w:rPr>
        <w:t xml:space="preserve"> </w:t>
      </w:r>
      <w:r>
        <w:rPr>
          <w:rFonts w:ascii="Times New Roman" w:hAnsi="Times New Roman" w:cs="Times New Roman"/>
        </w:rPr>
        <w:t xml:space="preserve">(Chicago: University of Chicago Press, 1990), </w:t>
      </w:r>
      <w:r w:rsidRPr="00D472D6">
        <w:rPr>
          <w:rFonts w:ascii="Times New Roman" w:hAnsi="Times New Roman" w:cs="Times New Roman"/>
        </w:rPr>
        <w:t>p.316</w:t>
      </w:r>
      <w:r>
        <w:rPr>
          <w:rFonts w:ascii="Times New Roman" w:hAnsi="Times New Roman" w:cs="Times New Roman"/>
        </w:rPr>
        <w:t>.</w:t>
      </w:r>
    </w:p>
  </w:footnote>
  <w:footnote w:id="2">
    <w:p w14:paraId="3B25D2B4" w14:textId="77777777" w:rsidR="00FA6CE8" w:rsidRPr="00D472D6" w:rsidRDefault="00FA6CE8" w:rsidP="00FA6CE8">
      <w:pPr>
        <w:pStyle w:val="FootnoteText"/>
        <w:rPr>
          <w:rFonts w:ascii="Times New Roman" w:hAnsi="Times New Roman" w:cs="Times New Roman"/>
        </w:rPr>
      </w:pPr>
      <w:r w:rsidRPr="00D472D6">
        <w:rPr>
          <w:rStyle w:val="FootnoteReference"/>
          <w:rFonts w:ascii="Times New Roman" w:hAnsi="Times New Roman" w:cs="Times New Roman"/>
        </w:rPr>
        <w:footnoteRef/>
      </w:r>
      <w:r w:rsidRPr="00D472D6">
        <w:rPr>
          <w:rFonts w:ascii="Times New Roman" w:hAnsi="Times New Roman" w:cs="Times New Roman"/>
        </w:rPr>
        <w:t xml:space="preserve"> </w:t>
      </w:r>
      <w:r>
        <w:rPr>
          <w:rFonts w:ascii="Times New Roman" w:hAnsi="Times New Roman" w:cs="Times New Roman"/>
        </w:rPr>
        <w:t xml:space="preserve">Pierre de </w:t>
      </w:r>
      <w:r w:rsidRPr="00D472D6">
        <w:rPr>
          <w:rFonts w:ascii="Times New Roman" w:hAnsi="Times New Roman" w:cs="Times New Roman"/>
        </w:rPr>
        <w:t>L’Estoile</w:t>
      </w:r>
      <w:r>
        <w:rPr>
          <w:rFonts w:ascii="Times New Roman" w:hAnsi="Times New Roman" w:cs="Times New Roman"/>
        </w:rPr>
        <w:t xml:space="preserve">, </w:t>
      </w:r>
      <w:r w:rsidRPr="00A24FB3">
        <w:rPr>
          <w:rFonts w:ascii="Times New Roman" w:hAnsi="Times New Roman" w:cs="Times New Roman"/>
          <w:i/>
        </w:rPr>
        <w:t>Mémoires-Journaux</w:t>
      </w:r>
      <w:r>
        <w:rPr>
          <w:rFonts w:ascii="Times New Roman" w:hAnsi="Times New Roman" w:cs="Times New Roman"/>
        </w:rPr>
        <w:t xml:space="preserve"> in</w:t>
      </w:r>
      <w:r w:rsidRPr="00D472D6">
        <w:rPr>
          <w:rFonts w:ascii="Times New Roman" w:hAnsi="Times New Roman" w:cs="Times New Roman"/>
        </w:rPr>
        <w:t xml:space="preserve"> </w:t>
      </w:r>
      <w:r>
        <w:rPr>
          <w:rFonts w:ascii="Times New Roman" w:hAnsi="Times New Roman" w:cs="Times New Roman"/>
        </w:rPr>
        <w:t xml:space="preserve">K. Crawford, ‘Love, </w:t>
      </w:r>
      <w:r w:rsidRPr="00D472D6">
        <w:rPr>
          <w:rFonts w:ascii="Times New Roman" w:hAnsi="Times New Roman" w:cs="Times New Roman"/>
        </w:rPr>
        <w:t>Sodomy and Scandal</w:t>
      </w:r>
      <w:r>
        <w:rPr>
          <w:rFonts w:ascii="Times New Roman" w:hAnsi="Times New Roman" w:cs="Times New Roman"/>
        </w:rPr>
        <w:t xml:space="preserve">: Controlling the Sexual Reputation of Henry III’, </w:t>
      </w:r>
      <w:r w:rsidRPr="00F56EC7">
        <w:rPr>
          <w:rFonts w:ascii="Times New Roman" w:hAnsi="Times New Roman" w:cs="Times New Roman"/>
          <w:i/>
        </w:rPr>
        <w:t>Journal of the History of Sexuality</w:t>
      </w:r>
      <w:r>
        <w:rPr>
          <w:rFonts w:ascii="Times New Roman" w:hAnsi="Times New Roman" w:cs="Times New Roman"/>
        </w:rPr>
        <w:t>, vol.12 no.4 (2003),</w:t>
      </w:r>
      <w:r w:rsidRPr="00D472D6">
        <w:rPr>
          <w:rFonts w:ascii="Times New Roman" w:hAnsi="Times New Roman" w:cs="Times New Roman"/>
        </w:rPr>
        <w:t xml:space="preserve"> p.524</w:t>
      </w:r>
      <w:r>
        <w:rPr>
          <w:rFonts w:ascii="Times New Roman" w:hAnsi="Times New Roman" w:cs="Times New Roman"/>
        </w:rPr>
        <w:t>.</w:t>
      </w:r>
    </w:p>
  </w:footnote>
  <w:footnote w:id="3">
    <w:p w14:paraId="351109AD" w14:textId="77777777" w:rsidR="00FA6CE8" w:rsidRPr="00D472D6" w:rsidRDefault="00FA6CE8" w:rsidP="00FA6CE8">
      <w:pPr>
        <w:pStyle w:val="FootnoteText"/>
        <w:rPr>
          <w:rFonts w:ascii="Times New Roman" w:hAnsi="Times New Roman" w:cs="Times New Roman"/>
        </w:rPr>
      </w:pPr>
      <w:r w:rsidRPr="00D472D6">
        <w:rPr>
          <w:rStyle w:val="FootnoteReference"/>
          <w:rFonts w:ascii="Times New Roman" w:hAnsi="Times New Roman" w:cs="Times New Roman"/>
        </w:rPr>
        <w:footnoteRef/>
      </w:r>
      <w:r w:rsidRPr="00D472D6">
        <w:rPr>
          <w:rFonts w:ascii="Times New Roman" w:hAnsi="Times New Roman" w:cs="Times New Roman"/>
        </w:rPr>
        <w:t xml:space="preserve"> </w:t>
      </w:r>
      <w:r>
        <w:rPr>
          <w:rFonts w:ascii="Times New Roman" w:hAnsi="Times New Roman" w:cs="Times New Roman"/>
        </w:rPr>
        <w:t xml:space="preserve">Crompton, </w:t>
      </w:r>
      <w:r w:rsidRPr="00F56EC7">
        <w:rPr>
          <w:rFonts w:ascii="Times New Roman" w:hAnsi="Times New Roman" w:cs="Times New Roman"/>
          <w:i/>
        </w:rPr>
        <w:t>Homosexuality and Civilisation</w:t>
      </w:r>
      <w:r>
        <w:rPr>
          <w:rFonts w:ascii="Times New Roman" w:hAnsi="Times New Roman" w:cs="Times New Roman"/>
        </w:rPr>
        <w:t>,</w:t>
      </w:r>
      <w:r w:rsidRPr="00D472D6">
        <w:rPr>
          <w:rFonts w:ascii="Times New Roman" w:hAnsi="Times New Roman" w:cs="Times New Roman"/>
        </w:rPr>
        <w:t xml:space="preserve"> p.336</w:t>
      </w:r>
      <w:r>
        <w:rPr>
          <w:rFonts w:ascii="Times New Roman" w:hAnsi="Times New Roman" w:cs="Times New Roman"/>
        </w:rPr>
        <w:t>.</w:t>
      </w:r>
    </w:p>
  </w:footnote>
  <w:footnote w:id="4">
    <w:p w14:paraId="69ACF3DB" w14:textId="77777777" w:rsidR="00FA6CE8" w:rsidRPr="00D472D6" w:rsidRDefault="00FA6CE8" w:rsidP="00FA6CE8">
      <w:pPr>
        <w:pStyle w:val="FootnoteText"/>
        <w:rPr>
          <w:rFonts w:ascii="Times New Roman" w:hAnsi="Times New Roman" w:cs="Times New Roman"/>
        </w:rPr>
      </w:pPr>
      <w:r w:rsidRPr="00D472D6">
        <w:rPr>
          <w:rStyle w:val="FootnoteReference"/>
          <w:rFonts w:ascii="Times New Roman" w:hAnsi="Times New Roman" w:cs="Times New Roman"/>
        </w:rPr>
        <w:footnoteRef/>
      </w:r>
      <w:r w:rsidRPr="00D472D6">
        <w:rPr>
          <w:rFonts w:ascii="Times New Roman" w:hAnsi="Times New Roman" w:cs="Times New Roman"/>
        </w:rPr>
        <w:t xml:space="preserve"> </w:t>
      </w:r>
      <w:r w:rsidRPr="00F56EC7">
        <w:rPr>
          <w:rFonts w:ascii="Times New Roman" w:hAnsi="Times New Roman" w:cs="Times New Roman"/>
          <w:i/>
        </w:rPr>
        <w:t>ibid.</w:t>
      </w:r>
      <w:r>
        <w:rPr>
          <w:rFonts w:ascii="Times New Roman" w:hAnsi="Times New Roman" w:cs="Times New Roman"/>
        </w:rPr>
        <w:t xml:space="preserve"> </w:t>
      </w:r>
    </w:p>
  </w:footnote>
  <w:footnote w:id="5">
    <w:p w14:paraId="2B1419BD" w14:textId="77777777" w:rsidR="00FA6CE8" w:rsidRDefault="00FA6CE8" w:rsidP="00FA6CE8">
      <w:pPr>
        <w:pStyle w:val="FootnoteText"/>
      </w:pPr>
      <w:r w:rsidRPr="00D472D6">
        <w:rPr>
          <w:rStyle w:val="FootnoteReference"/>
          <w:rFonts w:ascii="Times New Roman" w:hAnsi="Times New Roman" w:cs="Times New Roman"/>
        </w:rPr>
        <w:footnoteRef/>
      </w:r>
      <w:r w:rsidRPr="00D472D6">
        <w:rPr>
          <w:rFonts w:ascii="Times New Roman" w:hAnsi="Times New Roman" w:cs="Times New Roman"/>
        </w:rPr>
        <w:t xml:space="preserve"> </w:t>
      </w:r>
      <w:r w:rsidRPr="00F56EC7">
        <w:rPr>
          <w:rFonts w:ascii="Times New Roman" w:hAnsi="Times New Roman" w:cs="Times New Roman"/>
          <w:i/>
        </w:rPr>
        <w:t>ibid.,</w:t>
      </w:r>
      <w:r w:rsidRPr="00D472D6">
        <w:rPr>
          <w:rFonts w:ascii="Times New Roman" w:hAnsi="Times New Roman" w:cs="Times New Roman"/>
        </w:rPr>
        <w:t xml:space="preserve"> p.339</w:t>
      </w:r>
    </w:p>
  </w:footnote>
  <w:footnote w:id="6">
    <w:p w14:paraId="3D2C20D5" w14:textId="77777777" w:rsidR="00FA6CE8" w:rsidRPr="00F56EC7" w:rsidRDefault="00FA6CE8" w:rsidP="00FA6CE8">
      <w:pPr>
        <w:pStyle w:val="FootnoteText"/>
        <w:rPr>
          <w:rFonts w:ascii="Times New Roman" w:hAnsi="Times New Roman" w:cs="Times New Roman"/>
        </w:rPr>
      </w:pPr>
      <w:r w:rsidRPr="00F56EC7">
        <w:rPr>
          <w:rStyle w:val="FootnoteReference"/>
          <w:rFonts w:ascii="Times New Roman" w:hAnsi="Times New Roman" w:cs="Times New Roman"/>
        </w:rPr>
        <w:footnoteRef/>
      </w:r>
      <w:r w:rsidRPr="00F56EC7">
        <w:rPr>
          <w:rFonts w:ascii="Times New Roman" w:hAnsi="Times New Roman" w:cs="Times New Roman"/>
        </w:rPr>
        <w:t xml:space="preserve"> </w:t>
      </w:r>
      <w:r>
        <w:rPr>
          <w:rFonts w:ascii="Times New Roman" w:hAnsi="Times New Roman" w:cs="Times New Roman"/>
        </w:rPr>
        <w:t xml:space="preserve">Neill, </w:t>
      </w:r>
      <w:r w:rsidRPr="00C47937">
        <w:rPr>
          <w:rFonts w:ascii="Times New Roman" w:hAnsi="Times New Roman" w:cs="Times New Roman"/>
          <w:i/>
        </w:rPr>
        <w:t>The Origins and Role of Same-Sex Relations in Human Societies,</w:t>
      </w:r>
      <w:r w:rsidRPr="00F56EC7">
        <w:rPr>
          <w:rFonts w:ascii="Times New Roman" w:hAnsi="Times New Roman" w:cs="Times New Roman"/>
        </w:rPr>
        <w:t xml:space="preserve"> p.405</w:t>
      </w:r>
      <w:r>
        <w:rPr>
          <w:rFonts w:ascii="Times New Roman" w:hAnsi="Times New Roman" w:cs="Times New Roman"/>
        </w:rPr>
        <w:t>.</w:t>
      </w:r>
    </w:p>
  </w:footnote>
  <w:footnote w:id="7">
    <w:p w14:paraId="60F4558E" w14:textId="77777777" w:rsidR="00FA6CE8" w:rsidRPr="00242EC7" w:rsidRDefault="00FA6CE8" w:rsidP="00FA6CE8">
      <w:pPr>
        <w:pStyle w:val="FootnoteText"/>
        <w:rPr>
          <w:rFonts w:ascii="Times New Roman" w:hAnsi="Times New Roman" w:cs="Times New Roman"/>
        </w:rPr>
      </w:pPr>
      <w:r w:rsidRPr="00F56EC7">
        <w:rPr>
          <w:rStyle w:val="FootnoteReference"/>
          <w:rFonts w:ascii="Times New Roman" w:hAnsi="Times New Roman" w:cs="Times New Roman"/>
        </w:rPr>
        <w:footnoteRef/>
      </w:r>
      <w:r w:rsidRPr="00F56EC7">
        <w:rPr>
          <w:rFonts w:ascii="Times New Roman" w:hAnsi="Times New Roman" w:cs="Times New Roman"/>
        </w:rPr>
        <w:t xml:space="preserve"> </w:t>
      </w:r>
      <w:r w:rsidRPr="00242EC7">
        <w:rPr>
          <w:rFonts w:ascii="Times New Roman" w:hAnsi="Times New Roman" w:cs="Times New Roman"/>
        </w:rPr>
        <w:t xml:space="preserve">Crompton, </w:t>
      </w:r>
      <w:r w:rsidRPr="00242EC7">
        <w:rPr>
          <w:rFonts w:ascii="Times New Roman" w:hAnsi="Times New Roman" w:cs="Times New Roman"/>
          <w:i/>
        </w:rPr>
        <w:t>Homosexuality and Civilisation,</w:t>
      </w:r>
      <w:r w:rsidRPr="00242EC7">
        <w:rPr>
          <w:rFonts w:ascii="Times New Roman" w:hAnsi="Times New Roman" w:cs="Times New Roman"/>
        </w:rPr>
        <w:t xml:space="preserve"> p.336.</w:t>
      </w:r>
    </w:p>
  </w:footnote>
  <w:footnote w:id="8">
    <w:p w14:paraId="1883220C" w14:textId="77777777" w:rsidR="00FA6CE8" w:rsidRPr="00F56EC7" w:rsidRDefault="00FA6CE8" w:rsidP="00FA6CE8">
      <w:pPr>
        <w:pStyle w:val="FootnoteText"/>
        <w:rPr>
          <w:rFonts w:ascii="Times New Roman" w:hAnsi="Times New Roman" w:cs="Times New Roman"/>
        </w:rPr>
      </w:pPr>
      <w:r w:rsidRPr="00F56EC7">
        <w:rPr>
          <w:rStyle w:val="FootnoteReference"/>
          <w:rFonts w:ascii="Times New Roman" w:hAnsi="Times New Roman" w:cs="Times New Roman"/>
        </w:rPr>
        <w:footnoteRef/>
      </w:r>
      <w:r w:rsidRPr="00F56EC7">
        <w:rPr>
          <w:rFonts w:ascii="Times New Roman" w:hAnsi="Times New Roman" w:cs="Times New Roman"/>
        </w:rPr>
        <w:t xml:space="preserve"> </w:t>
      </w:r>
      <w:r>
        <w:rPr>
          <w:rFonts w:ascii="Times New Roman" w:hAnsi="Times New Roman" w:cs="Times New Roman"/>
        </w:rPr>
        <w:t xml:space="preserve">N. Mitford, </w:t>
      </w:r>
      <w:r w:rsidRPr="004954EE">
        <w:rPr>
          <w:rFonts w:ascii="Times New Roman" w:hAnsi="Times New Roman" w:cs="Times New Roman"/>
          <w:i/>
        </w:rPr>
        <w:t>The Sun King</w:t>
      </w:r>
      <w:r w:rsidRPr="00F56EC7">
        <w:rPr>
          <w:rFonts w:ascii="Times New Roman" w:hAnsi="Times New Roman" w:cs="Times New Roman"/>
        </w:rPr>
        <w:t xml:space="preserve"> </w:t>
      </w:r>
      <w:r>
        <w:rPr>
          <w:rFonts w:ascii="Times New Roman" w:hAnsi="Times New Roman" w:cs="Times New Roman"/>
        </w:rPr>
        <w:t xml:space="preserve">(London: Vintage, 2011), </w:t>
      </w:r>
      <w:r w:rsidRPr="00F56EC7">
        <w:rPr>
          <w:rFonts w:ascii="Times New Roman" w:hAnsi="Times New Roman" w:cs="Times New Roman"/>
        </w:rPr>
        <w:t>p.36</w:t>
      </w:r>
      <w:r>
        <w:rPr>
          <w:rFonts w:ascii="Times New Roman" w:hAnsi="Times New Roman" w:cs="Times New Roman"/>
        </w:rPr>
        <w:t>.</w:t>
      </w:r>
    </w:p>
  </w:footnote>
  <w:footnote w:id="9">
    <w:p w14:paraId="79BDEAB1" w14:textId="77777777" w:rsidR="00FA6CE8" w:rsidRPr="00F56EC7" w:rsidRDefault="00FA6CE8" w:rsidP="00FA6CE8">
      <w:pPr>
        <w:pStyle w:val="FootnoteText"/>
        <w:rPr>
          <w:rFonts w:ascii="Times New Roman" w:hAnsi="Times New Roman" w:cs="Times New Roman"/>
        </w:rPr>
      </w:pPr>
      <w:r w:rsidRPr="00F56EC7">
        <w:rPr>
          <w:rStyle w:val="FootnoteReference"/>
          <w:rFonts w:ascii="Times New Roman" w:hAnsi="Times New Roman" w:cs="Times New Roman"/>
        </w:rPr>
        <w:footnoteRef/>
      </w:r>
      <w:r w:rsidRPr="00F56EC7">
        <w:rPr>
          <w:rFonts w:ascii="Times New Roman" w:hAnsi="Times New Roman" w:cs="Times New Roman"/>
        </w:rPr>
        <w:t xml:space="preserve"> </w:t>
      </w:r>
      <w:r>
        <w:rPr>
          <w:rFonts w:ascii="Times New Roman" w:hAnsi="Times New Roman" w:cs="Times New Roman"/>
        </w:rPr>
        <w:t>Elizabeth-Charlotte, ‘7</w:t>
      </w:r>
      <w:r w:rsidRPr="00992044">
        <w:rPr>
          <w:rFonts w:ascii="Times New Roman" w:hAnsi="Times New Roman" w:cs="Times New Roman"/>
          <w:vertAlign w:val="superscript"/>
        </w:rPr>
        <w:t>th</w:t>
      </w:r>
      <w:r>
        <w:rPr>
          <w:rFonts w:ascii="Times New Roman" w:hAnsi="Times New Roman" w:cs="Times New Roman"/>
        </w:rPr>
        <w:t xml:space="preserve"> March 169, to the Duchess of Hanover’, </w:t>
      </w:r>
      <w:r w:rsidRPr="001D3650">
        <w:rPr>
          <w:rFonts w:ascii="Times New Roman" w:hAnsi="Times New Roman" w:cs="Times New Roman"/>
          <w:i/>
        </w:rPr>
        <w:t>The Letters of Madame: The Correspondence of Elizabeth-Charlotte of Bavaria, Princess Palatine, Duchess of Orleans, called ‘Madame’ at the Court of Louis XIV,</w:t>
      </w:r>
      <w:r>
        <w:rPr>
          <w:rFonts w:ascii="Times New Roman" w:hAnsi="Times New Roman" w:cs="Times New Roman"/>
        </w:rPr>
        <w:t xml:space="preserve"> vol.1, translated by G. S. Stevenson (London: Chapman and Dodd, 1924), </w:t>
      </w:r>
      <w:r w:rsidRPr="00F56EC7">
        <w:rPr>
          <w:rFonts w:ascii="Times New Roman" w:hAnsi="Times New Roman" w:cs="Times New Roman"/>
        </w:rPr>
        <w:t>p.130</w:t>
      </w:r>
      <w:r>
        <w:rPr>
          <w:rFonts w:ascii="Times New Roman" w:hAnsi="Times New Roman" w:cs="Times New Roman"/>
        </w:rPr>
        <w:t>.</w:t>
      </w:r>
    </w:p>
  </w:footnote>
  <w:footnote w:id="10">
    <w:p w14:paraId="05E17B52" w14:textId="77777777" w:rsidR="00FA6CE8" w:rsidRPr="00F56EC7" w:rsidRDefault="00FA6CE8" w:rsidP="00FA6CE8">
      <w:pPr>
        <w:pStyle w:val="FootnoteText"/>
        <w:rPr>
          <w:rFonts w:ascii="Times New Roman" w:hAnsi="Times New Roman" w:cs="Times New Roman"/>
        </w:rPr>
      </w:pPr>
      <w:r w:rsidRPr="00F56EC7">
        <w:rPr>
          <w:rStyle w:val="FootnoteReference"/>
          <w:rFonts w:ascii="Times New Roman" w:hAnsi="Times New Roman" w:cs="Times New Roman"/>
        </w:rPr>
        <w:footnoteRef/>
      </w:r>
      <w:r w:rsidRPr="00F56EC7">
        <w:rPr>
          <w:rFonts w:ascii="Times New Roman" w:hAnsi="Times New Roman" w:cs="Times New Roman"/>
        </w:rPr>
        <w:t xml:space="preserve"> </w:t>
      </w:r>
      <w:r>
        <w:rPr>
          <w:rFonts w:ascii="Times New Roman" w:hAnsi="Times New Roman" w:cs="Times New Roman"/>
        </w:rPr>
        <w:t xml:space="preserve">Crompton, </w:t>
      </w:r>
      <w:r w:rsidRPr="00F45D62">
        <w:rPr>
          <w:rFonts w:ascii="Times New Roman" w:hAnsi="Times New Roman" w:cs="Times New Roman"/>
          <w:i/>
        </w:rPr>
        <w:t xml:space="preserve">Homosexuality and Civilisation, </w:t>
      </w:r>
      <w:r w:rsidRPr="00F56EC7">
        <w:rPr>
          <w:rFonts w:ascii="Times New Roman" w:hAnsi="Times New Roman" w:cs="Times New Roman"/>
        </w:rPr>
        <w:t>p.341</w:t>
      </w:r>
      <w:r>
        <w:rPr>
          <w:rFonts w:ascii="Times New Roman" w:hAnsi="Times New Roman" w:cs="Times New Roman"/>
        </w:rPr>
        <w:t>.</w:t>
      </w:r>
    </w:p>
  </w:footnote>
  <w:footnote w:id="11">
    <w:p w14:paraId="3644A55F" w14:textId="77777777" w:rsidR="00FA6CE8" w:rsidRDefault="00FA6CE8" w:rsidP="00FA6CE8">
      <w:pPr>
        <w:pStyle w:val="FootnoteText"/>
      </w:pPr>
      <w:r w:rsidRPr="00F56EC7">
        <w:rPr>
          <w:rStyle w:val="FootnoteReference"/>
          <w:rFonts w:ascii="Times New Roman" w:hAnsi="Times New Roman" w:cs="Times New Roman"/>
        </w:rPr>
        <w:footnoteRef/>
      </w:r>
      <w:r w:rsidRPr="00F56EC7">
        <w:rPr>
          <w:rFonts w:ascii="Times New Roman" w:hAnsi="Times New Roman" w:cs="Times New Roman"/>
        </w:rPr>
        <w:t xml:space="preserve"> </w:t>
      </w:r>
      <w:r>
        <w:rPr>
          <w:rFonts w:ascii="Times New Roman" w:hAnsi="Times New Roman" w:cs="Times New Roman"/>
        </w:rPr>
        <w:t xml:space="preserve">R. Oresko, </w:t>
      </w:r>
      <w:r w:rsidRPr="00C82264">
        <w:rPr>
          <w:rFonts w:ascii="Times New Roman" w:hAnsi="Times New Roman" w:cs="Times New Roman"/>
          <w:i/>
        </w:rPr>
        <w:t>Homosexuality and the Court Elites of Early Modern France: Some Problems, Some Suggestions, and an Example</w:t>
      </w:r>
      <w:r>
        <w:rPr>
          <w:rFonts w:ascii="Times New Roman" w:hAnsi="Times New Roman" w:cs="Times New Roman"/>
        </w:rPr>
        <w:t xml:space="preserve"> in K. Gerard and G. Hekma (eds.), </w:t>
      </w:r>
      <w:r w:rsidRPr="00C82264">
        <w:rPr>
          <w:rFonts w:ascii="Times New Roman" w:hAnsi="Times New Roman" w:cs="Times New Roman"/>
          <w:i/>
        </w:rPr>
        <w:t>The Pursuit of Sodomy: Male Homosexuality in Renaissance and Enlightenment Europe</w:t>
      </w:r>
      <w:r>
        <w:rPr>
          <w:rFonts w:ascii="Times New Roman" w:hAnsi="Times New Roman" w:cs="Times New Roman"/>
        </w:rPr>
        <w:t xml:space="preserve"> (London: Harrington Park Press, 1989),</w:t>
      </w:r>
      <w:r w:rsidRPr="00F56EC7">
        <w:rPr>
          <w:rFonts w:ascii="Times New Roman" w:hAnsi="Times New Roman" w:cs="Times New Roman"/>
        </w:rPr>
        <w:t xml:space="preserve"> p.114</w:t>
      </w:r>
      <w:r>
        <w:rPr>
          <w:rFonts w:ascii="Times New Roman" w:hAnsi="Times New Roman" w:cs="Times New Roman"/>
        </w:rPr>
        <w:t>.</w:t>
      </w:r>
    </w:p>
  </w:footnote>
  <w:footnote w:id="12">
    <w:p w14:paraId="53D3DEA3" w14:textId="627A871B" w:rsidR="00B1011A" w:rsidRPr="00147370" w:rsidRDefault="00B1011A" w:rsidP="00E034B5">
      <w:pPr>
        <w:pStyle w:val="FootnoteText"/>
        <w:rPr>
          <w:rFonts w:ascii="Times New Roman" w:hAnsi="Times New Roman" w:cs="Times New Roman"/>
        </w:rPr>
      </w:pPr>
      <w:r w:rsidRPr="00147370">
        <w:rPr>
          <w:rStyle w:val="FootnoteReference"/>
          <w:rFonts w:ascii="Times New Roman" w:hAnsi="Times New Roman" w:cs="Times New Roman"/>
        </w:rPr>
        <w:footnoteRef/>
      </w:r>
      <w:r w:rsidRPr="00147370">
        <w:rPr>
          <w:rFonts w:ascii="Times New Roman" w:hAnsi="Times New Roman" w:cs="Times New Roman"/>
        </w:rPr>
        <w:t xml:space="preserve"> S. J. Licata</w:t>
      </w:r>
      <w:r>
        <w:rPr>
          <w:rFonts w:ascii="Times New Roman" w:hAnsi="Times New Roman" w:cs="Times New Roman"/>
        </w:rPr>
        <w:t xml:space="preserve"> and R. P. Petersen,</w:t>
      </w:r>
      <w:r w:rsidRPr="00147370">
        <w:rPr>
          <w:rFonts w:ascii="Times New Roman" w:hAnsi="Times New Roman" w:cs="Times New Roman"/>
        </w:rPr>
        <w:t xml:space="preserve"> </w:t>
      </w:r>
      <w:r w:rsidRPr="00296913">
        <w:rPr>
          <w:rFonts w:ascii="Times New Roman" w:hAnsi="Times New Roman" w:cs="Times New Roman"/>
          <w:i/>
        </w:rPr>
        <w:t>Historical Perspective on Homosexuality</w:t>
      </w:r>
      <w:r w:rsidRPr="00147370">
        <w:rPr>
          <w:rFonts w:ascii="Times New Roman" w:hAnsi="Times New Roman" w:cs="Times New Roman"/>
        </w:rPr>
        <w:t xml:space="preserve"> </w:t>
      </w:r>
      <w:r>
        <w:rPr>
          <w:rFonts w:ascii="Times New Roman" w:hAnsi="Times New Roman" w:cs="Times New Roman"/>
        </w:rPr>
        <w:t>(New York: Haworth Press Inc. and Stein and Day, 1981), p.1.</w:t>
      </w:r>
    </w:p>
  </w:footnote>
  <w:footnote w:id="13">
    <w:p w14:paraId="021104CF" w14:textId="34A7D1C4" w:rsidR="00B1011A" w:rsidRPr="00147370" w:rsidRDefault="00B1011A" w:rsidP="00E034B5">
      <w:pPr>
        <w:pStyle w:val="FootnoteText"/>
        <w:rPr>
          <w:rFonts w:ascii="Times New Roman" w:hAnsi="Times New Roman" w:cs="Times New Roman"/>
        </w:rPr>
      </w:pPr>
      <w:r w:rsidRPr="00147370">
        <w:rPr>
          <w:rStyle w:val="FootnoteReference"/>
          <w:rFonts w:ascii="Times New Roman" w:hAnsi="Times New Roman" w:cs="Times New Roman"/>
        </w:rPr>
        <w:footnoteRef/>
      </w:r>
      <w:r w:rsidRPr="00147370">
        <w:rPr>
          <w:rFonts w:ascii="Times New Roman" w:hAnsi="Times New Roman" w:cs="Times New Roman"/>
        </w:rPr>
        <w:t xml:space="preserve"> </w:t>
      </w:r>
      <w:r w:rsidRPr="006E1AB6">
        <w:rPr>
          <w:rFonts w:ascii="Times New Roman" w:hAnsi="Times New Roman" w:cs="Times New Roman"/>
          <w:i/>
        </w:rPr>
        <w:t>ibid.</w:t>
      </w:r>
    </w:p>
  </w:footnote>
  <w:footnote w:id="14">
    <w:p w14:paraId="61F23AC2" w14:textId="38FF764A" w:rsidR="00B1011A" w:rsidRPr="00147370" w:rsidRDefault="00B1011A" w:rsidP="00E034B5">
      <w:pPr>
        <w:pStyle w:val="FootnoteText"/>
        <w:rPr>
          <w:rFonts w:ascii="Times New Roman" w:hAnsi="Times New Roman" w:cs="Times New Roman"/>
        </w:rPr>
      </w:pPr>
      <w:r w:rsidRPr="00147370">
        <w:rPr>
          <w:rStyle w:val="FootnoteReference"/>
          <w:rFonts w:ascii="Times New Roman" w:hAnsi="Times New Roman" w:cs="Times New Roman"/>
        </w:rPr>
        <w:footnoteRef/>
      </w:r>
      <w:r w:rsidRPr="00147370">
        <w:rPr>
          <w:rFonts w:ascii="Times New Roman" w:hAnsi="Times New Roman" w:cs="Times New Roman"/>
        </w:rPr>
        <w:t xml:space="preserve"> </w:t>
      </w:r>
      <w:r>
        <w:rPr>
          <w:rFonts w:ascii="Times New Roman" w:hAnsi="Times New Roman" w:cs="Times New Roman"/>
        </w:rPr>
        <w:t xml:space="preserve">R. Trumbach, ‘The Birth of the Queen: Sodomy and the Emergence of Gender Equality in Modern Culture, 1660-1750, in M. B. Duberman, M. Vicinus and G. Chauncey (eds.), </w:t>
      </w:r>
      <w:r w:rsidRPr="00EA0AEB">
        <w:rPr>
          <w:rFonts w:ascii="Times New Roman" w:hAnsi="Times New Roman" w:cs="Times New Roman"/>
          <w:i/>
        </w:rPr>
        <w:t>Hidden from History</w:t>
      </w:r>
      <w:r>
        <w:rPr>
          <w:rFonts w:ascii="Times New Roman" w:hAnsi="Times New Roman" w:cs="Times New Roman"/>
        </w:rPr>
        <w:t xml:space="preserve"> (London: Penguin Books, 1989), pp. 129-140 (</w:t>
      </w:r>
      <w:r w:rsidRPr="00147370">
        <w:rPr>
          <w:rFonts w:ascii="Times New Roman" w:hAnsi="Times New Roman" w:cs="Times New Roman"/>
        </w:rPr>
        <w:t>p.130</w:t>
      </w:r>
      <w:r>
        <w:rPr>
          <w:rFonts w:ascii="Times New Roman" w:hAnsi="Times New Roman" w:cs="Times New Roman"/>
        </w:rPr>
        <w:t>).</w:t>
      </w:r>
    </w:p>
  </w:footnote>
  <w:footnote w:id="15">
    <w:p w14:paraId="24C52236" w14:textId="510214B6" w:rsidR="00B1011A" w:rsidRPr="00147370" w:rsidRDefault="00B1011A" w:rsidP="00E034B5">
      <w:pPr>
        <w:pStyle w:val="FootnoteText"/>
        <w:rPr>
          <w:rFonts w:ascii="Times New Roman" w:hAnsi="Times New Roman" w:cs="Times New Roman"/>
        </w:rPr>
      </w:pPr>
      <w:r w:rsidRPr="00147370">
        <w:rPr>
          <w:rStyle w:val="FootnoteReference"/>
          <w:rFonts w:ascii="Times New Roman" w:hAnsi="Times New Roman" w:cs="Times New Roman"/>
        </w:rPr>
        <w:footnoteRef/>
      </w:r>
      <w:r w:rsidRPr="00147370">
        <w:rPr>
          <w:rFonts w:ascii="Times New Roman" w:hAnsi="Times New Roman" w:cs="Times New Roman"/>
        </w:rPr>
        <w:t xml:space="preserve"> </w:t>
      </w:r>
      <w:r w:rsidRPr="00A501CE">
        <w:rPr>
          <w:rFonts w:ascii="Times New Roman" w:hAnsi="Times New Roman" w:cs="Times New Roman"/>
          <w:i/>
        </w:rPr>
        <w:t>ibid.</w:t>
      </w:r>
    </w:p>
  </w:footnote>
  <w:footnote w:id="16">
    <w:p w14:paraId="39BE3427" w14:textId="6AB9541E" w:rsidR="00B1011A" w:rsidRPr="00147370" w:rsidRDefault="00B1011A" w:rsidP="00E034B5">
      <w:pPr>
        <w:pStyle w:val="FootnoteText"/>
        <w:rPr>
          <w:rFonts w:ascii="Times New Roman" w:hAnsi="Times New Roman" w:cs="Times New Roman"/>
        </w:rPr>
      </w:pPr>
      <w:r w:rsidRPr="00147370">
        <w:rPr>
          <w:rStyle w:val="FootnoteReference"/>
          <w:rFonts w:ascii="Times New Roman" w:hAnsi="Times New Roman" w:cs="Times New Roman"/>
        </w:rPr>
        <w:footnoteRef/>
      </w:r>
      <w:r w:rsidRPr="00147370">
        <w:rPr>
          <w:rFonts w:ascii="Times New Roman" w:hAnsi="Times New Roman" w:cs="Times New Roman"/>
        </w:rPr>
        <w:t xml:space="preserve"> </w:t>
      </w:r>
      <w:r>
        <w:rPr>
          <w:rFonts w:ascii="Times New Roman" w:hAnsi="Times New Roman" w:cs="Times New Roman"/>
        </w:rPr>
        <w:t xml:space="preserve">Licata and Petersen, </w:t>
      </w:r>
      <w:r w:rsidRPr="00CE0996">
        <w:rPr>
          <w:rFonts w:ascii="Times New Roman" w:hAnsi="Times New Roman" w:cs="Times New Roman"/>
          <w:i/>
        </w:rPr>
        <w:t xml:space="preserve">Historical Perspective on Homosexuality, </w:t>
      </w:r>
      <w:r w:rsidRPr="00147370">
        <w:rPr>
          <w:rFonts w:ascii="Times New Roman" w:hAnsi="Times New Roman" w:cs="Times New Roman"/>
        </w:rPr>
        <w:t>p.2</w:t>
      </w:r>
      <w:r>
        <w:rPr>
          <w:rFonts w:ascii="Times New Roman" w:hAnsi="Times New Roman" w:cs="Times New Roman"/>
        </w:rPr>
        <w:t>.</w:t>
      </w:r>
    </w:p>
  </w:footnote>
  <w:footnote w:id="17">
    <w:p w14:paraId="50E3A165" w14:textId="21BACB49" w:rsidR="00B1011A" w:rsidRDefault="00B1011A" w:rsidP="00E034B5">
      <w:pPr>
        <w:pStyle w:val="FootnoteText"/>
      </w:pPr>
      <w:r w:rsidRPr="00147370">
        <w:rPr>
          <w:rStyle w:val="FootnoteReference"/>
          <w:rFonts w:ascii="Times New Roman" w:hAnsi="Times New Roman" w:cs="Times New Roman"/>
        </w:rPr>
        <w:footnoteRef/>
      </w:r>
      <w:r w:rsidRPr="00147370">
        <w:rPr>
          <w:rFonts w:ascii="Times New Roman" w:hAnsi="Times New Roman" w:cs="Times New Roman"/>
        </w:rPr>
        <w:t xml:space="preserve"> </w:t>
      </w:r>
      <w:r w:rsidRPr="00CE0996">
        <w:rPr>
          <w:rFonts w:ascii="Times New Roman" w:hAnsi="Times New Roman" w:cs="Times New Roman"/>
          <w:i/>
        </w:rPr>
        <w:t>ibid.</w:t>
      </w:r>
    </w:p>
  </w:footnote>
  <w:footnote w:id="18">
    <w:p w14:paraId="47B388BE" w14:textId="03936AB3" w:rsidR="00B1011A" w:rsidRPr="00EC5E75" w:rsidRDefault="00B1011A" w:rsidP="00E034B5">
      <w:pPr>
        <w:pStyle w:val="FootnoteText"/>
        <w:rPr>
          <w:rFonts w:ascii="Times New Roman" w:hAnsi="Times New Roman" w:cs="Times New Roman"/>
        </w:rPr>
      </w:pPr>
      <w:r w:rsidRPr="00EC5E75">
        <w:rPr>
          <w:rStyle w:val="FootnoteReference"/>
          <w:rFonts w:ascii="Times New Roman" w:hAnsi="Times New Roman" w:cs="Times New Roman"/>
        </w:rPr>
        <w:footnoteRef/>
      </w:r>
      <w:r w:rsidRPr="00EC5E75">
        <w:rPr>
          <w:rFonts w:ascii="Times New Roman" w:hAnsi="Times New Roman" w:cs="Times New Roman"/>
        </w:rPr>
        <w:t xml:space="preserve"> </w:t>
      </w:r>
      <w:r w:rsidRPr="009F60AF">
        <w:rPr>
          <w:rFonts w:ascii="Times New Roman" w:hAnsi="Times New Roman" w:cs="Times New Roman"/>
          <w:i/>
        </w:rPr>
        <w:t>ibid.</w:t>
      </w:r>
    </w:p>
  </w:footnote>
  <w:footnote w:id="19">
    <w:p w14:paraId="4D91ADD3" w14:textId="57E797D9" w:rsidR="00B1011A" w:rsidRPr="00EC5E75" w:rsidRDefault="00B1011A" w:rsidP="00E034B5">
      <w:pPr>
        <w:pStyle w:val="FootnoteText"/>
        <w:rPr>
          <w:rFonts w:ascii="Times New Roman" w:hAnsi="Times New Roman" w:cs="Times New Roman"/>
        </w:rPr>
      </w:pPr>
      <w:r w:rsidRPr="00EC5E75">
        <w:rPr>
          <w:rStyle w:val="FootnoteReference"/>
          <w:rFonts w:ascii="Times New Roman" w:hAnsi="Times New Roman" w:cs="Times New Roman"/>
        </w:rPr>
        <w:footnoteRef/>
      </w:r>
      <w:r w:rsidRPr="00EC5E75">
        <w:rPr>
          <w:rFonts w:ascii="Times New Roman" w:hAnsi="Times New Roman" w:cs="Times New Roman"/>
        </w:rPr>
        <w:t xml:space="preserve"> </w:t>
      </w:r>
      <w:r>
        <w:rPr>
          <w:rFonts w:ascii="Times New Roman" w:hAnsi="Times New Roman" w:cs="Times New Roman"/>
        </w:rPr>
        <w:t xml:space="preserve">R. M. Karras, </w:t>
      </w:r>
      <w:r w:rsidRPr="00E34BD0">
        <w:rPr>
          <w:rFonts w:ascii="Times New Roman" w:hAnsi="Times New Roman" w:cs="Times New Roman"/>
          <w:i/>
        </w:rPr>
        <w:t>Sexuality in Medieval Europe: Doing unto Others</w:t>
      </w:r>
      <w:r>
        <w:rPr>
          <w:rFonts w:ascii="Times New Roman" w:hAnsi="Times New Roman" w:cs="Times New Roman"/>
        </w:rPr>
        <w:t xml:space="preserve"> (New York: Routledge, 2005),</w:t>
      </w:r>
      <w:r w:rsidRPr="00EC5E75">
        <w:rPr>
          <w:rFonts w:ascii="Times New Roman" w:hAnsi="Times New Roman" w:cs="Times New Roman"/>
        </w:rPr>
        <w:t xml:space="preserve"> p.145</w:t>
      </w:r>
      <w:r>
        <w:rPr>
          <w:rFonts w:ascii="Times New Roman" w:hAnsi="Times New Roman" w:cs="Times New Roman"/>
        </w:rPr>
        <w:t>.</w:t>
      </w:r>
    </w:p>
  </w:footnote>
  <w:footnote w:id="20">
    <w:p w14:paraId="68C65875" w14:textId="79F65C74" w:rsidR="00B1011A" w:rsidRPr="00116180" w:rsidRDefault="00B1011A" w:rsidP="00E034B5">
      <w:pPr>
        <w:pStyle w:val="FootnoteText"/>
        <w:rPr>
          <w:rFonts w:ascii="Times New Roman" w:hAnsi="Times New Roman" w:cs="Times New Roman"/>
        </w:rPr>
      </w:pPr>
      <w:r w:rsidRPr="00EC5E75">
        <w:rPr>
          <w:rStyle w:val="FootnoteReference"/>
          <w:rFonts w:ascii="Times New Roman" w:hAnsi="Times New Roman" w:cs="Times New Roman"/>
        </w:rPr>
        <w:footnoteRef/>
      </w:r>
      <w:r w:rsidRPr="00EC5E75">
        <w:rPr>
          <w:rFonts w:ascii="Times New Roman" w:hAnsi="Times New Roman" w:cs="Times New Roman"/>
        </w:rPr>
        <w:t xml:space="preserve"> </w:t>
      </w:r>
      <w:r>
        <w:rPr>
          <w:rFonts w:ascii="Times New Roman" w:hAnsi="Times New Roman" w:cs="Times New Roman"/>
        </w:rPr>
        <w:t>Farlex, ‘Sodomy’,</w:t>
      </w:r>
      <w:r w:rsidRPr="008C085D">
        <w:rPr>
          <w:rFonts w:ascii="Times New Roman" w:hAnsi="Times New Roman" w:cs="Times New Roman"/>
          <w:i/>
        </w:rPr>
        <w:t xml:space="preserve"> Encyclopedia of American Law</w:t>
      </w:r>
      <w:r>
        <w:rPr>
          <w:rFonts w:ascii="Times New Roman" w:hAnsi="Times New Roman" w:cs="Times New Roman"/>
        </w:rPr>
        <w:t xml:space="preserve">, vol.2, available at </w:t>
      </w:r>
      <w:hyperlink r:id="rId1" w:history="1">
        <w:r w:rsidRPr="00EC5E75">
          <w:rPr>
            <w:rStyle w:val="Hyperlink"/>
            <w:rFonts w:ascii="Times New Roman" w:hAnsi="Times New Roman" w:cs="Times New Roman"/>
            <w:color w:val="2484C6"/>
            <w:shd w:val="clear" w:color="auto" w:fill="FFFFFF"/>
          </w:rPr>
          <w:t>https://legal-dictionary.thefreedictionary.com/sodomy</w:t>
        </w:r>
      </w:hyperlink>
      <w:r w:rsidRPr="00A405D4">
        <w:rPr>
          <w:rStyle w:val="Hyperlink"/>
          <w:rFonts w:ascii="Times New Roman" w:hAnsi="Times New Roman" w:cs="Times New Roman"/>
          <w:color w:val="2484C6"/>
          <w:u w:val="none"/>
          <w:shd w:val="clear" w:color="auto" w:fill="FFFFFF"/>
        </w:rPr>
        <w:t xml:space="preserve"> </w:t>
      </w:r>
      <w:r w:rsidRPr="00116180">
        <w:rPr>
          <w:rStyle w:val="Hyperlink"/>
          <w:rFonts w:ascii="Times New Roman" w:hAnsi="Times New Roman" w:cs="Times New Roman"/>
          <w:color w:val="auto"/>
          <w:u w:val="none"/>
          <w:shd w:val="clear" w:color="auto" w:fill="FFFFFF"/>
        </w:rPr>
        <w:t>(</w:t>
      </w:r>
      <w:r>
        <w:rPr>
          <w:rStyle w:val="Hyperlink"/>
          <w:rFonts w:ascii="Times New Roman" w:hAnsi="Times New Roman" w:cs="Times New Roman"/>
          <w:color w:val="auto"/>
          <w:u w:val="none"/>
          <w:shd w:val="clear" w:color="auto" w:fill="FFFFFF"/>
        </w:rPr>
        <w:t>accessed: 19</w:t>
      </w:r>
      <w:r w:rsidRPr="002540AE">
        <w:rPr>
          <w:rStyle w:val="Hyperlink"/>
          <w:rFonts w:ascii="Times New Roman" w:hAnsi="Times New Roman" w:cs="Times New Roman"/>
          <w:color w:val="auto"/>
          <w:u w:val="none"/>
          <w:shd w:val="clear" w:color="auto" w:fill="FFFFFF"/>
          <w:vertAlign w:val="superscript"/>
        </w:rPr>
        <w:t>th</w:t>
      </w:r>
      <w:r>
        <w:rPr>
          <w:rStyle w:val="Hyperlink"/>
          <w:rFonts w:ascii="Times New Roman" w:hAnsi="Times New Roman" w:cs="Times New Roman"/>
          <w:color w:val="auto"/>
          <w:u w:val="none"/>
          <w:shd w:val="clear" w:color="auto" w:fill="FFFFFF"/>
        </w:rPr>
        <w:t xml:space="preserve"> October 2018).</w:t>
      </w:r>
    </w:p>
  </w:footnote>
  <w:footnote w:id="21">
    <w:p w14:paraId="1C3C746C" w14:textId="3AC5F375" w:rsidR="00B1011A" w:rsidRDefault="00B1011A" w:rsidP="00E034B5">
      <w:pPr>
        <w:pStyle w:val="FootnoteText"/>
      </w:pPr>
      <w:r w:rsidRPr="00EC5E75">
        <w:rPr>
          <w:rStyle w:val="FootnoteReference"/>
          <w:rFonts w:ascii="Times New Roman" w:hAnsi="Times New Roman" w:cs="Times New Roman"/>
        </w:rPr>
        <w:footnoteRef/>
      </w:r>
      <w:r w:rsidRPr="00EC5E75">
        <w:rPr>
          <w:rFonts w:ascii="Times New Roman" w:hAnsi="Times New Roman" w:cs="Times New Roman"/>
        </w:rPr>
        <w:t xml:space="preserve"> </w:t>
      </w:r>
      <w:r w:rsidRPr="00A405D4">
        <w:rPr>
          <w:rFonts w:ascii="Times New Roman" w:hAnsi="Times New Roman" w:cs="Times New Roman"/>
          <w:i/>
        </w:rPr>
        <w:t>ibid.</w:t>
      </w:r>
    </w:p>
  </w:footnote>
  <w:footnote w:id="22">
    <w:p w14:paraId="564B06A2" w14:textId="3507D184" w:rsidR="00B1011A" w:rsidRPr="002540AE" w:rsidRDefault="00B1011A" w:rsidP="00E034B5">
      <w:pPr>
        <w:pStyle w:val="FootnoteText"/>
        <w:rPr>
          <w:rFonts w:ascii="Times New Roman" w:hAnsi="Times New Roman" w:cs="Times New Roman"/>
        </w:rPr>
      </w:pPr>
      <w:r w:rsidRPr="002540AE">
        <w:rPr>
          <w:rStyle w:val="FootnoteReference"/>
          <w:rFonts w:ascii="Times New Roman" w:hAnsi="Times New Roman" w:cs="Times New Roman"/>
        </w:rPr>
        <w:footnoteRef/>
      </w:r>
      <w:r>
        <w:rPr>
          <w:rFonts w:ascii="Times New Roman" w:hAnsi="Times New Roman" w:cs="Times New Roman"/>
          <w:color w:val="404040"/>
          <w:shd w:val="clear" w:color="auto" w:fill="FFFFFF"/>
        </w:rPr>
        <w:t xml:space="preserve"> Farlex</w:t>
      </w:r>
      <w:r w:rsidRPr="002540AE">
        <w:rPr>
          <w:rFonts w:ascii="Times New Roman" w:hAnsi="Times New Roman" w:cs="Times New Roman"/>
        </w:rPr>
        <w:t>, ‘</w:t>
      </w:r>
      <w:r>
        <w:rPr>
          <w:rFonts w:ascii="Times New Roman" w:hAnsi="Times New Roman" w:cs="Times New Roman"/>
        </w:rPr>
        <w:t>Pederasty</w:t>
      </w:r>
      <w:r w:rsidRPr="002540AE">
        <w:rPr>
          <w:rFonts w:ascii="Times New Roman" w:hAnsi="Times New Roman" w:cs="Times New Roman"/>
        </w:rPr>
        <w:t>’,</w:t>
      </w:r>
      <w:r w:rsidRPr="002540AE">
        <w:rPr>
          <w:rFonts w:ascii="Times New Roman" w:hAnsi="Times New Roman" w:cs="Times New Roman"/>
          <w:i/>
        </w:rPr>
        <w:t xml:space="preserve"> Encyclopedia of American Law</w:t>
      </w:r>
      <w:r w:rsidRPr="002540AE">
        <w:rPr>
          <w:rFonts w:ascii="Times New Roman" w:hAnsi="Times New Roman" w:cs="Times New Roman"/>
        </w:rPr>
        <w:t>, vol.2, available at</w:t>
      </w:r>
      <w:r>
        <w:rPr>
          <w:rFonts w:ascii="Times New Roman" w:hAnsi="Times New Roman" w:cs="Times New Roman"/>
        </w:rPr>
        <w:t xml:space="preserve"> </w:t>
      </w:r>
      <w:hyperlink r:id="rId2" w:history="1">
        <w:r w:rsidRPr="00C70E6C">
          <w:rPr>
            <w:rStyle w:val="Hyperlink"/>
            <w:rFonts w:ascii="Times New Roman" w:hAnsi="Times New Roman" w:cs="Times New Roman"/>
            <w:shd w:val="clear" w:color="auto" w:fill="FFFFFF"/>
          </w:rPr>
          <w:t>https://legal-dictionary.thefreedictionary.com/Pederasty</w:t>
        </w:r>
      </w:hyperlink>
      <w:r w:rsidRPr="002540AE">
        <w:rPr>
          <w:rFonts w:ascii="Times New Roman" w:hAnsi="Times New Roman" w:cs="Times New Roman"/>
        </w:rPr>
        <w:t xml:space="preserve"> </w:t>
      </w:r>
      <w:r w:rsidRPr="002540AE">
        <w:rPr>
          <w:rStyle w:val="Hyperlink"/>
          <w:rFonts w:ascii="Times New Roman" w:hAnsi="Times New Roman" w:cs="Times New Roman"/>
          <w:color w:val="auto"/>
          <w:u w:val="none"/>
          <w:shd w:val="clear" w:color="auto" w:fill="FFFFFF"/>
        </w:rPr>
        <w:t xml:space="preserve">(accessed: </w:t>
      </w:r>
      <w:r>
        <w:rPr>
          <w:rStyle w:val="Hyperlink"/>
          <w:rFonts w:ascii="Times New Roman" w:hAnsi="Times New Roman" w:cs="Times New Roman"/>
          <w:color w:val="auto"/>
          <w:u w:val="none"/>
          <w:shd w:val="clear" w:color="auto" w:fill="FFFFFF"/>
        </w:rPr>
        <w:t>21</w:t>
      </w:r>
      <w:r w:rsidRPr="002540AE">
        <w:rPr>
          <w:rStyle w:val="Hyperlink"/>
          <w:rFonts w:ascii="Times New Roman" w:hAnsi="Times New Roman" w:cs="Times New Roman"/>
          <w:color w:val="auto"/>
          <w:u w:val="none"/>
          <w:shd w:val="clear" w:color="auto" w:fill="FFFFFF"/>
          <w:vertAlign w:val="superscript"/>
        </w:rPr>
        <w:t>th</w:t>
      </w:r>
      <w:r w:rsidRPr="002540AE">
        <w:rPr>
          <w:rStyle w:val="Hyperlink"/>
          <w:rFonts w:ascii="Times New Roman" w:hAnsi="Times New Roman" w:cs="Times New Roman"/>
          <w:color w:val="auto"/>
          <w:u w:val="none"/>
          <w:shd w:val="clear" w:color="auto" w:fill="FFFFFF"/>
        </w:rPr>
        <w:t xml:space="preserve"> October 2018).</w:t>
      </w:r>
    </w:p>
  </w:footnote>
  <w:footnote w:id="23">
    <w:p w14:paraId="174A65EC" w14:textId="271E3953" w:rsidR="00B1011A" w:rsidRDefault="00B1011A" w:rsidP="00E034B5">
      <w:pPr>
        <w:pStyle w:val="FootnoteText"/>
      </w:pPr>
      <w:r w:rsidRPr="002540AE">
        <w:rPr>
          <w:rStyle w:val="FootnoteReference"/>
          <w:rFonts w:ascii="Times New Roman" w:hAnsi="Times New Roman" w:cs="Times New Roman"/>
        </w:rPr>
        <w:footnoteRef/>
      </w:r>
      <w:r w:rsidRPr="002540AE">
        <w:rPr>
          <w:rFonts w:ascii="Times New Roman" w:hAnsi="Times New Roman" w:cs="Times New Roman"/>
        </w:rPr>
        <w:t xml:space="preserve"> </w:t>
      </w:r>
      <w:r w:rsidRPr="00AF77A5">
        <w:rPr>
          <w:rFonts w:ascii="Times New Roman" w:hAnsi="Times New Roman" w:cs="Times New Roman"/>
          <w:i/>
        </w:rPr>
        <w:t>ibid.</w:t>
      </w:r>
      <w:r>
        <w:rPr>
          <w:rFonts w:ascii="Times New Roman" w:hAnsi="Times New Roman" w:cs="Times New Roman"/>
        </w:rPr>
        <w:t xml:space="preserve"> </w:t>
      </w:r>
    </w:p>
  </w:footnote>
  <w:footnote w:id="24">
    <w:p w14:paraId="1C34C5E2" w14:textId="3EB98764" w:rsidR="00B1011A" w:rsidRPr="005C6A86" w:rsidRDefault="00B1011A" w:rsidP="00E034B5">
      <w:pPr>
        <w:pStyle w:val="FootnoteText"/>
        <w:rPr>
          <w:rFonts w:ascii="Times New Roman" w:hAnsi="Times New Roman" w:cs="Times New Roman"/>
        </w:rPr>
      </w:pPr>
      <w:r w:rsidRPr="005C6A86">
        <w:rPr>
          <w:rStyle w:val="FootnoteReference"/>
          <w:rFonts w:ascii="Times New Roman" w:hAnsi="Times New Roman" w:cs="Times New Roman"/>
        </w:rPr>
        <w:footnoteRef/>
      </w:r>
      <w:r w:rsidRPr="005C6A86">
        <w:rPr>
          <w:rFonts w:ascii="Times New Roman" w:hAnsi="Times New Roman" w:cs="Times New Roman"/>
        </w:rPr>
        <w:t xml:space="preserve"> L. Crompton, </w:t>
      </w:r>
      <w:r w:rsidRPr="003231A5">
        <w:rPr>
          <w:rFonts w:ascii="Times New Roman" w:hAnsi="Times New Roman" w:cs="Times New Roman"/>
          <w:i/>
        </w:rPr>
        <w:t>Homosexuality and Civilisation</w:t>
      </w:r>
      <w:r w:rsidRPr="005C6A86">
        <w:rPr>
          <w:rFonts w:ascii="Times New Roman" w:hAnsi="Times New Roman" w:cs="Times New Roman"/>
        </w:rPr>
        <w:t xml:space="preserve"> (London:</w:t>
      </w:r>
      <w:r>
        <w:rPr>
          <w:rFonts w:ascii="Times New Roman" w:hAnsi="Times New Roman" w:cs="Times New Roman"/>
        </w:rPr>
        <w:t xml:space="preserve"> The Belknap Press of Harvard University Press, 2006),</w:t>
      </w:r>
      <w:r w:rsidRPr="005C6A86">
        <w:rPr>
          <w:rFonts w:ascii="Times New Roman" w:hAnsi="Times New Roman" w:cs="Times New Roman"/>
        </w:rPr>
        <w:t xml:space="preserve"> p.5</w:t>
      </w:r>
      <w:r>
        <w:rPr>
          <w:rFonts w:ascii="Times New Roman" w:hAnsi="Times New Roman" w:cs="Times New Roman"/>
        </w:rPr>
        <w:t>.</w:t>
      </w:r>
    </w:p>
  </w:footnote>
  <w:footnote w:id="25">
    <w:p w14:paraId="2F983CF4" w14:textId="61FB6432" w:rsidR="00B1011A" w:rsidRPr="003231A5" w:rsidRDefault="00B1011A" w:rsidP="00E034B5">
      <w:pPr>
        <w:pStyle w:val="FootnoteText"/>
        <w:rPr>
          <w:rFonts w:ascii="Times New Roman" w:hAnsi="Times New Roman" w:cs="Times New Roman"/>
        </w:rPr>
      </w:pPr>
      <w:r w:rsidRPr="003231A5">
        <w:rPr>
          <w:rStyle w:val="FootnoteReference"/>
          <w:rFonts w:ascii="Times New Roman" w:hAnsi="Times New Roman" w:cs="Times New Roman"/>
        </w:rPr>
        <w:footnoteRef/>
      </w:r>
      <w:r w:rsidRPr="003231A5">
        <w:rPr>
          <w:rFonts w:ascii="Times New Roman" w:hAnsi="Times New Roman" w:cs="Times New Roman"/>
        </w:rPr>
        <w:t xml:space="preserve"> </w:t>
      </w:r>
      <w:r>
        <w:rPr>
          <w:rFonts w:ascii="Times New Roman" w:hAnsi="Times New Roman" w:cs="Times New Roman"/>
        </w:rPr>
        <w:t xml:space="preserve">S. B. Pomeroy, </w:t>
      </w:r>
      <w:r w:rsidRPr="003231A5">
        <w:rPr>
          <w:rFonts w:ascii="Times New Roman" w:hAnsi="Times New Roman" w:cs="Times New Roman"/>
          <w:i/>
        </w:rPr>
        <w:t>Goddesses, Whores, Wives and Slaves</w:t>
      </w:r>
      <w:r w:rsidRPr="003231A5">
        <w:rPr>
          <w:rFonts w:ascii="Times New Roman" w:hAnsi="Times New Roman" w:cs="Times New Roman"/>
        </w:rPr>
        <w:t xml:space="preserve"> (</w:t>
      </w:r>
      <w:r>
        <w:rPr>
          <w:rFonts w:ascii="Times New Roman" w:hAnsi="Times New Roman" w:cs="Times New Roman"/>
        </w:rPr>
        <w:t>London: The Bodley Head, 1975</w:t>
      </w:r>
      <w:r w:rsidRPr="003231A5">
        <w:rPr>
          <w:rFonts w:ascii="Times New Roman" w:hAnsi="Times New Roman" w:cs="Times New Roman"/>
        </w:rPr>
        <w:t>)</w:t>
      </w:r>
      <w:r>
        <w:rPr>
          <w:rFonts w:ascii="Times New Roman" w:hAnsi="Times New Roman" w:cs="Times New Roman"/>
        </w:rPr>
        <w:t>,</w:t>
      </w:r>
      <w:r w:rsidRPr="003231A5">
        <w:rPr>
          <w:rFonts w:ascii="Times New Roman" w:hAnsi="Times New Roman" w:cs="Times New Roman"/>
        </w:rPr>
        <w:t xml:space="preserve"> p.12-13</w:t>
      </w:r>
      <w:r>
        <w:rPr>
          <w:rFonts w:ascii="Times New Roman" w:hAnsi="Times New Roman" w:cs="Times New Roman"/>
        </w:rPr>
        <w:t>.</w:t>
      </w:r>
    </w:p>
  </w:footnote>
  <w:footnote w:id="26">
    <w:p w14:paraId="7E672BE9" w14:textId="4144230C" w:rsidR="00B1011A" w:rsidRDefault="00B1011A" w:rsidP="00E034B5">
      <w:pPr>
        <w:pStyle w:val="FootnoteText"/>
      </w:pPr>
      <w:r w:rsidRPr="003231A5">
        <w:rPr>
          <w:rStyle w:val="FootnoteReference"/>
          <w:rFonts w:ascii="Times New Roman" w:hAnsi="Times New Roman" w:cs="Times New Roman"/>
        </w:rPr>
        <w:footnoteRef/>
      </w:r>
      <w:r w:rsidRPr="003231A5">
        <w:rPr>
          <w:rFonts w:ascii="Times New Roman" w:hAnsi="Times New Roman" w:cs="Times New Roman"/>
        </w:rPr>
        <w:t xml:space="preserve"> </w:t>
      </w:r>
      <w:r>
        <w:rPr>
          <w:rFonts w:ascii="Times New Roman" w:hAnsi="Times New Roman" w:cs="Times New Roman"/>
        </w:rPr>
        <w:t xml:space="preserve">J. Neill, </w:t>
      </w:r>
      <w:r w:rsidRPr="00D472D6">
        <w:rPr>
          <w:rFonts w:ascii="Times New Roman" w:hAnsi="Times New Roman" w:cs="Times New Roman"/>
          <w:i/>
        </w:rPr>
        <w:t xml:space="preserve">The Origins and Role of Same-Sex Relations in Human </w:t>
      </w:r>
      <w:r>
        <w:rPr>
          <w:rFonts w:ascii="Times New Roman" w:hAnsi="Times New Roman" w:cs="Times New Roman"/>
        </w:rPr>
        <w:t xml:space="preserve">Societies (London: McFarland and Company, Inc., 1940), </w:t>
      </w:r>
      <w:r w:rsidRPr="003231A5">
        <w:rPr>
          <w:rFonts w:ascii="Times New Roman" w:hAnsi="Times New Roman" w:cs="Times New Roman"/>
        </w:rPr>
        <w:t>p.407</w:t>
      </w:r>
      <w:r>
        <w:rPr>
          <w:rFonts w:ascii="Times New Roman" w:hAnsi="Times New Roman" w:cs="Times New Roman"/>
        </w:rPr>
        <w:t>.</w:t>
      </w:r>
    </w:p>
  </w:footnote>
  <w:footnote w:id="27">
    <w:p w14:paraId="02134FAF" w14:textId="5FF63EF3" w:rsidR="00B1011A" w:rsidRPr="00C37669" w:rsidRDefault="00B1011A" w:rsidP="00E034B5">
      <w:pPr>
        <w:pStyle w:val="FootnoteText"/>
        <w:rPr>
          <w:rFonts w:ascii="Times New Roman" w:hAnsi="Times New Roman" w:cs="Times New Roman"/>
        </w:rPr>
      </w:pPr>
      <w:r w:rsidRPr="00C37669">
        <w:rPr>
          <w:rStyle w:val="FootnoteReference"/>
          <w:rFonts w:ascii="Times New Roman" w:hAnsi="Times New Roman" w:cs="Times New Roman"/>
        </w:rPr>
        <w:footnoteRef/>
      </w:r>
      <w:r w:rsidRPr="00C37669">
        <w:rPr>
          <w:rFonts w:ascii="Times New Roman" w:hAnsi="Times New Roman" w:cs="Times New Roman"/>
        </w:rPr>
        <w:t xml:space="preserve"> </w:t>
      </w:r>
      <w:r>
        <w:rPr>
          <w:rFonts w:ascii="Times New Roman" w:hAnsi="Times New Roman" w:cs="Times New Roman"/>
        </w:rPr>
        <w:t xml:space="preserve">Greenberg, </w:t>
      </w:r>
      <w:r w:rsidRPr="00AE4163">
        <w:rPr>
          <w:rFonts w:ascii="Times New Roman" w:hAnsi="Times New Roman" w:cs="Times New Roman"/>
          <w:i/>
        </w:rPr>
        <w:t>The Construction of Homosexuality,</w:t>
      </w:r>
      <w:r>
        <w:rPr>
          <w:rFonts w:ascii="Times New Roman" w:hAnsi="Times New Roman" w:cs="Times New Roman"/>
        </w:rPr>
        <w:t xml:space="preserve"> </w:t>
      </w:r>
      <w:r w:rsidRPr="00C37669">
        <w:rPr>
          <w:rFonts w:ascii="Times New Roman" w:hAnsi="Times New Roman" w:cs="Times New Roman"/>
        </w:rPr>
        <w:t>p.316</w:t>
      </w:r>
      <w:r>
        <w:rPr>
          <w:rFonts w:ascii="Times New Roman" w:hAnsi="Times New Roman" w:cs="Times New Roman"/>
        </w:rPr>
        <w:t>.</w:t>
      </w:r>
    </w:p>
  </w:footnote>
  <w:footnote w:id="28">
    <w:p w14:paraId="39E4A020" w14:textId="712077DB" w:rsidR="00B1011A" w:rsidRPr="00C37669" w:rsidRDefault="00B1011A" w:rsidP="00E034B5">
      <w:pPr>
        <w:pStyle w:val="FootnoteText"/>
        <w:rPr>
          <w:rFonts w:ascii="Times New Roman" w:hAnsi="Times New Roman" w:cs="Times New Roman"/>
        </w:rPr>
      </w:pPr>
      <w:r w:rsidRPr="00C37669">
        <w:rPr>
          <w:rStyle w:val="FootnoteReference"/>
          <w:rFonts w:ascii="Times New Roman" w:hAnsi="Times New Roman" w:cs="Times New Roman"/>
        </w:rPr>
        <w:footnoteRef/>
      </w:r>
      <w:r w:rsidRPr="00C37669">
        <w:rPr>
          <w:rFonts w:ascii="Times New Roman" w:hAnsi="Times New Roman" w:cs="Times New Roman"/>
        </w:rPr>
        <w:t xml:space="preserve"> </w:t>
      </w:r>
      <w:r>
        <w:rPr>
          <w:rFonts w:ascii="Times New Roman" w:hAnsi="Times New Roman" w:cs="Times New Roman"/>
        </w:rPr>
        <w:t xml:space="preserve">Mitford, </w:t>
      </w:r>
      <w:r w:rsidRPr="00AE4163">
        <w:rPr>
          <w:rFonts w:ascii="Times New Roman" w:hAnsi="Times New Roman" w:cs="Times New Roman"/>
          <w:i/>
        </w:rPr>
        <w:t>The Sun king,</w:t>
      </w:r>
      <w:r w:rsidRPr="00C37669">
        <w:rPr>
          <w:rFonts w:ascii="Times New Roman" w:hAnsi="Times New Roman" w:cs="Times New Roman"/>
        </w:rPr>
        <w:t xml:space="preserve"> p.38</w:t>
      </w:r>
      <w:r>
        <w:rPr>
          <w:rFonts w:ascii="Times New Roman" w:hAnsi="Times New Roman" w:cs="Times New Roman"/>
        </w:rPr>
        <w:t>.</w:t>
      </w:r>
    </w:p>
  </w:footnote>
  <w:footnote w:id="29">
    <w:p w14:paraId="12DFC445" w14:textId="035BB48C" w:rsidR="00B1011A" w:rsidRPr="00C37669" w:rsidRDefault="00B1011A" w:rsidP="00E034B5">
      <w:pPr>
        <w:pStyle w:val="FootnoteText"/>
        <w:rPr>
          <w:rFonts w:ascii="Times New Roman" w:hAnsi="Times New Roman" w:cs="Times New Roman"/>
        </w:rPr>
      </w:pPr>
      <w:r w:rsidRPr="00C37669">
        <w:rPr>
          <w:rStyle w:val="FootnoteReference"/>
          <w:rFonts w:ascii="Times New Roman" w:hAnsi="Times New Roman" w:cs="Times New Roman"/>
        </w:rPr>
        <w:footnoteRef/>
      </w:r>
      <w:r w:rsidRPr="00C37669">
        <w:rPr>
          <w:rFonts w:ascii="Times New Roman" w:hAnsi="Times New Roman" w:cs="Times New Roman"/>
        </w:rPr>
        <w:t xml:space="preserve"> </w:t>
      </w:r>
      <w:r w:rsidRPr="00AE4163">
        <w:rPr>
          <w:rFonts w:ascii="Times New Roman" w:hAnsi="Times New Roman" w:cs="Times New Roman"/>
          <w:i/>
        </w:rPr>
        <w:t>ibid.</w:t>
      </w:r>
    </w:p>
  </w:footnote>
  <w:footnote w:id="30">
    <w:p w14:paraId="0DB9C86E" w14:textId="6F4A9461" w:rsidR="00B1011A" w:rsidRPr="004B453F" w:rsidRDefault="00B1011A" w:rsidP="00E034B5">
      <w:pPr>
        <w:pStyle w:val="FootnoteText"/>
        <w:rPr>
          <w:rFonts w:ascii="Times New Roman" w:hAnsi="Times New Roman" w:cs="Times New Roman"/>
        </w:rPr>
      </w:pPr>
      <w:r w:rsidRPr="00C37669">
        <w:rPr>
          <w:rStyle w:val="FootnoteReference"/>
          <w:rFonts w:ascii="Times New Roman" w:hAnsi="Times New Roman" w:cs="Times New Roman"/>
        </w:rPr>
        <w:footnoteRef/>
      </w:r>
      <w:r w:rsidRPr="00C37669">
        <w:rPr>
          <w:rFonts w:ascii="Times New Roman" w:hAnsi="Times New Roman" w:cs="Times New Roman"/>
        </w:rPr>
        <w:t xml:space="preserve"> </w:t>
      </w:r>
      <w:r>
        <w:rPr>
          <w:rFonts w:ascii="Times New Roman" w:hAnsi="Times New Roman" w:cs="Times New Roman"/>
        </w:rPr>
        <w:t>Elizabeth-Charlotte, ‘10</w:t>
      </w:r>
      <w:r w:rsidRPr="008D4610">
        <w:rPr>
          <w:rFonts w:ascii="Times New Roman" w:hAnsi="Times New Roman" w:cs="Times New Roman"/>
          <w:vertAlign w:val="superscript"/>
        </w:rPr>
        <w:t>th</w:t>
      </w:r>
      <w:r>
        <w:rPr>
          <w:rFonts w:ascii="Times New Roman" w:hAnsi="Times New Roman" w:cs="Times New Roman"/>
        </w:rPr>
        <w:t xml:space="preserve"> October 1693 to the Raugravine Amelia-Elisabeth’, </w:t>
      </w:r>
      <w:r w:rsidRPr="001D3650">
        <w:rPr>
          <w:rFonts w:ascii="Times New Roman" w:hAnsi="Times New Roman" w:cs="Times New Roman"/>
          <w:i/>
        </w:rPr>
        <w:t>The Letters of Madame</w:t>
      </w:r>
      <w:r>
        <w:rPr>
          <w:rFonts w:ascii="Times New Roman" w:hAnsi="Times New Roman" w:cs="Times New Roman"/>
          <w:i/>
        </w:rPr>
        <w:t xml:space="preserve">, </w:t>
      </w:r>
      <w:r>
        <w:rPr>
          <w:rFonts w:ascii="Times New Roman" w:hAnsi="Times New Roman" w:cs="Times New Roman"/>
        </w:rPr>
        <w:t>p.168.</w:t>
      </w:r>
    </w:p>
  </w:footnote>
  <w:footnote w:id="31">
    <w:p w14:paraId="22244C5B" w14:textId="372604EB" w:rsidR="00B1011A" w:rsidRPr="00C37669" w:rsidRDefault="00B1011A" w:rsidP="00E034B5">
      <w:pPr>
        <w:pStyle w:val="FootnoteText"/>
        <w:rPr>
          <w:rFonts w:ascii="Times New Roman" w:hAnsi="Times New Roman" w:cs="Times New Roman"/>
        </w:rPr>
      </w:pPr>
      <w:r w:rsidRPr="00C37669">
        <w:rPr>
          <w:rStyle w:val="FootnoteReference"/>
          <w:rFonts w:ascii="Times New Roman" w:hAnsi="Times New Roman" w:cs="Times New Roman"/>
        </w:rPr>
        <w:footnoteRef/>
      </w:r>
      <w:r w:rsidRPr="00C37669">
        <w:rPr>
          <w:rFonts w:ascii="Times New Roman" w:hAnsi="Times New Roman" w:cs="Times New Roman"/>
        </w:rPr>
        <w:t xml:space="preserve"> </w:t>
      </w:r>
      <w:r>
        <w:rPr>
          <w:rFonts w:ascii="Times New Roman" w:hAnsi="Times New Roman" w:cs="Times New Roman"/>
        </w:rPr>
        <w:t>Elizabeth-Charlotte, ‘7</w:t>
      </w:r>
      <w:r w:rsidRPr="00511B7E">
        <w:rPr>
          <w:rFonts w:ascii="Times New Roman" w:hAnsi="Times New Roman" w:cs="Times New Roman"/>
          <w:vertAlign w:val="superscript"/>
        </w:rPr>
        <w:t>th</w:t>
      </w:r>
      <w:r>
        <w:rPr>
          <w:rFonts w:ascii="Times New Roman" w:hAnsi="Times New Roman" w:cs="Times New Roman"/>
        </w:rPr>
        <w:t xml:space="preserve"> July 1695 to the Duchess of Hanover’, </w:t>
      </w:r>
      <w:r w:rsidRPr="001D3650">
        <w:rPr>
          <w:rFonts w:ascii="Times New Roman" w:hAnsi="Times New Roman" w:cs="Times New Roman"/>
          <w:i/>
        </w:rPr>
        <w:t>The Letters of Madame</w:t>
      </w:r>
      <w:r>
        <w:rPr>
          <w:rFonts w:ascii="Times New Roman" w:hAnsi="Times New Roman" w:cs="Times New Roman"/>
          <w:i/>
        </w:rPr>
        <w:t xml:space="preserve">, </w:t>
      </w:r>
      <w:r>
        <w:rPr>
          <w:rFonts w:ascii="Times New Roman" w:hAnsi="Times New Roman" w:cs="Times New Roman"/>
        </w:rPr>
        <w:t>p.120.</w:t>
      </w:r>
    </w:p>
  </w:footnote>
  <w:footnote w:id="32">
    <w:p w14:paraId="6592081D" w14:textId="21F1B8D8" w:rsidR="00B1011A" w:rsidRDefault="00B1011A" w:rsidP="00E034B5">
      <w:pPr>
        <w:pStyle w:val="FootnoteText"/>
      </w:pPr>
      <w:r w:rsidRPr="00C37669">
        <w:rPr>
          <w:rStyle w:val="FootnoteReference"/>
          <w:rFonts w:ascii="Times New Roman" w:hAnsi="Times New Roman" w:cs="Times New Roman"/>
        </w:rPr>
        <w:footnoteRef/>
      </w:r>
      <w:r w:rsidRPr="00C37669">
        <w:rPr>
          <w:rFonts w:ascii="Times New Roman" w:hAnsi="Times New Roman" w:cs="Times New Roman"/>
        </w:rPr>
        <w:t xml:space="preserve"> </w:t>
      </w:r>
      <w:r>
        <w:rPr>
          <w:rFonts w:ascii="Times New Roman" w:hAnsi="Times New Roman" w:cs="Times New Roman"/>
        </w:rPr>
        <w:t>Mitford,</w:t>
      </w:r>
      <w:r w:rsidRPr="00ED3B34">
        <w:rPr>
          <w:rFonts w:ascii="Times New Roman" w:hAnsi="Times New Roman" w:cs="Times New Roman"/>
          <w:i/>
        </w:rPr>
        <w:t xml:space="preserve"> The Sun King, </w:t>
      </w:r>
      <w:r w:rsidRPr="00C37669">
        <w:rPr>
          <w:rFonts w:ascii="Times New Roman" w:hAnsi="Times New Roman" w:cs="Times New Roman"/>
        </w:rPr>
        <w:t>p.38</w:t>
      </w:r>
      <w:r>
        <w:t>.</w:t>
      </w:r>
    </w:p>
  </w:footnote>
  <w:footnote w:id="33">
    <w:p w14:paraId="2E4E1E32" w14:textId="5D802F39" w:rsidR="00B1011A" w:rsidRPr="00ED3B34" w:rsidRDefault="00B1011A" w:rsidP="00E034B5">
      <w:pPr>
        <w:pStyle w:val="FootnoteText"/>
        <w:rPr>
          <w:rFonts w:ascii="Times New Roman" w:hAnsi="Times New Roman" w:cs="Times New Roman"/>
        </w:rPr>
      </w:pPr>
      <w:r w:rsidRPr="00ED3B34">
        <w:rPr>
          <w:rStyle w:val="FootnoteReference"/>
          <w:rFonts w:ascii="Times New Roman" w:hAnsi="Times New Roman" w:cs="Times New Roman"/>
        </w:rPr>
        <w:footnoteRef/>
      </w:r>
      <w:r w:rsidRPr="00ED3B34">
        <w:rPr>
          <w:rFonts w:ascii="Times New Roman" w:hAnsi="Times New Roman" w:cs="Times New Roman"/>
        </w:rPr>
        <w:t xml:space="preserve"> </w:t>
      </w:r>
      <w:r>
        <w:rPr>
          <w:rFonts w:ascii="Times New Roman" w:hAnsi="Times New Roman" w:cs="Times New Roman"/>
        </w:rPr>
        <w:t xml:space="preserve">Crompton, </w:t>
      </w:r>
      <w:r w:rsidRPr="00ED3B34">
        <w:rPr>
          <w:rFonts w:ascii="Times New Roman" w:hAnsi="Times New Roman" w:cs="Times New Roman"/>
          <w:i/>
        </w:rPr>
        <w:t>Homosexuality and Civilisation,</w:t>
      </w:r>
      <w:r w:rsidRPr="00ED3B34">
        <w:rPr>
          <w:rFonts w:ascii="Times New Roman" w:hAnsi="Times New Roman" w:cs="Times New Roman"/>
        </w:rPr>
        <w:t xml:space="preserve"> p.341</w:t>
      </w:r>
      <w:r>
        <w:rPr>
          <w:rFonts w:ascii="Times New Roman" w:hAnsi="Times New Roman" w:cs="Times New Roman"/>
        </w:rPr>
        <w:t>.</w:t>
      </w:r>
    </w:p>
  </w:footnote>
  <w:footnote w:id="34">
    <w:p w14:paraId="05E93FF5" w14:textId="0C85B8A7" w:rsidR="00B1011A" w:rsidRPr="00ED3B34" w:rsidRDefault="00B1011A" w:rsidP="00E034B5">
      <w:pPr>
        <w:pStyle w:val="FootnoteText"/>
        <w:rPr>
          <w:rFonts w:ascii="Times New Roman" w:hAnsi="Times New Roman" w:cs="Times New Roman"/>
        </w:rPr>
      </w:pPr>
      <w:r w:rsidRPr="00ED3B34">
        <w:rPr>
          <w:rStyle w:val="FootnoteReference"/>
          <w:rFonts w:ascii="Times New Roman" w:hAnsi="Times New Roman" w:cs="Times New Roman"/>
        </w:rPr>
        <w:footnoteRef/>
      </w:r>
      <w:r w:rsidRPr="00ED3B34">
        <w:rPr>
          <w:rFonts w:ascii="Times New Roman" w:hAnsi="Times New Roman" w:cs="Times New Roman"/>
        </w:rPr>
        <w:t xml:space="preserve"> D’A</w:t>
      </w:r>
      <w:r>
        <w:rPr>
          <w:rFonts w:ascii="Times New Roman" w:hAnsi="Times New Roman" w:cs="Times New Roman"/>
        </w:rPr>
        <w:t xml:space="preserve">ubigne, </w:t>
      </w:r>
      <w:r w:rsidRPr="003F2499">
        <w:rPr>
          <w:rFonts w:ascii="Times New Roman" w:hAnsi="Times New Roman" w:cs="Times New Roman"/>
          <w:i/>
        </w:rPr>
        <w:t>Universal History</w:t>
      </w:r>
      <w:r>
        <w:rPr>
          <w:rFonts w:ascii="Times New Roman" w:hAnsi="Times New Roman" w:cs="Times New Roman"/>
        </w:rPr>
        <w:t xml:space="preserve"> in Crompton, </w:t>
      </w:r>
      <w:r w:rsidRPr="003F2499">
        <w:rPr>
          <w:rFonts w:ascii="Times New Roman" w:hAnsi="Times New Roman" w:cs="Times New Roman"/>
          <w:i/>
        </w:rPr>
        <w:t>Homosexuality and Civilisation,</w:t>
      </w:r>
      <w:r w:rsidRPr="00ED3B34">
        <w:rPr>
          <w:rFonts w:ascii="Times New Roman" w:hAnsi="Times New Roman" w:cs="Times New Roman"/>
        </w:rPr>
        <w:t xml:space="preserve"> p.329</w:t>
      </w:r>
      <w:r>
        <w:rPr>
          <w:rFonts w:ascii="Times New Roman" w:hAnsi="Times New Roman" w:cs="Times New Roman"/>
        </w:rPr>
        <w:t>.</w:t>
      </w:r>
    </w:p>
  </w:footnote>
  <w:footnote w:id="35">
    <w:p w14:paraId="60473AAC" w14:textId="419C73B9" w:rsidR="00B1011A" w:rsidRPr="00ED3B34" w:rsidRDefault="00B1011A" w:rsidP="00E034B5">
      <w:pPr>
        <w:pStyle w:val="FootnoteText"/>
        <w:rPr>
          <w:rFonts w:ascii="Times New Roman" w:hAnsi="Times New Roman" w:cs="Times New Roman"/>
        </w:rPr>
      </w:pPr>
      <w:r w:rsidRPr="00ED3B34">
        <w:rPr>
          <w:rStyle w:val="FootnoteReference"/>
          <w:rFonts w:ascii="Times New Roman" w:hAnsi="Times New Roman" w:cs="Times New Roman"/>
        </w:rPr>
        <w:footnoteRef/>
      </w:r>
      <w:r w:rsidRPr="00ED3B34">
        <w:rPr>
          <w:rFonts w:ascii="Times New Roman" w:hAnsi="Times New Roman" w:cs="Times New Roman"/>
        </w:rPr>
        <w:t xml:space="preserve"> </w:t>
      </w:r>
      <w:r>
        <w:rPr>
          <w:rFonts w:ascii="Times New Roman" w:hAnsi="Times New Roman" w:cs="Times New Roman"/>
        </w:rPr>
        <w:t xml:space="preserve">Neill, </w:t>
      </w:r>
      <w:r w:rsidRPr="00291089">
        <w:rPr>
          <w:rFonts w:ascii="Times New Roman" w:hAnsi="Times New Roman" w:cs="Times New Roman"/>
          <w:i/>
        </w:rPr>
        <w:t>The Origins and Role of Same-Sex Relations in Human Societies,</w:t>
      </w:r>
      <w:r w:rsidRPr="00ED3B34">
        <w:rPr>
          <w:rFonts w:ascii="Times New Roman" w:hAnsi="Times New Roman" w:cs="Times New Roman"/>
        </w:rPr>
        <w:t xml:space="preserve"> p.404</w:t>
      </w:r>
      <w:r>
        <w:rPr>
          <w:rFonts w:ascii="Times New Roman" w:hAnsi="Times New Roman" w:cs="Times New Roman"/>
        </w:rPr>
        <w:t>.</w:t>
      </w:r>
    </w:p>
  </w:footnote>
  <w:footnote w:id="36">
    <w:p w14:paraId="27A2B9D1" w14:textId="2A2FCF65" w:rsidR="00B1011A" w:rsidRPr="00ED3B34" w:rsidRDefault="00B1011A" w:rsidP="00E034B5">
      <w:pPr>
        <w:pStyle w:val="FootnoteText"/>
        <w:rPr>
          <w:rFonts w:ascii="Times New Roman" w:hAnsi="Times New Roman" w:cs="Times New Roman"/>
        </w:rPr>
      </w:pPr>
      <w:r w:rsidRPr="00ED3B34">
        <w:rPr>
          <w:rStyle w:val="FootnoteReference"/>
          <w:rFonts w:ascii="Times New Roman" w:hAnsi="Times New Roman" w:cs="Times New Roman"/>
        </w:rPr>
        <w:footnoteRef/>
      </w:r>
      <w:r w:rsidRPr="00ED3B34">
        <w:rPr>
          <w:rFonts w:ascii="Times New Roman" w:hAnsi="Times New Roman" w:cs="Times New Roman"/>
        </w:rPr>
        <w:t xml:space="preserve"> </w:t>
      </w:r>
      <w:r w:rsidRPr="00291089">
        <w:rPr>
          <w:rFonts w:ascii="Times New Roman" w:hAnsi="Times New Roman" w:cs="Times New Roman"/>
          <w:i/>
        </w:rPr>
        <w:t>ibid.</w:t>
      </w:r>
    </w:p>
  </w:footnote>
  <w:footnote w:id="37">
    <w:p w14:paraId="28BF5EE5" w14:textId="358A4A6A" w:rsidR="00B1011A" w:rsidRPr="00ED3B34" w:rsidRDefault="00B1011A" w:rsidP="00E034B5">
      <w:pPr>
        <w:pStyle w:val="FootnoteText"/>
        <w:rPr>
          <w:rFonts w:ascii="Times New Roman" w:hAnsi="Times New Roman" w:cs="Times New Roman"/>
        </w:rPr>
      </w:pPr>
      <w:r w:rsidRPr="00ED3B34">
        <w:rPr>
          <w:rStyle w:val="FootnoteReference"/>
          <w:rFonts w:ascii="Times New Roman" w:hAnsi="Times New Roman" w:cs="Times New Roman"/>
        </w:rPr>
        <w:footnoteRef/>
      </w:r>
      <w:r w:rsidRPr="00ED3B34">
        <w:rPr>
          <w:rFonts w:ascii="Times New Roman" w:hAnsi="Times New Roman" w:cs="Times New Roman"/>
        </w:rPr>
        <w:t xml:space="preserve"> D’A</w:t>
      </w:r>
      <w:r>
        <w:rPr>
          <w:rFonts w:ascii="Times New Roman" w:hAnsi="Times New Roman" w:cs="Times New Roman"/>
        </w:rPr>
        <w:t xml:space="preserve">ubigne, </w:t>
      </w:r>
      <w:r w:rsidRPr="003F2499">
        <w:rPr>
          <w:rFonts w:ascii="Times New Roman" w:hAnsi="Times New Roman" w:cs="Times New Roman"/>
          <w:i/>
        </w:rPr>
        <w:t>Universal History</w:t>
      </w:r>
      <w:r>
        <w:rPr>
          <w:rFonts w:ascii="Times New Roman" w:hAnsi="Times New Roman" w:cs="Times New Roman"/>
        </w:rPr>
        <w:t xml:space="preserve"> in Crompton, </w:t>
      </w:r>
      <w:r w:rsidRPr="003F2499">
        <w:rPr>
          <w:rFonts w:ascii="Times New Roman" w:hAnsi="Times New Roman" w:cs="Times New Roman"/>
          <w:i/>
        </w:rPr>
        <w:t>Homosexuality and Civilisation,</w:t>
      </w:r>
      <w:r w:rsidRPr="00ED3B34">
        <w:rPr>
          <w:rFonts w:ascii="Times New Roman" w:hAnsi="Times New Roman" w:cs="Times New Roman"/>
        </w:rPr>
        <w:t xml:space="preserve"> p.329</w:t>
      </w:r>
      <w:r>
        <w:rPr>
          <w:rFonts w:ascii="Times New Roman" w:hAnsi="Times New Roman" w:cs="Times New Roman"/>
        </w:rPr>
        <w:t>.</w:t>
      </w:r>
    </w:p>
  </w:footnote>
  <w:footnote w:id="38">
    <w:p w14:paraId="50A8341B" w14:textId="4C5575BE" w:rsidR="00B1011A" w:rsidRPr="00ED3B34" w:rsidRDefault="00B1011A" w:rsidP="00E034B5">
      <w:pPr>
        <w:pStyle w:val="FootnoteText"/>
        <w:rPr>
          <w:rFonts w:ascii="Times New Roman" w:hAnsi="Times New Roman" w:cs="Times New Roman"/>
        </w:rPr>
      </w:pPr>
      <w:r w:rsidRPr="00ED3B34">
        <w:rPr>
          <w:rStyle w:val="FootnoteReference"/>
          <w:rFonts w:ascii="Times New Roman" w:hAnsi="Times New Roman" w:cs="Times New Roman"/>
        </w:rPr>
        <w:footnoteRef/>
      </w:r>
      <w:r w:rsidRPr="00ED3B34">
        <w:rPr>
          <w:rFonts w:ascii="Times New Roman" w:hAnsi="Times New Roman" w:cs="Times New Roman"/>
        </w:rPr>
        <w:t xml:space="preserve"> </w:t>
      </w:r>
      <w:r w:rsidRPr="00D472D6">
        <w:rPr>
          <w:rFonts w:ascii="Times New Roman" w:hAnsi="Times New Roman" w:cs="Times New Roman"/>
        </w:rPr>
        <w:t>L’Estoile</w:t>
      </w:r>
      <w:r>
        <w:rPr>
          <w:rFonts w:ascii="Times New Roman" w:hAnsi="Times New Roman" w:cs="Times New Roman"/>
        </w:rPr>
        <w:t xml:space="preserve">, </w:t>
      </w:r>
      <w:r w:rsidRPr="00A24FB3">
        <w:rPr>
          <w:rFonts w:ascii="Times New Roman" w:hAnsi="Times New Roman" w:cs="Times New Roman"/>
          <w:i/>
        </w:rPr>
        <w:t>Mémoires-Journaux</w:t>
      </w:r>
      <w:r>
        <w:rPr>
          <w:rFonts w:ascii="Times New Roman" w:hAnsi="Times New Roman" w:cs="Times New Roman"/>
        </w:rPr>
        <w:t xml:space="preserve"> in Crawford, ‘Love, </w:t>
      </w:r>
      <w:r w:rsidRPr="00D472D6">
        <w:rPr>
          <w:rFonts w:ascii="Times New Roman" w:hAnsi="Times New Roman" w:cs="Times New Roman"/>
        </w:rPr>
        <w:t>Sodomy and Scandal</w:t>
      </w:r>
      <w:r>
        <w:rPr>
          <w:rFonts w:ascii="Times New Roman" w:hAnsi="Times New Roman" w:cs="Times New Roman"/>
        </w:rPr>
        <w:t xml:space="preserve">: Controlling the Sexual Reputation of Henry III’, </w:t>
      </w:r>
      <w:r w:rsidRPr="00F56EC7">
        <w:rPr>
          <w:rFonts w:ascii="Times New Roman" w:hAnsi="Times New Roman" w:cs="Times New Roman"/>
          <w:i/>
        </w:rPr>
        <w:t>Journal of the History of Sexuality</w:t>
      </w:r>
      <w:r>
        <w:rPr>
          <w:rFonts w:ascii="Times New Roman" w:hAnsi="Times New Roman" w:cs="Times New Roman"/>
        </w:rPr>
        <w:t xml:space="preserve">, </w:t>
      </w:r>
      <w:r w:rsidRPr="00D472D6">
        <w:rPr>
          <w:rFonts w:ascii="Times New Roman" w:hAnsi="Times New Roman" w:cs="Times New Roman"/>
        </w:rPr>
        <w:t>p.524</w:t>
      </w:r>
      <w:r>
        <w:rPr>
          <w:rFonts w:ascii="Times New Roman" w:hAnsi="Times New Roman" w:cs="Times New Roman"/>
        </w:rPr>
        <w:t>.</w:t>
      </w:r>
    </w:p>
  </w:footnote>
  <w:footnote w:id="39">
    <w:p w14:paraId="5FE3E37F" w14:textId="2177B153" w:rsidR="00B1011A" w:rsidRDefault="00B1011A" w:rsidP="00E034B5">
      <w:pPr>
        <w:pStyle w:val="FootnoteText"/>
      </w:pPr>
      <w:r w:rsidRPr="00ED3B34">
        <w:rPr>
          <w:rStyle w:val="FootnoteReference"/>
          <w:rFonts w:ascii="Times New Roman" w:hAnsi="Times New Roman" w:cs="Times New Roman"/>
        </w:rPr>
        <w:footnoteRef/>
      </w:r>
      <w:r w:rsidRPr="00ED3B34">
        <w:rPr>
          <w:rFonts w:ascii="Times New Roman" w:hAnsi="Times New Roman" w:cs="Times New Roman"/>
        </w:rPr>
        <w:t xml:space="preserve"> </w:t>
      </w:r>
      <w:r>
        <w:rPr>
          <w:rFonts w:ascii="Times New Roman" w:hAnsi="Times New Roman" w:cs="Times New Roman"/>
        </w:rPr>
        <w:t xml:space="preserve">Crompton, </w:t>
      </w:r>
      <w:r w:rsidRPr="00F235EE">
        <w:rPr>
          <w:rFonts w:ascii="Times New Roman" w:hAnsi="Times New Roman" w:cs="Times New Roman"/>
          <w:i/>
        </w:rPr>
        <w:t>Homosexuality and Civilisation,</w:t>
      </w:r>
      <w:r>
        <w:rPr>
          <w:rFonts w:ascii="Times New Roman" w:hAnsi="Times New Roman" w:cs="Times New Roman"/>
        </w:rPr>
        <w:t xml:space="preserve"> </w:t>
      </w:r>
      <w:r w:rsidRPr="00ED3B34">
        <w:rPr>
          <w:rFonts w:ascii="Times New Roman" w:hAnsi="Times New Roman" w:cs="Times New Roman"/>
        </w:rPr>
        <w:t>p.341</w:t>
      </w:r>
      <w:r>
        <w:rPr>
          <w:rFonts w:ascii="Times New Roman" w:hAnsi="Times New Roman" w:cs="Times New Roman"/>
        </w:rPr>
        <w:t>.</w:t>
      </w:r>
    </w:p>
  </w:footnote>
  <w:footnote w:id="40">
    <w:p w14:paraId="449B6A5C" w14:textId="7E9FF88B" w:rsidR="00B1011A" w:rsidRDefault="00B1011A" w:rsidP="00E034B5">
      <w:pPr>
        <w:pStyle w:val="FootnoteText"/>
      </w:pPr>
      <w:r>
        <w:rPr>
          <w:rStyle w:val="FootnoteReference"/>
        </w:rPr>
        <w:footnoteRef/>
      </w:r>
      <w:r>
        <w:t xml:space="preserve"> </w:t>
      </w:r>
      <w:r>
        <w:rPr>
          <w:rFonts w:ascii="Times New Roman" w:hAnsi="Times New Roman" w:cs="Times New Roman"/>
        </w:rPr>
        <w:t xml:space="preserve">Madame de Sévigne, </w:t>
      </w:r>
      <w:r w:rsidRPr="00094412">
        <w:rPr>
          <w:rFonts w:ascii="Times New Roman" w:hAnsi="Times New Roman" w:cs="Times New Roman"/>
          <w:i/>
        </w:rPr>
        <w:t xml:space="preserve">Letters </w:t>
      </w:r>
      <w:r>
        <w:rPr>
          <w:rFonts w:ascii="Times New Roman" w:hAnsi="Times New Roman" w:cs="Times New Roman"/>
        </w:rPr>
        <w:t xml:space="preserve">and Elizabeth-Charlotte, </w:t>
      </w:r>
      <w:r w:rsidRPr="00094412">
        <w:rPr>
          <w:rFonts w:ascii="Times New Roman" w:hAnsi="Times New Roman" w:cs="Times New Roman"/>
          <w:i/>
        </w:rPr>
        <w:t>Letters</w:t>
      </w:r>
      <w:r>
        <w:rPr>
          <w:rFonts w:ascii="Times New Roman" w:hAnsi="Times New Roman" w:cs="Times New Roman"/>
        </w:rPr>
        <w:t xml:space="preserve"> in Oresko, </w:t>
      </w:r>
      <w:r w:rsidRPr="00C82264">
        <w:rPr>
          <w:rFonts w:ascii="Times New Roman" w:hAnsi="Times New Roman" w:cs="Times New Roman"/>
          <w:i/>
        </w:rPr>
        <w:t>Homosexuality and the Court Elites of Early Modern France: Some Problems, Some Suggestions, and an Example</w:t>
      </w:r>
      <w:r>
        <w:rPr>
          <w:rFonts w:ascii="Times New Roman" w:hAnsi="Times New Roman" w:cs="Times New Roman"/>
        </w:rPr>
        <w:t xml:space="preserve"> in Gerard and Hekma (eds.), </w:t>
      </w:r>
      <w:r w:rsidRPr="00C82264">
        <w:rPr>
          <w:rFonts w:ascii="Times New Roman" w:hAnsi="Times New Roman" w:cs="Times New Roman"/>
          <w:i/>
        </w:rPr>
        <w:t>The Pursuit of Sodomy: Male Homosexuality in Renaissance and Enlightenment Europe</w:t>
      </w:r>
      <w:r>
        <w:rPr>
          <w:rFonts w:ascii="Times New Roman" w:hAnsi="Times New Roman" w:cs="Times New Roman"/>
        </w:rPr>
        <w:t>,</w:t>
      </w:r>
      <w:r w:rsidRPr="00F56EC7">
        <w:rPr>
          <w:rFonts w:ascii="Times New Roman" w:hAnsi="Times New Roman" w:cs="Times New Roman"/>
        </w:rPr>
        <w:t xml:space="preserve"> p.114</w:t>
      </w:r>
      <w:r>
        <w:rPr>
          <w:rFonts w:ascii="Times New Roman" w:hAnsi="Times New Roman" w:cs="Times New Roman"/>
        </w:rPr>
        <w:t>.</w:t>
      </w:r>
    </w:p>
  </w:footnote>
  <w:footnote w:id="41">
    <w:p w14:paraId="194C227E" w14:textId="20DD2AB9" w:rsidR="00B1011A" w:rsidRPr="004F726A" w:rsidRDefault="00B1011A" w:rsidP="00E034B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Duke d’Orléans, </w:t>
      </w:r>
      <w:r w:rsidRPr="004F726A">
        <w:rPr>
          <w:rFonts w:ascii="Times New Roman" w:hAnsi="Times New Roman" w:cs="Times New Roman"/>
          <w:i/>
        </w:rPr>
        <w:t>Cosnac</w:t>
      </w:r>
      <w:r>
        <w:rPr>
          <w:rFonts w:ascii="Times New Roman" w:hAnsi="Times New Roman" w:cs="Times New Roman"/>
        </w:rPr>
        <w:t xml:space="preserve"> in Oresko, </w:t>
      </w:r>
      <w:r w:rsidRPr="00C82264">
        <w:rPr>
          <w:rFonts w:ascii="Times New Roman" w:hAnsi="Times New Roman" w:cs="Times New Roman"/>
          <w:i/>
        </w:rPr>
        <w:t>Homosexuality and the Court Elites of Early Modern France: Some Problems, Some Suggestions, and an Example</w:t>
      </w:r>
      <w:r>
        <w:rPr>
          <w:rFonts w:ascii="Times New Roman" w:hAnsi="Times New Roman" w:cs="Times New Roman"/>
        </w:rPr>
        <w:t xml:space="preserve"> in Gerard and Hekma (eds.), </w:t>
      </w:r>
      <w:r w:rsidRPr="00C82264">
        <w:rPr>
          <w:rFonts w:ascii="Times New Roman" w:hAnsi="Times New Roman" w:cs="Times New Roman"/>
          <w:i/>
        </w:rPr>
        <w:t>The Pursuit of Sodomy: Male Homosexuality in Renaissance and Enlightenment Europe</w:t>
      </w:r>
      <w:r>
        <w:rPr>
          <w:rFonts w:ascii="Times New Roman" w:hAnsi="Times New Roman" w:cs="Times New Roman"/>
        </w:rPr>
        <w:t>,</w:t>
      </w:r>
      <w:r w:rsidRPr="00F56EC7">
        <w:rPr>
          <w:rFonts w:ascii="Times New Roman" w:hAnsi="Times New Roman" w:cs="Times New Roman"/>
        </w:rPr>
        <w:t xml:space="preserve"> p.11</w:t>
      </w:r>
      <w:r>
        <w:rPr>
          <w:rFonts w:ascii="Times New Roman" w:hAnsi="Times New Roman" w:cs="Times New Roman"/>
        </w:rPr>
        <w:t>5.</w:t>
      </w:r>
    </w:p>
  </w:footnote>
  <w:footnote w:id="42">
    <w:p w14:paraId="18D3F1CD" w14:textId="7EC80A82" w:rsidR="00B1011A" w:rsidRPr="004F726A" w:rsidRDefault="00B1011A" w:rsidP="00E034B5">
      <w:pPr>
        <w:pStyle w:val="FootnoteText"/>
        <w:rPr>
          <w:rFonts w:ascii="Times New Roman" w:hAnsi="Times New Roman" w:cs="Times New Roman"/>
        </w:rPr>
      </w:pPr>
      <w:r w:rsidRPr="004F726A">
        <w:rPr>
          <w:rStyle w:val="FootnoteReference"/>
          <w:rFonts w:ascii="Times New Roman" w:hAnsi="Times New Roman" w:cs="Times New Roman"/>
        </w:rPr>
        <w:footnoteRef/>
      </w:r>
      <w:r w:rsidRPr="004F726A">
        <w:rPr>
          <w:rFonts w:ascii="Times New Roman" w:hAnsi="Times New Roman" w:cs="Times New Roman"/>
        </w:rPr>
        <w:t xml:space="preserve"> </w:t>
      </w:r>
      <w:r w:rsidRPr="004F726A">
        <w:rPr>
          <w:rFonts w:ascii="Times New Roman" w:hAnsi="Times New Roman" w:cs="Times New Roman"/>
          <w:i/>
        </w:rPr>
        <w:t>ibid.</w:t>
      </w:r>
      <w:r>
        <w:rPr>
          <w:rFonts w:ascii="Times New Roman" w:hAnsi="Times New Roman" w:cs="Times New Roman"/>
        </w:rPr>
        <w:t xml:space="preserve"> </w:t>
      </w:r>
    </w:p>
  </w:footnote>
  <w:footnote w:id="43">
    <w:p w14:paraId="15EFF787" w14:textId="11C1B475" w:rsidR="00B1011A" w:rsidRPr="004F726A" w:rsidRDefault="00B1011A" w:rsidP="00E034B5">
      <w:pPr>
        <w:pStyle w:val="FootnoteText"/>
        <w:rPr>
          <w:rFonts w:ascii="Times New Roman" w:hAnsi="Times New Roman" w:cs="Times New Roman"/>
        </w:rPr>
      </w:pPr>
      <w:r w:rsidRPr="004F726A">
        <w:rPr>
          <w:rStyle w:val="FootnoteReference"/>
          <w:rFonts w:ascii="Times New Roman" w:hAnsi="Times New Roman" w:cs="Times New Roman"/>
        </w:rPr>
        <w:footnoteRef/>
      </w:r>
      <w:r w:rsidRPr="004F726A">
        <w:rPr>
          <w:rFonts w:ascii="Times New Roman" w:hAnsi="Times New Roman" w:cs="Times New Roman"/>
        </w:rPr>
        <w:t xml:space="preserve"> </w:t>
      </w:r>
      <w:r>
        <w:rPr>
          <w:rFonts w:ascii="Times New Roman" w:hAnsi="Times New Roman" w:cs="Times New Roman"/>
        </w:rPr>
        <w:t xml:space="preserve">Oresko, </w:t>
      </w:r>
      <w:r w:rsidRPr="00C82264">
        <w:rPr>
          <w:rFonts w:ascii="Times New Roman" w:hAnsi="Times New Roman" w:cs="Times New Roman"/>
          <w:i/>
        </w:rPr>
        <w:t>Homosexuality and the Court Elites of Early Modern France: Some Problems, Some Suggestions, and an Example</w:t>
      </w:r>
      <w:r>
        <w:rPr>
          <w:rFonts w:ascii="Times New Roman" w:hAnsi="Times New Roman" w:cs="Times New Roman"/>
        </w:rPr>
        <w:t xml:space="preserve"> in Gerard and Hekma (eds.), </w:t>
      </w:r>
      <w:r w:rsidRPr="00C82264">
        <w:rPr>
          <w:rFonts w:ascii="Times New Roman" w:hAnsi="Times New Roman" w:cs="Times New Roman"/>
          <w:i/>
        </w:rPr>
        <w:t>The Pursuit of Sodomy: Male Homosexuality in Renaissance and Enlightenment Europe</w:t>
      </w:r>
      <w:r>
        <w:rPr>
          <w:rFonts w:ascii="Times New Roman" w:hAnsi="Times New Roman" w:cs="Times New Roman"/>
        </w:rPr>
        <w:t>,</w:t>
      </w:r>
      <w:r w:rsidRPr="00F56EC7">
        <w:rPr>
          <w:rFonts w:ascii="Times New Roman" w:hAnsi="Times New Roman" w:cs="Times New Roman"/>
        </w:rPr>
        <w:t xml:space="preserve"> p.11</w:t>
      </w:r>
      <w:r>
        <w:rPr>
          <w:rFonts w:ascii="Times New Roman" w:hAnsi="Times New Roman" w:cs="Times New Roman"/>
        </w:rPr>
        <w:t>5.</w:t>
      </w:r>
    </w:p>
  </w:footnote>
  <w:footnote w:id="44">
    <w:p w14:paraId="31F7B668" w14:textId="1CD55A25" w:rsidR="00B1011A" w:rsidRPr="004F726A" w:rsidRDefault="00B1011A" w:rsidP="00E034B5">
      <w:pPr>
        <w:pStyle w:val="FootnoteText"/>
        <w:rPr>
          <w:rFonts w:ascii="Times New Roman" w:hAnsi="Times New Roman" w:cs="Times New Roman"/>
        </w:rPr>
      </w:pPr>
      <w:r w:rsidRPr="004F726A">
        <w:rPr>
          <w:rStyle w:val="FootnoteReference"/>
          <w:rFonts w:ascii="Times New Roman" w:hAnsi="Times New Roman" w:cs="Times New Roman"/>
        </w:rPr>
        <w:footnoteRef/>
      </w:r>
      <w:r w:rsidRPr="004F726A">
        <w:rPr>
          <w:rFonts w:ascii="Times New Roman" w:hAnsi="Times New Roman" w:cs="Times New Roman"/>
        </w:rPr>
        <w:t xml:space="preserve"> </w:t>
      </w:r>
      <w:r>
        <w:rPr>
          <w:rFonts w:ascii="Times New Roman" w:hAnsi="Times New Roman" w:cs="Times New Roman"/>
        </w:rPr>
        <w:t xml:space="preserve">E. W. Marvick, ‘The </w:t>
      </w:r>
      <w:r w:rsidRPr="004F726A">
        <w:rPr>
          <w:rFonts w:ascii="Times New Roman" w:hAnsi="Times New Roman" w:cs="Times New Roman"/>
        </w:rPr>
        <w:t>Character of Louis XIII</w:t>
      </w:r>
      <w:r>
        <w:rPr>
          <w:rFonts w:ascii="Times New Roman" w:hAnsi="Times New Roman" w:cs="Times New Roman"/>
        </w:rPr>
        <w:t xml:space="preserve">: The Role of his Physician’, </w:t>
      </w:r>
      <w:r w:rsidRPr="00B24F61">
        <w:rPr>
          <w:rFonts w:ascii="Times New Roman" w:hAnsi="Times New Roman" w:cs="Times New Roman"/>
          <w:i/>
        </w:rPr>
        <w:t xml:space="preserve">Journal of Interdisciplinary History, </w:t>
      </w:r>
      <w:r>
        <w:rPr>
          <w:rFonts w:ascii="Times New Roman" w:hAnsi="Times New Roman" w:cs="Times New Roman"/>
        </w:rPr>
        <w:t>vol.4, no.3 (1974),</w:t>
      </w:r>
      <w:r w:rsidRPr="004F726A">
        <w:rPr>
          <w:rFonts w:ascii="Times New Roman" w:hAnsi="Times New Roman" w:cs="Times New Roman"/>
        </w:rPr>
        <w:t xml:space="preserve"> p.351</w:t>
      </w:r>
      <w:r>
        <w:rPr>
          <w:rFonts w:ascii="Times New Roman" w:hAnsi="Times New Roman" w:cs="Times New Roman"/>
        </w:rPr>
        <w:t>.</w:t>
      </w:r>
      <w:r w:rsidRPr="004F726A">
        <w:rPr>
          <w:rFonts w:ascii="Times New Roman" w:hAnsi="Times New Roman" w:cs="Times New Roman"/>
        </w:rPr>
        <w:t xml:space="preserve"> </w:t>
      </w:r>
    </w:p>
  </w:footnote>
  <w:footnote w:id="45">
    <w:p w14:paraId="071D8EBF" w14:textId="54559828" w:rsidR="00B1011A" w:rsidRPr="004F726A" w:rsidRDefault="00B1011A" w:rsidP="00E034B5">
      <w:pPr>
        <w:pStyle w:val="FootnoteText"/>
        <w:rPr>
          <w:rFonts w:ascii="Times New Roman" w:hAnsi="Times New Roman" w:cs="Times New Roman"/>
        </w:rPr>
      </w:pPr>
      <w:r w:rsidRPr="004F726A">
        <w:rPr>
          <w:rStyle w:val="FootnoteReference"/>
          <w:rFonts w:ascii="Times New Roman" w:hAnsi="Times New Roman" w:cs="Times New Roman"/>
        </w:rPr>
        <w:footnoteRef/>
      </w:r>
      <w:r w:rsidRPr="004F726A">
        <w:rPr>
          <w:rFonts w:ascii="Times New Roman" w:hAnsi="Times New Roman" w:cs="Times New Roman"/>
        </w:rPr>
        <w:t xml:space="preserve"> </w:t>
      </w:r>
      <w:r>
        <w:rPr>
          <w:rFonts w:ascii="Times New Roman" w:hAnsi="Times New Roman" w:cs="Times New Roman"/>
        </w:rPr>
        <w:t xml:space="preserve">Crompton, </w:t>
      </w:r>
      <w:r w:rsidRPr="00A32A5D">
        <w:rPr>
          <w:rFonts w:ascii="Times New Roman" w:hAnsi="Times New Roman" w:cs="Times New Roman"/>
          <w:i/>
        </w:rPr>
        <w:t>Homosexuality and Civilisation,</w:t>
      </w:r>
      <w:r w:rsidRPr="004F726A">
        <w:rPr>
          <w:rFonts w:ascii="Times New Roman" w:hAnsi="Times New Roman" w:cs="Times New Roman"/>
        </w:rPr>
        <w:t xml:space="preserve"> p.337</w:t>
      </w:r>
      <w:r>
        <w:rPr>
          <w:rFonts w:ascii="Times New Roman" w:hAnsi="Times New Roman" w:cs="Times New Roman"/>
        </w:rPr>
        <w:t>.</w:t>
      </w:r>
    </w:p>
  </w:footnote>
  <w:footnote w:id="46">
    <w:p w14:paraId="13F9FC7F" w14:textId="3934553E" w:rsidR="00B1011A" w:rsidRDefault="00B1011A" w:rsidP="00E034B5">
      <w:pPr>
        <w:pStyle w:val="FootnoteText"/>
      </w:pPr>
      <w:r w:rsidRPr="004F726A">
        <w:rPr>
          <w:rStyle w:val="FootnoteReference"/>
          <w:rFonts w:ascii="Times New Roman" w:hAnsi="Times New Roman" w:cs="Times New Roman"/>
        </w:rPr>
        <w:footnoteRef/>
      </w:r>
      <w:r w:rsidRPr="004F726A">
        <w:rPr>
          <w:rFonts w:ascii="Times New Roman" w:hAnsi="Times New Roman" w:cs="Times New Roman"/>
        </w:rPr>
        <w:t xml:space="preserve"> </w:t>
      </w:r>
      <w:r w:rsidRPr="00A32A5D">
        <w:rPr>
          <w:rFonts w:ascii="Times New Roman" w:hAnsi="Times New Roman" w:cs="Times New Roman"/>
          <w:i/>
        </w:rPr>
        <w:t>ibid.</w:t>
      </w:r>
    </w:p>
  </w:footnote>
  <w:footnote w:id="47">
    <w:p w14:paraId="78585612" w14:textId="7F0948CC" w:rsidR="00B1011A" w:rsidRPr="00A32A5D"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w:t>
      </w:r>
      <w:r w:rsidRPr="00A32A5D">
        <w:rPr>
          <w:rFonts w:ascii="Times New Roman" w:hAnsi="Times New Roman" w:cs="Times New Roman"/>
          <w:i/>
        </w:rPr>
        <w:t>ibid.</w:t>
      </w:r>
    </w:p>
  </w:footnote>
  <w:footnote w:id="48">
    <w:p w14:paraId="6FEAEABF" w14:textId="6EDEAE6F" w:rsidR="00B1011A" w:rsidRPr="00A32A5D"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w:t>
      </w:r>
      <w:r>
        <w:rPr>
          <w:rFonts w:ascii="Times New Roman" w:hAnsi="Times New Roman" w:cs="Times New Roman"/>
        </w:rPr>
        <w:t xml:space="preserve">Neill, </w:t>
      </w:r>
      <w:r w:rsidRPr="00D9283C">
        <w:rPr>
          <w:rFonts w:ascii="Times New Roman" w:hAnsi="Times New Roman" w:cs="Times New Roman"/>
          <w:i/>
        </w:rPr>
        <w:t>The Origins and Role of Same-Sex Relations in Human Societies,</w:t>
      </w:r>
      <w:r w:rsidRPr="00A32A5D">
        <w:rPr>
          <w:rFonts w:ascii="Times New Roman" w:hAnsi="Times New Roman" w:cs="Times New Roman"/>
        </w:rPr>
        <w:t xml:space="preserve"> p.405</w:t>
      </w:r>
      <w:r>
        <w:rPr>
          <w:rFonts w:ascii="Times New Roman" w:hAnsi="Times New Roman" w:cs="Times New Roman"/>
        </w:rPr>
        <w:t>.</w:t>
      </w:r>
    </w:p>
  </w:footnote>
  <w:footnote w:id="49">
    <w:p w14:paraId="223C851E" w14:textId="757764C9" w:rsidR="00B1011A" w:rsidRPr="00A32A5D"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w:t>
      </w:r>
      <w:r>
        <w:rPr>
          <w:rFonts w:ascii="Times New Roman" w:hAnsi="Times New Roman" w:cs="Times New Roman"/>
        </w:rPr>
        <w:t xml:space="preserve">Gédéon </w:t>
      </w:r>
      <w:r w:rsidRPr="00A32A5D">
        <w:rPr>
          <w:rFonts w:ascii="Times New Roman" w:hAnsi="Times New Roman" w:cs="Times New Roman"/>
        </w:rPr>
        <w:t>Tallemant des Réaux</w:t>
      </w:r>
      <w:r>
        <w:rPr>
          <w:rFonts w:ascii="Times New Roman" w:hAnsi="Times New Roman" w:cs="Times New Roman"/>
        </w:rPr>
        <w:t xml:space="preserve">, </w:t>
      </w:r>
      <w:r w:rsidRPr="001E0907">
        <w:rPr>
          <w:rFonts w:ascii="Times New Roman" w:hAnsi="Times New Roman" w:cs="Times New Roman"/>
          <w:i/>
        </w:rPr>
        <w:t>Historiettes</w:t>
      </w:r>
      <w:r>
        <w:rPr>
          <w:rFonts w:ascii="Times New Roman" w:hAnsi="Times New Roman" w:cs="Times New Roman"/>
        </w:rPr>
        <w:t xml:space="preserve"> in Crompton, </w:t>
      </w:r>
      <w:r w:rsidRPr="001E0907">
        <w:rPr>
          <w:rFonts w:ascii="Times New Roman" w:hAnsi="Times New Roman" w:cs="Times New Roman"/>
          <w:i/>
        </w:rPr>
        <w:t xml:space="preserve">Homosexuality and Civilisation, </w:t>
      </w:r>
      <w:r w:rsidRPr="00A32A5D">
        <w:rPr>
          <w:rFonts w:ascii="Times New Roman" w:hAnsi="Times New Roman" w:cs="Times New Roman"/>
        </w:rPr>
        <w:t>p.338</w:t>
      </w:r>
      <w:r>
        <w:rPr>
          <w:rFonts w:ascii="Times New Roman" w:hAnsi="Times New Roman" w:cs="Times New Roman"/>
        </w:rPr>
        <w:t>.</w:t>
      </w:r>
    </w:p>
  </w:footnote>
  <w:footnote w:id="50">
    <w:p w14:paraId="06CBA0C0" w14:textId="59C88A5B" w:rsidR="00B1011A" w:rsidRPr="00A32A5D"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Neill</w:t>
      </w:r>
      <w:r>
        <w:rPr>
          <w:rFonts w:ascii="Times New Roman" w:hAnsi="Times New Roman" w:cs="Times New Roman"/>
        </w:rPr>
        <w:t xml:space="preserve">, </w:t>
      </w:r>
      <w:r w:rsidRPr="001E0907">
        <w:rPr>
          <w:rFonts w:ascii="Times New Roman" w:hAnsi="Times New Roman" w:cs="Times New Roman"/>
          <w:i/>
        </w:rPr>
        <w:t xml:space="preserve">The Origins and Role of Same-Sex Relations in Human Societies, </w:t>
      </w:r>
      <w:r w:rsidRPr="00A32A5D">
        <w:rPr>
          <w:rFonts w:ascii="Times New Roman" w:hAnsi="Times New Roman" w:cs="Times New Roman"/>
        </w:rPr>
        <w:t>p.405</w:t>
      </w:r>
      <w:r>
        <w:rPr>
          <w:rFonts w:ascii="Times New Roman" w:hAnsi="Times New Roman" w:cs="Times New Roman"/>
        </w:rPr>
        <w:t>.</w:t>
      </w:r>
    </w:p>
  </w:footnote>
  <w:footnote w:id="51">
    <w:p w14:paraId="4CE298DA" w14:textId="0CE428A3" w:rsidR="00B1011A" w:rsidRPr="00A32A5D"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w:t>
      </w:r>
      <w:r w:rsidRPr="001E0907">
        <w:rPr>
          <w:rFonts w:ascii="Times New Roman" w:hAnsi="Times New Roman" w:cs="Times New Roman"/>
          <w:i/>
        </w:rPr>
        <w:t>ibid.</w:t>
      </w:r>
    </w:p>
  </w:footnote>
  <w:footnote w:id="52">
    <w:p w14:paraId="2C0EB864" w14:textId="059C6E03" w:rsidR="00B1011A" w:rsidRPr="00A32A5D"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w:t>
      </w:r>
      <w:r>
        <w:rPr>
          <w:rFonts w:ascii="Times New Roman" w:hAnsi="Times New Roman" w:cs="Times New Roman"/>
        </w:rPr>
        <w:t xml:space="preserve">Crompton, </w:t>
      </w:r>
      <w:r w:rsidRPr="001E0907">
        <w:rPr>
          <w:rFonts w:ascii="Times New Roman" w:hAnsi="Times New Roman" w:cs="Times New Roman"/>
          <w:i/>
        </w:rPr>
        <w:t xml:space="preserve">Homosexuality and Civilisation, </w:t>
      </w:r>
      <w:r w:rsidRPr="00A32A5D">
        <w:rPr>
          <w:rFonts w:ascii="Times New Roman" w:hAnsi="Times New Roman" w:cs="Times New Roman"/>
        </w:rPr>
        <w:t>p.338</w:t>
      </w:r>
      <w:r>
        <w:rPr>
          <w:rFonts w:ascii="Times New Roman" w:hAnsi="Times New Roman" w:cs="Times New Roman"/>
        </w:rPr>
        <w:t>.</w:t>
      </w:r>
    </w:p>
  </w:footnote>
  <w:footnote w:id="53">
    <w:p w14:paraId="4BC49BF6" w14:textId="31CECF97" w:rsidR="00B1011A" w:rsidRPr="00A32A5D"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w:t>
      </w:r>
      <w:r w:rsidRPr="001E0907">
        <w:rPr>
          <w:rFonts w:ascii="Times New Roman" w:hAnsi="Times New Roman" w:cs="Times New Roman"/>
          <w:i/>
        </w:rPr>
        <w:t>ibid.</w:t>
      </w:r>
    </w:p>
  </w:footnote>
  <w:footnote w:id="54">
    <w:p w14:paraId="509FF8B8" w14:textId="64E66A94" w:rsidR="00B1011A" w:rsidRPr="001E0907" w:rsidRDefault="00B1011A" w:rsidP="00E034B5">
      <w:pPr>
        <w:pStyle w:val="FootnoteText"/>
        <w:rPr>
          <w:rFonts w:ascii="Times New Roman" w:hAnsi="Times New Roman" w:cs="Times New Roman"/>
        </w:rPr>
      </w:pPr>
      <w:r w:rsidRPr="00A32A5D">
        <w:rPr>
          <w:rStyle w:val="FootnoteReference"/>
          <w:rFonts w:ascii="Times New Roman" w:hAnsi="Times New Roman" w:cs="Times New Roman"/>
        </w:rPr>
        <w:footnoteRef/>
      </w:r>
      <w:r w:rsidRPr="00A32A5D">
        <w:rPr>
          <w:rFonts w:ascii="Times New Roman" w:hAnsi="Times New Roman" w:cs="Times New Roman"/>
        </w:rPr>
        <w:t xml:space="preserve"> Loui</w:t>
      </w:r>
      <w:r>
        <w:rPr>
          <w:rFonts w:ascii="Times New Roman" w:hAnsi="Times New Roman" w:cs="Times New Roman"/>
        </w:rPr>
        <w:t xml:space="preserve">s XIII, </w:t>
      </w:r>
      <w:r w:rsidRPr="00645C60">
        <w:rPr>
          <w:rFonts w:ascii="Times New Roman" w:hAnsi="Times New Roman" w:cs="Times New Roman"/>
          <w:i/>
        </w:rPr>
        <w:t>Letters</w:t>
      </w:r>
      <w:r>
        <w:rPr>
          <w:rFonts w:ascii="Times New Roman" w:hAnsi="Times New Roman" w:cs="Times New Roman"/>
        </w:rPr>
        <w:t xml:space="preserve"> in Crompton,</w:t>
      </w:r>
      <w:r w:rsidRPr="00A32A5D">
        <w:rPr>
          <w:rFonts w:ascii="Times New Roman" w:hAnsi="Times New Roman" w:cs="Times New Roman"/>
        </w:rPr>
        <w:t xml:space="preserve"> </w:t>
      </w:r>
      <w:r w:rsidRPr="00645C60">
        <w:rPr>
          <w:rFonts w:ascii="Times New Roman" w:hAnsi="Times New Roman" w:cs="Times New Roman"/>
          <w:i/>
        </w:rPr>
        <w:t xml:space="preserve">Homosexuality and Civilisation, </w:t>
      </w:r>
      <w:r w:rsidRPr="00A32A5D">
        <w:rPr>
          <w:rFonts w:ascii="Times New Roman" w:hAnsi="Times New Roman" w:cs="Times New Roman"/>
        </w:rPr>
        <w:t>p.338</w:t>
      </w:r>
      <w:r>
        <w:rPr>
          <w:rFonts w:ascii="Times New Roman" w:hAnsi="Times New Roman" w:cs="Times New Roman"/>
        </w:rPr>
        <w:t>.</w:t>
      </w:r>
    </w:p>
  </w:footnote>
  <w:footnote w:id="55">
    <w:p w14:paraId="24158835" w14:textId="11A65D02" w:rsidR="00B1011A" w:rsidRPr="00A233C6" w:rsidRDefault="00B1011A" w:rsidP="00E034B5">
      <w:pPr>
        <w:pStyle w:val="FootnoteText"/>
        <w:rPr>
          <w:rFonts w:ascii="Times New Roman" w:hAnsi="Times New Roman" w:cs="Times New Roman"/>
        </w:rPr>
      </w:pPr>
      <w:r w:rsidRPr="00A233C6">
        <w:rPr>
          <w:rStyle w:val="FootnoteReference"/>
          <w:rFonts w:ascii="Times New Roman" w:hAnsi="Times New Roman" w:cs="Times New Roman"/>
        </w:rPr>
        <w:footnoteRef/>
      </w:r>
      <w:r>
        <w:rPr>
          <w:rFonts w:ascii="Times New Roman" w:hAnsi="Times New Roman" w:cs="Times New Roman"/>
        </w:rPr>
        <w:t xml:space="preserve"> Crompton, </w:t>
      </w:r>
      <w:r w:rsidRPr="00A233C6">
        <w:rPr>
          <w:rFonts w:ascii="Times New Roman" w:hAnsi="Times New Roman" w:cs="Times New Roman"/>
          <w:i/>
        </w:rPr>
        <w:t xml:space="preserve">Homosexuality and Civilisation, </w:t>
      </w:r>
      <w:r w:rsidRPr="00A233C6">
        <w:rPr>
          <w:rFonts w:ascii="Times New Roman" w:hAnsi="Times New Roman" w:cs="Times New Roman"/>
        </w:rPr>
        <w:t>pp.341</w:t>
      </w:r>
      <w:r>
        <w:rPr>
          <w:rFonts w:ascii="Times New Roman" w:hAnsi="Times New Roman" w:cs="Times New Roman"/>
        </w:rPr>
        <w:t>-</w:t>
      </w:r>
      <w:r w:rsidRPr="00A233C6">
        <w:rPr>
          <w:rFonts w:ascii="Times New Roman" w:hAnsi="Times New Roman" w:cs="Times New Roman"/>
        </w:rPr>
        <w:t>342</w:t>
      </w:r>
      <w:r>
        <w:rPr>
          <w:rFonts w:ascii="Times New Roman" w:hAnsi="Times New Roman" w:cs="Times New Roman"/>
        </w:rPr>
        <w:t>.</w:t>
      </w:r>
    </w:p>
  </w:footnote>
  <w:footnote w:id="56">
    <w:p w14:paraId="6917192A" w14:textId="377BAD31" w:rsidR="00B1011A" w:rsidRPr="00A233C6" w:rsidRDefault="00B1011A" w:rsidP="00E034B5">
      <w:pPr>
        <w:pStyle w:val="FootnoteText"/>
        <w:rPr>
          <w:rFonts w:ascii="Times New Roman" w:hAnsi="Times New Roman" w:cs="Times New Roman"/>
        </w:rPr>
      </w:pPr>
      <w:r w:rsidRPr="00A233C6">
        <w:rPr>
          <w:rStyle w:val="FootnoteReference"/>
          <w:rFonts w:ascii="Times New Roman" w:hAnsi="Times New Roman" w:cs="Times New Roman"/>
        </w:rPr>
        <w:footnoteRef/>
      </w:r>
      <w:r w:rsidRPr="00A233C6">
        <w:rPr>
          <w:rFonts w:ascii="Times New Roman" w:hAnsi="Times New Roman" w:cs="Times New Roman"/>
        </w:rPr>
        <w:t xml:space="preserve"> </w:t>
      </w:r>
      <w:r>
        <w:rPr>
          <w:rFonts w:ascii="Times New Roman" w:hAnsi="Times New Roman" w:cs="Times New Roman"/>
        </w:rPr>
        <w:t>Elizabeth-Charlotte, ‘30</w:t>
      </w:r>
      <w:r w:rsidRPr="00A233C6">
        <w:rPr>
          <w:rFonts w:ascii="Times New Roman" w:hAnsi="Times New Roman" w:cs="Times New Roman"/>
          <w:vertAlign w:val="superscript"/>
        </w:rPr>
        <w:t>th</w:t>
      </w:r>
      <w:r>
        <w:rPr>
          <w:rFonts w:ascii="Times New Roman" w:hAnsi="Times New Roman" w:cs="Times New Roman"/>
        </w:rPr>
        <w:t xml:space="preserve"> June 1701 to the Duchess of Hanover’, </w:t>
      </w:r>
      <w:r w:rsidRPr="001D3650">
        <w:rPr>
          <w:rFonts w:ascii="Times New Roman" w:hAnsi="Times New Roman" w:cs="Times New Roman"/>
          <w:i/>
        </w:rPr>
        <w:t>The Letters of Madame</w:t>
      </w:r>
      <w:r>
        <w:rPr>
          <w:rFonts w:ascii="Times New Roman" w:hAnsi="Times New Roman" w:cs="Times New Roman"/>
          <w:i/>
        </w:rPr>
        <w:t xml:space="preserve">, </w:t>
      </w:r>
      <w:r>
        <w:rPr>
          <w:rFonts w:ascii="Times New Roman" w:hAnsi="Times New Roman" w:cs="Times New Roman"/>
        </w:rPr>
        <w:t>p.212.</w:t>
      </w:r>
    </w:p>
  </w:footnote>
  <w:footnote w:id="57">
    <w:p w14:paraId="362D5E23" w14:textId="429E88D4" w:rsidR="00B1011A" w:rsidRPr="00A233C6" w:rsidRDefault="00B1011A" w:rsidP="00E034B5">
      <w:pPr>
        <w:pStyle w:val="FootnoteText"/>
        <w:rPr>
          <w:rFonts w:ascii="Times New Roman" w:hAnsi="Times New Roman" w:cs="Times New Roman"/>
        </w:rPr>
      </w:pPr>
      <w:r w:rsidRPr="00A233C6">
        <w:rPr>
          <w:rStyle w:val="FootnoteReference"/>
          <w:rFonts w:ascii="Times New Roman" w:hAnsi="Times New Roman" w:cs="Times New Roman"/>
        </w:rPr>
        <w:footnoteRef/>
      </w:r>
      <w:r w:rsidRPr="00A233C6">
        <w:rPr>
          <w:rFonts w:ascii="Times New Roman" w:hAnsi="Times New Roman" w:cs="Times New Roman"/>
        </w:rPr>
        <w:t xml:space="preserve"> </w:t>
      </w:r>
      <w:r>
        <w:rPr>
          <w:rFonts w:ascii="Times New Roman" w:hAnsi="Times New Roman" w:cs="Times New Roman"/>
        </w:rPr>
        <w:t xml:space="preserve">L. Norton, </w:t>
      </w:r>
      <w:r w:rsidRPr="000F7884">
        <w:rPr>
          <w:rFonts w:ascii="Times New Roman" w:hAnsi="Times New Roman" w:cs="Times New Roman"/>
          <w:i/>
        </w:rPr>
        <w:t>The Sun King and His Loves</w:t>
      </w:r>
      <w:r>
        <w:rPr>
          <w:rFonts w:ascii="Times New Roman" w:hAnsi="Times New Roman" w:cs="Times New Roman"/>
        </w:rPr>
        <w:t xml:space="preserve"> (London: Folio Society, 1982),</w:t>
      </w:r>
      <w:r w:rsidRPr="00A233C6">
        <w:rPr>
          <w:rFonts w:ascii="Times New Roman" w:hAnsi="Times New Roman" w:cs="Times New Roman"/>
        </w:rPr>
        <w:t xml:space="preserve"> p.26</w:t>
      </w:r>
      <w:r>
        <w:rPr>
          <w:rFonts w:ascii="Times New Roman" w:hAnsi="Times New Roman" w:cs="Times New Roman"/>
        </w:rPr>
        <w:t>.</w:t>
      </w:r>
    </w:p>
  </w:footnote>
  <w:footnote w:id="58">
    <w:p w14:paraId="0581448D" w14:textId="71C101D9" w:rsidR="00B1011A" w:rsidRDefault="00B1011A" w:rsidP="00E034B5">
      <w:pPr>
        <w:pStyle w:val="FootnoteText"/>
      </w:pPr>
      <w:r w:rsidRPr="00A233C6">
        <w:rPr>
          <w:rStyle w:val="FootnoteReference"/>
          <w:rFonts w:ascii="Times New Roman" w:hAnsi="Times New Roman" w:cs="Times New Roman"/>
        </w:rPr>
        <w:footnoteRef/>
      </w:r>
      <w:r w:rsidRPr="00A233C6">
        <w:rPr>
          <w:rFonts w:ascii="Times New Roman" w:hAnsi="Times New Roman" w:cs="Times New Roman"/>
        </w:rPr>
        <w:t xml:space="preserve"> </w:t>
      </w:r>
      <w:r w:rsidRPr="00883F9F">
        <w:rPr>
          <w:rFonts w:ascii="Times New Roman" w:hAnsi="Times New Roman" w:cs="Times New Roman"/>
          <w:i/>
        </w:rPr>
        <w:t>ibid.,</w:t>
      </w:r>
      <w:r w:rsidRPr="00A233C6">
        <w:rPr>
          <w:rFonts w:ascii="Times New Roman" w:hAnsi="Times New Roman" w:cs="Times New Roman"/>
        </w:rPr>
        <w:t xml:space="preserve"> p.1</w:t>
      </w:r>
      <w:r>
        <w:rPr>
          <w:rFonts w:ascii="Times New Roman" w:hAnsi="Times New Roman" w:cs="Times New Roman"/>
        </w:rPr>
        <w:t>.</w:t>
      </w:r>
    </w:p>
  </w:footnote>
  <w:footnote w:id="59">
    <w:p w14:paraId="4B2F94E9" w14:textId="3A06A8D6" w:rsidR="00B1011A" w:rsidRPr="00883F9F" w:rsidRDefault="00B1011A" w:rsidP="00E034B5">
      <w:pPr>
        <w:pStyle w:val="FootnoteText"/>
        <w:rPr>
          <w:rFonts w:ascii="Times New Roman" w:hAnsi="Times New Roman" w:cs="Times New Roman"/>
        </w:rPr>
      </w:pPr>
      <w:r w:rsidRPr="00883F9F">
        <w:rPr>
          <w:rStyle w:val="FootnoteReference"/>
          <w:rFonts w:ascii="Times New Roman" w:hAnsi="Times New Roman" w:cs="Times New Roman"/>
        </w:rPr>
        <w:footnoteRef/>
      </w:r>
      <w:r w:rsidRPr="00883F9F">
        <w:rPr>
          <w:rFonts w:ascii="Times New Roman" w:hAnsi="Times New Roman" w:cs="Times New Roman"/>
        </w:rPr>
        <w:t xml:space="preserve"> </w:t>
      </w:r>
      <w:r w:rsidRPr="00883F9F">
        <w:rPr>
          <w:rFonts w:ascii="Times New Roman" w:hAnsi="Times New Roman" w:cs="Times New Roman"/>
          <w:i/>
        </w:rPr>
        <w:t>ibid.</w:t>
      </w:r>
    </w:p>
  </w:footnote>
  <w:footnote w:id="60">
    <w:p w14:paraId="7B70979E" w14:textId="0983A05F" w:rsidR="00B1011A" w:rsidRPr="00883F9F" w:rsidRDefault="00B1011A" w:rsidP="00E034B5">
      <w:pPr>
        <w:pStyle w:val="FootnoteText"/>
        <w:rPr>
          <w:rFonts w:ascii="Times New Roman" w:hAnsi="Times New Roman" w:cs="Times New Roman"/>
        </w:rPr>
      </w:pPr>
      <w:r w:rsidRPr="00883F9F">
        <w:rPr>
          <w:rStyle w:val="FootnoteReference"/>
          <w:rFonts w:ascii="Times New Roman" w:hAnsi="Times New Roman" w:cs="Times New Roman"/>
        </w:rPr>
        <w:footnoteRef/>
      </w:r>
      <w:r w:rsidRPr="00883F9F">
        <w:rPr>
          <w:rFonts w:ascii="Times New Roman" w:hAnsi="Times New Roman" w:cs="Times New Roman"/>
        </w:rPr>
        <w:t xml:space="preserve"> </w:t>
      </w:r>
      <w:r w:rsidRPr="00883F9F">
        <w:rPr>
          <w:rFonts w:ascii="Times New Roman" w:hAnsi="Times New Roman" w:cs="Times New Roman"/>
          <w:i/>
        </w:rPr>
        <w:t xml:space="preserve">ibid., </w:t>
      </w:r>
      <w:r w:rsidRPr="00883F9F">
        <w:rPr>
          <w:rFonts w:ascii="Times New Roman" w:hAnsi="Times New Roman" w:cs="Times New Roman"/>
        </w:rPr>
        <w:t>p.24</w:t>
      </w:r>
      <w:r>
        <w:rPr>
          <w:rFonts w:ascii="Times New Roman" w:hAnsi="Times New Roman" w:cs="Times New Roman"/>
        </w:rPr>
        <w:t>.</w:t>
      </w:r>
    </w:p>
  </w:footnote>
  <w:footnote w:id="61">
    <w:p w14:paraId="29757499" w14:textId="0DA4E220" w:rsidR="00B1011A" w:rsidRPr="00883F9F" w:rsidRDefault="00B1011A" w:rsidP="00E034B5">
      <w:pPr>
        <w:pStyle w:val="FootnoteText"/>
        <w:rPr>
          <w:rFonts w:ascii="Times New Roman" w:hAnsi="Times New Roman" w:cs="Times New Roman"/>
        </w:rPr>
      </w:pPr>
      <w:r w:rsidRPr="00883F9F">
        <w:rPr>
          <w:rStyle w:val="FootnoteReference"/>
          <w:rFonts w:ascii="Times New Roman" w:hAnsi="Times New Roman" w:cs="Times New Roman"/>
        </w:rPr>
        <w:footnoteRef/>
      </w:r>
      <w:r w:rsidRPr="00883F9F">
        <w:rPr>
          <w:rFonts w:ascii="Times New Roman" w:hAnsi="Times New Roman" w:cs="Times New Roman"/>
        </w:rPr>
        <w:t xml:space="preserve"> </w:t>
      </w:r>
      <w:r>
        <w:rPr>
          <w:rFonts w:ascii="Times New Roman" w:hAnsi="Times New Roman" w:cs="Times New Roman"/>
        </w:rPr>
        <w:t xml:space="preserve">A. </w:t>
      </w:r>
      <w:r w:rsidRPr="00883F9F">
        <w:rPr>
          <w:rFonts w:ascii="Times New Roman" w:hAnsi="Times New Roman" w:cs="Times New Roman"/>
        </w:rPr>
        <w:t xml:space="preserve">Fraser, </w:t>
      </w:r>
      <w:r w:rsidRPr="00273421">
        <w:rPr>
          <w:rFonts w:ascii="Times New Roman" w:hAnsi="Times New Roman" w:cs="Times New Roman"/>
          <w:i/>
        </w:rPr>
        <w:t xml:space="preserve">Love and Louis XIV; The Women in the Life of the Sun King </w:t>
      </w:r>
      <w:r>
        <w:rPr>
          <w:rFonts w:ascii="Times New Roman" w:hAnsi="Times New Roman" w:cs="Times New Roman"/>
        </w:rPr>
        <w:t xml:space="preserve">(London: </w:t>
      </w:r>
      <w:r w:rsidRPr="00883F9F">
        <w:rPr>
          <w:rFonts w:ascii="Times New Roman" w:hAnsi="Times New Roman" w:cs="Times New Roman"/>
        </w:rPr>
        <w:t>Anchor Books,</w:t>
      </w:r>
      <w:r>
        <w:rPr>
          <w:rFonts w:ascii="Times New Roman" w:hAnsi="Times New Roman" w:cs="Times New Roman"/>
        </w:rPr>
        <w:t xml:space="preserve"> </w:t>
      </w:r>
      <w:r w:rsidRPr="00883F9F">
        <w:rPr>
          <w:rFonts w:ascii="Times New Roman" w:hAnsi="Times New Roman" w:cs="Times New Roman"/>
        </w:rPr>
        <w:t>2006</w:t>
      </w:r>
      <w:r>
        <w:rPr>
          <w:rFonts w:ascii="Times New Roman" w:hAnsi="Times New Roman" w:cs="Times New Roman"/>
        </w:rPr>
        <w:t>),</w:t>
      </w:r>
      <w:r w:rsidRPr="00883F9F">
        <w:rPr>
          <w:rFonts w:ascii="Times New Roman" w:hAnsi="Times New Roman" w:cs="Times New Roman"/>
        </w:rPr>
        <w:t xml:space="preserve"> p.67</w:t>
      </w:r>
      <w:r>
        <w:rPr>
          <w:rFonts w:ascii="Times New Roman" w:hAnsi="Times New Roman" w:cs="Times New Roman"/>
        </w:rPr>
        <w:t>.</w:t>
      </w:r>
    </w:p>
  </w:footnote>
  <w:footnote w:id="62">
    <w:p w14:paraId="1A06D026" w14:textId="5AFDBEF8" w:rsidR="00B1011A" w:rsidRPr="00883F9F" w:rsidRDefault="00B1011A" w:rsidP="00E034B5">
      <w:pPr>
        <w:pStyle w:val="FootnoteText"/>
        <w:rPr>
          <w:rFonts w:ascii="Times New Roman" w:hAnsi="Times New Roman" w:cs="Times New Roman"/>
        </w:rPr>
      </w:pPr>
      <w:r w:rsidRPr="00883F9F">
        <w:rPr>
          <w:rStyle w:val="FootnoteReference"/>
          <w:rFonts w:ascii="Times New Roman" w:hAnsi="Times New Roman" w:cs="Times New Roman"/>
        </w:rPr>
        <w:footnoteRef/>
      </w:r>
      <w:r w:rsidRPr="00883F9F">
        <w:rPr>
          <w:rFonts w:ascii="Times New Roman" w:hAnsi="Times New Roman" w:cs="Times New Roman"/>
        </w:rPr>
        <w:t xml:space="preserve"> </w:t>
      </w:r>
      <w:r>
        <w:rPr>
          <w:rFonts w:ascii="Times New Roman" w:hAnsi="Times New Roman" w:cs="Times New Roman"/>
        </w:rPr>
        <w:t xml:space="preserve">Norton, </w:t>
      </w:r>
      <w:r w:rsidRPr="00273421">
        <w:rPr>
          <w:rFonts w:ascii="Times New Roman" w:hAnsi="Times New Roman" w:cs="Times New Roman"/>
          <w:i/>
        </w:rPr>
        <w:t>The Sun King and His Loves,</w:t>
      </w:r>
      <w:r w:rsidRPr="00883F9F">
        <w:rPr>
          <w:rFonts w:ascii="Times New Roman" w:hAnsi="Times New Roman" w:cs="Times New Roman"/>
        </w:rPr>
        <w:t xml:space="preserve"> p</w:t>
      </w:r>
      <w:r>
        <w:rPr>
          <w:rFonts w:ascii="Times New Roman" w:hAnsi="Times New Roman" w:cs="Times New Roman"/>
        </w:rPr>
        <w:t>p</w:t>
      </w:r>
      <w:r w:rsidRPr="00883F9F">
        <w:rPr>
          <w:rFonts w:ascii="Times New Roman" w:hAnsi="Times New Roman" w:cs="Times New Roman"/>
        </w:rPr>
        <w:t>.24-25</w:t>
      </w:r>
      <w:r>
        <w:rPr>
          <w:rFonts w:ascii="Times New Roman" w:hAnsi="Times New Roman" w:cs="Times New Roman"/>
        </w:rPr>
        <w:t>.</w:t>
      </w:r>
    </w:p>
  </w:footnote>
  <w:footnote w:id="63">
    <w:p w14:paraId="126C0EFC" w14:textId="466B752D" w:rsidR="00B1011A" w:rsidRPr="00883F9F" w:rsidRDefault="00B1011A" w:rsidP="00E034B5">
      <w:pPr>
        <w:pStyle w:val="FootnoteText"/>
        <w:rPr>
          <w:rFonts w:ascii="Times New Roman" w:hAnsi="Times New Roman" w:cs="Times New Roman"/>
        </w:rPr>
      </w:pPr>
      <w:r w:rsidRPr="00883F9F">
        <w:rPr>
          <w:rStyle w:val="FootnoteReference"/>
          <w:rFonts w:ascii="Times New Roman" w:hAnsi="Times New Roman" w:cs="Times New Roman"/>
        </w:rPr>
        <w:footnoteRef/>
      </w:r>
      <w:r w:rsidRPr="00883F9F">
        <w:rPr>
          <w:rFonts w:ascii="Times New Roman" w:hAnsi="Times New Roman" w:cs="Times New Roman"/>
        </w:rPr>
        <w:t xml:space="preserve"> </w:t>
      </w:r>
      <w:r w:rsidRPr="00273421">
        <w:rPr>
          <w:rFonts w:ascii="Times New Roman" w:hAnsi="Times New Roman" w:cs="Times New Roman"/>
          <w:i/>
        </w:rPr>
        <w:t xml:space="preserve">ibid., </w:t>
      </w:r>
      <w:r w:rsidRPr="00883F9F">
        <w:rPr>
          <w:rFonts w:ascii="Times New Roman" w:hAnsi="Times New Roman" w:cs="Times New Roman"/>
        </w:rPr>
        <w:t>p.25</w:t>
      </w:r>
      <w:r>
        <w:rPr>
          <w:rFonts w:ascii="Times New Roman" w:hAnsi="Times New Roman" w:cs="Times New Roman"/>
        </w:rPr>
        <w:t>.</w:t>
      </w:r>
    </w:p>
  </w:footnote>
  <w:footnote w:id="64">
    <w:p w14:paraId="56879078" w14:textId="237B29BF" w:rsidR="00B1011A" w:rsidRPr="00883F9F" w:rsidRDefault="00B1011A" w:rsidP="00E034B5">
      <w:pPr>
        <w:pStyle w:val="FootnoteText"/>
        <w:rPr>
          <w:rFonts w:ascii="Times New Roman" w:hAnsi="Times New Roman" w:cs="Times New Roman"/>
        </w:rPr>
      </w:pPr>
      <w:r w:rsidRPr="00883F9F">
        <w:rPr>
          <w:rStyle w:val="FootnoteReference"/>
          <w:rFonts w:ascii="Times New Roman" w:hAnsi="Times New Roman" w:cs="Times New Roman"/>
        </w:rPr>
        <w:footnoteRef/>
      </w:r>
      <w:r w:rsidRPr="00883F9F">
        <w:rPr>
          <w:rFonts w:ascii="Times New Roman" w:hAnsi="Times New Roman" w:cs="Times New Roman"/>
        </w:rPr>
        <w:t xml:space="preserve"> </w:t>
      </w:r>
      <w:r w:rsidRPr="00273421">
        <w:rPr>
          <w:rFonts w:ascii="Times New Roman" w:hAnsi="Times New Roman" w:cs="Times New Roman"/>
          <w:i/>
        </w:rPr>
        <w:t>ibid.,</w:t>
      </w:r>
      <w:r w:rsidRPr="00883F9F">
        <w:rPr>
          <w:rFonts w:ascii="Times New Roman" w:hAnsi="Times New Roman" w:cs="Times New Roman"/>
        </w:rPr>
        <w:t xml:space="preserve"> p.26</w:t>
      </w:r>
      <w:r>
        <w:rPr>
          <w:rFonts w:ascii="Times New Roman" w:hAnsi="Times New Roman" w:cs="Times New Roman"/>
        </w:rPr>
        <w:t>.</w:t>
      </w:r>
    </w:p>
  </w:footnote>
  <w:footnote w:id="65">
    <w:p w14:paraId="29BE2AE7" w14:textId="6A4A7B5C" w:rsidR="00B1011A" w:rsidRDefault="00B1011A" w:rsidP="00E034B5">
      <w:pPr>
        <w:pStyle w:val="FootnoteText"/>
      </w:pPr>
      <w:r w:rsidRPr="00883F9F">
        <w:rPr>
          <w:rStyle w:val="FootnoteReference"/>
          <w:rFonts w:ascii="Times New Roman" w:hAnsi="Times New Roman" w:cs="Times New Roman"/>
        </w:rPr>
        <w:footnoteRef/>
      </w:r>
      <w:r w:rsidRPr="00883F9F">
        <w:rPr>
          <w:rFonts w:ascii="Times New Roman" w:hAnsi="Times New Roman" w:cs="Times New Roman"/>
        </w:rPr>
        <w:t xml:space="preserve"> </w:t>
      </w:r>
      <w:r>
        <w:rPr>
          <w:rFonts w:ascii="Times New Roman" w:hAnsi="Times New Roman" w:cs="Times New Roman"/>
        </w:rPr>
        <w:t xml:space="preserve">Mitford, </w:t>
      </w:r>
      <w:r w:rsidRPr="00273421">
        <w:rPr>
          <w:rFonts w:ascii="Times New Roman" w:hAnsi="Times New Roman" w:cs="Times New Roman"/>
          <w:i/>
        </w:rPr>
        <w:t>The Sun king</w:t>
      </w:r>
      <w:r>
        <w:rPr>
          <w:rFonts w:ascii="Times New Roman" w:hAnsi="Times New Roman" w:cs="Times New Roman"/>
        </w:rPr>
        <w:t>,</w:t>
      </w:r>
      <w:r w:rsidRPr="00883F9F">
        <w:rPr>
          <w:rFonts w:ascii="Times New Roman" w:hAnsi="Times New Roman" w:cs="Times New Roman"/>
        </w:rPr>
        <w:t xml:space="preserve"> p.10</w:t>
      </w:r>
      <w:r>
        <w:rPr>
          <w:rFonts w:ascii="Times New Roman" w:hAnsi="Times New Roman" w:cs="Times New Roman"/>
        </w:rPr>
        <w:t>.</w:t>
      </w:r>
    </w:p>
  </w:footnote>
  <w:footnote w:id="66">
    <w:p w14:paraId="7F80BB8D" w14:textId="16EAF28D" w:rsidR="00B1011A" w:rsidRPr="00A164E1" w:rsidRDefault="00B1011A" w:rsidP="00E034B5">
      <w:pPr>
        <w:pStyle w:val="FootnoteText"/>
        <w:rPr>
          <w:rFonts w:ascii="Times New Roman" w:hAnsi="Times New Roman" w:cs="Times New Roman"/>
        </w:rPr>
      </w:pPr>
      <w:r w:rsidRPr="00A164E1">
        <w:rPr>
          <w:rStyle w:val="FootnoteReference"/>
          <w:rFonts w:ascii="Times New Roman" w:hAnsi="Times New Roman" w:cs="Times New Roman"/>
        </w:rPr>
        <w:footnoteRef/>
      </w:r>
      <w:r w:rsidRPr="00A164E1">
        <w:rPr>
          <w:rFonts w:ascii="Times New Roman" w:hAnsi="Times New Roman" w:cs="Times New Roman"/>
        </w:rPr>
        <w:t xml:space="preserve"> Norton, </w:t>
      </w:r>
      <w:r w:rsidRPr="00A164E1">
        <w:rPr>
          <w:rFonts w:ascii="Times New Roman" w:hAnsi="Times New Roman" w:cs="Times New Roman"/>
          <w:i/>
        </w:rPr>
        <w:t>The Sun King and His Loves,</w:t>
      </w:r>
      <w:r w:rsidRPr="00A164E1">
        <w:rPr>
          <w:rFonts w:ascii="Times New Roman" w:hAnsi="Times New Roman" w:cs="Times New Roman"/>
        </w:rPr>
        <w:t xml:space="preserve"> p.13.</w:t>
      </w:r>
    </w:p>
  </w:footnote>
  <w:footnote w:id="67">
    <w:p w14:paraId="3C15FE15" w14:textId="224B8463" w:rsidR="00B1011A" w:rsidRPr="003B5E81" w:rsidRDefault="00B1011A" w:rsidP="00E034B5">
      <w:pPr>
        <w:pStyle w:val="FootnoteText"/>
        <w:rPr>
          <w:rFonts w:ascii="Times New Roman" w:hAnsi="Times New Roman" w:cs="Times New Roman"/>
        </w:rPr>
      </w:pPr>
      <w:r w:rsidRPr="003B5E81">
        <w:rPr>
          <w:rStyle w:val="FootnoteReference"/>
          <w:rFonts w:ascii="Times New Roman" w:hAnsi="Times New Roman" w:cs="Times New Roman"/>
        </w:rPr>
        <w:footnoteRef/>
      </w:r>
      <w:r w:rsidRPr="003B5E81">
        <w:rPr>
          <w:rFonts w:ascii="Times New Roman" w:hAnsi="Times New Roman" w:cs="Times New Roman"/>
        </w:rPr>
        <w:t xml:space="preserve"> </w:t>
      </w:r>
      <w:r>
        <w:rPr>
          <w:rFonts w:ascii="Times New Roman" w:hAnsi="Times New Roman" w:cs="Times New Roman"/>
        </w:rPr>
        <w:t xml:space="preserve">D. </w:t>
      </w:r>
      <w:r w:rsidRPr="003B5E81">
        <w:rPr>
          <w:rFonts w:ascii="Times New Roman" w:hAnsi="Times New Roman" w:cs="Times New Roman"/>
          <w:color w:val="333333"/>
          <w:szCs w:val="21"/>
          <w:shd w:val="clear" w:color="auto" w:fill="FFFFFF"/>
        </w:rPr>
        <w:t xml:space="preserve">Cohen, </w:t>
      </w:r>
      <w:r>
        <w:rPr>
          <w:rFonts w:ascii="Times New Roman" w:hAnsi="Times New Roman" w:cs="Times New Roman"/>
          <w:color w:val="333333"/>
          <w:szCs w:val="21"/>
          <w:shd w:val="clear" w:color="auto" w:fill="FFFFFF"/>
        </w:rPr>
        <w:t>‘</w:t>
      </w:r>
      <w:r w:rsidRPr="003B5E81">
        <w:rPr>
          <w:rFonts w:ascii="Times New Roman" w:hAnsi="Times New Roman" w:cs="Times New Roman"/>
          <w:color w:val="333333"/>
          <w:szCs w:val="21"/>
          <w:shd w:val="clear" w:color="auto" w:fill="FFFFFF"/>
        </w:rPr>
        <w:t>Law, Society and Homosexuality in Classical Athens: Reply</w:t>
      </w:r>
      <w:r>
        <w:rPr>
          <w:rFonts w:ascii="Times New Roman" w:hAnsi="Times New Roman" w:cs="Times New Roman"/>
          <w:color w:val="333333"/>
          <w:szCs w:val="21"/>
          <w:shd w:val="clear" w:color="auto" w:fill="FFFFFF"/>
        </w:rPr>
        <w:t xml:space="preserve">’, </w:t>
      </w:r>
      <w:r w:rsidRPr="003B5E81">
        <w:rPr>
          <w:rFonts w:ascii="Times New Roman" w:hAnsi="Times New Roman" w:cs="Times New Roman"/>
          <w:i/>
          <w:iCs/>
          <w:color w:val="333333"/>
          <w:szCs w:val="21"/>
          <w:shd w:val="clear" w:color="auto" w:fill="FFFFFF"/>
        </w:rPr>
        <w:t>Past &amp; Present</w:t>
      </w:r>
      <w:r w:rsidRPr="003B5E81">
        <w:rPr>
          <w:rFonts w:ascii="Times New Roman" w:hAnsi="Times New Roman" w:cs="Times New Roman"/>
          <w:color w:val="333333"/>
          <w:szCs w:val="21"/>
          <w:shd w:val="clear" w:color="auto" w:fill="FFFFFF"/>
        </w:rPr>
        <w:t xml:space="preserve">, no. 133 </w:t>
      </w:r>
      <w:r>
        <w:rPr>
          <w:rFonts w:ascii="Times New Roman" w:hAnsi="Times New Roman" w:cs="Times New Roman"/>
          <w:color w:val="333333"/>
          <w:szCs w:val="21"/>
          <w:shd w:val="clear" w:color="auto" w:fill="FFFFFF"/>
        </w:rPr>
        <w:t>(</w:t>
      </w:r>
      <w:r w:rsidRPr="003B5E81">
        <w:rPr>
          <w:rFonts w:ascii="Times New Roman" w:hAnsi="Times New Roman" w:cs="Times New Roman"/>
          <w:color w:val="333333"/>
          <w:szCs w:val="21"/>
          <w:shd w:val="clear" w:color="auto" w:fill="FFFFFF"/>
        </w:rPr>
        <w:t>1991</w:t>
      </w:r>
      <w:r>
        <w:rPr>
          <w:rFonts w:ascii="Times New Roman" w:hAnsi="Times New Roman" w:cs="Times New Roman"/>
          <w:color w:val="333333"/>
          <w:szCs w:val="21"/>
          <w:shd w:val="clear" w:color="auto" w:fill="FFFFFF"/>
        </w:rPr>
        <w:t>)</w:t>
      </w:r>
      <w:r w:rsidRPr="003B5E81">
        <w:rPr>
          <w:rFonts w:ascii="Times New Roman" w:hAnsi="Times New Roman" w:cs="Times New Roman"/>
          <w:color w:val="333333"/>
          <w:szCs w:val="21"/>
          <w:shd w:val="clear" w:color="auto" w:fill="FFFFFF"/>
        </w:rPr>
        <w:t>, pp. 184–194. </w:t>
      </w:r>
    </w:p>
  </w:footnote>
  <w:footnote w:id="68">
    <w:p w14:paraId="32C14A6A" w14:textId="6D6785C2" w:rsidR="00B1011A" w:rsidRPr="003B5E81" w:rsidRDefault="00B1011A" w:rsidP="00E034B5">
      <w:pPr>
        <w:pStyle w:val="FootnoteText"/>
        <w:rPr>
          <w:rFonts w:ascii="Times New Roman" w:hAnsi="Times New Roman" w:cs="Times New Roman"/>
        </w:rPr>
      </w:pPr>
      <w:r w:rsidRPr="003B5E81">
        <w:rPr>
          <w:rStyle w:val="FootnoteReference"/>
          <w:rFonts w:ascii="Times New Roman" w:hAnsi="Times New Roman" w:cs="Times New Roman"/>
        </w:rPr>
        <w:footnoteRef/>
      </w:r>
      <w:r w:rsidRPr="003B5E81">
        <w:rPr>
          <w:rFonts w:ascii="Times New Roman" w:hAnsi="Times New Roman" w:cs="Times New Roman"/>
        </w:rPr>
        <w:t xml:space="preserve"> </w:t>
      </w:r>
      <w:r w:rsidRPr="003B5E81">
        <w:rPr>
          <w:rFonts w:ascii="Times New Roman" w:hAnsi="Times New Roman" w:cs="Times New Roman"/>
          <w:i/>
        </w:rPr>
        <w:t>ibid.</w:t>
      </w:r>
    </w:p>
  </w:footnote>
  <w:footnote w:id="69">
    <w:p w14:paraId="3C50A41E" w14:textId="711F72B1" w:rsidR="00B1011A" w:rsidRPr="003B5E81" w:rsidRDefault="00B1011A" w:rsidP="00E034B5">
      <w:pPr>
        <w:pStyle w:val="FootnoteText"/>
        <w:rPr>
          <w:rFonts w:ascii="Times New Roman" w:hAnsi="Times New Roman" w:cs="Times New Roman"/>
        </w:rPr>
      </w:pPr>
      <w:r w:rsidRPr="003B5E81">
        <w:rPr>
          <w:rStyle w:val="FootnoteReference"/>
          <w:rFonts w:ascii="Times New Roman" w:hAnsi="Times New Roman" w:cs="Times New Roman"/>
        </w:rPr>
        <w:footnoteRef/>
      </w:r>
      <w:r w:rsidRPr="003B5E81">
        <w:rPr>
          <w:rFonts w:ascii="Times New Roman" w:hAnsi="Times New Roman" w:cs="Times New Roman"/>
        </w:rPr>
        <w:t xml:space="preserve"> </w:t>
      </w:r>
      <w:r w:rsidRPr="003B5E81">
        <w:rPr>
          <w:rFonts w:ascii="Times New Roman" w:hAnsi="Times New Roman" w:cs="Times New Roman"/>
          <w:i/>
        </w:rPr>
        <w:t>ibid.</w:t>
      </w:r>
    </w:p>
  </w:footnote>
  <w:footnote w:id="70">
    <w:p w14:paraId="7CB4E40B" w14:textId="072537E2" w:rsidR="00B1011A" w:rsidRPr="003B5E81" w:rsidRDefault="00B1011A" w:rsidP="00E034B5">
      <w:pPr>
        <w:pStyle w:val="FootnoteText"/>
        <w:rPr>
          <w:rFonts w:ascii="Times New Roman" w:hAnsi="Times New Roman" w:cs="Times New Roman"/>
        </w:rPr>
      </w:pPr>
      <w:r w:rsidRPr="003B5E81">
        <w:rPr>
          <w:rStyle w:val="FootnoteReference"/>
          <w:rFonts w:ascii="Times New Roman" w:hAnsi="Times New Roman" w:cs="Times New Roman"/>
        </w:rPr>
        <w:footnoteRef/>
      </w:r>
      <w:r w:rsidRPr="003B5E81">
        <w:rPr>
          <w:rFonts w:ascii="Times New Roman" w:hAnsi="Times New Roman" w:cs="Times New Roman"/>
        </w:rPr>
        <w:t xml:space="preserve"> </w:t>
      </w:r>
      <w:r>
        <w:rPr>
          <w:rFonts w:ascii="Times New Roman" w:hAnsi="Times New Roman" w:cs="Times New Roman"/>
        </w:rPr>
        <w:t xml:space="preserve">Trumbach, ‘The Birth of the Queen: Sodomy and the Emergence of Gender Equality in Modern Culture, 1660-1750, in Duberman, Vicinus and Chauncey (eds.), </w:t>
      </w:r>
      <w:r w:rsidRPr="00EA0AEB">
        <w:rPr>
          <w:rFonts w:ascii="Times New Roman" w:hAnsi="Times New Roman" w:cs="Times New Roman"/>
          <w:i/>
        </w:rPr>
        <w:t>Hidden from History</w:t>
      </w:r>
      <w:r>
        <w:rPr>
          <w:rFonts w:ascii="Times New Roman" w:hAnsi="Times New Roman" w:cs="Times New Roman"/>
        </w:rPr>
        <w:t xml:space="preserve">, </w:t>
      </w:r>
      <w:r w:rsidRPr="003B5E81">
        <w:rPr>
          <w:rFonts w:ascii="Times New Roman" w:hAnsi="Times New Roman" w:cs="Times New Roman"/>
        </w:rPr>
        <w:t>p.130</w:t>
      </w:r>
      <w:r>
        <w:rPr>
          <w:rFonts w:ascii="Times New Roman" w:hAnsi="Times New Roman" w:cs="Times New Roman"/>
        </w:rPr>
        <w:t>.</w:t>
      </w:r>
    </w:p>
  </w:footnote>
  <w:footnote w:id="71">
    <w:p w14:paraId="429D6F55" w14:textId="382F6583" w:rsidR="00B1011A" w:rsidRPr="003B5E81" w:rsidRDefault="00B1011A" w:rsidP="00E034B5">
      <w:pPr>
        <w:pStyle w:val="FootnoteText"/>
        <w:rPr>
          <w:rFonts w:ascii="Times New Roman" w:hAnsi="Times New Roman" w:cs="Times New Roman"/>
        </w:rPr>
      </w:pPr>
      <w:r w:rsidRPr="003B5E81">
        <w:rPr>
          <w:rStyle w:val="FootnoteReference"/>
          <w:rFonts w:ascii="Times New Roman" w:hAnsi="Times New Roman" w:cs="Times New Roman"/>
        </w:rPr>
        <w:footnoteRef/>
      </w:r>
      <w:r w:rsidRPr="003B5E81">
        <w:rPr>
          <w:rFonts w:ascii="Times New Roman" w:hAnsi="Times New Roman" w:cs="Times New Roman"/>
        </w:rPr>
        <w:t xml:space="preserve"> </w:t>
      </w:r>
      <w:r w:rsidRPr="002645C3">
        <w:rPr>
          <w:rFonts w:ascii="Times New Roman" w:hAnsi="Times New Roman" w:cs="Times New Roman"/>
          <w:i/>
        </w:rPr>
        <w:t>ibid.</w:t>
      </w:r>
    </w:p>
  </w:footnote>
  <w:footnote w:id="72">
    <w:p w14:paraId="2CC4FB1A" w14:textId="1840C07D" w:rsidR="00B1011A" w:rsidRDefault="00B1011A" w:rsidP="00E034B5">
      <w:pPr>
        <w:pStyle w:val="FootnoteText"/>
      </w:pPr>
      <w:r w:rsidRPr="003B5E81">
        <w:rPr>
          <w:rStyle w:val="FootnoteReference"/>
          <w:rFonts w:ascii="Times New Roman" w:hAnsi="Times New Roman" w:cs="Times New Roman"/>
        </w:rPr>
        <w:footnoteRef/>
      </w:r>
      <w:r>
        <w:rPr>
          <w:rFonts w:ascii="Times New Roman" w:hAnsi="Times New Roman" w:cs="Times New Roman"/>
        </w:rPr>
        <w:t xml:space="preserve"> </w:t>
      </w:r>
      <w:r w:rsidRPr="003B5E81">
        <w:rPr>
          <w:rFonts w:ascii="Times New Roman" w:hAnsi="Times New Roman" w:cs="Times New Roman"/>
        </w:rPr>
        <w:t>Karras</w:t>
      </w:r>
      <w:r>
        <w:rPr>
          <w:rFonts w:ascii="Times New Roman" w:hAnsi="Times New Roman" w:cs="Times New Roman"/>
        </w:rPr>
        <w:t xml:space="preserve">, </w:t>
      </w:r>
      <w:r w:rsidRPr="00196EF9">
        <w:rPr>
          <w:rFonts w:ascii="Times New Roman" w:hAnsi="Times New Roman" w:cs="Times New Roman"/>
          <w:i/>
        </w:rPr>
        <w:t>Sexuality in Medieval Europe: Doing unto Others,</w:t>
      </w:r>
      <w:r w:rsidRPr="003B5E81">
        <w:rPr>
          <w:rFonts w:ascii="Times New Roman" w:hAnsi="Times New Roman" w:cs="Times New Roman"/>
        </w:rPr>
        <w:t xml:space="preserve"> p.146</w:t>
      </w:r>
      <w:r>
        <w:rPr>
          <w:rFonts w:ascii="Times New Roman" w:hAnsi="Times New Roman" w:cs="Times New Roman"/>
        </w:rPr>
        <w:t>.</w:t>
      </w:r>
    </w:p>
  </w:footnote>
  <w:footnote w:id="73">
    <w:p w14:paraId="1BE1EB84" w14:textId="2B3CA418" w:rsidR="00B1011A" w:rsidRPr="004704C1" w:rsidRDefault="00B1011A" w:rsidP="00E034B5">
      <w:pPr>
        <w:pStyle w:val="FootnoteText"/>
        <w:rPr>
          <w:rFonts w:ascii="Times New Roman" w:hAnsi="Times New Roman" w:cs="Times New Roman"/>
        </w:rPr>
      </w:pPr>
      <w:r w:rsidRPr="004704C1">
        <w:rPr>
          <w:rStyle w:val="FootnoteReference"/>
          <w:rFonts w:ascii="Times New Roman" w:hAnsi="Times New Roman" w:cs="Times New Roman"/>
        </w:rPr>
        <w:footnoteRef/>
      </w:r>
      <w:r w:rsidRPr="004704C1">
        <w:rPr>
          <w:rFonts w:ascii="Times New Roman" w:hAnsi="Times New Roman" w:cs="Times New Roman"/>
        </w:rPr>
        <w:t xml:space="preserve"> </w:t>
      </w:r>
      <w:r w:rsidRPr="004704C1">
        <w:rPr>
          <w:rFonts w:ascii="Times New Roman" w:hAnsi="Times New Roman" w:cs="Times New Roman"/>
          <w:i/>
        </w:rPr>
        <w:t>ibid.</w:t>
      </w:r>
    </w:p>
  </w:footnote>
  <w:footnote w:id="74">
    <w:p w14:paraId="4514DCFA" w14:textId="6FB9D0CE" w:rsidR="00B1011A" w:rsidRPr="004704C1" w:rsidRDefault="00B1011A" w:rsidP="00E034B5">
      <w:pPr>
        <w:pStyle w:val="FootnoteText"/>
        <w:rPr>
          <w:rFonts w:ascii="Times New Roman" w:hAnsi="Times New Roman" w:cs="Times New Roman"/>
        </w:rPr>
      </w:pPr>
      <w:r w:rsidRPr="004704C1">
        <w:rPr>
          <w:rStyle w:val="FootnoteReference"/>
          <w:rFonts w:ascii="Times New Roman" w:hAnsi="Times New Roman" w:cs="Times New Roman"/>
        </w:rPr>
        <w:footnoteRef/>
      </w:r>
      <w:r w:rsidRPr="004704C1">
        <w:rPr>
          <w:rFonts w:ascii="Times New Roman" w:hAnsi="Times New Roman" w:cs="Times New Roman"/>
        </w:rPr>
        <w:t xml:space="preserve"> </w:t>
      </w:r>
      <w:r>
        <w:rPr>
          <w:rFonts w:ascii="Times New Roman" w:hAnsi="Times New Roman" w:cs="Times New Roman"/>
        </w:rPr>
        <w:t xml:space="preserve">M. P. O. Morford, R. J. Lenardon and M. Sham, </w:t>
      </w:r>
      <w:r w:rsidRPr="00095A20">
        <w:rPr>
          <w:rFonts w:ascii="Times New Roman" w:hAnsi="Times New Roman" w:cs="Times New Roman"/>
          <w:i/>
        </w:rPr>
        <w:t>Classical mythology,</w:t>
      </w:r>
      <w:r>
        <w:rPr>
          <w:rFonts w:ascii="Times New Roman" w:hAnsi="Times New Roman" w:cs="Times New Roman"/>
        </w:rPr>
        <w:t xml:space="preserve"> tenth edn.</w:t>
      </w:r>
      <w:r w:rsidRPr="004704C1">
        <w:rPr>
          <w:rFonts w:ascii="Times New Roman" w:hAnsi="Times New Roman" w:cs="Times New Roman"/>
        </w:rPr>
        <w:t xml:space="preserve"> (</w:t>
      </w:r>
      <w:r>
        <w:rPr>
          <w:rFonts w:ascii="Times New Roman" w:hAnsi="Times New Roman" w:cs="Times New Roman"/>
        </w:rPr>
        <w:t>New York: Oxford University Press, nd),</w:t>
      </w:r>
      <w:r w:rsidRPr="004704C1">
        <w:rPr>
          <w:rFonts w:ascii="Times New Roman" w:hAnsi="Times New Roman" w:cs="Times New Roman"/>
        </w:rPr>
        <w:t xml:space="preserve"> p.22</w:t>
      </w:r>
      <w:r>
        <w:rPr>
          <w:rFonts w:ascii="Times New Roman" w:hAnsi="Times New Roman" w:cs="Times New Roman"/>
        </w:rPr>
        <w:t>.</w:t>
      </w:r>
    </w:p>
  </w:footnote>
  <w:footnote w:id="75">
    <w:p w14:paraId="4C6E3B3C" w14:textId="1FB5B9ED" w:rsidR="00B1011A" w:rsidRPr="004704C1" w:rsidRDefault="00B1011A" w:rsidP="00E034B5">
      <w:pPr>
        <w:pStyle w:val="FootnoteText"/>
        <w:rPr>
          <w:rFonts w:ascii="Times New Roman" w:hAnsi="Times New Roman" w:cs="Times New Roman"/>
        </w:rPr>
      </w:pPr>
      <w:r w:rsidRPr="004704C1">
        <w:rPr>
          <w:rStyle w:val="FootnoteReference"/>
          <w:rFonts w:ascii="Times New Roman" w:hAnsi="Times New Roman" w:cs="Times New Roman"/>
        </w:rPr>
        <w:footnoteRef/>
      </w:r>
      <w:r w:rsidRPr="004704C1">
        <w:rPr>
          <w:rFonts w:ascii="Times New Roman" w:hAnsi="Times New Roman" w:cs="Times New Roman"/>
        </w:rPr>
        <w:t xml:space="preserve"> </w:t>
      </w:r>
      <w:r w:rsidRPr="00095A20">
        <w:rPr>
          <w:rFonts w:ascii="Times New Roman" w:hAnsi="Times New Roman" w:cs="Times New Roman"/>
          <w:i/>
        </w:rPr>
        <w:t>ibid.</w:t>
      </w:r>
    </w:p>
  </w:footnote>
  <w:footnote w:id="76">
    <w:p w14:paraId="3BE35386" w14:textId="2166DA40" w:rsidR="00B1011A" w:rsidRPr="004704C1" w:rsidRDefault="00B1011A" w:rsidP="00E034B5">
      <w:pPr>
        <w:pStyle w:val="FootnoteText"/>
        <w:rPr>
          <w:rFonts w:ascii="Times New Roman" w:hAnsi="Times New Roman" w:cs="Times New Roman"/>
        </w:rPr>
      </w:pPr>
      <w:r w:rsidRPr="004704C1">
        <w:rPr>
          <w:rStyle w:val="FootnoteReference"/>
          <w:rFonts w:ascii="Times New Roman" w:hAnsi="Times New Roman" w:cs="Times New Roman"/>
        </w:rPr>
        <w:footnoteRef/>
      </w:r>
      <w:r w:rsidRPr="004704C1">
        <w:rPr>
          <w:rFonts w:ascii="Times New Roman" w:hAnsi="Times New Roman" w:cs="Times New Roman"/>
        </w:rPr>
        <w:t xml:space="preserve"> </w:t>
      </w:r>
      <w:r w:rsidRPr="00095A20">
        <w:rPr>
          <w:rFonts w:ascii="Times New Roman" w:hAnsi="Times New Roman" w:cs="Times New Roman"/>
          <w:i/>
        </w:rPr>
        <w:t>ibid.</w:t>
      </w:r>
    </w:p>
  </w:footnote>
  <w:footnote w:id="77">
    <w:p w14:paraId="1B0816A5" w14:textId="2951B476" w:rsidR="00B1011A" w:rsidRPr="004704C1" w:rsidRDefault="00B1011A" w:rsidP="00E034B5">
      <w:pPr>
        <w:pStyle w:val="FootnoteText"/>
        <w:rPr>
          <w:rFonts w:ascii="Times New Roman" w:hAnsi="Times New Roman" w:cs="Times New Roman"/>
        </w:rPr>
      </w:pPr>
      <w:r w:rsidRPr="004704C1">
        <w:rPr>
          <w:rStyle w:val="FootnoteReference"/>
          <w:rFonts w:ascii="Times New Roman" w:hAnsi="Times New Roman" w:cs="Times New Roman"/>
        </w:rPr>
        <w:footnoteRef/>
      </w:r>
      <w:r w:rsidRPr="004704C1">
        <w:rPr>
          <w:rFonts w:ascii="Times New Roman" w:hAnsi="Times New Roman" w:cs="Times New Roman"/>
        </w:rPr>
        <w:t xml:space="preserve"> </w:t>
      </w:r>
      <w:r w:rsidRPr="00D472D6">
        <w:rPr>
          <w:rFonts w:ascii="Times New Roman" w:hAnsi="Times New Roman" w:cs="Times New Roman"/>
        </w:rPr>
        <w:t>L’Estoile</w:t>
      </w:r>
      <w:r>
        <w:rPr>
          <w:rFonts w:ascii="Times New Roman" w:hAnsi="Times New Roman" w:cs="Times New Roman"/>
        </w:rPr>
        <w:t xml:space="preserve">, </w:t>
      </w:r>
      <w:r w:rsidRPr="00A24FB3">
        <w:rPr>
          <w:rFonts w:ascii="Times New Roman" w:hAnsi="Times New Roman" w:cs="Times New Roman"/>
          <w:i/>
        </w:rPr>
        <w:t>Mémoires-Journaux</w:t>
      </w:r>
      <w:r>
        <w:rPr>
          <w:rFonts w:ascii="Times New Roman" w:hAnsi="Times New Roman" w:cs="Times New Roman"/>
        </w:rPr>
        <w:t xml:space="preserve"> in</w:t>
      </w:r>
      <w:r w:rsidRPr="00D472D6">
        <w:rPr>
          <w:rFonts w:ascii="Times New Roman" w:hAnsi="Times New Roman" w:cs="Times New Roman"/>
        </w:rPr>
        <w:t xml:space="preserve"> </w:t>
      </w:r>
      <w:r>
        <w:rPr>
          <w:rFonts w:ascii="Times New Roman" w:hAnsi="Times New Roman" w:cs="Times New Roman"/>
        </w:rPr>
        <w:t xml:space="preserve">Crawford, ‘Love, </w:t>
      </w:r>
      <w:r w:rsidRPr="00D472D6">
        <w:rPr>
          <w:rFonts w:ascii="Times New Roman" w:hAnsi="Times New Roman" w:cs="Times New Roman"/>
        </w:rPr>
        <w:t>Sodomy and Scandal</w:t>
      </w:r>
      <w:r>
        <w:rPr>
          <w:rFonts w:ascii="Times New Roman" w:hAnsi="Times New Roman" w:cs="Times New Roman"/>
        </w:rPr>
        <w:t xml:space="preserve">: Controlling the Sexual Reputation of Henry III’, </w:t>
      </w:r>
      <w:r w:rsidRPr="00F56EC7">
        <w:rPr>
          <w:rFonts w:ascii="Times New Roman" w:hAnsi="Times New Roman" w:cs="Times New Roman"/>
          <w:i/>
        </w:rPr>
        <w:t>Journal of the History of Sexuality</w:t>
      </w:r>
      <w:r>
        <w:rPr>
          <w:rFonts w:ascii="Times New Roman" w:hAnsi="Times New Roman" w:cs="Times New Roman"/>
        </w:rPr>
        <w:t>, p</w:t>
      </w:r>
      <w:r w:rsidRPr="00D472D6">
        <w:rPr>
          <w:rFonts w:ascii="Times New Roman" w:hAnsi="Times New Roman" w:cs="Times New Roman"/>
        </w:rPr>
        <w:t>.52</w:t>
      </w:r>
      <w:r>
        <w:rPr>
          <w:rFonts w:ascii="Times New Roman" w:hAnsi="Times New Roman" w:cs="Times New Roman"/>
        </w:rPr>
        <w:t>6.</w:t>
      </w:r>
    </w:p>
  </w:footnote>
  <w:footnote w:id="78">
    <w:p w14:paraId="20597F0D" w14:textId="1556AD95" w:rsidR="00B1011A" w:rsidRPr="004704C1" w:rsidRDefault="00B1011A" w:rsidP="00E034B5">
      <w:pPr>
        <w:pStyle w:val="FootnoteText"/>
        <w:rPr>
          <w:rFonts w:ascii="Times New Roman" w:hAnsi="Times New Roman" w:cs="Times New Roman"/>
        </w:rPr>
      </w:pPr>
      <w:r w:rsidRPr="004704C1">
        <w:rPr>
          <w:rStyle w:val="FootnoteReference"/>
          <w:rFonts w:ascii="Times New Roman" w:hAnsi="Times New Roman" w:cs="Times New Roman"/>
        </w:rPr>
        <w:footnoteRef/>
      </w:r>
      <w:r w:rsidRPr="004704C1">
        <w:rPr>
          <w:rFonts w:ascii="Times New Roman" w:hAnsi="Times New Roman" w:cs="Times New Roman"/>
        </w:rPr>
        <w:t xml:space="preserve"> </w:t>
      </w:r>
      <w:r>
        <w:rPr>
          <w:rFonts w:ascii="Times New Roman" w:hAnsi="Times New Roman" w:cs="Times New Roman"/>
        </w:rPr>
        <w:t xml:space="preserve">Pierre de </w:t>
      </w:r>
      <w:r w:rsidRPr="004704C1">
        <w:rPr>
          <w:rFonts w:ascii="Times New Roman" w:hAnsi="Times New Roman" w:cs="Times New Roman"/>
        </w:rPr>
        <w:t>L’Estoile</w:t>
      </w:r>
      <w:r>
        <w:rPr>
          <w:rFonts w:ascii="Times New Roman" w:hAnsi="Times New Roman" w:cs="Times New Roman"/>
        </w:rPr>
        <w:t>,</w:t>
      </w:r>
      <w:r w:rsidRPr="004704C1">
        <w:rPr>
          <w:rFonts w:ascii="Times New Roman" w:hAnsi="Times New Roman" w:cs="Times New Roman"/>
        </w:rPr>
        <w:t xml:space="preserve"> </w:t>
      </w:r>
      <w:r>
        <w:rPr>
          <w:rFonts w:ascii="Times New Roman" w:hAnsi="Times New Roman" w:cs="Times New Roman"/>
          <w:i/>
        </w:rPr>
        <w:t>S</w:t>
      </w:r>
      <w:r w:rsidRPr="00363BF3">
        <w:rPr>
          <w:rFonts w:ascii="Times New Roman" w:hAnsi="Times New Roman" w:cs="Times New Roman"/>
          <w:i/>
        </w:rPr>
        <w:t>onnet</w:t>
      </w:r>
      <w:r>
        <w:rPr>
          <w:rFonts w:ascii="Times New Roman" w:hAnsi="Times New Roman" w:cs="Times New Roman"/>
        </w:rPr>
        <w:t xml:space="preserve"> in Crompton, </w:t>
      </w:r>
      <w:r w:rsidRPr="00363BF3">
        <w:rPr>
          <w:rFonts w:ascii="Times New Roman" w:hAnsi="Times New Roman" w:cs="Times New Roman"/>
          <w:i/>
        </w:rPr>
        <w:t>Homosexuality and Civilisation</w:t>
      </w:r>
      <w:r w:rsidRPr="00CD455A">
        <w:rPr>
          <w:rFonts w:ascii="Times New Roman" w:hAnsi="Times New Roman" w:cs="Times New Roman"/>
        </w:rPr>
        <w:t>, p.330.</w:t>
      </w:r>
    </w:p>
  </w:footnote>
  <w:footnote w:id="79">
    <w:p w14:paraId="246BD7A9" w14:textId="0B3404F1" w:rsidR="00B1011A" w:rsidRPr="00067D80" w:rsidRDefault="00B1011A" w:rsidP="00E034B5">
      <w:pPr>
        <w:pStyle w:val="FootnoteText"/>
        <w:rPr>
          <w:rFonts w:ascii="Times New Roman" w:hAnsi="Times New Roman" w:cs="Times New Roman"/>
          <w:highlight w:val="yellow"/>
        </w:rPr>
      </w:pPr>
      <w:r w:rsidRPr="00FD114E">
        <w:rPr>
          <w:rStyle w:val="FootnoteReference"/>
          <w:rFonts w:ascii="Times New Roman" w:hAnsi="Times New Roman" w:cs="Times New Roman"/>
        </w:rPr>
        <w:footnoteRef/>
      </w:r>
      <w:r w:rsidRPr="00FD114E">
        <w:rPr>
          <w:rFonts w:ascii="Times New Roman" w:hAnsi="Times New Roman" w:cs="Times New Roman"/>
        </w:rPr>
        <w:t xml:space="preserve"> Ovid, </w:t>
      </w:r>
      <w:r w:rsidRPr="00FD114E">
        <w:rPr>
          <w:rFonts w:ascii="Times New Roman" w:hAnsi="Times New Roman" w:cs="Times New Roman"/>
          <w:i/>
        </w:rPr>
        <w:t>Metamorphosis</w:t>
      </w:r>
      <w:r>
        <w:rPr>
          <w:rFonts w:ascii="Times New Roman" w:hAnsi="Times New Roman" w:cs="Times New Roman"/>
          <w:i/>
        </w:rPr>
        <w:t>,</w:t>
      </w:r>
      <w:r w:rsidRPr="00FD114E">
        <w:rPr>
          <w:rFonts w:ascii="Times New Roman" w:hAnsi="Times New Roman" w:cs="Times New Roman"/>
        </w:rPr>
        <w:t xml:space="preserve"> translated by D. Raeburn (London: Penguin Classics, 2004), p.389.</w:t>
      </w:r>
    </w:p>
  </w:footnote>
  <w:footnote w:id="80">
    <w:p w14:paraId="583D423D" w14:textId="6756117E" w:rsidR="00B1011A" w:rsidRPr="0090592D" w:rsidRDefault="00B1011A" w:rsidP="00E034B5">
      <w:pPr>
        <w:pStyle w:val="FootnoteText"/>
        <w:rPr>
          <w:rFonts w:ascii="Times New Roman" w:hAnsi="Times New Roman" w:cs="Times New Roman"/>
        </w:rPr>
      </w:pPr>
      <w:r w:rsidRPr="0090592D">
        <w:rPr>
          <w:rStyle w:val="FootnoteReference"/>
          <w:rFonts w:ascii="Times New Roman" w:hAnsi="Times New Roman" w:cs="Times New Roman"/>
        </w:rPr>
        <w:footnoteRef/>
      </w:r>
      <w:r w:rsidRPr="0090592D">
        <w:rPr>
          <w:rFonts w:ascii="Times New Roman" w:hAnsi="Times New Roman" w:cs="Times New Roman"/>
        </w:rPr>
        <w:t xml:space="preserve"> Apollonius, </w:t>
      </w:r>
      <w:r w:rsidRPr="0090592D">
        <w:rPr>
          <w:rFonts w:ascii="Times New Roman" w:hAnsi="Times New Roman" w:cs="Times New Roman"/>
          <w:i/>
        </w:rPr>
        <w:t>Argonautica,</w:t>
      </w:r>
      <w:r w:rsidRPr="0090592D">
        <w:rPr>
          <w:rFonts w:ascii="Times New Roman" w:hAnsi="Times New Roman" w:cs="Times New Roman"/>
        </w:rPr>
        <w:t xml:space="preserve"> translated by A. Poochigan (London: Penguin Classes, 2015), p.112.</w:t>
      </w:r>
    </w:p>
  </w:footnote>
  <w:footnote w:id="81">
    <w:p w14:paraId="412301D1" w14:textId="22746BBE" w:rsidR="00B1011A" w:rsidRDefault="00B1011A" w:rsidP="00E034B5">
      <w:pPr>
        <w:pStyle w:val="FootnoteText"/>
      </w:pPr>
      <w:r w:rsidRPr="0090592D">
        <w:rPr>
          <w:rStyle w:val="FootnoteReference"/>
          <w:rFonts w:ascii="Times New Roman" w:hAnsi="Times New Roman" w:cs="Times New Roman"/>
        </w:rPr>
        <w:footnoteRef/>
      </w:r>
      <w:r w:rsidRPr="0090592D">
        <w:rPr>
          <w:rFonts w:ascii="Times New Roman" w:hAnsi="Times New Roman" w:cs="Times New Roman"/>
        </w:rPr>
        <w:t xml:space="preserve"> Homer, </w:t>
      </w:r>
      <w:r w:rsidRPr="0090592D">
        <w:rPr>
          <w:rFonts w:ascii="Times New Roman" w:hAnsi="Times New Roman" w:cs="Times New Roman"/>
          <w:i/>
        </w:rPr>
        <w:t>Homeric Hymns</w:t>
      </w:r>
      <w:r w:rsidRPr="0090592D">
        <w:rPr>
          <w:rFonts w:ascii="Times New Roman" w:hAnsi="Times New Roman" w:cs="Times New Roman"/>
        </w:rPr>
        <w:t>, translated by J. Cashfood (London: Penguin Classics, 2003), p.93.</w:t>
      </w:r>
    </w:p>
  </w:footnote>
  <w:footnote w:id="82">
    <w:p w14:paraId="770978BA" w14:textId="3EBA2983" w:rsidR="00B1011A" w:rsidRPr="00751F22" w:rsidRDefault="00B1011A" w:rsidP="00E034B5">
      <w:pPr>
        <w:pStyle w:val="FootnoteText"/>
        <w:rPr>
          <w:rFonts w:ascii="Times New Roman" w:hAnsi="Times New Roman" w:cs="Times New Roman"/>
        </w:rPr>
      </w:pPr>
      <w:r w:rsidRPr="00751F22">
        <w:rPr>
          <w:rStyle w:val="FootnoteReference"/>
          <w:rFonts w:ascii="Times New Roman" w:hAnsi="Times New Roman" w:cs="Times New Roman"/>
        </w:rPr>
        <w:footnoteRef/>
      </w:r>
      <w:r w:rsidRPr="00751F22">
        <w:rPr>
          <w:rFonts w:ascii="Times New Roman" w:hAnsi="Times New Roman" w:cs="Times New Roman"/>
        </w:rPr>
        <w:t xml:space="preserve"> </w:t>
      </w:r>
      <w:r>
        <w:rPr>
          <w:rFonts w:ascii="Times New Roman" w:hAnsi="Times New Roman" w:cs="Times New Roman"/>
        </w:rPr>
        <w:t xml:space="preserve">Pomeroy, </w:t>
      </w:r>
      <w:r w:rsidRPr="00751F22">
        <w:rPr>
          <w:rFonts w:ascii="Times New Roman" w:hAnsi="Times New Roman" w:cs="Times New Roman"/>
          <w:i/>
        </w:rPr>
        <w:t>Goddesses, Whores, Wives and Slaves,</w:t>
      </w:r>
      <w:r>
        <w:rPr>
          <w:rFonts w:ascii="Times New Roman" w:hAnsi="Times New Roman" w:cs="Times New Roman"/>
        </w:rPr>
        <w:t xml:space="preserve"> </w:t>
      </w:r>
      <w:r w:rsidRPr="00751F22">
        <w:rPr>
          <w:rFonts w:ascii="Times New Roman" w:hAnsi="Times New Roman" w:cs="Times New Roman"/>
        </w:rPr>
        <w:t>p.12-13</w:t>
      </w:r>
      <w:r>
        <w:rPr>
          <w:rFonts w:ascii="Times New Roman" w:hAnsi="Times New Roman" w:cs="Times New Roman"/>
        </w:rPr>
        <w:t>.</w:t>
      </w:r>
    </w:p>
  </w:footnote>
  <w:footnote w:id="83">
    <w:p w14:paraId="4169748D" w14:textId="6B6CB8EE" w:rsidR="00B1011A" w:rsidRPr="00751F22" w:rsidRDefault="00B1011A" w:rsidP="00E034B5">
      <w:pPr>
        <w:pStyle w:val="FootnoteText"/>
        <w:rPr>
          <w:rFonts w:ascii="Times New Roman" w:hAnsi="Times New Roman" w:cs="Times New Roman"/>
        </w:rPr>
      </w:pPr>
      <w:r w:rsidRPr="00751F22">
        <w:rPr>
          <w:rStyle w:val="FootnoteReference"/>
          <w:rFonts w:ascii="Times New Roman" w:hAnsi="Times New Roman" w:cs="Times New Roman"/>
        </w:rPr>
        <w:footnoteRef/>
      </w:r>
      <w:r w:rsidRPr="00751F22">
        <w:rPr>
          <w:rFonts w:ascii="Times New Roman" w:hAnsi="Times New Roman" w:cs="Times New Roman"/>
        </w:rPr>
        <w:t xml:space="preserve"> </w:t>
      </w:r>
      <w:r w:rsidRPr="00751F22">
        <w:rPr>
          <w:rFonts w:ascii="Times New Roman" w:hAnsi="Times New Roman" w:cs="Times New Roman"/>
          <w:i/>
        </w:rPr>
        <w:t>ibid.</w:t>
      </w:r>
    </w:p>
  </w:footnote>
  <w:footnote w:id="84">
    <w:p w14:paraId="05A91E2B" w14:textId="428721B5" w:rsidR="00B1011A" w:rsidRPr="00751F22" w:rsidRDefault="00B1011A" w:rsidP="00E034B5">
      <w:pPr>
        <w:pStyle w:val="FootnoteText"/>
        <w:rPr>
          <w:rFonts w:ascii="Times New Roman" w:hAnsi="Times New Roman" w:cs="Times New Roman"/>
        </w:rPr>
      </w:pPr>
      <w:r w:rsidRPr="00751F22">
        <w:rPr>
          <w:rStyle w:val="FootnoteReference"/>
          <w:rFonts w:ascii="Times New Roman" w:hAnsi="Times New Roman" w:cs="Times New Roman"/>
        </w:rPr>
        <w:footnoteRef/>
      </w:r>
      <w:r w:rsidRPr="00751F22">
        <w:rPr>
          <w:rFonts w:ascii="Times New Roman" w:hAnsi="Times New Roman" w:cs="Times New Roman"/>
        </w:rPr>
        <w:t xml:space="preserve"> </w:t>
      </w:r>
      <w:r>
        <w:rPr>
          <w:rFonts w:ascii="Times New Roman" w:hAnsi="Times New Roman" w:cs="Times New Roman"/>
        </w:rPr>
        <w:t xml:space="preserve">Crompton, </w:t>
      </w:r>
      <w:r w:rsidRPr="00751F22">
        <w:rPr>
          <w:rFonts w:ascii="Times New Roman" w:hAnsi="Times New Roman" w:cs="Times New Roman"/>
          <w:i/>
        </w:rPr>
        <w:t>Homosexuality and Civilisation,</w:t>
      </w:r>
      <w:r w:rsidRPr="00751F22">
        <w:rPr>
          <w:rFonts w:ascii="Times New Roman" w:hAnsi="Times New Roman" w:cs="Times New Roman"/>
        </w:rPr>
        <w:t xml:space="preserve"> p.341</w:t>
      </w:r>
      <w:r>
        <w:rPr>
          <w:rFonts w:ascii="Times New Roman" w:hAnsi="Times New Roman" w:cs="Times New Roman"/>
        </w:rPr>
        <w:t>.</w:t>
      </w:r>
    </w:p>
  </w:footnote>
  <w:footnote w:id="85">
    <w:p w14:paraId="43F6FC09" w14:textId="21665168" w:rsidR="00B1011A" w:rsidRPr="00751F22" w:rsidRDefault="00B1011A" w:rsidP="00E034B5">
      <w:pPr>
        <w:pStyle w:val="FootnoteText"/>
        <w:rPr>
          <w:rFonts w:ascii="Times New Roman" w:hAnsi="Times New Roman" w:cs="Times New Roman"/>
        </w:rPr>
      </w:pPr>
      <w:r w:rsidRPr="00751F22">
        <w:rPr>
          <w:rStyle w:val="FootnoteReference"/>
          <w:rFonts w:ascii="Times New Roman" w:hAnsi="Times New Roman" w:cs="Times New Roman"/>
        </w:rPr>
        <w:footnoteRef/>
      </w:r>
      <w:r w:rsidRPr="00751F22">
        <w:rPr>
          <w:rFonts w:ascii="Times New Roman" w:hAnsi="Times New Roman" w:cs="Times New Roman"/>
        </w:rPr>
        <w:t xml:space="preserve"> </w:t>
      </w:r>
      <w:r w:rsidRPr="00751F22">
        <w:rPr>
          <w:rFonts w:ascii="Times New Roman" w:hAnsi="Times New Roman" w:cs="Times New Roman"/>
          <w:i/>
        </w:rPr>
        <w:t>ibid.</w:t>
      </w:r>
    </w:p>
  </w:footnote>
  <w:footnote w:id="86">
    <w:p w14:paraId="752FC9BF" w14:textId="3325F6C8" w:rsidR="00B1011A" w:rsidRPr="00751F22" w:rsidRDefault="00B1011A" w:rsidP="00E034B5">
      <w:pPr>
        <w:pStyle w:val="FootnoteText"/>
        <w:rPr>
          <w:rFonts w:ascii="Times New Roman" w:hAnsi="Times New Roman" w:cs="Times New Roman"/>
        </w:rPr>
      </w:pPr>
      <w:r w:rsidRPr="00751F22">
        <w:rPr>
          <w:rStyle w:val="FootnoteReference"/>
          <w:rFonts w:ascii="Times New Roman" w:hAnsi="Times New Roman" w:cs="Times New Roman"/>
        </w:rPr>
        <w:footnoteRef/>
      </w:r>
      <w:r w:rsidRPr="00751F22">
        <w:rPr>
          <w:rFonts w:ascii="Times New Roman" w:hAnsi="Times New Roman" w:cs="Times New Roman"/>
        </w:rPr>
        <w:t xml:space="preserve"> </w:t>
      </w:r>
      <w:r w:rsidRPr="00751F22">
        <w:rPr>
          <w:rFonts w:ascii="Times New Roman" w:hAnsi="Times New Roman" w:cs="Times New Roman"/>
          <w:i/>
        </w:rPr>
        <w:t>ibid.</w:t>
      </w:r>
    </w:p>
  </w:footnote>
  <w:footnote w:id="87">
    <w:p w14:paraId="455B947B" w14:textId="4D0C09F1" w:rsidR="00B1011A" w:rsidRDefault="00B1011A" w:rsidP="00E034B5">
      <w:pPr>
        <w:pStyle w:val="FootnoteText"/>
      </w:pPr>
      <w:r w:rsidRPr="00751F22">
        <w:rPr>
          <w:rStyle w:val="FootnoteReference"/>
          <w:rFonts w:ascii="Times New Roman" w:hAnsi="Times New Roman" w:cs="Times New Roman"/>
        </w:rPr>
        <w:footnoteRef/>
      </w:r>
      <w:r w:rsidRPr="00751F22">
        <w:rPr>
          <w:rFonts w:ascii="Times New Roman" w:hAnsi="Times New Roman" w:cs="Times New Roman"/>
        </w:rPr>
        <w:t xml:space="preserve"> </w:t>
      </w:r>
      <w:r>
        <w:rPr>
          <w:rFonts w:ascii="Times New Roman" w:hAnsi="Times New Roman" w:cs="Times New Roman"/>
        </w:rPr>
        <w:t xml:space="preserve">Neill, </w:t>
      </w:r>
      <w:r w:rsidRPr="00D67BE8">
        <w:rPr>
          <w:rFonts w:ascii="Times New Roman" w:hAnsi="Times New Roman" w:cs="Times New Roman"/>
          <w:i/>
        </w:rPr>
        <w:t>The Origins and Role of Same-Sex Relations in Human Societies,</w:t>
      </w:r>
      <w:r w:rsidRPr="00751F22">
        <w:rPr>
          <w:rFonts w:ascii="Times New Roman" w:hAnsi="Times New Roman" w:cs="Times New Roman"/>
        </w:rPr>
        <w:t xml:space="preserve"> p.405</w:t>
      </w:r>
      <w:r>
        <w:rPr>
          <w:rFonts w:ascii="Times New Roman" w:hAnsi="Times New Roman" w:cs="Times New Roman"/>
        </w:rPr>
        <w:t>.</w:t>
      </w:r>
    </w:p>
  </w:footnote>
  <w:footnote w:id="88">
    <w:p w14:paraId="655C0255" w14:textId="009310CD"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Pr>
          <w:rFonts w:ascii="Times New Roman" w:hAnsi="Times New Roman" w:cs="Times New Roman"/>
        </w:rPr>
        <w:t xml:space="preserve">P. F. Riley, </w:t>
      </w:r>
      <w:r w:rsidRPr="00907DDA">
        <w:rPr>
          <w:rFonts w:ascii="Times New Roman" w:hAnsi="Times New Roman" w:cs="Times New Roman"/>
          <w:i/>
        </w:rPr>
        <w:t>A Lust for Virtue: Louis XIV’s Attack on Sin in Seventeenth Century France</w:t>
      </w:r>
      <w:r>
        <w:rPr>
          <w:rFonts w:ascii="Times New Roman" w:hAnsi="Times New Roman" w:cs="Times New Roman"/>
        </w:rPr>
        <w:t xml:space="preserve"> (London: Greenwood Publishing Group, 2001),</w:t>
      </w:r>
      <w:r w:rsidRPr="00D67BE8">
        <w:rPr>
          <w:rFonts w:ascii="Times New Roman" w:hAnsi="Times New Roman" w:cs="Times New Roman"/>
        </w:rPr>
        <w:t xml:space="preserve"> p.1</w:t>
      </w:r>
      <w:r>
        <w:rPr>
          <w:rFonts w:ascii="Times New Roman" w:hAnsi="Times New Roman" w:cs="Times New Roman"/>
        </w:rPr>
        <w:t>.</w:t>
      </w:r>
    </w:p>
  </w:footnote>
  <w:footnote w:id="89">
    <w:p w14:paraId="15D253F1" w14:textId="46E47410"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Pr>
          <w:rFonts w:ascii="Times New Roman" w:hAnsi="Times New Roman" w:cs="Times New Roman"/>
        </w:rPr>
        <w:t>D. C. Knutson, ‘</w:t>
      </w:r>
      <w:r w:rsidRPr="00D67BE8">
        <w:rPr>
          <w:rFonts w:ascii="Times New Roman" w:hAnsi="Times New Roman" w:cs="Times New Roman"/>
        </w:rPr>
        <w:t>Homo</w:t>
      </w:r>
      <w:r>
        <w:rPr>
          <w:rFonts w:ascii="Times New Roman" w:hAnsi="Times New Roman" w:cs="Times New Roman"/>
        </w:rPr>
        <w:t>sexuality</w:t>
      </w:r>
      <w:r w:rsidRPr="00D67BE8">
        <w:rPr>
          <w:rFonts w:ascii="Times New Roman" w:hAnsi="Times New Roman" w:cs="Times New Roman"/>
        </w:rPr>
        <w:t xml:space="preserve"> and the Law</w:t>
      </w:r>
      <w:r>
        <w:rPr>
          <w:rFonts w:ascii="Times New Roman" w:hAnsi="Times New Roman" w:cs="Times New Roman"/>
        </w:rPr>
        <w:t>’,</w:t>
      </w:r>
      <w:r w:rsidRPr="00D67BE8">
        <w:rPr>
          <w:rFonts w:ascii="Times New Roman" w:hAnsi="Times New Roman" w:cs="Times New Roman"/>
        </w:rPr>
        <w:t xml:space="preserve"> </w:t>
      </w:r>
      <w:r w:rsidRPr="00AB5D22">
        <w:rPr>
          <w:rFonts w:ascii="Times New Roman" w:hAnsi="Times New Roman" w:cs="Times New Roman"/>
          <w:i/>
        </w:rPr>
        <w:t xml:space="preserve">Journal of Homosexuality, </w:t>
      </w:r>
      <w:r>
        <w:rPr>
          <w:rFonts w:ascii="Times New Roman" w:hAnsi="Times New Roman" w:cs="Times New Roman"/>
        </w:rPr>
        <w:t xml:space="preserve">vol.5, no.1 (1979), </w:t>
      </w:r>
      <w:r w:rsidRPr="00D67BE8">
        <w:rPr>
          <w:rFonts w:ascii="Times New Roman" w:hAnsi="Times New Roman" w:cs="Times New Roman"/>
        </w:rPr>
        <w:t>p.116</w:t>
      </w:r>
      <w:r>
        <w:rPr>
          <w:rFonts w:ascii="Times New Roman" w:hAnsi="Times New Roman" w:cs="Times New Roman"/>
        </w:rPr>
        <w:t>.</w:t>
      </w:r>
    </w:p>
  </w:footnote>
  <w:footnote w:id="90">
    <w:p w14:paraId="40EB0EF4" w14:textId="2C5364D5"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Pr>
          <w:rFonts w:ascii="Times New Roman" w:hAnsi="Times New Roman" w:cs="Times New Roman"/>
        </w:rPr>
        <w:t xml:space="preserve">Neill, </w:t>
      </w:r>
      <w:r w:rsidRPr="00631595">
        <w:rPr>
          <w:rFonts w:ascii="Times New Roman" w:hAnsi="Times New Roman" w:cs="Times New Roman"/>
          <w:i/>
        </w:rPr>
        <w:t>The Origins and Role of Same-Sex Relations in Human Societies,</w:t>
      </w:r>
      <w:r w:rsidRPr="00D67BE8">
        <w:rPr>
          <w:rFonts w:ascii="Times New Roman" w:hAnsi="Times New Roman" w:cs="Times New Roman"/>
        </w:rPr>
        <w:t xml:space="preserve"> p.407</w:t>
      </w:r>
      <w:r>
        <w:rPr>
          <w:rFonts w:ascii="Times New Roman" w:hAnsi="Times New Roman" w:cs="Times New Roman"/>
        </w:rPr>
        <w:t>.</w:t>
      </w:r>
    </w:p>
  </w:footnote>
  <w:footnote w:id="91">
    <w:p w14:paraId="14A98EA5" w14:textId="6D1E32D1"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Pr>
          <w:rFonts w:ascii="Times New Roman" w:hAnsi="Times New Roman" w:cs="Times New Roman"/>
        </w:rPr>
        <w:t xml:space="preserve">Mitford, </w:t>
      </w:r>
      <w:r w:rsidRPr="000620AD">
        <w:rPr>
          <w:rFonts w:ascii="Times New Roman" w:hAnsi="Times New Roman" w:cs="Times New Roman"/>
          <w:i/>
        </w:rPr>
        <w:t>The Sun King,</w:t>
      </w:r>
      <w:r w:rsidRPr="00D67BE8">
        <w:rPr>
          <w:rFonts w:ascii="Times New Roman" w:hAnsi="Times New Roman" w:cs="Times New Roman"/>
        </w:rPr>
        <w:t xml:space="preserve"> p.108</w:t>
      </w:r>
      <w:r>
        <w:rPr>
          <w:rFonts w:ascii="Times New Roman" w:hAnsi="Times New Roman" w:cs="Times New Roman"/>
        </w:rPr>
        <w:t>.</w:t>
      </w:r>
    </w:p>
  </w:footnote>
  <w:footnote w:id="92">
    <w:p w14:paraId="47D207EA" w14:textId="1F69C03F"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sidRPr="00751F22">
        <w:rPr>
          <w:rFonts w:ascii="Times New Roman" w:hAnsi="Times New Roman" w:cs="Times New Roman"/>
          <w:i/>
        </w:rPr>
        <w:t>ibid.</w:t>
      </w:r>
    </w:p>
  </w:footnote>
  <w:footnote w:id="93">
    <w:p w14:paraId="5F8669C8" w14:textId="7C06681B"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Pr>
          <w:rFonts w:ascii="Times New Roman" w:hAnsi="Times New Roman" w:cs="Times New Roman"/>
        </w:rPr>
        <w:t xml:space="preserve">Oresko, </w:t>
      </w:r>
      <w:r w:rsidRPr="00C82264">
        <w:rPr>
          <w:rFonts w:ascii="Times New Roman" w:hAnsi="Times New Roman" w:cs="Times New Roman"/>
          <w:i/>
        </w:rPr>
        <w:t>Homosexuality and the Court Elites of Early Modern France: Some Problems, Some Suggestions, and an Example</w:t>
      </w:r>
      <w:r>
        <w:rPr>
          <w:rFonts w:ascii="Times New Roman" w:hAnsi="Times New Roman" w:cs="Times New Roman"/>
        </w:rPr>
        <w:t xml:space="preserve"> in Gerard and Hekma (eds.), </w:t>
      </w:r>
      <w:r w:rsidRPr="00C82264">
        <w:rPr>
          <w:rFonts w:ascii="Times New Roman" w:hAnsi="Times New Roman" w:cs="Times New Roman"/>
          <w:i/>
        </w:rPr>
        <w:t>The Pursuit of Sodomy: Male Homosexuality in Renaissance and Enlightenment Europe</w:t>
      </w:r>
      <w:r>
        <w:rPr>
          <w:rFonts w:ascii="Times New Roman" w:hAnsi="Times New Roman" w:cs="Times New Roman"/>
        </w:rPr>
        <w:t>,</w:t>
      </w:r>
      <w:r w:rsidRPr="00F56EC7">
        <w:rPr>
          <w:rFonts w:ascii="Times New Roman" w:hAnsi="Times New Roman" w:cs="Times New Roman"/>
        </w:rPr>
        <w:t xml:space="preserve"> </w:t>
      </w:r>
      <w:r w:rsidRPr="00D67BE8">
        <w:rPr>
          <w:rFonts w:ascii="Times New Roman" w:hAnsi="Times New Roman" w:cs="Times New Roman"/>
        </w:rPr>
        <w:t>p.11</w:t>
      </w:r>
      <w:r>
        <w:rPr>
          <w:rFonts w:ascii="Times New Roman" w:hAnsi="Times New Roman" w:cs="Times New Roman"/>
        </w:rPr>
        <w:t>2.</w:t>
      </w:r>
    </w:p>
  </w:footnote>
  <w:footnote w:id="94">
    <w:p w14:paraId="42950C53" w14:textId="34DDE2E2"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sidRPr="000620AD">
        <w:rPr>
          <w:rFonts w:ascii="Times New Roman" w:hAnsi="Times New Roman" w:cs="Times New Roman"/>
          <w:i/>
        </w:rPr>
        <w:t>ibid.</w:t>
      </w:r>
    </w:p>
  </w:footnote>
  <w:footnote w:id="95">
    <w:p w14:paraId="6B06B0DB" w14:textId="11C98BD7"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Pr>
          <w:rFonts w:ascii="Times New Roman" w:hAnsi="Times New Roman" w:cs="Times New Roman"/>
        </w:rPr>
        <w:t xml:space="preserve">Greenberg, </w:t>
      </w:r>
      <w:r w:rsidRPr="007529EB">
        <w:rPr>
          <w:rFonts w:ascii="Times New Roman" w:hAnsi="Times New Roman" w:cs="Times New Roman"/>
          <w:i/>
        </w:rPr>
        <w:t>Construction of Homosexuality</w:t>
      </w:r>
      <w:r>
        <w:rPr>
          <w:rFonts w:ascii="Times New Roman" w:hAnsi="Times New Roman" w:cs="Times New Roman"/>
          <w:i/>
        </w:rPr>
        <w:t>,</w:t>
      </w:r>
      <w:r w:rsidRPr="00D67BE8">
        <w:rPr>
          <w:rFonts w:ascii="Times New Roman" w:hAnsi="Times New Roman" w:cs="Times New Roman"/>
        </w:rPr>
        <w:t xml:space="preserve"> p.316</w:t>
      </w:r>
      <w:r>
        <w:rPr>
          <w:rFonts w:ascii="Times New Roman" w:hAnsi="Times New Roman" w:cs="Times New Roman"/>
        </w:rPr>
        <w:t>.</w:t>
      </w:r>
    </w:p>
  </w:footnote>
  <w:footnote w:id="96">
    <w:p w14:paraId="7ABBA031" w14:textId="7E802908"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Pr>
          <w:rFonts w:ascii="Times New Roman" w:hAnsi="Times New Roman" w:cs="Times New Roman"/>
        </w:rPr>
        <w:t xml:space="preserve">Mitford, </w:t>
      </w:r>
      <w:r w:rsidRPr="000620AD">
        <w:rPr>
          <w:rFonts w:ascii="Times New Roman" w:hAnsi="Times New Roman" w:cs="Times New Roman"/>
          <w:i/>
        </w:rPr>
        <w:t>The Sun King,</w:t>
      </w:r>
      <w:r w:rsidRPr="00D67BE8">
        <w:rPr>
          <w:rFonts w:ascii="Times New Roman" w:hAnsi="Times New Roman" w:cs="Times New Roman"/>
        </w:rPr>
        <w:t xml:space="preserve"> p.37</w:t>
      </w:r>
      <w:r>
        <w:rPr>
          <w:rFonts w:ascii="Times New Roman" w:hAnsi="Times New Roman" w:cs="Times New Roman"/>
        </w:rPr>
        <w:t>.</w:t>
      </w:r>
    </w:p>
  </w:footnote>
  <w:footnote w:id="97">
    <w:p w14:paraId="0AFD6187" w14:textId="38494046" w:rsidR="00B1011A" w:rsidRPr="00D67BE8" w:rsidRDefault="00B1011A" w:rsidP="00E034B5">
      <w:pPr>
        <w:pStyle w:val="FootnoteText"/>
        <w:rPr>
          <w:rFonts w:ascii="Times New Roman" w:hAnsi="Times New Roman" w:cs="Times New Roman"/>
        </w:rPr>
      </w:pPr>
      <w:r w:rsidRPr="00D67BE8">
        <w:rPr>
          <w:rStyle w:val="FootnoteReference"/>
          <w:rFonts w:ascii="Times New Roman" w:hAnsi="Times New Roman" w:cs="Times New Roman"/>
        </w:rPr>
        <w:footnoteRef/>
      </w:r>
      <w:r w:rsidRPr="00D67BE8">
        <w:rPr>
          <w:rFonts w:ascii="Times New Roman" w:hAnsi="Times New Roman" w:cs="Times New Roman"/>
        </w:rPr>
        <w:t xml:space="preserve"> </w:t>
      </w:r>
      <w:r w:rsidRPr="000620AD">
        <w:rPr>
          <w:rFonts w:ascii="Times New Roman" w:hAnsi="Times New Roman" w:cs="Times New Roman"/>
          <w:i/>
        </w:rPr>
        <w:t>ibid.</w:t>
      </w:r>
    </w:p>
  </w:footnote>
  <w:footnote w:id="98">
    <w:p w14:paraId="359336E9" w14:textId="6801ED96" w:rsidR="00B1011A" w:rsidRPr="004543F7" w:rsidRDefault="00B1011A" w:rsidP="00E034B5">
      <w:pPr>
        <w:pStyle w:val="FootnoteText"/>
        <w:rPr>
          <w:rFonts w:ascii="Times New Roman" w:hAnsi="Times New Roman" w:cs="Times New Roman"/>
        </w:rPr>
      </w:pPr>
      <w:r w:rsidRPr="004543F7">
        <w:rPr>
          <w:rStyle w:val="FootnoteReference"/>
          <w:rFonts w:ascii="Times New Roman" w:hAnsi="Times New Roman" w:cs="Times New Roman"/>
        </w:rPr>
        <w:footnoteRef/>
      </w:r>
      <w:r w:rsidRPr="004543F7">
        <w:rPr>
          <w:rFonts w:ascii="Times New Roman" w:hAnsi="Times New Roman" w:cs="Times New Roman"/>
        </w:rPr>
        <w:t xml:space="preserve"> </w:t>
      </w:r>
      <w:r w:rsidRPr="004543F7">
        <w:rPr>
          <w:rFonts w:ascii="Times New Roman" w:hAnsi="Times New Roman" w:cs="Times New Roman"/>
          <w:i/>
        </w:rPr>
        <w:t>ibid.</w:t>
      </w:r>
    </w:p>
  </w:footnote>
  <w:footnote w:id="99">
    <w:p w14:paraId="6BAE4B54" w14:textId="276223D7" w:rsidR="00B1011A" w:rsidRDefault="00B1011A" w:rsidP="00E034B5">
      <w:pPr>
        <w:pStyle w:val="FootnoteText"/>
      </w:pPr>
      <w:r w:rsidRPr="004543F7">
        <w:rPr>
          <w:rStyle w:val="FootnoteReference"/>
          <w:rFonts w:ascii="Times New Roman" w:hAnsi="Times New Roman" w:cs="Times New Roman"/>
        </w:rPr>
        <w:footnoteRef/>
      </w:r>
      <w:r w:rsidRPr="004543F7">
        <w:rPr>
          <w:rFonts w:ascii="Times New Roman" w:hAnsi="Times New Roman" w:cs="Times New Roman"/>
        </w:rPr>
        <w:t xml:space="preserve"> J. B. Wolf, </w:t>
      </w:r>
      <w:r w:rsidRPr="004543F7">
        <w:rPr>
          <w:rFonts w:ascii="Times New Roman" w:hAnsi="Times New Roman" w:cs="Times New Roman"/>
          <w:i/>
        </w:rPr>
        <w:t>Louis XIV</w:t>
      </w:r>
      <w:r w:rsidRPr="004543F7">
        <w:rPr>
          <w:rFonts w:ascii="Times New Roman" w:hAnsi="Times New Roman" w:cs="Times New Roman"/>
        </w:rPr>
        <w:t xml:space="preserve"> (New York: W. W. Norton and Company,1968), p.606.</w:t>
      </w:r>
    </w:p>
  </w:footnote>
  <w:footnote w:id="100">
    <w:p w14:paraId="57A80837" w14:textId="7912AC72" w:rsidR="00B1011A" w:rsidRPr="00987B45" w:rsidRDefault="00B1011A" w:rsidP="00E034B5">
      <w:pPr>
        <w:pStyle w:val="FootnoteText"/>
        <w:rPr>
          <w:rFonts w:ascii="Times New Roman" w:hAnsi="Times New Roman" w:cs="Times New Roman"/>
        </w:rPr>
      </w:pPr>
      <w:r w:rsidRPr="00987B45">
        <w:rPr>
          <w:rStyle w:val="FootnoteReference"/>
          <w:rFonts w:ascii="Times New Roman" w:hAnsi="Times New Roman" w:cs="Times New Roman"/>
        </w:rPr>
        <w:footnoteRef/>
      </w:r>
      <w:r>
        <w:rPr>
          <w:rFonts w:ascii="Times New Roman" w:hAnsi="Times New Roman" w:cs="Times New Roman"/>
        </w:rPr>
        <w:t xml:space="preserve"> Neill, </w:t>
      </w:r>
      <w:r w:rsidRPr="00987B45">
        <w:rPr>
          <w:rFonts w:ascii="Times New Roman" w:hAnsi="Times New Roman" w:cs="Times New Roman"/>
          <w:i/>
        </w:rPr>
        <w:t>The Origins and Role of Same-Sex Relations in Human Societies,</w:t>
      </w:r>
      <w:r>
        <w:rPr>
          <w:rFonts w:ascii="Times New Roman" w:hAnsi="Times New Roman" w:cs="Times New Roman"/>
        </w:rPr>
        <w:t xml:space="preserve"> </w:t>
      </w:r>
      <w:r w:rsidRPr="00987B45">
        <w:rPr>
          <w:rFonts w:ascii="Times New Roman" w:hAnsi="Times New Roman" w:cs="Times New Roman"/>
        </w:rPr>
        <w:t>p.406</w:t>
      </w:r>
      <w:r>
        <w:rPr>
          <w:rFonts w:ascii="Times New Roman" w:hAnsi="Times New Roman" w:cs="Times New Roman"/>
        </w:rPr>
        <w:t>.</w:t>
      </w:r>
    </w:p>
  </w:footnote>
  <w:footnote w:id="101">
    <w:p w14:paraId="644FF973" w14:textId="07299676" w:rsidR="00B1011A" w:rsidRPr="00987B45" w:rsidRDefault="00B1011A" w:rsidP="00E034B5">
      <w:pPr>
        <w:pStyle w:val="FootnoteText"/>
        <w:rPr>
          <w:rFonts w:ascii="Times New Roman" w:hAnsi="Times New Roman" w:cs="Times New Roman"/>
        </w:rPr>
      </w:pPr>
      <w:r w:rsidRPr="00987B45">
        <w:rPr>
          <w:rStyle w:val="FootnoteReference"/>
          <w:rFonts w:ascii="Times New Roman" w:hAnsi="Times New Roman" w:cs="Times New Roman"/>
        </w:rPr>
        <w:footnoteRef/>
      </w:r>
      <w:r w:rsidRPr="00987B45">
        <w:rPr>
          <w:rFonts w:ascii="Times New Roman" w:hAnsi="Times New Roman" w:cs="Times New Roman"/>
        </w:rPr>
        <w:t xml:space="preserve"> </w:t>
      </w:r>
      <w:r w:rsidRPr="00987B45">
        <w:rPr>
          <w:rFonts w:ascii="Times New Roman" w:hAnsi="Times New Roman" w:cs="Times New Roman"/>
          <w:i/>
        </w:rPr>
        <w:t>ibid.</w:t>
      </w:r>
    </w:p>
  </w:footnote>
  <w:footnote w:id="102">
    <w:p w14:paraId="6B2197F4" w14:textId="40F5E83D" w:rsidR="00B1011A" w:rsidRPr="00987B45" w:rsidRDefault="00B1011A" w:rsidP="00E034B5">
      <w:pPr>
        <w:pStyle w:val="FootnoteText"/>
        <w:rPr>
          <w:rFonts w:ascii="Times New Roman" w:hAnsi="Times New Roman" w:cs="Times New Roman"/>
        </w:rPr>
      </w:pPr>
      <w:r w:rsidRPr="00987B45">
        <w:rPr>
          <w:rStyle w:val="FootnoteReference"/>
          <w:rFonts w:ascii="Times New Roman" w:hAnsi="Times New Roman" w:cs="Times New Roman"/>
        </w:rPr>
        <w:footnoteRef/>
      </w:r>
      <w:r w:rsidRPr="00987B45">
        <w:rPr>
          <w:rFonts w:ascii="Times New Roman" w:hAnsi="Times New Roman" w:cs="Times New Roman"/>
        </w:rPr>
        <w:t xml:space="preserve"> </w:t>
      </w:r>
      <w:r>
        <w:rPr>
          <w:rFonts w:ascii="Times New Roman" w:hAnsi="Times New Roman" w:cs="Times New Roman"/>
        </w:rPr>
        <w:t xml:space="preserve">Crompton, </w:t>
      </w:r>
      <w:r w:rsidRPr="00F0051B">
        <w:rPr>
          <w:rFonts w:ascii="Times New Roman" w:hAnsi="Times New Roman" w:cs="Times New Roman"/>
          <w:i/>
        </w:rPr>
        <w:t>Homosexuality and Civilisation,</w:t>
      </w:r>
      <w:r w:rsidRPr="00987B45">
        <w:rPr>
          <w:rFonts w:ascii="Times New Roman" w:hAnsi="Times New Roman" w:cs="Times New Roman"/>
        </w:rPr>
        <w:t xml:space="preserve"> p.340</w:t>
      </w:r>
      <w:r>
        <w:rPr>
          <w:rFonts w:ascii="Times New Roman" w:hAnsi="Times New Roman" w:cs="Times New Roman"/>
        </w:rPr>
        <w:t>.</w:t>
      </w:r>
    </w:p>
  </w:footnote>
  <w:footnote w:id="103">
    <w:p w14:paraId="02CF4A0E" w14:textId="51BB615F" w:rsidR="00B1011A" w:rsidRPr="00987B45" w:rsidRDefault="00B1011A" w:rsidP="00E034B5">
      <w:pPr>
        <w:pStyle w:val="FootnoteText"/>
        <w:rPr>
          <w:rFonts w:ascii="Times New Roman" w:hAnsi="Times New Roman" w:cs="Times New Roman"/>
        </w:rPr>
      </w:pPr>
      <w:r w:rsidRPr="00987B45">
        <w:rPr>
          <w:rStyle w:val="FootnoteReference"/>
          <w:rFonts w:ascii="Times New Roman" w:hAnsi="Times New Roman" w:cs="Times New Roman"/>
        </w:rPr>
        <w:footnoteRef/>
      </w:r>
      <w:r w:rsidRPr="00987B45">
        <w:rPr>
          <w:rFonts w:ascii="Times New Roman" w:hAnsi="Times New Roman" w:cs="Times New Roman"/>
        </w:rPr>
        <w:t xml:space="preserve"> </w:t>
      </w:r>
      <w:r>
        <w:rPr>
          <w:rFonts w:ascii="Times New Roman" w:hAnsi="Times New Roman" w:cs="Times New Roman"/>
        </w:rPr>
        <w:t xml:space="preserve">Neill, </w:t>
      </w:r>
      <w:r w:rsidRPr="00987B45">
        <w:rPr>
          <w:rFonts w:ascii="Times New Roman" w:hAnsi="Times New Roman" w:cs="Times New Roman"/>
          <w:i/>
        </w:rPr>
        <w:t>The Origins and Role of Same-Sex Relations in Human Societies,</w:t>
      </w:r>
      <w:r>
        <w:rPr>
          <w:rFonts w:ascii="Times New Roman" w:hAnsi="Times New Roman" w:cs="Times New Roman"/>
        </w:rPr>
        <w:t xml:space="preserve"> </w:t>
      </w:r>
      <w:r w:rsidRPr="00987B45">
        <w:rPr>
          <w:rFonts w:ascii="Times New Roman" w:hAnsi="Times New Roman" w:cs="Times New Roman"/>
        </w:rPr>
        <w:t>p.406</w:t>
      </w:r>
      <w:r>
        <w:rPr>
          <w:rFonts w:ascii="Times New Roman" w:hAnsi="Times New Roman" w:cs="Times New Roman"/>
        </w:rPr>
        <w:t>.</w:t>
      </w:r>
    </w:p>
  </w:footnote>
  <w:footnote w:id="104">
    <w:p w14:paraId="6558A977" w14:textId="2F67B7AD" w:rsidR="00B1011A" w:rsidRPr="00987B45" w:rsidRDefault="00B1011A" w:rsidP="00E034B5">
      <w:pPr>
        <w:pStyle w:val="FootnoteText"/>
        <w:rPr>
          <w:rFonts w:ascii="Times New Roman" w:hAnsi="Times New Roman" w:cs="Times New Roman"/>
        </w:rPr>
      </w:pPr>
      <w:r w:rsidRPr="00987B45">
        <w:rPr>
          <w:rStyle w:val="FootnoteReference"/>
          <w:rFonts w:ascii="Times New Roman" w:hAnsi="Times New Roman" w:cs="Times New Roman"/>
        </w:rPr>
        <w:footnoteRef/>
      </w:r>
      <w:r w:rsidRPr="00987B45">
        <w:rPr>
          <w:rFonts w:ascii="Times New Roman" w:hAnsi="Times New Roman" w:cs="Times New Roman"/>
        </w:rPr>
        <w:t xml:space="preserve"> </w:t>
      </w:r>
      <w:r>
        <w:rPr>
          <w:rFonts w:ascii="Times New Roman" w:hAnsi="Times New Roman" w:cs="Times New Roman"/>
        </w:rPr>
        <w:t xml:space="preserve">Crompton, </w:t>
      </w:r>
      <w:r w:rsidRPr="00F0051B">
        <w:rPr>
          <w:rFonts w:ascii="Times New Roman" w:hAnsi="Times New Roman" w:cs="Times New Roman"/>
          <w:i/>
        </w:rPr>
        <w:t>Homosexuality and Civilisation,</w:t>
      </w:r>
      <w:r w:rsidRPr="00987B45">
        <w:rPr>
          <w:rFonts w:ascii="Times New Roman" w:hAnsi="Times New Roman" w:cs="Times New Roman"/>
        </w:rPr>
        <w:t xml:space="preserve"> p.340</w:t>
      </w:r>
      <w:r>
        <w:rPr>
          <w:rFonts w:ascii="Times New Roman" w:hAnsi="Times New Roman" w:cs="Times New Roman"/>
        </w:rPr>
        <w:t>.</w:t>
      </w:r>
    </w:p>
  </w:footnote>
  <w:footnote w:id="105">
    <w:p w14:paraId="156A24C9" w14:textId="47CA9545" w:rsidR="00B1011A" w:rsidRPr="007F1EA2" w:rsidRDefault="00B1011A" w:rsidP="00E034B5">
      <w:pPr>
        <w:pStyle w:val="FootnoteText"/>
        <w:rPr>
          <w:rFonts w:ascii="Times New Roman" w:hAnsi="Times New Roman" w:cs="Times New Roman"/>
        </w:rPr>
      </w:pPr>
      <w:r w:rsidRPr="007F1EA2">
        <w:rPr>
          <w:rStyle w:val="FootnoteReference"/>
          <w:rFonts w:ascii="Times New Roman" w:hAnsi="Times New Roman" w:cs="Times New Roman"/>
        </w:rPr>
        <w:footnoteRef/>
      </w:r>
      <w:r w:rsidRPr="007F1EA2">
        <w:rPr>
          <w:rFonts w:ascii="Times New Roman" w:hAnsi="Times New Roman" w:cs="Times New Roman"/>
        </w:rPr>
        <w:t xml:space="preserve"> </w:t>
      </w:r>
      <w:r w:rsidRPr="007F1EA2">
        <w:rPr>
          <w:rFonts w:ascii="Times New Roman" w:hAnsi="Times New Roman" w:cs="Times New Roman"/>
          <w:i/>
        </w:rPr>
        <w:t>ibid.</w:t>
      </w:r>
    </w:p>
  </w:footnote>
  <w:footnote w:id="106">
    <w:p w14:paraId="2411E260" w14:textId="59760670" w:rsidR="00B1011A" w:rsidRPr="007F1EA2" w:rsidRDefault="00B1011A" w:rsidP="00E034B5">
      <w:pPr>
        <w:pStyle w:val="FootnoteText"/>
        <w:rPr>
          <w:rFonts w:ascii="Times New Roman" w:hAnsi="Times New Roman" w:cs="Times New Roman"/>
        </w:rPr>
      </w:pPr>
      <w:r w:rsidRPr="007F1EA2">
        <w:rPr>
          <w:rStyle w:val="FootnoteReference"/>
          <w:rFonts w:ascii="Times New Roman" w:hAnsi="Times New Roman" w:cs="Times New Roman"/>
        </w:rPr>
        <w:footnoteRef/>
      </w:r>
      <w:r w:rsidRPr="007F1EA2">
        <w:rPr>
          <w:rFonts w:ascii="Times New Roman" w:hAnsi="Times New Roman" w:cs="Times New Roman"/>
        </w:rPr>
        <w:t xml:space="preserve"> Neill, </w:t>
      </w:r>
      <w:r w:rsidRPr="007F1EA2">
        <w:rPr>
          <w:rFonts w:ascii="Times New Roman" w:hAnsi="Times New Roman" w:cs="Times New Roman"/>
          <w:i/>
        </w:rPr>
        <w:t>The Origins and Role of Same-Sex Relations in Human Societies,</w:t>
      </w:r>
      <w:r w:rsidRPr="007F1EA2">
        <w:rPr>
          <w:rFonts w:ascii="Times New Roman" w:hAnsi="Times New Roman" w:cs="Times New Roman"/>
        </w:rPr>
        <w:t xml:space="preserve"> p.406.</w:t>
      </w:r>
    </w:p>
  </w:footnote>
  <w:footnote w:id="107">
    <w:p w14:paraId="4669DA1F" w14:textId="22942E39" w:rsidR="00B1011A" w:rsidRDefault="00B1011A" w:rsidP="002024EE">
      <w:pPr>
        <w:pStyle w:val="FootnoteText"/>
      </w:pPr>
      <w:r w:rsidRPr="007F1EA2">
        <w:rPr>
          <w:rStyle w:val="FootnoteReference"/>
          <w:rFonts w:ascii="Times New Roman" w:hAnsi="Times New Roman" w:cs="Times New Roman"/>
        </w:rPr>
        <w:footnoteRef/>
      </w:r>
      <w:r w:rsidRPr="007F1EA2">
        <w:rPr>
          <w:rFonts w:ascii="Times New Roman" w:hAnsi="Times New Roman" w:cs="Times New Roman"/>
        </w:rPr>
        <w:t xml:space="preserve"> </w:t>
      </w:r>
      <w:r>
        <w:rPr>
          <w:rFonts w:ascii="Times New Roman" w:hAnsi="Times New Roman" w:cs="Times New Roman"/>
        </w:rPr>
        <w:t>Elizabeth-Charlotte, ‘12</w:t>
      </w:r>
      <w:r w:rsidRPr="007F1EA2">
        <w:rPr>
          <w:rFonts w:ascii="Times New Roman" w:hAnsi="Times New Roman" w:cs="Times New Roman"/>
          <w:vertAlign w:val="superscript"/>
        </w:rPr>
        <w:t>th</w:t>
      </w:r>
      <w:r>
        <w:rPr>
          <w:rFonts w:ascii="Times New Roman" w:hAnsi="Times New Roman" w:cs="Times New Roman"/>
        </w:rPr>
        <w:t xml:space="preserve"> September 1682, to the Duchess of Hanover’, </w:t>
      </w:r>
      <w:r w:rsidRPr="001D3650">
        <w:rPr>
          <w:rFonts w:ascii="Times New Roman" w:hAnsi="Times New Roman" w:cs="Times New Roman"/>
          <w:i/>
        </w:rPr>
        <w:t>The Letters of Madame</w:t>
      </w:r>
      <w:r>
        <w:rPr>
          <w:rFonts w:ascii="Times New Roman" w:hAnsi="Times New Roman" w:cs="Times New Roman"/>
          <w:i/>
        </w:rPr>
        <w:t xml:space="preserve">, </w:t>
      </w:r>
      <w:r>
        <w:rPr>
          <w:rFonts w:ascii="Times New Roman" w:hAnsi="Times New Roman" w:cs="Times New Roman"/>
        </w:rPr>
        <w:t>pp.47-49.</w:t>
      </w:r>
    </w:p>
  </w:footnote>
  <w:footnote w:id="108">
    <w:p w14:paraId="65E1A58F" w14:textId="2499059B" w:rsidR="00B1011A" w:rsidRPr="007F1EA2" w:rsidRDefault="00B1011A" w:rsidP="002024EE">
      <w:pPr>
        <w:pStyle w:val="FootnoteText"/>
        <w:rPr>
          <w:rFonts w:ascii="Times New Roman" w:hAnsi="Times New Roman" w:cs="Times New Roman"/>
        </w:rPr>
      </w:pPr>
      <w:r w:rsidRPr="007F1EA2">
        <w:rPr>
          <w:rStyle w:val="FootnoteReference"/>
          <w:rFonts w:ascii="Times New Roman" w:hAnsi="Times New Roman" w:cs="Times New Roman"/>
        </w:rPr>
        <w:footnoteRef/>
      </w:r>
      <w:r w:rsidRPr="007F1EA2">
        <w:rPr>
          <w:rFonts w:ascii="Times New Roman" w:hAnsi="Times New Roman" w:cs="Times New Roman"/>
        </w:rPr>
        <w:t xml:space="preserve"> </w:t>
      </w:r>
      <w:r w:rsidRPr="007F1EA2">
        <w:rPr>
          <w:rFonts w:ascii="Times New Roman" w:hAnsi="Times New Roman" w:cs="Times New Roman"/>
          <w:i/>
        </w:rPr>
        <w:t>ibid.,</w:t>
      </w:r>
      <w:r>
        <w:rPr>
          <w:rFonts w:ascii="Times New Roman" w:hAnsi="Times New Roman" w:cs="Times New Roman"/>
        </w:rPr>
        <w:t xml:space="preserve"> pp.88-92.</w:t>
      </w:r>
    </w:p>
  </w:footnote>
  <w:footnote w:id="109">
    <w:p w14:paraId="1C995809" w14:textId="5C2C251F" w:rsidR="00B1011A" w:rsidRPr="007F1EA2" w:rsidRDefault="00B1011A" w:rsidP="002024EE">
      <w:pPr>
        <w:pStyle w:val="FootnoteText"/>
        <w:rPr>
          <w:rFonts w:ascii="Times New Roman" w:hAnsi="Times New Roman" w:cs="Times New Roman"/>
        </w:rPr>
      </w:pPr>
      <w:r w:rsidRPr="007F1EA2">
        <w:rPr>
          <w:rStyle w:val="FootnoteReference"/>
          <w:rFonts w:ascii="Times New Roman" w:hAnsi="Times New Roman" w:cs="Times New Roman"/>
        </w:rPr>
        <w:footnoteRef/>
      </w:r>
      <w:r w:rsidRPr="007F1EA2">
        <w:rPr>
          <w:rFonts w:ascii="Times New Roman" w:hAnsi="Times New Roman" w:cs="Times New Roman"/>
        </w:rPr>
        <w:t xml:space="preserve"> </w:t>
      </w:r>
      <w:r w:rsidRPr="007F1EA2">
        <w:rPr>
          <w:rFonts w:ascii="Times New Roman" w:hAnsi="Times New Roman" w:cs="Times New Roman"/>
          <w:i/>
        </w:rPr>
        <w:t>ibid.,</w:t>
      </w:r>
      <w:r>
        <w:rPr>
          <w:rFonts w:ascii="Times New Roman" w:hAnsi="Times New Roman" w:cs="Times New Roman"/>
          <w:i/>
        </w:rPr>
        <w:t xml:space="preserve"> </w:t>
      </w:r>
      <w:r>
        <w:rPr>
          <w:rFonts w:ascii="Times New Roman" w:hAnsi="Times New Roman" w:cs="Times New Roman"/>
        </w:rPr>
        <w:t>pp.47-49.</w:t>
      </w:r>
    </w:p>
  </w:footnote>
  <w:footnote w:id="110">
    <w:p w14:paraId="21AE899B" w14:textId="5544B07D" w:rsidR="00B1011A" w:rsidRDefault="00B1011A" w:rsidP="00E034B5">
      <w:pPr>
        <w:pStyle w:val="FootnoteText"/>
      </w:pPr>
      <w:r w:rsidRPr="007F1EA2">
        <w:rPr>
          <w:rStyle w:val="FootnoteReference"/>
          <w:rFonts w:ascii="Times New Roman" w:hAnsi="Times New Roman" w:cs="Times New Roman"/>
        </w:rPr>
        <w:footnoteRef/>
      </w:r>
      <w:r w:rsidRPr="007F1EA2">
        <w:rPr>
          <w:rFonts w:ascii="Times New Roman" w:hAnsi="Times New Roman" w:cs="Times New Roman"/>
        </w:rPr>
        <w:t xml:space="preserve"> Crompton, </w:t>
      </w:r>
      <w:r w:rsidRPr="007F1EA2">
        <w:rPr>
          <w:rFonts w:ascii="Times New Roman" w:hAnsi="Times New Roman" w:cs="Times New Roman"/>
          <w:i/>
        </w:rPr>
        <w:t>Homosexuality and Civilisation,</w:t>
      </w:r>
      <w:r w:rsidRPr="007F1EA2">
        <w:rPr>
          <w:rFonts w:ascii="Times New Roman" w:hAnsi="Times New Roman" w:cs="Times New Roman"/>
        </w:rPr>
        <w:t xml:space="preserve"> p.340.</w:t>
      </w:r>
    </w:p>
  </w:footnote>
  <w:footnote w:id="111">
    <w:p w14:paraId="3FE1B8EE" w14:textId="5D6623F7" w:rsidR="00B1011A" w:rsidRDefault="00B1011A" w:rsidP="00E034B5">
      <w:pPr>
        <w:pStyle w:val="FootnoteText"/>
      </w:pPr>
      <w:r>
        <w:rPr>
          <w:rStyle w:val="FootnoteReference"/>
        </w:rPr>
        <w:footnoteRef/>
      </w:r>
      <w:r>
        <w:t xml:space="preserve"> </w:t>
      </w:r>
      <w:r w:rsidRPr="00987B45">
        <w:rPr>
          <w:rFonts w:ascii="Times New Roman" w:hAnsi="Times New Roman" w:cs="Times New Roman"/>
          <w:i/>
        </w:rPr>
        <w:t>ibid.</w:t>
      </w:r>
    </w:p>
  </w:footnote>
  <w:footnote w:id="112">
    <w:p w14:paraId="51805016" w14:textId="3C6FBE36" w:rsidR="00B1011A" w:rsidRDefault="00B1011A" w:rsidP="00E034B5">
      <w:pPr>
        <w:pStyle w:val="FootnoteText"/>
      </w:pPr>
      <w:r>
        <w:rPr>
          <w:rStyle w:val="FootnoteReference"/>
        </w:rPr>
        <w:footnoteRef/>
      </w:r>
      <w:r>
        <w:t xml:space="preserve"> </w:t>
      </w:r>
      <w:r w:rsidRPr="00987B45">
        <w:rPr>
          <w:rFonts w:ascii="Times New Roman" w:hAnsi="Times New Roman" w:cs="Times New Roman"/>
          <w:i/>
        </w:rPr>
        <w:t>ibid.</w:t>
      </w:r>
    </w:p>
  </w:footnote>
  <w:footnote w:id="113">
    <w:p w14:paraId="428D3CBA" w14:textId="7FF026FE" w:rsidR="00B1011A" w:rsidRPr="00044062" w:rsidRDefault="00B1011A" w:rsidP="00E034B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Neill, </w:t>
      </w:r>
      <w:r w:rsidRPr="00987B45">
        <w:rPr>
          <w:rFonts w:ascii="Times New Roman" w:hAnsi="Times New Roman" w:cs="Times New Roman"/>
          <w:i/>
        </w:rPr>
        <w:t>The Origins and Role of Same-Sex Relations in Human Societies,</w:t>
      </w:r>
      <w:r>
        <w:rPr>
          <w:rFonts w:ascii="Times New Roman" w:hAnsi="Times New Roman" w:cs="Times New Roman"/>
        </w:rPr>
        <w:t xml:space="preserve"> </w:t>
      </w:r>
      <w:r w:rsidRPr="00987B45">
        <w:rPr>
          <w:rFonts w:ascii="Times New Roman" w:hAnsi="Times New Roman" w:cs="Times New Roman"/>
        </w:rPr>
        <w:t>p.40</w:t>
      </w:r>
      <w:r>
        <w:rPr>
          <w:rFonts w:ascii="Times New Roman" w:hAnsi="Times New Roman" w:cs="Times New Roman"/>
        </w:rPr>
        <w:t>5.</w:t>
      </w:r>
    </w:p>
  </w:footnote>
  <w:footnote w:id="114">
    <w:p w14:paraId="3F5F7227" w14:textId="72F5F13F" w:rsidR="00B1011A" w:rsidRDefault="00B1011A" w:rsidP="00E034B5">
      <w:pPr>
        <w:pStyle w:val="FootnoteText"/>
      </w:pPr>
      <w:r>
        <w:rPr>
          <w:rStyle w:val="FootnoteReference"/>
        </w:rPr>
        <w:footnoteRef/>
      </w:r>
      <w:r>
        <w:t xml:space="preserve"> </w:t>
      </w:r>
      <w:r w:rsidRPr="00987B45">
        <w:rPr>
          <w:rFonts w:ascii="Times New Roman" w:hAnsi="Times New Roman" w:cs="Times New Roman"/>
          <w:i/>
        </w:rPr>
        <w:t>ibid.</w:t>
      </w:r>
      <w:r>
        <w:rPr>
          <w:rFonts w:ascii="Times New Roman" w:hAnsi="Times New Roman" w:cs="Times New Roman"/>
          <w:i/>
        </w:rPr>
        <w:t xml:space="preserve">, </w:t>
      </w:r>
      <w:r w:rsidRPr="00044062">
        <w:rPr>
          <w:rFonts w:ascii="Times New Roman" w:hAnsi="Times New Roman" w:cs="Times New Roman"/>
        </w:rPr>
        <w:t>p.</w:t>
      </w:r>
      <w:r>
        <w:t>406.</w:t>
      </w:r>
    </w:p>
  </w:footnote>
  <w:footnote w:id="115">
    <w:p w14:paraId="4BAB200D" w14:textId="699A85D5" w:rsidR="00B1011A" w:rsidRPr="006A1778" w:rsidRDefault="00B1011A" w:rsidP="00E034B5">
      <w:pPr>
        <w:pStyle w:val="FootnoteText"/>
        <w:rPr>
          <w:rFonts w:ascii="Times New Roman" w:hAnsi="Times New Roman" w:cs="Times New Roman"/>
        </w:rPr>
      </w:pPr>
      <w:r w:rsidRPr="006A1778">
        <w:rPr>
          <w:rStyle w:val="FootnoteReference"/>
          <w:rFonts w:ascii="Times New Roman" w:hAnsi="Times New Roman" w:cs="Times New Roman"/>
        </w:rPr>
        <w:footnoteRef/>
      </w:r>
      <w:r w:rsidRPr="006A1778">
        <w:rPr>
          <w:rFonts w:ascii="Times New Roman" w:hAnsi="Times New Roman" w:cs="Times New Roman"/>
        </w:rPr>
        <w:t xml:space="preserve"> </w:t>
      </w:r>
      <w:r w:rsidRPr="006A1778">
        <w:rPr>
          <w:rFonts w:ascii="Times New Roman" w:hAnsi="Times New Roman" w:cs="Times New Roman"/>
          <w:i/>
        </w:rPr>
        <w:t>ibid.</w:t>
      </w:r>
    </w:p>
  </w:footnote>
  <w:footnote w:id="116">
    <w:p w14:paraId="7EF98369" w14:textId="40786974" w:rsidR="00B1011A" w:rsidRDefault="00B1011A" w:rsidP="00E034B5">
      <w:pPr>
        <w:pStyle w:val="FootnoteText"/>
      </w:pPr>
      <w:r w:rsidRPr="006A1778">
        <w:rPr>
          <w:rStyle w:val="FootnoteReference"/>
          <w:rFonts w:ascii="Times New Roman" w:hAnsi="Times New Roman" w:cs="Times New Roman"/>
        </w:rPr>
        <w:footnoteRef/>
      </w:r>
      <w:r w:rsidRPr="006A1778">
        <w:rPr>
          <w:rFonts w:ascii="Times New Roman" w:hAnsi="Times New Roman" w:cs="Times New Roman"/>
        </w:rPr>
        <w:t xml:space="preserve"> V. L. Bullough, ‘Homosexuality as Submissive Behaviour: Example from Mythology’, </w:t>
      </w:r>
      <w:r w:rsidRPr="006A1778">
        <w:rPr>
          <w:rFonts w:ascii="Times New Roman" w:hAnsi="Times New Roman" w:cs="Times New Roman"/>
          <w:i/>
        </w:rPr>
        <w:t>The Journal of Sex Research,</w:t>
      </w:r>
      <w:r w:rsidRPr="006A1778">
        <w:rPr>
          <w:rFonts w:ascii="Times New Roman" w:hAnsi="Times New Roman" w:cs="Times New Roman"/>
        </w:rPr>
        <w:t xml:space="preserve"> vol.9, no.4 (1973), pp.283-288.</w:t>
      </w:r>
    </w:p>
  </w:footnote>
  <w:footnote w:id="117">
    <w:p w14:paraId="45335A8A" w14:textId="44144692" w:rsidR="00B1011A" w:rsidRDefault="00B1011A" w:rsidP="00E034B5">
      <w:pPr>
        <w:pStyle w:val="FootnoteText"/>
      </w:pPr>
      <w:r>
        <w:rPr>
          <w:rStyle w:val="FootnoteReference"/>
        </w:rPr>
        <w:footnoteRef/>
      </w:r>
      <w:r>
        <w:t xml:space="preserve"> </w:t>
      </w:r>
      <w:r>
        <w:rPr>
          <w:rFonts w:ascii="Times New Roman" w:hAnsi="Times New Roman" w:cs="Times New Roman"/>
        </w:rPr>
        <w:t xml:space="preserve">R. Trumbach, ‘The Birth of the Queen: Sodomy and the Emergence of Gender Equality in Modern Culture, 1660-1750, in M. B. Duberman, M. Vicinus and G. Chauncey (eds.), </w:t>
      </w:r>
      <w:r w:rsidRPr="00EA0AEB">
        <w:rPr>
          <w:rFonts w:ascii="Times New Roman" w:hAnsi="Times New Roman" w:cs="Times New Roman"/>
          <w:i/>
        </w:rPr>
        <w:t>Hidden from History</w:t>
      </w:r>
      <w:r>
        <w:rPr>
          <w:rFonts w:ascii="Times New Roman" w:hAnsi="Times New Roman" w:cs="Times New Roman"/>
        </w:rPr>
        <w:t xml:space="preserve"> (London: Penguin Books, 1989), pp. 129-140 (p.130).</w:t>
      </w:r>
    </w:p>
  </w:footnote>
  <w:footnote w:id="118">
    <w:p w14:paraId="5E2542A9" w14:textId="2A00A0D6" w:rsidR="00B1011A" w:rsidRPr="004543F7" w:rsidRDefault="00B1011A" w:rsidP="00E034B5">
      <w:pPr>
        <w:pStyle w:val="FootnoteText"/>
        <w:rPr>
          <w:rFonts w:ascii="Times New Roman" w:hAnsi="Times New Roman" w:cs="Times New Roman"/>
        </w:rPr>
      </w:pPr>
      <w:r w:rsidRPr="004543F7">
        <w:rPr>
          <w:rStyle w:val="FootnoteReference"/>
          <w:rFonts w:ascii="Times New Roman" w:hAnsi="Times New Roman" w:cs="Times New Roman"/>
        </w:rPr>
        <w:footnoteRef/>
      </w:r>
      <w:r w:rsidRPr="004543F7">
        <w:rPr>
          <w:rFonts w:ascii="Times New Roman" w:hAnsi="Times New Roman" w:cs="Times New Roman"/>
        </w:rPr>
        <w:t xml:space="preserve"> M. Tinkcom, </w:t>
      </w:r>
      <w:r w:rsidRPr="004543F7">
        <w:rPr>
          <w:rFonts w:ascii="Times New Roman" w:hAnsi="Times New Roman" w:cs="Times New Roman"/>
          <w:i/>
        </w:rPr>
        <w:t>Working Like a Homosexual</w:t>
      </w:r>
      <w:r w:rsidRPr="004543F7">
        <w:rPr>
          <w:rFonts w:ascii="Times New Roman" w:hAnsi="Times New Roman" w:cs="Times New Roman"/>
        </w:rPr>
        <w:t xml:space="preserve"> (North Carolina: Duke University Press, 2002), p.10.</w:t>
      </w:r>
    </w:p>
  </w:footnote>
  <w:footnote w:id="119">
    <w:p w14:paraId="567B4820" w14:textId="31E045DA" w:rsidR="00B1011A" w:rsidRPr="004543F7" w:rsidRDefault="00B1011A" w:rsidP="00E034B5">
      <w:pPr>
        <w:pStyle w:val="FootnoteText"/>
        <w:rPr>
          <w:rFonts w:ascii="Times New Roman" w:hAnsi="Times New Roman" w:cs="Times New Roman"/>
        </w:rPr>
      </w:pPr>
      <w:r w:rsidRPr="004543F7">
        <w:rPr>
          <w:rStyle w:val="FootnoteReference"/>
          <w:rFonts w:ascii="Times New Roman" w:hAnsi="Times New Roman" w:cs="Times New Roman"/>
        </w:rPr>
        <w:footnoteRef/>
      </w:r>
      <w:r w:rsidRPr="004543F7">
        <w:rPr>
          <w:rFonts w:ascii="Times New Roman" w:hAnsi="Times New Roman" w:cs="Times New Roman"/>
        </w:rPr>
        <w:t xml:space="preserve"> </w:t>
      </w:r>
      <w:r w:rsidRPr="004543F7">
        <w:rPr>
          <w:rFonts w:ascii="Times New Roman" w:hAnsi="Times New Roman" w:cs="Times New Roman"/>
          <w:i/>
        </w:rPr>
        <w:t xml:space="preserve">Ibid., </w:t>
      </w:r>
      <w:r w:rsidRPr="004543F7">
        <w:rPr>
          <w:rFonts w:ascii="Times New Roman" w:hAnsi="Times New Roman" w:cs="Times New Roman"/>
        </w:rPr>
        <w:t>p.3.</w:t>
      </w:r>
    </w:p>
  </w:footnote>
  <w:footnote w:id="120">
    <w:p w14:paraId="528AE1B2" w14:textId="53C46EEC" w:rsidR="00B1011A" w:rsidRDefault="00B1011A" w:rsidP="00E034B5">
      <w:pPr>
        <w:pStyle w:val="FootnoteText"/>
      </w:pPr>
      <w:r w:rsidRPr="004543F7">
        <w:rPr>
          <w:rStyle w:val="FootnoteReference"/>
          <w:rFonts w:ascii="Times New Roman" w:hAnsi="Times New Roman" w:cs="Times New Roman"/>
        </w:rPr>
        <w:footnoteRef/>
      </w:r>
      <w:r w:rsidRPr="004543F7">
        <w:rPr>
          <w:rFonts w:ascii="Times New Roman" w:hAnsi="Times New Roman" w:cs="Times New Roman"/>
        </w:rPr>
        <w:t xml:space="preserve"> </w:t>
      </w:r>
      <w:r w:rsidRPr="004543F7">
        <w:rPr>
          <w:rFonts w:ascii="Times New Roman" w:hAnsi="Times New Roman" w:cs="Times New Roman"/>
          <w:i/>
        </w:rPr>
        <w:t xml:space="preserve">ibid., </w:t>
      </w:r>
      <w:r w:rsidRPr="004543F7">
        <w:rPr>
          <w:rFonts w:ascii="Times New Roman" w:hAnsi="Times New Roman" w:cs="Times New Roman"/>
        </w:rPr>
        <w:t>p.10.</w:t>
      </w:r>
    </w:p>
  </w:footnote>
  <w:footnote w:id="121">
    <w:p w14:paraId="35013CFC" w14:textId="73BB228C" w:rsidR="00B1011A" w:rsidRPr="004213CA" w:rsidRDefault="00B1011A" w:rsidP="00E034B5">
      <w:pPr>
        <w:pStyle w:val="FootnoteText"/>
        <w:rPr>
          <w:rFonts w:ascii="Times New Roman" w:hAnsi="Times New Roman" w:cs="Times New Roman"/>
        </w:rPr>
      </w:pPr>
      <w:r w:rsidRPr="004213CA">
        <w:rPr>
          <w:rStyle w:val="FootnoteReference"/>
          <w:rFonts w:ascii="Times New Roman" w:hAnsi="Times New Roman" w:cs="Times New Roman"/>
        </w:rPr>
        <w:footnoteRef/>
      </w:r>
      <w:r w:rsidRPr="004213CA">
        <w:rPr>
          <w:rFonts w:ascii="Times New Roman" w:hAnsi="Times New Roman" w:cs="Times New Roman"/>
        </w:rPr>
        <w:t xml:space="preserve"> Wolf, </w:t>
      </w:r>
      <w:r w:rsidRPr="004213CA">
        <w:rPr>
          <w:rFonts w:ascii="Times New Roman" w:hAnsi="Times New Roman" w:cs="Times New Roman"/>
          <w:i/>
        </w:rPr>
        <w:t>Louis XIV,</w:t>
      </w:r>
      <w:r w:rsidRPr="004213CA">
        <w:rPr>
          <w:rFonts w:ascii="Times New Roman" w:hAnsi="Times New Roman" w:cs="Times New Roman"/>
        </w:rPr>
        <w:t xml:space="preserve"> p.605</w:t>
      </w:r>
      <w:r>
        <w:rPr>
          <w:rFonts w:ascii="Times New Roman" w:hAnsi="Times New Roman" w:cs="Times New Roman"/>
        </w:rPr>
        <w:t>.</w:t>
      </w:r>
    </w:p>
  </w:footnote>
  <w:footnote w:id="122">
    <w:p w14:paraId="0B8D68CA" w14:textId="67A78B8F" w:rsidR="00B1011A" w:rsidRPr="004213CA" w:rsidRDefault="00B1011A" w:rsidP="00E034B5">
      <w:pPr>
        <w:pStyle w:val="FootnoteText"/>
        <w:rPr>
          <w:rFonts w:ascii="Times New Roman" w:hAnsi="Times New Roman" w:cs="Times New Roman"/>
        </w:rPr>
      </w:pPr>
      <w:r w:rsidRPr="00E51A71">
        <w:rPr>
          <w:rStyle w:val="FootnoteReference"/>
          <w:rFonts w:ascii="Times New Roman" w:hAnsi="Times New Roman" w:cs="Times New Roman"/>
        </w:rPr>
        <w:footnoteRef/>
      </w:r>
      <w:r w:rsidRPr="00E51A71">
        <w:rPr>
          <w:rFonts w:ascii="Times New Roman" w:hAnsi="Times New Roman" w:cs="Times New Roman"/>
        </w:rPr>
        <w:t xml:space="preserve"> L’Estoile</w:t>
      </w:r>
      <w:r>
        <w:rPr>
          <w:rFonts w:ascii="Times New Roman" w:hAnsi="Times New Roman" w:cs="Times New Roman"/>
        </w:rPr>
        <w:t xml:space="preserve">, </w:t>
      </w:r>
      <w:r w:rsidRPr="00A24FB3">
        <w:rPr>
          <w:rFonts w:ascii="Times New Roman" w:hAnsi="Times New Roman" w:cs="Times New Roman"/>
          <w:i/>
        </w:rPr>
        <w:t>Mémoires-Journaux</w:t>
      </w:r>
      <w:r>
        <w:rPr>
          <w:rFonts w:ascii="Times New Roman" w:hAnsi="Times New Roman" w:cs="Times New Roman"/>
        </w:rPr>
        <w:t xml:space="preserve"> in</w:t>
      </w:r>
      <w:r w:rsidRPr="00D472D6">
        <w:rPr>
          <w:rFonts w:ascii="Times New Roman" w:hAnsi="Times New Roman" w:cs="Times New Roman"/>
        </w:rPr>
        <w:t xml:space="preserve"> </w:t>
      </w:r>
      <w:r>
        <w:rPr>
          <w:rFonts w:ascii="Times New Roman" w:hAnsi="Times New Roman" w:cs="Times New Roman"/>
        </w:rPr>
        <w:t xml:space="preserve">Crawford, ‘Love, </w:t>
      </w:r>
      <w:r w:rsidRPr="00D472D6">
        <w:rPr>
          <w:rFonts w:ascii="Times New Roman" w:hAnsi="Times New Roman" w:cs="Times New Roman"/>
        </w:rPr>
        <w:t>Sodomy and Scandal</w:t>
      </w:r>
      <w:r>
        <w:rPr>
          <w:rFonts w:ascii="Times New Roman" w:hAnsi="Times New Roman" w:cs="Times New Roman"/>
        </w:rPr>
        <w:t xml:space="preserve">: Controlling the Sexual Reputation of Henry III’, </w:t>
      </w:r>
      <w:r w:rsidRPr="00F56EC7">
        <w:rPr>
          <w:rFonts w:ascii="Times New Roman" w:hAnsi="Times New Roman" w:cs="Times New Roman"/>
          <w:i/>
        </w:rPr>
        <w:t>Journal of the History of Sexuality</w:t>
      </w:r>
      <w:r>
        <w:rPr>
          <w:rFonts w:ascii="Times New Roman" w:hAnsi="Times New Roman" w:cs="Times New Roman"/>
        </w:rPr>
        <w:t>, p</w:t>
      </w:r>
      <w:r w:rsidRPr="00D472D6">
        <w:rPr>
          <w:rFonts w:ascii="Times New Roman" w:hAnsi="Times New Roman" w:cs="Times New Roman"/>
        </w:rPr>
        <w:t>.52</w:t>
      </w:r>
      <w:r>
        <w:rPr>
          <w:rFonts w:ascii="Times New Roman" w:hAnsi="Times New Roman" w:cs="Times New Roman"/>
        </w:rPr>
        <w:t>3.</w:t>
      </w:r>
    </w:p>
  </w:footnote>
  <w:footnote w:id="123">
    <w:p w14:paraId="4AF9CDAC" w14:textId="0F07A4E9" w:rsidR="00B1011A" w:rsidRPr="004213CA" w:rsidRDefault="00B1011A" w:rsidP="00E034B5">
      <w:pPr>
        <w:pStyle w:val="FootnoteText"/>
        <w:rPr>
          <w:rFonts w:ascii="Times New Roman" w:hAnsi="Times New Roman" w:cs="Times New Roman"/>
        </w:rPr>
      </w:pPr>
      <w:r w:rsidRPr="004213CA">
        <w:rPr>
          <w:rStyle w:val="FootnoteReference"/>
          <w:rFonts w:ascii="Times New Roman" w:hAnsi="Times New Roman" w:cs="Times New Roman"/>
        </w:rPr>
        <w:footnoteRef/>
      </w:r>
      <w:r>
        <w:rPr>
          <w:rFonts w:ascii="Times New Roman" w:hAnsi="Times New Roman" w:cs="Times New Roman"/>
        </w:rPr>
        <w:t xml:space="preserve"> Neill, </w:t>
      </w:r>
      <w:r w:rsidRPr="004213CA">
        <w:rPr>
          <w:rFonts w:ascii="Times New Roman" w:hAnsi="Times New Roman" w:cs="Times New Roman"/>
          <w:i/>
        </w:rPr>
        <w:t>The Origins and Role of Same-Sex Relations in Human Societies,</w:t>
      </w:r>
      <w:r w:rsidRPr="004213CA">
        <w:rPr>
          <w:rFonts w:ascii="Times New Roman" w:hAnsi="Times New Roman" w:cs="Times New Roman"/>
        </w:rPr>
        <w:t xml:space="preserve"> p.406</w:t>
      </w:r>
      <w:r>
        <w:rPr>
          <w:rFonts w:ascii="Times New Roman" w:hAnsi="Times New Roman" w:cs="Times New Roman"/>
        </w:rPr>
        <w:t>.</w:t>
      </w:r>
    </w:p>
  </w:footnote>
  <w:footnote w:id="124">
    <w:p w14:paraId="6C54137A" w14:textId="180F42B8" w:rsidR="00B1011A" w:rsidRPr="004213CA" w:rsidRDefault="00B1011A" w:rsidP="00E034B5">
      <w:pPr>
        <w:pStyle w:val="FootnoteText"/>
        <w:rPr>
          <w:rFonts w:ascii="Times New Roman" w:hAnsi="Times New Roman" w:cs="Times New Roman"/>
        </w:rPr>
      </w:pPr>
      <w:r w:rsidRPr="004213CA">
        <w:rPr>
          <w:rStyle w:val="FootnoteReference"/>
          <w:rFonts w:ascii="Times New Roman" w:hAnsi="Times New Roman" w:cs="Times New Roman"/>
        </w:rPr>
        <w:footnoteRef/>
      </w:r>
      <w:r w:rsidRPr="004213CA">
        <w:rPr>
          <w:rFonts w:ascii="Times New Roman" w:hAnsi="Times New Roman" w:cs="Times New Roman"/>
        </w:rPr>
        <w:t xml:space="preserve"> </w:t>
      </w:r>
      <w:r>
        <w:rPr>
          <w:rFonts w:ascii="Times New Roman" w:hAnsi="Times New Roman" w:cs="Times New Roman"/>
        </w:rPr>
        <w:t xml:space="preserve">Crompton, </w:t>
      </w:r>
      <w:r w:rsidRPr="004213CA">
        <w:rPr>
          <w:rFonts w:ascii="Times New Roman" w:hAnsi="Times New Roman" w:cs="Times New Roman"/>
          <w:i/>
        </w:rPr>
        <w:t xml:space="preserve">Homosexuality and Civilisation, </w:t>
      </w:r>
      <w:r w:rsidRPr="004213CA">
        <w:rPr>
          <w:rFonts w:ascii="Times New Roman" w:hAnsi="Times New Roman" w:cs="Times New Roman"/>
        </w:rPr>
        <w:t>p.341</w:t>
      </w:r>
      <w:r>
        <w:rPr>
          <w:rFonts w:ascii="Times New Roman" w:hAnsi="Times New Roman" w:cs="Times New Roman"/>
        </w:rPr>
        <w:t>.</w:t>
      </w:r>
    </w:p>
  </w:footnote>
  <w:footnote w:id="125">
    <w:p w14:paraId="707C20E9" w14:textId="29A96B8F" w:rsidR="00B1011A" w:rsidRDefault="00B1011A" w:rsidP="00E034B5">
      <w:pPr>
        <w:pStyle w:val="FootnoteText"/>
      </w:pPr>
      <w:r w:rsidRPr="004213CA">
        <w:rPr>
          <w:rStyle w:val="FootnoteReference"/>
          <w:rFonts w:ascii="Times New Roman" w:hAnsi="Times New Roman" w:cs="Times New Roman"/>
        </w:rPr>
        <w:footnoteRef/>
      </w:r>
      <w:r w:rsidRPr="004213CA">
        <w:rPr>
          <w:rFonts w:ascii="Times New Roman" w:hAnsi="Times New Roman" w:cs="Times New Roman"/>
        </w:rPr>
        <w:t xml:space="preserve"> </w:t>
      </w:r>
      <w:r>
        <w:rPr>
          <w:rFonts w:ascii="Times New Roman" w:hAnsi="Times New Roman" w:cs="Times New Roman"/>
        </w:rPr>
        <w:t xml:space="preserve">Mitford, </w:t>
      </w:r>
      <w:r w:rsidRPr="004213CA">
        <w:rPr>
          <w:rFonts w:ascii="Times New Roman" w:hAnsi="Times New Roman" w:cs="Times New Roman"/>
          <w:i/>
        </w:rPr>
        <w:t>The Sun King,</w:t>
      </w:r>
      <w:r w:rsidRPr="004213CA">
        <w:rPr>
          <w:rFonts w:ascii="Times New Roman" w:hAnsi="Times New Roman" w:cs="Times New Roman"/>
        </w:rPr>
        <w:t xml:space="preserve"> p.341</w:t>
      </w:r>
      <w:r>
        <w:rPr>
          <w:rFonts w:ascii="Times New Roman" w:hAnsi="Times New Roman" w:cs="Times New Roman"/>
        </w:rPr>
        <w:t>.</w:t>
      </w:r>
    </w:p>
  </w:footnote>
  <w:footnote w:id="126">
    <w:p w14:paraId="0BF2B8AC" w14:textId="48EA0D09" w:rsidR="00B1011A" w:rsidRPr="0013336A" w:rsidRDefault="00B1011A">
      <w:pPr>
        <w:pStyle w:val="FootnoteText"/>
        <w:rPr>
          <w:rFonts w:ascii="Times New Roman" w:hAnsi="Times New Roman" w:cs="Times New Roman"/>
        </w:rPr>
      </w:pPr>
      <w:r w:rsidRPr="0013336A">
        <w:rPr>
          <w:rStyle w:val="FootnoteReference"/>
          <w:rFonts w:ascii="Times New Roman" w:hAnsi="Times New Roman" w:cs="Times New Roman"/>
        </w:rPr>
        <w:footnoteRef/>
      </w:r>
      <w:r w:rsidRPr="0013336A">
        <w:rPr>
          <w:rFonts w:ascii="Times New Roman" w:hAnsi="Times New Roman" w:cs="Times New Roman"/>
        </w:rPr>
        <w:t xml:space="preserve"> </w:t>
      </w:r>
      <w:r>
        <w:rPr>
          <w:rFonts w:ascii="Times New Roman" w:hAnsi="Times New Roman" w:cs="Times New Roman"/>
        </w:rPr>
        <w:t xml:space="preserve">A Portrait of Anne of Austria with her Sons by </w:t>
      </w:r>
      <w:r w:rsidRPr="0013336A">
        <w:rPr>
          <w:rFonts w:ascii="Times New Roman" w:hAnsi="Times New Roman" w:cs="Times New Roman"/>
        </w:rPr>
        <w:t>C</w:t>
      </w:r>
      <w:r>
        <w:rPr>
          <w:rFonts w:ascii="Times New Roman" w:hAnsi="Times New Roman" w:cs="Times New Roman"/>
        </w:rPr>
        <w:t>harles</w:t>
      </w:r>
      <w:r w:rsidRPr="0013336A">
        <w:rPr>
          <w:rFonts w:ascii="Times New Roman" w:hAnsi="Times New Roman" w:cs="Times New Roman"/>
        </w:rPr>
        <w:t xml:space="preserve"> Beaubrun,</w:t>
      </w:r>
      <w:r>
        <w:rPr>
          <w:rFonts w:ascii="Times New Roman" w:hAnsi="Times New Roman" w:cs="Times New Roman"/>
        </w:rPr>
        <w:t xml:space="preserve"> National Museum of Sweden, Gripsholm Castle Collection, [online]. Available: </w:t>
      </w:r>
      <w:hyperlink r:id="rId3" w:history="1">
        <w:r w:rsidRPr="00805811">
          <w:rPr>
            <w:rStyle w:val="Hyperlink"/>
            <w:rFonts w:ascii="Times New Roman" w:hAnsi="Times New Roman" w:cs="Times New Roman"/>
          </w:rPr>
          <w:t>http://emp-web-84.zetcom.ch/eMP/eMuseumPlus?service=direct/1/ResultListView/result.t1.collection_list.$TspTitleImageLink.link&amp;sp=10&amp;sp=Scollection&amp;sp=SfieldValue&amp;sp=0&amp;sp=0&amp;sp=3&amp;sp=SdetailList&amp;sp=0&amp;sp=Sdetail&amp;sp=0&amp;sp=F&amp;sp=T&amp;sp=0</w:t>
        </w:r>
      </w:hyperlink>
      <w:r>
        <w:rPr>
          <w:rFonts w:ascii="Times New Roman" w:hAnsi="Times New Roman" w:cs="Times New Roman"/>
        </w:rPr>
        <w:t>.</w:t>
      </w:r>
    </w:p>
  </w:footnote>
  <w:footnote w:id="127">
    <w:p w14:paraId="65077291" w14:textId="437F0E36" w:rsidR="00B1011A" w:rsidRPr="00B474A3" w:rsidRDefault="00B1011A" w:rsidP="00E034B5">
      <w:pPr>
        <w:pStyle w:val="FootnoteText"/>
        <w:rPr>
          <w:rFonts w:ascii="Times New Roman" w:hAnsi="Times New Roman" w:cs="Times New Roman"/>
        </w:rPr>
      </w:pPr>
      <w:r w:rsidRPr="0013336A">
        <w:rPr>
          <w:rStyle w:val="FootnoteReference"/>
          <w:rFonts w:ascii="Times New Roman" w:hAnsi="Times New Roman" w:cs="Times New Roman"/>
        </w:rPr>
        <w:footnoteRef/>
      </w:r>
      <w:r w:rsidRPr="0013336A">
        <w:rPr>
          <w:rFonts w:ascii="Times New Roman" w:hAnsi="Times New Roman" w:cs="Times New Roman"/>
        </w:rPr>
        <w:t xml:space="preserve"> </w:t>
      </w:r>
      <w:r w:rsidRPr="00B10248">
        <w:rPr>
          <w:rFonts w:ascii="Times New Roman" w:hAnsi="Times New Roman" w:cs="Times New Roman"/>
          <w:i/>
        </w:rPr>
        <w:t>ibid.</w:t>
      </w:r>
    </w:p>
  </w:footnote>
  <w:footnote w:id="128">
    <w:p w14:paraId="69C3227A" w14:textId="16EDC839" w:rsidR="00B1011A" w:rsidRPr="00CC37FB" w:rsidRDefault="00B1011A" w:rsidP="00E034B5">
      <w:pPr>
        <w:pStyle w:val="FootnoteText"/>
        <w:rPr>
          <w:rFonts w:ascii="Times New Roman" w:hAnsi="Times New Roman" w:cs="Times New Roman"/>
        </w:rPr>
      </w:pPr>
      <w:r w:rsidRPr="00CC37FB">
        <w:rPr>
          <w:rStyle w:val="FootnoteReference"/>
          <w:rFonts w:ascii="Times New Roman" w:hAnsi="Times New Roman" w:cs="Times New Roman"/>
        </w:rPr>
        <w:footnoteRef/>
      </w:r>
      <w:r w:rsidRPr="00CC37FB">
        <w:rPr>
          <w:rFonts w:ascii="Times New Roman" w:hAnsi="Times New Roman" w:cs="Times New Roman"/>
        </w:rPr>
        <w:t xml:space="preserve"> </w:t>
      </w:r>
      <w:r w:rsidRPr="00B10248">
        <w:rPr>
          <w:rFonts w:ascii="Times New Roman" w:hAnsi="Times New Roman" w:cs="Times New Roman"/>
          <w:i/>
        </w:rPr>
        <w:t>ibid.</w:t>
      </w:r>
      <w:r>
        <w:rPr>
          <w:rFonts w:ascii="Times New Roman" w:hAnsi="Times New Roman" w:cs="Times New Roman"/>
        </w:rPr>
        <w:t xml:space="preserve"> </w:t>
      </w:r>
    </w:p>
  </w:footnote>
  <w:footnote w:id="129">
    <w:p w14:paraId="7E0EA18C" w14:textId="305155A2" w:rsidR="00B1011A" w:rsidRPr="00CC37FB" w:rsidRDefault="00B1011A" w:rsidP="00E034B5">
      <w:pPr>
        <w:pStyle w:val="FootnoteText"/>
        <w:rPr>
          <w:rFonts w:ascii="Times New Roman" w:hAnsi="Times New Roman" w:cs="Times New Roman"/>
        </w:rPr>
      </w:pPr>
      <w:r w:rsidRPr="00CC37FB">
        <w:rPr>
          <w:rStyle w:val="FootnoteReference"/>
          <w:rFonts w:ascii="Times New Roman" w:hAnsi="Times New Roman" w:cs="Times New Roman"/>
        </w:rPr>
        <w:footnoteRef/>
      </w:r>
      <w:r w:rsidRPr="00CC37FB">
        <w:rPr>
          <w:rFonts w:ascii="Times New Roman" w:hAnsi="Times New Roman" w:cs="Times New Roman"/>
        </w:rPr>
        <w:t xml:space="preserve"> </w:t>
      </w:r>
      <w:r>
        <w:rPr>
          <w:rFonts w:ascii="Times New Roman" w:hAnsi="Times New Roman" w:cs="Times New Roman"/>
        </w:rPr>
        <w:t xml:space="preserve">J. Ashelford, </w:t>
      </w:r>
      <w:r w:rsidRPr="003C5C75">
        <w:rPr>
          <w:rFonts w:ascii="Times New Roman" w:hAnsi="Times New Roman" w:cs="Times New Roman"/>
          <w:i/>
        </w:rPr>
        <w:t>The Art of Dress: Clothes and Society 1500 – 1914</w:t>
      </w:r>
      <w:r w:rsidRPr="00CC37FB">
        <w:rPr>
          <w:rFonts w:ascii="Times New Roman" w:hAnsi="Times New Roman" w:cs="Times New Roman"/>
        </w:rPr>
        <w:t xml:space="preserve"> </w:t>
      </w:r>
      <w:r>
        <w:rPr>
          <w:rFonts w:ascii="Times New Roman" w:hAnsi="Times New Roman" w:cs="Times New Roman"/>
        </w:rPr>
        <w:t xml:space="preserve">(Chicago: </w:t>
      </w:r>
      <w:r w:rsidRPr="00CC37FB">
        <w:rPr>
          <w:rFonts w:ascii="Times New Roman" w:hAnsi="Times New Roman" w:cs="Times New Roman"/>
        </w:rPr>
        <w:t>Anova Books, 2009</w:t>
      </w:r>
      <w:r>
        <w:rPr>
          <w:rFonts w:ascii="Times New Roman" w:hAnsi="Times New Roman" w:cs="Times New Roman"/>
        </w:rPr>
        <w:t>), p.278.</w:t>
      </w:r>
    </w:p>
  </w:footnote>
  <w:footnote w:id="130">
    <w:p w14:paraId="12586209" w14:textId="4FC1E255" w:rsidR="00B1011A" w:rsidRPr="00CC37FB" w:rsidRDefault="00B1011A" w:rsidP="00E034B5">
      <w:pPr>
        <w:pStyle w:val="FootnoteText"/>
        <w:rPr>
          <w:rFonts w:ascii="Times New Roman" w:hAnsi="Times New Roman" w:cs="Times New Roman"/>
        </w:rPr>
      </w:pPr>
      <w:r w:rsidRPr="00CC37FB">
        <w:rPr>
          <w:rStyle w:val="FootnoteReference"/>
          <w:rFonts w:ascii="Times New Roman" w:hAnsi="Times New Roman" w:cs="Times New Roman"/>
        </w:rPr>
        <w:footnoteRef/>
      </w:r>
      <w:r w:rsidRPr="00CC37FB">
        <w:rPr>
          <w:rFonts w:ascii="Times New Roman" w:hAnsi="Times New Roman" w:cs="Times New Roman"/>
        </w:rPr>
        <w:t xml:space="preserve"> </w:t>
      </w:r>
      <w:r w:rsidRPr="00B10248">
        <w:rPr>
          <w:rFonts w:ascii="Times New Roman" w:hAnsi="Times New Roman" w:cs="Times New Roman"/>
          <w:i/>
        </w:rPr>
        <w:t>ibid.</w:t>
      </w:r>
    </w:p>
  </w:footnote>
  <w:footnote w:id="131">
    <w:p w14:paraId="63B5B594" w14:textId="76704F68" w:rsidR="00B1011A" w:rsidRPr="00CC37FB" w:rsidRDefault="00B1011A" w:rsidP="00E034B5">
      <w:pPr>
        <w:pStyle w:val="FootnoteText"/>
        <w:rPr>
          <w:rFonts w:ascii="Times New Roman" w:hAnsi="Times New Roman" w:cs="Times New Roman"/>
        </w:rPr>
      </w:pPr>
      <w:r w:rsidRPr="00CC37FB">
        <w:rPr>
          <w:rStyle w:val="FootnoteReference"/>
          <w:rFonts w:ascii="Times New Roman" w:hAnsi="Times New Roman" w:cs="Times New Roman"/>
        </w:rPr>
        <w:footnoteRef/>
      </w:r>
      <w:r w:rsidRPr="00CC37FB">
        <w:rPr>
          <w:rFonts w:ascii="Times New Roman" w:hAnsi="Times New Roman" w:cs="Times New Roman"/>
        </w:rPr>
        <w:t xml:space="preserve"> </w:t>
      </w:r>
      <w:r>
        <w:rPr>
          <w:rFonts w:ascii="Times New Roman" w:hAnsi="Times New Roman" w:cs="Times New Roman"/>
        </w:rPr>
        <w:t xml:space="preserve">Crompton, </w:t>
      </w:r>
      <w:r w:rsidRPr="003C5C75">
        <w:rPr>
          <w:rFonts w:ascii="Times New Roman" w:hAnsi="Times New Roman" w:cs="Times New Roman"/>
          <w:i/>
        </w:rPr>
        <w:t>Homosexuality and Civilisation,</w:t>
      </w:r>
      <w:r w:rsidRPr="00CC37FB">
        <w:rPr>
          <w:rFonts w:ascii="Times New Roman" w:hAnsi="Times New Roman" w:cs="Times New Roman"/>
        </w:rPr>
        <w:t xml:space="preserve"> p.328</w:t>
      </w:r>
      <w:r>
        <w:rPr>
          <w:rFonts w:ascii="Times New Roman" w:hAnsi="Times New Roman" w:cs="Times New Roman"/>
        </w:rPr>
        <w:t>.</w:t>
      </w:r>
    </w:p>
  </w:footnote>
  <w:footnote w:id="132">
    <w:p w14:paraId="4D03E574" w14:textId="21AE09EF" w:rsidR="00B1011A" w:rsidRPr="00F5127E" w:rsidRDefault="00B1011A" w:rsidP="00E034B5">
      <w:pPr>
        <w:pStyle w:val="FootnoteText"/>
        <w:rPr>
          <w:rFonts w:ascii="Times New Roman" w:hAnsi="Times New Roman" w:cs="Times New Roman"/>
        </w:rPr>
      </w:pPr>
      <w:r w:rsidRPr="00F5127E">
        <w:rPr>
          <w:rStyle w:val="FootnoteReference"/>
          <w:rFonts w:ascii="Times New Roman" w:hAnsi="Times New Roman" w:cs="Times New Roman"/>
        </w:rPr>
        <w:footnoteRef/>
      </w:r>
      <w:r w:rsidRPr="00F5127E">
        <w:rPr>
          <w:rFonts w:ascii="Times New Roman" w:hAnsi="Times New Roman" w:cs="Times New Roman"/>
        </w:rPr>
        <w:t xml:space="preserve"> </w:t>
      </w:r>
      <w:r w:rsidRPr="00D472D6">
        <w:rPr>
          <w:rFonts w:ascii="Times New Roman" w:hAnsi="Times New Roman" w:cs="Times New Roman"/>
        </w:rPr>
        <w:t>L’Estoile</w:t>
      </w:r>
      <w:r>
        <w:rPr>
          <w:rFonts w:ascii="Times New Roman" w:hAnsi="Times New Roman" w:cs="Times New Roman"/>
        </w:rPr>
        <w:t xml:space="preserve">, </w:t>
      </w:r>
      <w:r w:rsidRPr="00A24FB3">
        <w:rPr>
          <w:rFonts w:ascii="Times New Roman" w:hAnsi="Times New Roman" w:cs="Times New Roman"/>
          <w:i/>
        </w:rPr>
        <w:t>Mémoires-Journaux</w:t>
      </w:r>
      <w:r>
        <w:rPr>
          <w:rFonts w:ascii="Times New Roman" w:hAnsi="Times New Roman" w:cs="Times New Roman"/>
        </w:rPr>
        <w:t xml:space="preserve"> in</w:t>
      </w:r>
      <w:r w:rsidRPr="00D472D6">
        <w:rPr>
          <w:rFonts w:ascii="Times New Roman" w:hAnsi="Times New Roman" w:cs="Times New Roman"/>
        </w:rPr>
        <w:t xml:space="preserve"> </w:t>
      </w:r>
      <w:r>
        <w:rPr>
          <w:rFonts w:ascii="Times New Roman" w:hAnsi="Times New Roman" w:cs="Times New Roman"/>
        </w:rPr>
        <w:t xml:space="preserve">Crawford, ‘Love, </w:t>
      </w:r>
      <w:r w:rsidRPr="00D472D6">
        <w:rPr>
          <w:rFonts w:ascii="Times New Roman" w:hAnsi="Times New Roman" w:cs="Times New Roman"/>
        </w:rPr>
        <w:t>Sodomy and Scandal</w:t>
      </w:r>
      <w:r>
        <w:rPr>
          <w:rFonts w:ascii="Times New Roman" w:hAnsi="Times New Roman" w:cs="Times New Roman"/>
        </w:rPr>
        <w:t xml:space="preserve">: Controlling the Sexual Reputation of Henry III’, </w:t>
      </w:r>
      <w:r w:rsidRPr="00F56EC7">
        <w:rPr>
          <w:rFonts w:ascii="Times New Roman" w:hAnsi="Times New Roman" w:cs="Times New Roman"/>
          <w:i/>
        </w:rPr>
        <w:t>Journal of the History of Sexuality</w:t>
      </w:r>
      <w:r>
        <w:rPr>
          <w:rFonts w:ascii="Times New Roman" w:hAnsi="Times New Roman" w:cs="Times New Roman"/>
        </w:rPr>
        <w:t>, p</w:t>
      </w:r>
      <w:r w:rsidRPr="00D472D6">
        <w:rPr>
          <w:rFonts w:ascii="Times New Roman" w:hAnsi="Times New Roman" w:cs="Times New Roman"/>
        </w:rPr>
        <w:t>.52</w:t>
      </w:r>
      <w:r>
        <w:rPr>
          <w:rFonts w:ascii="Times New Roman" w:hAnsi="Times New Roman" w:cs="Times New Roman"/>
        </w:rPr>
        <w:t>4.</w:t>
      </w:r>
    </w:p>
  </w:footnote>
  <w:footnote w:id="133">
    <w:p w14:paraId="29866231" w14:textId="67D10DA5" w:rsidR="00B1011A" w:rsidRDefault="00B1011A" w:rsidP="00E034B5">
      <w:pPr>
        <w:pStyle w:val="FootnoteText"/>
      </w:pPr>
      <w:r w:rsidRPr="00F5127E">
        <w:rPr>
          <w:rStyle w:val="FootnoteReference"/>
          <w:rFonts w:ascii="Times New Roman" w:hAnsi="Times New Roman" w:cs="Times New Roman"/>
        </w:rPr>
        <w:footnoteRef/>
      </w:r>
      <w:r w:rsidRPr="00F5127E">
        <w:rPr>
          <w:rFonts w:ascii="Times New Roman" w:hAnsi="Times New Roman" w:cs="Times New Roman"/>
        </w:rPr>
        <w:t xml:space="preserve"> L’Estoile </w:t>
      </w:r>
      <w:r w:rsidRPr="00F5127E">
        <w:rPr>
          <w:rFonts w:ascii="Times New Roman" w:hAnsi="Times New Roman" w:cs="Times New Roman"/>
          <w:i/>
        </w:rPr>
        <w:t>Mémoires-Journaux</w:t>
      </w:r>
      <w:r w:rsidRPr="00F5127E">
        <w:rPr>
          <w:rFonts w:ascii="Times New Roman" w:hAnsi="Times New Roman" w:cs="Times New Roman"/>
        </w:rPr>
        <w:t xml:space="preserve"> in Crompton, </w:t>
      </w:r>
      <w:r w:rsidRPr="00F5127E">
        <w:rPr>
          <w:rFonts w:ascii="Times New Roman" w:hAnsi="Times New Roman" w:cs="Times New Roman"/>
          <w:i/>
        </w:rPr>
        <w:t>Homosexuality and Civilisation,</w:t>
      </w:r>
      <w:r w:rsidRPr="00F5127E">
        <w:rPr>
          <w:rFonts w:ascii="Times New Roman" w:hAnsi="Times New Roman" w:cs="Times New Roman"/>
        </w:rPr>
        <w:t xml:space="preserve"> p.328.</w:t>
      </w:r>
    </w:p>
  </w:footnote>
  <w:footnote w:id="134">
    <w:p w14:paraId="2371BD7B" w14:textId="36F12E9D"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Pr>
          <w:rFonts w:ascii="Times New Roman" w:hAnsi="Times New Roman" w:cs="Times New Roman"/>
        </w:rPr>
        <w:t xml:space="preserve">Crompton, </w:t>
      </w:r>
      <w:r w:rsidRPr="003C5C75">
        <w:rPr>
          <w:rFonts w:ascii="Times New Roman" w:hAnsi="Times New Roman" w:cs="Times New Roman"/>
          <w:i/>
        </w:rPr>
        <w:t>Homosexuality and Civilisation,</w:t>
      </w:r>
      <w:r>
        <w:rPr>
          <w:rFonts w:ascii="Times New Roman" w:hAnsi="Times New Roman" w:cs="Times New Roman"/>
        </w:rPr>
        <w:t xml:space="preserve"> p.328.</w:t>
      </w:r>
    </w:p>
  </w:footnote>
  <w:footnote w:id="135">
    <w:p w14:paraId="5D7EDCB1" w14:textId="2F9A6BE6" w:rsidR="00B1011A" w:rsidRPr="003C5C75" w:rsidRDefault="00B1011A" w:rsidP="00E034B5">
      <w:pPr>
        <w:pStyle w:val="FootnoteText"/>
        <w:rPr>
          <w:rFonts w:ascii="Times New Roman" w:hAnsi="Times New Roman" w:cs="Times New Roman"/>
        </w:rPr>
      </w:pPr>
      <w:r w:rsidRPr="00E51A71">
        <w:rPr>
          <w:rStyle w:val="FootnoteReference"/>
          <w:rFonts w:ascii="Times New Roman" w:hAnsi="Times New Roman" w:cs="Times New Roman"/>
        </w:rPr>
        <w:footnoteRef/>
      </w:r>
      <w:r w:rsidRPr="00E51A71">
        <w:rPr>
          <w:rFonts w:ascii="Times New Roman" w:hAnsi="Times New Roman" w:cs="Times New Roman"/>
        </w:rPr>
        <w:t xml:space="preserve"> L’Estoile</w:t>
      </w:r>
      <w:r>
        <w:rPr>
          <w:rFonts w:ascii="Times New Roman" w:hAnsi="Times New Roman" w:cs="Times New Roman"/>
        </w:rPr>
        <w:t xml:space="preserve">, </w:t>
      </w:r>
      <w:r w:rsidRPr="00A24FB3">
        <w:rPr>
          <w:rFonts w:ascii="Times New Roman" w:hAnsi="Times New Roman" w:cs="Times New Roman"/>
          <w:i/>
        </w:rPr>
        <w:t>Mémoires-Journaux</w:t>
      </w:r>
      <w:r>
        <w:rPr>
          <w:rFonts w:ascii="Times New Roman" w:hAnsi="Times New Roman" w:cs="Times New Roman"/>
        </w:rPr>
        <w:t xml:space="preserve"> in</w:t>
      </w:r>
      <w:r w:rsidRPr="00D472D6">
        <w:rPr>
          <w:rFonts w:ascii="Times New Roman" w:hAnsi="Times New Roman" w:cs="Times New Roman"/>
        </w:rPr>
        <w:t xml:space="preserve"> </w:t>
      </w:r>
      <w:r>
        <w:rPr>
          <w:rFonts w:ascii="Times New Roman" w:hAnsi="Times New Roman" w:cs="Times New Roman"/>
        </w:rPr>
        <w:t xml:space="preserve">Crawford, ‘Love, </w:t>
      </w:r>
      <w:r w:rsidRPr="00D472D6">
        <w:rPr>
          <w:rFonts w:ascii="Times New Roman" w:hAnsi="Times New Roman" w:cs="Times New Roman"/>
        </w:rPr>
        <w:t>Sodomy and Scandal</w:t>
      </w:r>
      <w:r>
        <w:rPr>
          <w:rFonts w:ascii="Times New Roman" w:hAnsi="Times New Roman" w:cs="Times New Roman"/>
        </w:rPr>
        <w:t xml:space="preserve">: Controlling the Sexual Reputation of Henry III’, </w:t>
      </w:r>
      <w:r w:rsidRPr="00F56EC7">
        <w:rPr>
          <w:rFonts w:ascii="Times New Roman" w:hAnsi="Times New Roman" w:cs="Times New Roman"/>
          <w:i/>
        </w:rPr>
        <w:t>Journal of the History of Sexuality</w:t>
      </w:r>
      <w:r>
        <w:rPr>
          <w:rFonts w:ascii="Times New Roman" w:hAnsi="Times New Roman" w:cs="Times New Roman"/>
        </w:rPr>
        <w:t>, p</w:t>
      </w:r>
      <w:r w:rsidRPr="00D472D6">
        <w:rPr>
          <w:rFonts w:ascii="Times New Roman" w:hAnsi="Times New Roman" w:cs="Times New Roman"/>
        </w:rPr>
        <w:t>.52</w:t>
      </w:r>
      <w:r>
        <w:rPr>
          <w:rFonts w:ascii="Times New Roman" w:hAnsi="Times New Roman" w:cs="Times New Roman"/>
        </w:rPr>
        <w:t>4.</w:t>
      </w:r>
    </w:p>
  </w:footnote>
  <w:footnote w:id="136">
    <w:p w14:paraId="66E5574D" w14:textId="7DA4AD9A"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sidRPr="003C5C75">
        <w:rPr>
          <w:rFonts w:ascii="Times New Roman" w:hAnsi="Times New Roman" w:cs="Times New Roman"/>
          <w:i/>
        </w:rPr>
        <w:t>ibid.</w:t>
      </w:r>
    </w:p>
  </w:footnote>
  <w:footnote w:id="137">
    <w:p w14:paraId="07531F7C" w14:textId="550C5E9A"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Pr>
          <w:rFonts w:ascii="Times New Roman" w:hAnsi="Times New Roman" w:cs="Times New Roman"/>
        </w:rPr>
        <w:t xml:space="preserve">Crompton, </w:t>
      </w:r>
      <w:r w:rsidRPr="003C5C75">
        <w:rPr>
          <w:rFonts w:ascii="Times New Roman" w:hAnsi="Times New Roman" w:cs="Times New Roman"/>
          <w:i/>
        </w:rPr>
        <w:t>Homosexuality and Civilisation,</w:t>
      </w:r>
      <w:r>
        <w:rPr>
          <w:rFonts w:ascii="Times New Roman" w:hAnsi="Times New Roman" w:cs="Times New Roman"/>
        </w:rPr>
        <w:t xml:space="preserve"> p.328.</w:t>
      </w:r>
    </w:p>
  </w:footnote>
  <w:footnote w:id="138">
    <w:p w14:paraId="1AEB8ADA" w14:textId="1CEC0943"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sidRPr="003C5C75">
        <w:rPr>
          <w:rFonts w:ascii="Times New Roman" w:hAnsi="Times New Roman" w:cs="Times New Roman"/>
          <w:i/>
        </w:rPr>
        <w:t>ibid.</w:t>
      </w:r>
      <w:r>
        <w:rPr>
          <w:rFonts w:ascii="Times New Roman" w:hAnsi="Times New Roman" w:cs="Times New Roman"/>
          <w:i/>
        </w:rPr>
        <w:t xml:space="preserve">, </w:t>
      </w:r>
      <w:r w:rsidRPr="003C5C75">
        <w:rPr>
          <w:rFonts w:ascii="Times New Roman" w:hAnsi="Times New Roman" w:cs="Times New Roman"/>
        </w:rPr>
        <w:t>p.341</w:t>
      </w:r>
      <w:r>
        <w:rPr>
          <w:rFonts w:ascii="Times New Roman" w:hAnsi="Times New Roman" w:cs="Times New Roman"/>
        </w:rPr>
        <w:t>.</w:t>
      </w:r>
    </w:p>
  </w:footnote>
  <w:footnote w:id="139">
    <w:p w14:paraId="593A8684" w14:textId="4D9A1537"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Neill</w:t>
      </w:r>
      <w:r>
        <w:rPr>
          <w:rFonts w:ascii="Times New Roman" w:hAnsi="Times New Roman" w:cs="Times New Roman"/>
        </w:rPr>
        <w:t xml:space="preserve">, </w:t>
      </w:r>
      <w:r w:rsidRPr="003C5C75">
        <w:rPr>
          <w:rFonts w:ascii="Times New Roman" w:hAnsi="Times New Roman" w:cs="Times New Roman"/>
          <w:i/>
        </w:rPr>
        <w:t>The Origins and Role of Same-Sex Relations in Human Societies,</w:t>
      </w:r>
      <w:r w:rsidRPr="003C5C75">
        <w:rPr>
          <w:rFonts w:ascii="Times New Roman" w:hAnsi="Times New Roman" w:cs="Times New Roman"/>
        </w:rPr>
        <w:t xml:space="preserve"> p.406</w:t>
      </w:r>
      <w:r>
        <w:rPr>
          <w:rFonts w:ascii="Times New Roman" w:hAnsi="Times New Roman" w:cs="Times New Roman"/>
        </w:rPr>
        <w:t>.</w:t>
      </w:r>
    </w:p>
  </w:footnote>
  <w:footnote w:id="140">
    <w:p w14:paraId="35474E12" w14:textId="2F294DD1"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Pr>
          <w:rFonts w:ascii="Times New Roman" w:hAnsi="Times New Roman" w:cs="Times New Roman"/>
        </w:rPr>
        <w:t xml:space="preserve">Crompton, </w:t>
      </w:r>
      <w:r w:rsidRPr="003C5C75">
        <w:rPr>
          <w:rFonts w:ascii="Times New Roman" w:hAnsi="Times New Roman" w:cs="Times New Roman"/>
          <w:i/>
        </w:rPr>
        <w:t>Homosexuality and Civilisation,</w:t>
      </w:r>
      <w:r>
        <w:rPr>
          <w:rFonts w:ascii="Times New Roman" w:hAnsi="Times New Roman" w:cs="Times New Roman"/>
        </w:rPr>
        <w:t xml:space="preserve"> p.341.</w:t>
      </w:r>
    </w:p>
  </w:footnote>
  <w:footnote w:id="141">
    <w:p w14:paraId="0B8AD365" w14:textId="5602E597"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sidRPr="003C5C75">
        <w:rPr>
          <w:rFonts w:ascii="Times New Roman" w:hAnsi="Times New Roman" w:cs="Times New Roman"/>
          <w:i/>
        </w:rPr>
        <w:t>ibid</w:t>
      </w:r>
      <w:r w:rsidRPr="003C5C75">
        <w:rPr>
          <w:rFonts w:ascii="Times New Roman" w:hAnsi="Times New Roman" w:cs="Times New Roman"/>
        </w:rPr>
        <w:t>., p.336</w:t>
      </w:r>
      <w:r>
        <w:rPr>
          <w:rFonts w:ascii="Times New Roman" w:hAnsi="Times New Roman" w:cs="Times New Roman"/>
        </w:rPr>
        <w:t>.</w:t>
      </w:r>
    </w:p>
  </w:footnote>
  <w:footnote w:id="142">
    <w:p w14:paraId="67DC8EC6" w14:textId="2D0D421B" w:rsidR="00B1011A" w:rsidRDefault="00B1011A" w:rsidP="00E034B5">
      <w:pPr>
        <w:pStyle w:val="FootnoteText"/>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sidRPr="003C5C75">
        <w:rPr>
          <w:rFonts w:ascii="Times New Roman" w:hAnsi="Times New Roman" w:cs="Times New Roman"/>
          <w:i/>
        </w:rPr>
        <w:t>ibid.</w:t>
      </w:r>
    </w:p>
  </w:footnote>
  <w:footnote w:id="143">
    <w:p w14:paraId="5E9ABC57" w14:textId="5A11B2A2" w:rsidR="00B1011A" w:rsidRPr="006A1778" w:rsidRDefault="00B1011A" w:rsidP="00E034B5">
      <w:pPr>
        <w:pStyle w:val="FootnoteText"/>
        <w:rPr>
          <w:rFonts w:ascii="Times New Roman" w:hAnsi="Times New Roman" w:cs="Times New Roman"/>
        </w:rPr>
      </w:pPr>
      <w:r w:rsidRPr="006A1778">
        <w:rPr>
          <w:rStyle w:val="FootnoteReference"/>
          <w:rFonts w:ascii="Times New Roman" w:hAnsi="Times New Roman" w:cs="Times New Roman"/>
        </w:rPr>
        <w:footnoteRef/>
      </w:r>
      <w:r w:rsidRPr="006A1778">
        <w:rPr>
          <w:rFonts w:ascii="Times New Roman" w:hAnsi="Times New Roman" w:cs="Times New Roman"/>
        </w:rPr>
        <w:t xml:space="preserve"> Bullough, ‘Homosexuality as Submissive Behaviour: Example from Mythology’, </w:t>
      </w:r>
      <w:r w:rsidRPr="006A1778">
        <w:rPr>
          <w:rFonts w:ascii="Times New Roman" w:hAnsi="Times New Roman" w:cs="Times New Roman"/>
          <w:i/>
        </w:rPr>
        <w:t>The Journal of Sex Research,</w:t>
      </w:r>
      <w:r w:rsidRPr="006A1778">
        <w:rPr>
          <w:rFonts w:ascii="Times New Roman" w:hAnsi="Times New Roman" w:cs="Times New Roman"/>
        </w:rPr>
        <w:t xml:space="preserve"> pp.283-288.</w:t>
      </w:r>
    </w:p>
  </w:footnote>
  <w:footnote w:id="144">
    <w:p w14:paraId="71384818" w14:textId="0B58F15B"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sidRPr="000D051F">
        <w:rPr>
          <w:rFonts w:ascii="Times New Roman" w:hAnsi="Times New Roman" w:cs="Times New Roman"/>
          <w:i/>
        </w:rPr>
        <w:t>ibid.</w:t>
      </w:r>
    </w:p>
  </w:footnote>
  <w:footnote w:id="145">
    <w:p w14:paraId="1732AF8A" w14:textId="0C811CD5"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sidRPr="000D051F">
        <w:rPr>
          <w:rFonts w:ascii="Times New Roman" w:hAnsi="Times New Roman" w:cs="Times New Roman"/>
          <w:i/>
        </w:rPr>
        <w:t>ibid.</w:t>
      </w:r>
    </w:p>
  </w:footnote>
  <w:footnote w:id="146">
    <w:p w14:paraId="0E850D7D" w14:textId="591DF035"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Pr>
          <w:rFonts w:ascii="Times New Roman" w:hAnsi="Times New Roman" w:cs="Times New Roman"/>
        </w:rPr>
        <w:t xml:space="preserve">L. </w:t>
      </w:r>
      <w:r w:rsidRPr="003C5C75">
        <w:rPr>
          <w:rFonts w:ascii="Times New Roman" w:hAnsi="Times New Roman" w:cs="Times New Roman"/>
        </w:rPr>
        <w:t>Ovesey</w:t>
      </w:r>
      <w:r>
        <w:rPr>
          <w:rFonts w:ascii="Times New Roman" w:hAnsi="Times New Roman" w:cs="Times New Roman"/>
        </w:rPr>
        <w:t xml:space="preserve">, </w:t>
      </w:r>
      <w:r w:rsidRPr="006A1778">
        <w:rPr>
          <w:rFonts w:ascii="Times New Roman" w:hAnsi="Times New Roman" w:cs="Times New Roman"/>
          <w:i/>
        </w:rPr>
        <w:t>Homosexuality and Pseudohomosexuality</w:t>
      </w:r>
      <w:r>
        <w:rPr>
          <w:rFonts w:ascii="Times New Roman" w:hAnsi="Times New Roman" w:cs="Times New Roman"/>
        </w:rPr>
        <w:t xml:space="preserve"> (New York: Science House, 1969),</w:t>
      </w:r>
      <w:r w:rsidRPr="003C5C75">
        <w:rPr>
          <w:rFonts w:ascii="Times New Roman" w:hAnsi="Times New Roman" w:cs="Times New Roman"/>
        </w:rPr>
        <w:t xml:space="preserve"> p</w:t>
      </w:r>
      <w:r>
        <w:rPr>
          <w:rFonts w:ascii="Times New Roman" w:hAnsi="Times New Roman" w:cs="Times New Roman"/>
        </w:rPr>
        <w:t>p</w:t>
      </w:r>
      <w:r w:rsidRPr="003C5C75">
        <w:rPr>
          <w:rFonts w:ascii="Times New Roman" w:hAnsi="Times New Roman" w:cs="Times New Roman"/>
        </w:rPr>
        <w:t>.18-19</w:t>
      </w:r>
      <w:r>
        <w:rPr>
          <w:rFonts w:ascii="Times New Roman" w:hAnsi="Times New Roman" w:cs="Times New Roman"/>
        </w:rPr>
        <w:t>.</w:t>
      </w:r>
    </w:p>
  </w:footnote>
  <w:footnote w:id="147">
    <w:p w14:paraId="21632B69" w14:textId="482EAB18" w:rsidR="00B1011A" w:rsidRPr="003C5C75" w:rsidRDefault="00B1011A" w:rsidP="00E034B5">
      <w:pPr>
        <w:pStyle w:val="FootnoteText"/>
        <w:rPr>
          <w:rFonts w:ascii="Times New Roman" w:hAnsi="Times New Roman" w:cs="Times New Roman"/>
        </w:rPr>
      </w:pPr>
      <w:r w:rsidRPr="003C5C75">
        <w:rPr>
          <w:rStyle w:val="FootnoteReference"/>
          <w:rFonts w:ascii="Times New Roman" w:hAnsi="Times New Roman" w:cs="Times New Roman"/>
        </w:rPr>
        <w:footnoteRef/>
      </w:r>
      <w:r w:rsidRPr="003C5C75">
        <w:rPr>
          <w:rFonts w:ascii="Times New Roman" w:hAnsi="Times New Roman" w:cs="Times New Roman"/>
        </w:rPr>
        <w:t xml:space="preserve"> </w:t>
      </w:r>
      <w:r w:rsidRPr="000D051F">
        <w:rPr>
          <w:rFonts w:ascii="Times New Roman" w:hAnsi="Times New Roman" w:cs="Times New Roman"/>
          <w:i/>
        </w:rPr>
        <w:t>ibid.,</w:t>
      </w:r>
      <w:r>
        <w:rPr>
          <w:rFonts w:ascii="Times New Roman" w:hAnsi="Times New Roman" w:cs="Times New Roman"/>
        </w:rPr>
        <w:t xml:space="preserve"> p.32.</w:t>
      </w:r>
    </w:p>
  </w:footnote>
  <w:footnote w:id="148">
    <w:p w14:paraId="74851B0E" w14:textId="7332C976" w:rsidR="00B1011A" w:rsidRPr="003C5C75" w:rsidRDefault="00B1011A" w:rsidP="00E034B5">
      <w:pPr>
        <w:pStyle w:val="FootnoteText"/>
        <w:rPr>
          <w:rFonts w:ascii="Times New Roman" w:hAnsi="Times New Roman" w:cs="Times New Roman"/>
        </w:rPr>
      </w:pPr>
      <w:r w:rsidRPr="00721417">
        <w:rPr>
          <w:rStyle w:val="FootnoteReference"/>
          <w:rFonts w:ascii="Times New Roman" w:hAnsi="Times New Roman" w:cs="Times New Roman"/>
        </w:rPr>
        <w:footnoteRef/>
      </w:r>
      <w:r w:rsidRPr="00721417">
        <w:rPr>
          <w:rFonts w:ascii="Times New Roman" w:hAnsi="Times New Roman" w:cs="Times New Roman"/>
        </w:rPr>
        <w:t xml:space="preserve"> Oresko, </w:t>
      </w:r>
      <w:r w:rsidRPr="00721417">
        <w:rPr>
          <w:rFonts w:ascii="Times New Roman" w:hAnsi="Times New Roman" w:cs="Times New Roman"/>
          <w:i/>
        </w:rPr>
        <w:t>Homosexuality and the Court Elites of Early Modern France: Some Problems, Some Suggestions, and an Example</w:t>
      </w:r>
      <w:r w:rsidRPr="00721417">
        <w:rPr>
          <w:rFonts w:ascii="Times New Roman" w:hAnsi="Times New Roman" w:cs="Times New Roman"/>
        </w:rPr>
        <w:t xml:space="preserve"> in Gerard and Hekma (eds.), </w:t>
      </w:r>
      <w:r w:rsidRPr="00721417">
        <w:rPr>
          <w:rFonts w:ascii="Times New Roman" w:hAnsi="Times New Roman" w:cs="Times New Roman"/>
          <w:i/>
        </w:rPr>
        <w:t>The Pursuit of Sodomy: Male Homosexuality in Renaissance and Enlightenment Europe</w:t>
      </w:r>
      <w:r w:rsidRPr="00721417">
        <w:rPr>
          <w:rFonts w:ascii="Times New Roman" w:hAnsi="Times New Roman" w:cs="Times New Roman"/>
        </w:rPr>
        <w:t>, p.118.</w:t>
      </w:r>
    </w:p>
  </w:footnote>
  <w:footnote w:id="149">
    <w:p w14:paraId="316BE5F7" w14:textId="4FE55FD5" w:rsidR="00B1011A" w:rsidRPr="006A1778" w:rsidRDefault="00B1011A" w:rsidP="00E034B5">
      <w:pPr>
        <w:pStyle w:val="FootnoteText"/>
        <w:rPr>
          <w:rFonts w:ascii="Times New Roman" w:hAnsi="Times New Roman" w:cs="Times New Roman"/>
        </w:rPr>
      </w:pPr>
      <w:r w:rsidRPr="006A1778">
        <w:rPr>
          <w:rStyle w:val="FootnoteReference"/>
          <w:rFonts w:ascii="Times New Roman" w:hAnsi="Times New Roman" w:cs="Times New Roman"/>
        </w:rPr>
        <w:footnoteRef/>
      </w:r>
      <w:r w:rsidRPr="006A1778">
        <w:rPr>
          <w:rFonts w:ascii="Times New Roman" w:hAnsi="Times New Roman" w:cs="Times New Roman"/>
        </w:rPr>
        <w:t xml:space="preserve"> Neill</w:t>
      </w:r>
      <w:r>
        <w:rPr>
          <w:rFonts w:ascii="Times New Roman" w:hAnsi="Times New Roman" w:cs="Times New Roman"/>
        </w:rPr>
        <w:t xml:space="preserve">, </w:t>
      </w:r>
      <w:r w:rsidRPr="006A1778">
        <w:rPr>
          <w:rFonts w:ascii="Times New Roman" w:hAnsi="Times New Roman" w:cs="Times New Roman"/>
          <w:i/>
        </w:rPr>
        <w:t>The Origins and Role of Same-Sex Relations in Human Societies,</w:t>
      </w:r>
      <w:r w:rsidRPr="006A1778">
        <w:rPr>
          <w:rFonts w:ascii="Times New Roman" w:hAnsi="Times New Roman" w:cs="Times New Roman"/>
        </w:rPr>
        <w:t xml:space="preserve"> p.406</w:t>
      </w:r>
      <w:r>
        <w:rPr>
          <w:rFonts w:ascii="Times New Roman" w:hAnsi="Times New Roman" w:cs="Times New Roman"/>
        </w:rPr>
        <w:t>.</w:t>
      </w:r>
    </w:p>
  </w:footnote>
  <w:footnote w:id="150">
    <w:p w14:paraId="13621491" w14:textId="30744461" w:rsidR="00B1011A" w:rsidRPr="006A1778" w:rsidRDefault="00B1011A" w:rsidP="00E034B5">
      <w:pPr>
        <w:pStyle w:val="FootnoteText"/>
        <w:rPr>
          <w:rFonts w:ascii="Times New Roman" w:hAnsi="Times New Roman" w:cs="Times New Roman"/>
          <w:highlight w:val="yellow"/>
        </w:rPr>
      </w:pPr>
      <w:r w:rsidRPr="00721417">
        <w:rPr>
          <w:rStyle w:val="FootnoteReference"/>
          <w:rFonts w:ascii="Times New Roman" w:hAnsi="Times New Roman" w:cs="Times New Roman"/>
        </w:rPr>
        <w:footnoteRef/>
      </w:r>
      <w:r w:rsidRPr="00721417">
        <w:rPr>
          <w:rFonts w:ascii="Times New Roman" w:hAnsi="Times New Roman" w:cs="Times New Roman"/>
        </w:rPr>
        <w:t xml:space="preserve"> Oresko, </w:t>
      </w:r>
      <w:r w:rsidRPr="00721417">
        <w:rPr>
          <w:rFonts w:ascii="Times New Roman" w:hAnsi="Times New Roman" w:cs="Times New Roman"/>
          <w:i/>
        </w:rPr>
        <w:t>Homosexuality and the Court Elites of Early Modern France: Some Problems, Some Suggestions, and an Example</w:t>
      </w:r>
      <w:r w:rsidRPr="00721417">
        <w:rPr>
          <w:rFonts w:ascii="Times New Roman" w:hAnsi="Times New Roman" w:cs="Times New Roman"/>
        </w:rPr>
        <w:t xml:space="preserve"> in Gerard and Hekma (eds.), </w:t>
      </w:r>
      <w:r w:rsidRPr="00721417">
        <w:rPr>
          <w:rFonts w:ascii="Times New Roman" w:hAnsi="Times New Roman" w:cs="Times New Roman"/>
          <w:i/>
        </w:rPr>
        <w:t>The Pursuit of Sodomy: Male Homosexuality in Renaissance and Enlightenment Europe</w:t>
      </w:r>
      <w:r w:rsidRPr="00721417">
        <w:rPr>
          <w:rFonts w:ascii="Times New Roman" w:hAnsi="Times New Roman" w:cs="Times New Roman"/>
        </w:rPr>
        <w:t>, p.114.</w:t>
      </w:r>
    </w:p>
  </w:footnote>
  <w:footnote w:id="151">
    <w:p w14:paraId="34BBBE5E" w14:textId="7D768430" w:rsidR="00B1011A" w:rsidRPr="006C5E8A" w:rsidRDefault="00B1011A" w:rsidP="00E034B5">
      <w:pPr>
        <w:pStyle w:val="FootnoteText"/>
        <w:rPr>
          <w:rFonts w:ascii="Times New Roman" w:hAnsi="Times New Roman" w:cs="Times New Roman"/>
        </w:rPr>
      </w:pPr>
      <w:r w:rsidRPr="006C5E8A">
        <w:rPr>
          <w:rStyle w:val="FootnoteReference"/>
          <w:rFonts w:ascii="Times New Roman" w:hAnsi="Times New Roman" w:cs="Times New Roman"/>
        </w:rPr>
        <w:footnoteRef/>
      </w:r>
      <w:r w:rsidRPr="006C5E8A">
        <w:rPr>
          <w:rFonts w:ascii="Times New Roman" w:hAnsi="Times New Roman" w:cs="Times New Roman"/>
        </w:rPr>
        <w:t xml:space="preserve"> Numista, </w:t>
      </w:r>
      <w:r w:rsidRPr="006C5E8A">
        <w:rPr>
          <w:rFonts w:ascii="Times New Roman" w:hAnsi="Times New Roman" w:cs="Times New Roman"/>
          <w:i/>
        </w:rPr>
        <w:t>2.8 ECUs,</w:t>
      </w:r>
      <w:r>
        <w:rPr>
          <w:rFonts w:ascii="Times New Roman" w:hAnsi="Times New Roman" w:cs="Times New Roman"/>
        </w:rPr>
        <w:t xml:space="preserve"> </w:t>
      </w:r>
      <w:r w:rsidRPr="006C5E8A">
        <w:rPr>
          <w:rFonts w:ascii="Times New Roman" w:hAnsi="Times New Roman" w:cs="Times New Roman"/>
        </w:rPr>
        <w:t xml:space="preserve">available at </w:t>
      </w:r>
      <w:hyperlink r:id="rId4" w:history="1">
        <w:r w:rsidRPr="006C5E8A">
          <w:rPr>
            <w:rStyle w:val="Hyperlink"/>
            <w:rFonts w:ascii="Times New Roman" w:hAnsi="Times New Roman" w:cs="Times New Roman"/>
          </w:rPr>
          <w:t>https://en.numista.com/catalogue/pieces25538.html</w:t>
        </w:r>
      </w:hyperlink>
      <w:r w:rsidRPr="006C5E8A">
        <w:rPr>
          <w:rFonts w:ascii="Times New Roman" w:hAnsi="Times New Roman" w:cs="Times New Roman"/>
        </w:rPr>
        <w:t xml:space="preserve"> (accessed: 6</w:t>
      </w:r>
      <w:r w:rsidRPr="006C5E8A">
        <w:rPr>
          <w:rFonts w:ascii="Times New Roman" w:hAnsi="Times New Roman" w:cs="Times New Roman"/>
          <w:vertAlign w:val="superscript"/>
        </w:rPr>
        <w:t>th</w:t>
      </w:r>
      <w:r w:rsidRPr="006C5E8A">
        <w:rPr>
          <w:rFonts w:ascii="Times New Roman" w:hAnsi="Times New Roman" w:cs="Times New Roman"/>
        </w:rPr>
        <w:t xml:space="preserve"> February 2019).</w:t>
      </w:r>
    </w:p>
  </w:footnote>
  <w:footnote w:id="152">
    <w:p w14:paraId="2182DEC3" w14:textId="2B3F4B2F" w:rsidR="00B1011A" w:rsidRPr="006A1778" w:rsidRDefault="00B1011A" w:rsidP="00E034B5">
      <w:pPr>
        <w:pStyle w:val="FootnoteText"/>
        <w:rPr>
          <w:rFonts w:ascii="Times New Roman" w:hAnsi="Times New Roman" w:cs="Times New Roman"/>
        </w:rPr>
      </w:pPr>
      <w:r w:rsidRPr="00721417">
        <w:rPr>
          <w:rStyle w:val="FootnoteReference"/>
          <w:rFonts w:ascii="Times New Roman" w:hAnsi="Times New Roman" w:cs="Times New Roman"/>
        </w:rPr>
        <w:footnoteRef/>
      </w:r>
      <w:r w:rsidRPr="00721417">
        <w:rPr>
          <w:rFonts w:ascii="Times New Roman" w:hAnsi="Times New Roman" w:cs="Times New Roman"/>
        </w:rPr>
        <w:t xml:space="preserve"> Oresko, </w:t>
      </w:r>
      <w:r w:rsidRPr="00721417">
        <w:rPr>
          <w:rFonts w:ascii="Times New Roman" w:hAnsi="Times New Roman" w:cs="Times New Roman"/>
          <w:i/>
        </w:rPr>
        <w:t>Homosexuality and the Court Elites of Early Modern France: Some Problems, Some Suggestions, and an Example</w:t>
      </w:r>
      <w:r w:rsidRPr="00721417">
        <w:rPr>
          <w:rFonts w:ascii="Times New Roman" w:hAnsi="Times New Roman" w:cs="Times New Roman"/>
        </w:rPr>
        <w:t xml:space="preserve"> in Gerard and Hekma (eds.), </w:t>
      </w:r>
      <w:r w:rsidRPr="00721417">
        <w:rPr>
          <w:rFonts w:ascii="Times New Roman" w:hAnsi="Times New Roman" w:cs="Times New Roman"/>
          <w:i/>
        </w:rPr>
        <w:t>The Pursuit of Sodomy: Male Homosexuality in Renaissance and Enlightenment Europe</w:t>
      </w:r>
      <w:r w:rsidRPr="00721417">
        <w:rPr>
          <w:rFonts w:ascii="Times New Roman" w:hAnsi="Times New Roman" w:cs="Times New Roman"/>
        </w:rPr>
        <w:t>, p.11</w:t>
      </w:r>
      <w:r>
        <w:rPr>
          <w:rFonts w:ascii="Times New Roman" w:hAnsi="Times New Roman" w:cs="Times New Roman"/>
        </w:rPr>
        <w:t>4.</w:t>
      </w:r>
    </w:p>
  </w:footnote>
  <w:footnote w:id="153">
    <w:p w14:paraId="34A8A4AD" w14:textId="311F90C9" w:rsidR="00B1011A" w:rsidRPr="00373A40" w:rsidRDefault="00B1011A" w:rsidP="00E034B5">
      <w:pPr>
        <w:pStyle w:val="FootnoteText"/>
        <w:rPr>
          <w:rFonts w:ascii="Times New Roman" w:hAnsi="Times New Roman" w:cs="Times New Roman"/>
        </w:rPr>
      </w:pPr>
      <w:r w:rsidRPr="00373A40">
        <w:rPr>
          <w:rStyle w:val="FootnoteReference"/>
          <w:rFonts w:ascii="Times New Roman" w:hAnsi="Times New Roman" w:cs="Times New Roman"/>
        </w:rPr>
        <w:footnoteRef/>
      </w:r>
      <w:r w:rsidRPr="00373A40">
        <w:rPr>
          <w:rFonts w:ascii="Times New Roman" w:hAnsi="Times New Roman" w:cs="Times New Roman"/>
        </w:rPr>
        <w:t xml:space="preserve"> Elizabeth-Charlotte, ‘12</w:t>
      </w:r>
      <w:r w:rsidRPr="00373A40">
        <w:rPr>
          <w:rFonts w:ascii="Times New Roman" w:hAnsi="Times New Roman" w:cs="Times New Roman"/>
          <w:vertAlign w:val="superscript"/>
        </w:rPr>
        <w:t>th</w:t>
      </w:r>
      <w:r w:rsidRPr="00373A40">
        <w:rPr>
          <w:rFonts w:ascii="Times New Roman" w:hAnsi="Times New Roman" w:cs="Times New Roman"/>
        </w:rPr>
        <w:t xml:space="preserve"> September 1682 to the Duchess of Hanover</w:t>
      </w:r>
      <w:r>
        <w:rPr>
          <w:rFonts w:ascii="Times New Roman" w:hAnsi="Times New Roman" w:cs="Times New Roman"/>
        </w:rPr>
        <w:t>’</w:t>
      </w:r>
      <w:r w:rsidRPr="00373A40">
        <w:rPr>
          <w:rFonts w:ascii="Times New Roman" w:hAnsi="Times New Roman" w:cs="Times New Roman"/>
        </w:rPr>
        <w:t xml:space="preserve">, </w:t>
      </w:r>
      <w:r w:rsidRPr="00373A40">
        <w:rPr>
          <w:rFonts w:ascii="Times New Roman" w:hAnsi="Times New Roman" w:cs="Times New Roman"/>
          <w:i/>
        </w:rPr>
        <w:t xml:space="preserve">The Letters of Madame, </w:t>
      </w:r>
      <w:r w:rsidRPr="00373A40">
        <w:rPr>
          <w:rFonts w:ascii="Times New Roman" w:hAnsi="Times New Roman" w:cs="Times New Roman"/>
        </w:rPr>
        <w:t>pp.47-48.</w:t>
      </w:r>
    </w:p>
  </w:footnote>
  <w:footnote w:id="154">
    <w:p w14:paraId="44C23F6A" w14:textId="702918DD" w:rsidR="00B1011A" w:rsidRPr="006A1778" w:rsidRDefault="00B1011A" w:rsidP="00E034B5">
      <w:pPr>
        <w:pStyle w:val="FootnoteText"/>
        <w:rPr>
          <w:rFonts w:ascii="Times New Roman" w:hAnsi="Times New Roman" w:cs="Times New Roman"/>
        </w:rPr>
      </w:pPr>
      <w:r w:rsidRPr="00373A40">
        <w:rPr>
          <w:rStyle w:val="FootnoteReference"/>
          <w:rFonts w:ascii="Times New Roman" w:hAnsi="Times New Roman" w:cs="Times New Roman"/>
        </w:rPr>
        <w:footnoteRef/>
      </w:r>
      <w:r w:rsidRPr="00373A40">
        <w:rPr>
          <w:rFonts w:ascii="Times New Roman" w:hAnsi="Times New Roman" w:cs="Times New Roman"/>
        </w:rPr>
        <w:t xml:space="preserve"> Elizabeth-Charlotte, ‘26</w:t>
      </w:r>
      <w:r w:rsidRPr="00373A40">
        <w:rPr>
          <w:rFonts w:ascii="Times New Roman" w:hAnsi="Times New Roman" w:cs="Times New Roman"/>
          <w:vertAlign w:val="superscript"/>
        </w:rPr>
        <w:t>th</w:t>
      </w:r>
      <w:r w:rsidRPr="00373A40">
        <w:rPr>
          <w:rFonts w:ascii="Times New Roman" w:hAnsi="Times New Roman" w:cs="Times New Roman"/>
        </w:rPr>
        <w:t xml:space="preserve"> August 1689 to</w:t>
      </w:r>
      <w:r>
        <w:rPr>
          <w:rFonts w:ascii="Times New Roman" w:hAnsi="Times New Roman" w:cs="Times New Roman"/>
        </w:rPr>
        <w:t xml:space="preserve"> the Duchess of Hanover’, </w:t>
      </w:r>
      <w:r w:rsidRPr="001D3650">
        <w:rPr>
          <w:rFonts w:ascii="Times New Roman" w:hAnsi="Times New Roman" w:cs="Times New Roman"/>
          <w:i/>
        </w:rPr>
        <w:t>The Letters of Madame</w:t>
      </w:r>
      <w:r>
        <w:rPr>
          <w:rFonts w:ascii="Times New Roman" w:hAnsi="Times New Roman" w:cs="Times New Roman"/>
          <w:i/>
        </w:rPr>
        <w:t xml:space="preserve">, </w:t>
      </w:r>
      <w:r>
        <w:rPr>
          <w:rFonts w:ascii="Times New Roman" w:hAnsi="Times New Roman" w:cs="Times New Roman"/>
        </w:rPr>
        <w:t>pp.88-92.</w:t>
      </w:r>
    </w:p>
  </w:footnote>
  <w:footnote w:id="155">
    <w:p w14:paraId="6B0792AF" w14:textId="699468D9" w:rsidR="00B1011A" w:rsidRPr="006A1778" w:rsidRDefault="00B1011A" w:rsidP="00E034B5">
      <w:pPr>
        <w:pStyle w:val="FootnoteText"/>
        <w:rPr>
          <w:rFonts w:ascii="Times New Roman" w:hAnsi="Times New Roman" w:cs="Times New Roman"/>
        </w:rPr>
      </w:pPr>
      <w:r w:rsidRPr="006A1778">
        <w:rPr>
          <w:rStyle w:val="FootnoteReference"/>
          <w:rFonts w:ascii="Times New Roman" w:hAnsi="Times New Roman" w:cs="Times New Roman"/>
        </w:rPr>
        <w:footnoteRef/>
      </w:r>
      <w:r w:rsidRPr="006A1778">
        <w:rPr>
          <w:rFonts w:ascii="Times New Roman" w:hAnsi="Times New Roman" w:cs="Times New Roman"/>
        </w:rPr>
        <w:t xml:space="preserve"> </w:t>
      </w:r>
      <w:r>
        <w:rPr>
          <w:rFonts w:ascii="Times New Roman" w:hAnsi="Times New Roman" w:cs="Times New Roman"/>
        </w:rPr>
        <w:t xml:space="preserve">Mitford, </w:t>
      </w:r>
      <w:r w:rsidRPr="006A1778">
        <w:rPr>
          <w:rFonts w:ascii="Times New Roman" w:hAnsi="Times New Roman" w:cs="Times New Roman"/>
          <w:i/>
        </w:rPr>
        <w:t xml:space="preserve">The Sun king, </w:t>
      </w:r>
      <w:r w:rsidRPr="006A1778">
        <w:rPr>
          <w:rFonts w:ascii="Times New Roman" w:hAnsi="Times New Roman" w:cs="Times New Roman"/>
        </w:rPr>
        <w:t>p.38</w:t>
      </w:r>
      <w:r>
        <w:rPr>
          <w:rFonts w:ascii="Times New Roman" w:hAnsi="Times New Roman" w:cs="Times New Roman"/>
        </w:rPr>
        <w:t>.</w:t>
      </w:r>
    </w:p>
  </w:footnote>
  <w:footnote w:id="156">
    <w:p w14:paraId="1C9320DD" w14:textId="5A6F42FE" w:rsidR="00B1011A" w:rsidRDefault="00B1011A" w:rsidP="00E034B5">
      <w:pPr>
        <w:pStyle w:val="FootnoteText"/>
      </w:pPr>
      <w:r w:rsidRPr="006A1778">
        <w:rPr>
          <w:rStyle w:val="FootnoteReference"/>
          <w:rFonts w:ascii="Times New Roman" w:hAnsi="Times New Roman" w:cs="Times New Roman"/>
        </w:rPr>
        <w:footnoteRef/>
      </w:r>
      <w:r w:rsidRPr="006A1778">
        <w:rPr>
          <w:rFonts w:ascii="Times New Roman" w:hAnsi="Times New Roman" w:cs="Times New Roman"/>
        </w:rPr>
        <w:t xml:space="preserve"> </w:t>
      </w:r>
      <w:r w:rsidRPr="006A1778">
        <w:rPr>
          <w:rFonts w:ascii="Times New Roman" w:hAnsi="Times New Roman" w:cs="Times New Roman"/>
          <w:i/>
        </w:rPr>
        <w:t>ibid.</w:t>
      </w:r>
    </w:p>
  </w:footnote>
  <w:footnote w:id="157">
    <w:p w14:paraId="5360774E" w14:textId="6A76E382" w:rsidR="00B1011A" w:rsidRPr="006A1778" w:rsidRDefault="00B1011A" w:rsidP="00E034B5">
      <w:pPr>
        <w:pStyle w:val="FootnoteText"/>
        <w:rPr>
          <w:rFonts w:ascii="Times New Roman" w:hAnsi="Times New Roman" w:cs="Times New Roman"/>
        </w:rPr>
      </w:pPr>
      <w:r w:rsidRPr="006A1778">
        <w:rPr>
          <w:rStyle w:val="FootnoteReference"/>
          <w:rFonts w:ascii="Times New Roman" w:hAnsi="Times New Roman" w:cs="Times New Roman"/>
        </w:rPr>
        <w:footnoteRef/>
      </w:r>
      <w:r w:rsidRPr="006A1778">
        <w:rPr>
          <w:rFonts w:ascii="Times New Roman" w:hAnsi="Times New Roman" w:cs="Times New Roman"/>
        </w:rPr>
        <w:t xml:space="preserve"> </w:t>
      </w:r>
      <w:r w:rsidRPr="006A1778">
        <w:rPr>
          <w:rFonts w:ascii="Times New Roman" w:hAnsi="Times New Roman" w:cs="Times New Roman"/>
          <w:i/>
        </w:rPr>
        <w:t>ibid.</w:t>
      </w:r>
    </w:p>
  </w:footnote>
  <w:footnote w:id="158">
    <w:p w14:paraId="36CDCDF1" w14:textId="281BFD4A" w:rsidR="00B1011A" w:rsidRPr="006A1778" w:rsidRDefault="00B1011A" w:rsidP="00E034B5">
      <w:pPr>
        <w:pStyle w:val="FootnoteText"/>
        <w:rPr>
          <w:rFonts w:ascii="Times New Roman" w:hAnsi="Times New Roman" w:cs="Times New Roman"/>
          <w:highlight w:val="yellow"/>
        </w:rPr>
      </w:pPr>
      <w:r w:rsidRPr="002A69B2">
        <w:rPr>
          <w:rStyle w:val="FootnoteReference"/>
          <w:rFonts w:ascii="Times New Roman" w:hAnsi="Times New Roman" w:cs="Times New Roman"/>
        </w:rPr>
        <w:footnoteRef/>
      </w:r>
      <w:r w:rsidRPr="002A69B2">
        <w:rPr>
          <w:rFonts w:ascii="Times New Roman" w:hAnsi="Times New Roman" w:cs="Times New Roman"/>
        </w:rPr>
        <w:t xml:space="preserve"> Elizabeth</w:t>
      </w:r>
      <w:r>
        <w:rPr>
          <w:rFonts w:ascii="Times New Roman" w:hAnsi="Times New Roman" w:cs="Times New Roman"/>
        </w:rPr>
        <w:t>-Charlotte, ‘14</w:t>
      </w:r>
      <w:r w:rsidRPr="00373A40">
        <w:rPr>
          <w:rFonts w:ascii="Times New Roman" w:hAnsi="Times New Roman" w:cs="Times New Roman"/>
          <w:vertAlign w:val="superscript"/>
        </w:rPr>
        <w:t>th</w:t>
      </w:r>
      <w:r>
        <w:rPr>
          <w:rFonts w:ascii="Times New Roman" w:hAnsi="Times New Roman" w:cs="Times New Roman"/>
        </w:rPr>
        <w:t xml:space="preserve"> May 1688 to the Duchess of Hanover’, </w:t>
      </w:r>
      <w:r w:rsidRPr="001D3650">
        <w:rPr>
          <w:rFonts w:ascii="Times New Roman" w:hAnsi="Times New Roman" w:cs="Times New Roman"/>
          <w:i/>
        </w:rPr>
        <w:t>The Letters of Madame</w:t>
      </w:r>
      <w:r>
        <w:rPr>
          <w:rFonts w:ascii="Times New Roman" w:hAnsi="Times New Roman" w:cs="Times New Roman"/>
          <w:i/>
        </w:rPr>
        <w:t xml:space="preserve">, </w:t>
      </w:r>
      <w:r>
        <w:rPr>
          <w:rFonts w:ascii="Times New Roman" w:hAnsi="Times New Roman" w:cs="Times New Roman"/>
        </w:rPr>
        <w:t>pp.79.</w:t>
      </w:r>
    </w:p>
  </w:footnote>
  <w:footnote w:id="159">
    <w:p w14:paraId="106271E4" w14:textId="41B45972" w:rsidR="00B1011A" w:rsidRPr="00224878" w:rsidRDefault="00B1011A" w:rsidP="00E034B5">
      <w:pPr>
        <w:pStyle w:val="FootnoteText"/>
        <w:rPr>
          <w:rFonts w:ascii="Times New Roman" w:hAnsi="Times New Roman" w:cs="Times New Roman"/>
        </w:rPr>
      </w:pPr>
      <w:r w:rsidRPr="00224878">
        <w:rPr>
          <w:rStyle w:val="FootnoteReference"/>
          <w:rFonts w:ascii="Times New Roman" w:hAnsi="Times New Roman" w:cs="Times New Roman"/>
        </w:rPr>
        <w:footnoteRef/>
      </w:r>
      <w:r w:rsidRPr="00224878">
        <w:rPr>
          <w:rFonts w:ascii="Times New Roman" w:hAnsi="Times New Roman" w:cs="Times New Roman"/>
        </w:rPr>
        <w:t xml:space="preserve"> Duke d’Orleans, </w:t>
      </w:r>
      <w:r w:rsidRPr="00224878">
        <w:rPr>
          <w:rFonts w:ascii="Times New Roman" w:hAnsi="Times New Roman" w:cs="Times New Roman"/>
          <w:i/>
        </w:rPr>
        <w:t>Cosnac</w:t>
      </w:r>
      <w:r w:rsidRPr="00224878">
        <w:rPr>
          <w:rFonts w:ascii="Times New Roman" w:hAnsi="Times New Roman" w:cs="Times New Roman"/>
        </w:rPr>
        <w:t xml:space="preserve"> in Oresko, </w:t>
      </w:r>
      <w:r w:rsidRPr="00224878">
        <w:rPr>
          <w:rFonts w:ascii="Times New Roman" w:hAnsi="Times New Roman" w:cs="Times New Roman"/>
          <w:i/>
        </w:rPr>
        <w:t>Homosexuality and the Court Elites of Early Modern France: Some Problems</w:t>
      </w:r>
      <w:r w:rsidRPr="00C82264">
        <w:rPr>
          <w:rFonts w:ascii="Times New Roman" w:hAnsi="Times New Roman" w:cs="Times New Roman"/>
          <w:i/>
        </w:rPr>
        <w:t>, Some Suggestions, and an Example</w:t>
      </w:r>
      <w:r>
        <w:rPr>
          <w:rFonts w:ascii="Times New Roman" w:hAnsi="Times New Roman" w:cs="Times New Roman"/>
        </w:rPr>
        <w:t xml:space="preserve"> in Gerard and Hekma (eds.), </w:t>
      </w:r>
      <w:r w:rsidRPr="00C82264">
        <w:rPr>
          <w:rFonts w:ascii="Times New Roman" w:hAnsi="Times New Roman" w:cs="Times New Roman"/>
          <w:i/>
        </w:rPr>
        <w:t xml:space="preserve">The Pursuit of Sodomy: Male </w:t>
      </w:r>
      <w:r w:rsidRPr="00224878">
        <w:rPr>
          <w:rFonts w:ascii="Times New Roman" w:hAnsi="Times New Roman" w:cs="Times New Roman"/>
          <w:i/>
        </w:rPr>
        <w:t>Homosexuality in Renaissance and Enlightenment Europe</w:t>
      </w:r>
      <w:r w:rsidRPr="00224878">
        <w:rPr>
          <w:rFonts w:ascii="Times New Roman" w:hAnsi="Times New Roman" w:cs="Times New Roman"/>
        </w:rPr>
        <w:t>, p.115.</w:t>
      </w:r>
    </w:p>
  </w:footnote>
  <w:footnote w:id="160">
    <w:p w14:paraId="2BB7FB6A" w14:textId="576A8322" w:rsidR="00B1011A" w:rsidRPr="006A1778" w:rsidRDefault="00B1011A" w:rsidP="00E034B5">
      <w:pPr>
        <w:pStyle w:val="FootnoteText"/>
        <w:rPr>
          <w:rFonts w:ascii="Times New Roman" w:hAnsi="Times New Roman" w:cs="Times New Roman"/>
        </w:rPr>
      </w:pPr>
      <w:r w:rsidRPr="00224878">
        <w:rPr>
          <w:rStyle w:val="FootnoteReference"/>
          <w:rFonts w:ascii="Times New Roman" w:hAnsi="Times New Roman" w:cs="Times New Roman"/>
        </w:rPr>
        <w:footnoteRef/>
      </w:r>
      <w:r w:rsidRPr="00224878">
        <w:rPr>
          <w:rFonts w:ascii="Times New Roman" w:hAnsi="Times New Roman" w:cs="Times New Roman"/>
        </w:rPr>
        <w:t xml:space="preserve"> Louis de Rouvroy, duc de Saint-Simon, </w:t>
      </w:r>
      <w:r w:rsidRPr="00224878">
        <w:rPr>
          <w:rFonts w:ascii="Times New Roman" w:hAnsi="Times New Roman" w:cs="Times New Roman"/>
          <w:i/>
        </w:rPr>
        <w:t>Memoires</w:t>
      </w:r>
      <w:r w:rsidRPr="00224878">
        <w:rPr>
          <w:rFonts w:ascii="Times New Roman" w:hAnsi="Times New Roman" w:cs="Times New Roman"/>
        </w:rPr>
        <w:t xml:space="preserve"> in Oresko, </w:t>
      </w:r>
      <w:r w:rsidRPr="00224878">
        <w:rPr>
          <w:rFonts w:ascii="Times New Roman" w:hAnsi="Times New Roman" w:cs="Times New Roman"/>
          <w:i/>
        </w:rPr>
        <w:t>Homosexuality and the Court Elites of Early Modern France: Some Problems</w:t>
      </w:r>
      <w:r w:rsidRPr="00C82264">
        <w:rPr>
          <w:rFonts w:ascii="Times New Roman" w:hAnsi="Times New Roman" w:cs="Times New Roman"/>
          <w:i/>
        </w:rPr>
        <w:t>, Some Suggestions, and an Example</w:t>
      </w:r>
      <w:r>
        <w:rPr>
          <w:rFonts w:ascii="Times New Roman" w:hAnsi="Times New Roman" w:cs="Times New Roman"/>
        </w:rPr>
        <w:t xml:space="preserve"> in Gerard and Hekma (eds.), </w:t>
      </w:r>
      <w:r w:rsidRPr="00C82264">
        <w:rPr>
          <w:rFonts w:ascii="Times New Roman" w:hAnsi="Times New Roman" w:cs="Times New Roman"/>
          <w:i/>
        </w:rPr>
        <w:t>The Pursuit of Sodomy: Male Homosexuality in Renaissance and Enlightenment Europe</w:t>
      </w:r>
      <w:r>
        <w:rPr>
          <w:rFonts w:ascii="Times New Roman" w:hAnsi="Times New Roman" w:cs="Times New Roman"/>
        </w:rPr>
        <w:t>,</w:t>
      </w:r>
      <w:r w:rsidRPr="00F56EC7">
        <w:rPr>
          <w:rFonts w:ascii="Times New Roman" w:hAnsi="Times New Roman" w:cs="Times New Roman"/>
        </w:rPr>
        <w:t xml:space="preserve"> p.11</w:t>
      </w:r>
      <w:r>
        <w:rPr>
          <w:rFonts w:ascii="Times New Roman" w:hAnsi="Times New Roman" w:cs="Times New Roman"/>
        </w:rPr>
        <w:t>4.</w:t>
      </w:r>
    </w:p>
  </w:footnote>
  <w:footnote w:id="161">
    <w:p w14:paraId="4C34E534" w14:textId="18738E12" w:rsidR="00B1011A" w:rsidRPr="006A1778" w:rsidRDefault="00B1011A" w:rsidP="00E034B5">
      <w:pPr>
        <w:pStyle w:val="FootnoteText"/>
        <w:rPr>
          <w:rFonts w:ascii="Times New Roman" w:hAnsi="Times New Roman" w:cs="Times New Roman"/>
        </w:rPr>
      </w:pPr>
      <w:r w:rsidRPr="006A1778">
        <w:rPr>
          <w:rStyle w:val="FootnoteReference"/>
          <w:rFonts w:ascii="Times New Roman" w:hAnsi="Times New Roman" w:cs="Times New Roman"/>
        </w:rPr>
        <w:footnoteRef/>
      </w:r>
      <w:r w:rsidRPr="006A1778">
        <w:rPr>
          <w:rFonts w:ascii="Times New Roman" w:hAnsi="Times New Roman" w:cs="Times New Roman"/>
        </w:rPr>
        <w:t xml:space="preserve"> Neill, </w:t>
      </w:r>
      <w:r w:rsidRPr="006A1778">
        <w:rPr>
          <w:rFonts w:ascii="Times New Roman" w:hAnsi="Times New Roman" w:cs="Times New Roman"/>
          <w:i/>
        </w:rPr>
        <w:t>The Origins and Role of Same-Sex Relations in Human Societies,</w:t>
      </w:r>
      <w:r w:rsidRPr="006A1778">
        <w:rPr>
          <w:rFonts w:ascii="Times New Roman" w:hAnsi="Times New Roman" w:cs="Times New Roman"/>
        </w:rPr>
        <w:t xml:space="preserve"> p.405.</w:t>
      </w:r>
    </w:p>
  </w:footnote>
  <w:footnote w:id="162">
    <w:p w14:paraId="2449D19C" w14:textId="35794D9A" w:rsidR="00B1011A" w:rsidRDefault="00B1011A" w:rsidP="00E034B5">
      <w:pPr>
        <w:pStyle w:val="FootnoteText"/>
      </w:pPr>
      <w:r w:rsidRPr="006A1778">
        <w:rPr>
          <w:rStyle w:val="FootnoteReference"/>
          <w:rFonts w:ascii="Times New Roman" w:hAnsi="Times New Roman" w:cs="Times New Roman"/>
        </w:rPr>
        <w:footnoteRef/>
      </w:r>
      <w:r w:rsidRPr="006A1778">
        <w:rPr>
          <w:rFonts w:ascii="Times New Roman" w:hAnsi="Times New Roman" w:cs="Times New Roman"/>
        </w:rPr>
        <w:t xml:space="preserve"> </w:t>
      </w:r>
      <w:r w:rsidRPr="006A1778">
        <w:rPr>
          <w:rFonts w:ascii="Times New Roman" w:hAnsi="Times New Roman" w:cs="Times New Roman"/>
          <w:i/>
        </w:rPr>
        <w:t>ibid.</w:t>
      </w:r>
    </w:p>
  </w:footnote>
  <w:footnote w:id="163">
    <w:p w14:paraId="3EFB1FB8" w14:textId="234060AB" w:rsidR="00B1011A" w:rsidRPr="00E7212C" w:rsidRDefault="00B1011A" w:rsidP="00E034B5">
      <w:pPr>
        <w:pStyle w:val="FootnoteText"/>
        <w:rPr>
          <w:rFonts w:ascii="Times New Roman" w:hAnsi="Times New Roman" w:cs="Times New Roman"/>
        </w:rPr>
      </w:pPr>
      <w:r w:rsidRPr="00E7212C">
        <w:rPr>
          <w:rStyle w:val="FootnoteReference"/>
          <w:rFonts w:ascii="Times New Roman" w:hAnsi="Times New Roman" w:cs="Times New Roman"/>
        </w:rPr>
        <w:footnoteRef/>
      </w:r>
      <w:r w:rsidRPr="00E7212C">
        <w:rPr>
          <w:rFonts w:ascii="Times New Roman" w:hAnsi="Times New Roman" w:cs="Times New Roman"/>
        </w:rPr>
        <w:t xml:space="preserve"> </w:t>
      </w:r>
      <w:r>
        <w:rPr>
          <w:rFonts w:ascii="Times New Roman" w:hAnsi="Times New Roman" w:cs="Times New Roman"/>
        </w:rPr>
        <w:t xml:space="preserve">Crompton, </w:t>
      </w:r>
      <w:r w:rsidRPr="00E7212C">
        <w:rPr>
          <w:rFonts w:ascii="Times New Roman" w:hAnsi="Times New Roman" w:cs="Times New Roman"/>
          <w:i/>
        </w:rPr>
        <w:t>Homosexuality and Civilisation</w:t>
      </w:r>
      <w:r>
        <w:rPr>
          <w:rFonts w:ascii="Times New Roman" w:hAnsi="Times New Roman" w:cs="Times New Roman"/>
        </w:rPr>
        <w:t>, p.338.</w:t>
      </w:r>
    </w:p>
  </w:footnote>
  <w:footnote w:id="164">
    <w:p w14:paraId="42FCABB6" w14:textId="2E51CDEA" w:rsidR="00B1011A" w:rsidRPr="00E7212C" w:rsidRDefault="00B1011A" w:rsidP="00E034B5">
      <w:pPr>
        <w:pStyle w:val="FootnoteText"/>
        <w:rPr>
          <w:rFonts w:ascii="Times New Roman" w:hAnsi="Times New Roman" w:cs="Times New Roman"/>
        </w:rPr>
      </w:pPr>
      <w:r w:rsidRPr="00E7212C">
        <w:rPr>
          <w:rStyle w:val="FootnoteReference"/>
          <w:rFonts w:ascii="Times New Roman" w:hAnsi="Times New Roman" w:cs="Times New Roman"/>
        </w:rPr>
        <w:footnoteRef/>
      </w:r>
      <w:r w:rsidRPr="00E7212C">
        <w:rPr>
          <w:rFonts w:ascii="Times New Roman" w:hAnsi="Times New Roman" w:cs="Times New Roman"/>
        </w:rPr>
        <w:t xml:space="preserve"> </w:t>
      </w:r>
      <w:r w:rsidRPr="006A1778">
        <w:rPr>
          <w:rFonts w:ascii="Times New Roman" w:hAnsi="Times New Roman" w:cs="Times New Roman"/>
        </w:rPr>
        <w:t>Neill</w:t>
      </w:r>
      <w:r>
        <w:rPr>
          <w:rFonts w:ascii="Times New Roman" w:hAnsi="Times New Roman" w:cs="Times New Roman"/>
        </w:rPr>
        <w:t xml:space="preserve">, </w:t>
      </w:r>
      <w:r w:rsidRPr="006A1778">
        <w:rPr>
          <w:rFonts w:ascii="Times New Roman" w:hAnsi="Times New Roman" w:cs="Times New Roman"/>
          <w:i/>
        </w:rPr>
        <w:t>The Origins and Role of Same-Sex Relations in Human Societies,</w:t>
      </w:r>
      <w:r w:rsidRPr="006A1778">
        <w:rPr>
          <w:rFonts w:ascii="Times New Roman" w:hAnsi="Times New Roman" w:cs="Times New Roman"/>
        </w:rPr>
        <w:t xml:space="preserve"> p.40</w:t>
      </w:r>
      <w:r>
        <w:rPr>
          <w:rFonts w:ascii="Times New Roman" w:hAnsi="Times New Roman" w:cs="Times New Roman"/>
        </w:rPr>
        <w:t>5.</w:t>
      </w:r>
    </w:p>
  </w:footnote>
  <w:footnote w:id="165">
    <w:p w14:paraId="72544519" w14:textId="416874B0" w:rsidR="00B1011A" w:rsidRPr="00E7212C" w:rsidRDefault="00B1011A" w:rsidP="00E034B5">
      <w:pPr>
        <w:pStyle w:val="FootnoteText"/>
        <w:rPr>
          <w:rFonts w:ascii="Times New Roman" w:hAnsi="Times New Roman" w:cs="Times New Roman"/>
        </w:rPr>
      </w:pPr>
      <w:r w:rsidRPr="00E7212C">
        <w:rPr>
          <w:rStyle w:val="FootnoteReference"/>
          <w:rFonts w:ascii="Times New Roman" w:hAnsi="Times New Roman" w:cs="Times New Roman"/>
        </w:rPr>
        <w:footnoteRef/>
      </w:r>
      <w:r w:rsidRPr="00E7212C">
        <w:rPr>
          <w:rFonts w:ascii="Times New Roman" w:hAnsi="Times New Roman" w:cs="Times New Roman"/>
        </w:rPr>
        <w:t xml:space="preserve"> </w:t>
      </w:r>
      <w:r w:rsidRPr="006A1778">
        <w:rPr>
          <w:rFonts w:ascii="Times New Roman" w:hAnsi="Times New Roman" w:cs="Times New Roman"/>
          <w:i/>
        </w:rPr>
        <w:t>ibid.</w:t>
      </w:r>
    </w:p>
  </w:footnote>
  <w:footnote w:id="166">
    <w:p w14:paraId="25EBC413" w14:textId="51FCF0A4" w:rsidR="00B1011A" w:rsidRPr="00E7212C" w:rsidRDefault="00B1011A" w:rsidP="00E034B5">
      <w:pPr>
        <w:pStyle w:val="FootnoteText"/>
        <w:rPr>
          <w:rFonts w:ascii="Times New Roman" w:hAnsi="Times New Roman" w:cs="Times New Roman"/>
        </w:rPr>
      </w:pPr>
      <w:r w:rsidRPr="00E7212C">
        <w:rPr>
          <w:rStyle w:val="FootnoteReference"/>
          <w:rFonts w:ascii="Times New Roman" w:hAnsi="Times New Roman" w:cs="Times New Roman"/>
        </w:rPr>
        <w:footnoteRef/>
      </w:r>
      <w:r w:rsidRPr="00E7212C">
        <w:rPr>
          <w:rFonts w:ascii="Times New Roman" w:hAnsi="Times New Roman" w:cs="Times New Roman"/>
        </w:rPr>
        <w:t xml:space="preserve"> </w:t>
      </w:r>
      <w:r w:rsidRPr="006A1778">
        <w:rPr>
          <w:rFonts w:ascii="Times New Roman" w:hAnsi="Times New Roman" w:cs="Times New Roman"/>
          <w:i/>
        </w:rPr>
        <w:t>ibid.</w:t>
      </w:r>
    </w:p>
  </w:footnote>
  <w:footnote w:id="167">
    <w:p w14:paraId="60CDC745" w14:textId="324811A2" w:rsidR="00B1011A" w:rsidRDefault="00B1011A" w:rsidP="00E034B5">
      <w:pPr>
        <w:pStyle w:val="FootnoteText"/>
      </w:pPr>
      <w:r w:rsidRPr="00721417">
        <w:rPr>
          <w:rStyle w:val="FootnoteReference"/>
          <w:rFonts w:ascii="Times New Roman" w:hAnsi="Times New Roman" w:cs="Times New Roman"/>
        </w:rPr>
        <w:footnoteRef/>
      </w:r>
      <w:r w:rsidRPr="00721417">
        <w:rPr>
          <w:rFonts w:ascii="Times New Roman" w:hAnsi="Times New Roman" w:cs="Times New Roman"/>
        </w:rPr>
        <w:t xml:space="preserve"> Bullough, ‘Homosexuality as Submissive Behaviour: Example from Mythology’, </w:t>
      </w:r>
      <w:r w:rsidRPr="00721417">
        <w:rPr>
          <w:rFonts w:ascii="Times New Roman" w:hAnsi="Times New Roman" w:cs="Times New Roman"/>
          <w:i/>
        </w:rPr>
        <w:t>The Journal of Sex Research,</w:t>
      </w:r>
      <w:r w:rsidRPr="00721417">
        <w:rPr>
          <w:rFonts w:ascii="Times New Roman" w:hAnsi="Times New Roman" w:cs="Times New Roman"/>
        </w:rPr>
        <w:t xml:space="preserve"> pp.283-288.</w:t>
      </w:r>
    </w:p>
  </w:footnote>
  <w:footnote w:id="168">
    <w:p w14:paraId="51628F03" w14:textId="00EF16AB" w:rsidR="00B1011A" w:rsidRPr="00721417" w:rsidRDefault="00B1011A" w:rsidP="00E034B5">
      <w:pPr>
        <w:pStyle w:val="FootnoteText"/>
        <w:rPr>
          <w:rFonts w:ascii="Times New Roman" w:hAnsi="Times New Roman" w:cs="Times New Roman"/>
        </w:rPr>
      </w:pPr>
      <w:r w:rsidRPr="00721417">
        <w:rPr>
          <w:rStyle w:val="FootnoteReference"/>
          <w:rFonts w:ascii="Times New Roman" w:hAnsi="Times New Roman" w:cs="Times New Roman"/>
        </w:rPr>
        <w:footnoteRef/>
      </w:r>
      <w:r w:rsidRPr="00721417">
        <w:rPr>
          <w:rFonts w:ascii="Times New Roman" w:hAnsi="Times New Roman" w:cs="Times New Roman"/>
        </w:rPr>
        <w:t xml:space="preserve"> </w:t>
      </w:r>
      <w:r w:rsidRPr="00721417">
        <w:rPr>
          <w:rFonts w:ascii="Times New Roman" w:hAnsi="Times New Roman" w:cs="Times New Roman"/>
          <w:i/>
        </w:rPr>
        <w:t>ibid.</w:t>
      </w:r>
    </w:p>
  </w:footnote>
  <w:footnote w:id="169">
    <w:p w14:paraId="4D1543F9" w14:textId="0AD68FB6" w:rsidR="00B1011A" w:rsidRPr="00721417" w:rsidRDefault="00B1011A" w:rsidP="00E034B5">
      <w:pPr>
        <w:pStyle w:val="FootnoteText"/>
        <w:rPr>
          <w:rFonts w:ascii="Times New Roman" w:hAnsi="Times New Roman" w:cs="Times New Roman"/>
        </w:rPr>
      </w:pPr>
      <w:r w:rsidRPr="00721417">
        <w:rPr>
          <w:rStyle w:val="FootnoteReference"/>
          <w:rFonts w:ascii="Times New Roman" w:hAnsi="Times New Roman" w:cs="Times New Roman"/>
        </w:rPr>
        <w:footnoteRef/>
      </w:r>
      <w:r w:rsidRPr="00721417">
        <w:rPr>
          <w:rFonts w:ascii="Times New Roman" w:hAnsi="Times New Roman" w:cs="Times New Roman"/>
        </w:rPr>
        <w:t xml:space="preserve"> </w:t>
      </w:r>
      <w:r w:rsidRPr="00721417">
        <w:rPr>
          <w:rFonts w:ascii="Times New Roman" w:hAnsi="Times New Roman" w:cs="Times New Roman"/>
          <w:i/>
        </w:rPr>
        <w:t>ibid.</w:t>
      </w:r>
    </w:p>
  </w:footnote>
  <w:footnote w:id="170">
    <w:p w14:paraId="43DD9826" w14:textId="051AF8B4" w:rsidR="00B1011A" w:rsidRPr="00721417" w:rsidRDefault="00B1011A" w:rsidP="00E034B5">
      <w:pPr>
        <w:pStyle w:val="FootnoteText"/>
        <w:rPr>
          <w:rFonts w:ascii="Times New Roman" w:hAnsi="Times New Roman" w:cs="Times New Roman"/>
        </w:rPr>
      </w:pPr>
      <w:r w:rsidRPr="00721417">
        <w:rPr>
          <w:rStyle w:val="FootnoteReference"/>
          <w:rFonts w:ascii="Times New Roman" w:hAnsi="Times New Roman" w:cs="Times New Roman"/>
        </w:rPr>
        <w:footnoteRef/>
      </w:r>
      <w:r w:rsidRPr="00721417">
        <w:rPr>
          <w:rFonts w:ascii="Times New Roman" w:hAnsi="Times New Roman" w:cs="Times New Roman"/>
        </w:rPr>
        <w:t xml:space="preserve"> </w:t>
      </w:r>
      <w:r w:rsidRPr="00721417">
        <w:rPr>
          <w:rFonts w:ascii="Times New Roman" w:hAnsi="Times New Roman" w:cs="Times New Roman"/>
          <w:i/>
        </w:rPr>
        <w:t>ibid.</w:t>
      </w:r>
    </w:p>
  </w:footnote>
  <w:footnote w:id="171">
    <w:p w14:paraId="2722CAD7" w14:textId="3C4C738D" w:rsidR="00B1011A" w:rsidRPr="0090592D" w:rsidRDefault="00B1011A" w:rsidP="00E034B5">
      <w:pPr>
        <w:pStyle w:val="FootnoteText"/>
        <w:rPr>
          <w:rFonts w:ascii="Times New Roman" w:hAnsi="Times New Roman" w:cs="Times New Roman"/>
        </w:rPr>
      </w:pPr>
      <w:r w:rsidRPr="0090592D">
        <w:rPr>
          <w:rStyle w:val="FootnoteReference"/>
          <w:rFonts w:ascii="Times New Roman" w:hAnsi="Times New Roman" w:cs="Times New Roman"/>
        </w:rPr>
        <w:footnoteRef/>
      </w:r>
      <w:r w:rsidRPr="0090592D">
        <w:rPr>
          <w:rFonts w:ascii="Times New Roman" w:hAnsi="Times New Roman" w:cs="Times New Roman"/>
        </w:rPr>
        <w:t xml:space="preserve"> Ovesey</w:t>
      </w:r>
      <w:r>
        <w:rPr>
          <w:rFonts w:ascii="Times New Roman" w:hAnsi="Times New Roman" w:cs="Times New Roman"/>
        </w:rPr>
        <w:t xml:space="preserve">, </w:t>
      </w:r>
      <w:r w:rsidRPr="006A1778">
        <w:rPr>
          <w:rFonts w:ascii="Times New Roman" w:hAnsi="Times New Roman" w:cs="Times New Roman"/>
          <w:i/>
        </w:rPr>
        <w:t>Homosexuality and Pseudohomosexuality</w:t>
      </w:r>
      <w:r>
        <w:rPr>
          <w:rFonts w:ascii="Times New Roman" w:hAnsi="Times New Roman" w:cs="Times New Roman"/>
        </w:rPr>
        <w:t xml:space="preserve"> (New York: Science House, 1969),</w:t>
      </w:r>
      <w:r w:rsidRPr="003C5C75">
        <w:rPr>
          <w:rFonts w:ascii="Times New Roman" w:hAnsi="Times New Roman" w:cs="Times New Roman"/>
        </w:rPr>
        <w:t xml:space="preserve"> p</w:t>
      </w:r>
      <w:r>
        <w:rPr>
          <w:rFonts w:ascii="Times New Roman" w:hAnsi="Times New Roman" w:cs="Times New Roman"/>
        </w:rPr>
        <w:t>p</w:t>
      </w:r>
      <w:r w:rsidRPr="003C5C75">
        <w:rPr>
          <w:rFonts w:ascii="Times New Roman" w:hAnsi="Times New Roman" w:cs="Times New Roman"/>
        </w:rPr>
        <w:t>.18-19</w:t>
      </w:r>
      <w:r>
        <w:rPr>
          <w:rFonts w:ascii="Times New Roman" w:hAnsi="Times New Roman" w:cs="Times New Roman"/>
        </w:rPr>
        <w:t>.</w:t>
      </w:r>
    </w:p>
  </w:footnote>
  <w:footnote w:id="172">
    <w:p w14:paraId="7CCC5632" w14:textId="4B68ED10" w:rsidR="00B1011A" w:rsidRDefault="00B1011A" w:rsidP="00E034B5">
      <w:pPr>
        <w:pStyle w:val="FootnoteText"/>
      </w:pPr>
      <w:r w:rsidRPr="00721417">
        <w:rPr>
          <w:rStyle w:val="FootnoteReference"/>
          <w:rFonts w:ascii="Times New Roman" w:hAnsi="Times New Roman" w:cs="Times New Roman"/>
        </w:rPr>
        <w:footnoteRef/>
      </w:r>
      <w:r w:rsidRPr="00721417">
        <w:rPr>
          <w:rFonts w:ascii="Times New Roman" w:hAnsi="Times New Roman" w:cs="Times New Roman"/>
        </w:rPr>
        <w:t xml:space="preserve"> Bullough, ‘Homosexuality as Submissive Behaviour: Example from Mythology’, </w:t>
      </w:r>
      <w:r w:rsidRPr="00721417">
        <w:rPr>
          <w:rFonts w:ascii="Times New Roman" w:hAnsi="Times New Roman" w:cs="Times New Roman"/>
          <w:i/>
        </w:rPr>
        <w:t>The Journal of Sex Research,</w:t>
      </w:r>
      <w:r w:rsidRPr="00721417">
        <w:rPr>
          <w:rFonts w:ascii="Times New Roman" w:hAnsi="Times New Roman" w:cs="Times New Roman"/>
        </w:rPr>
        <w:t xml:space="preserve"> pp.283-288.</w:t>
      </w:r>
    </w:p>
  </w:footnote>
  <w:footnote w:id="173">
    <w:p w14:paraId="37928775" w14:textId="2DECFBCE" w:rsidR="00B1011A" w:rsidRDefault="00B1011A" w:rsidP="00E034B5">
      <w:pPr>
        <w:pStyle w:val="FootnoteText"/>
      </w:pPr>
      <w:r w:rsidRPr="00721417">
        <w:rPr>
          <w:rStyle w:val="FootnoteReference"/>
          <w:rFonts w:ascii="Times New Roman" w:hAnsi="Times New Roman" w:cs="Times New Roman"/>
        </w:rPr>
        <w:footnoteRef/>
      </w:r>
      <w:r w:rsidRPr="00721417">
        <w:rPr>
          <w:rFonts w:ascii="Times New Roman" w:hAnsi="Times New Roman" w:cs="Times New Roman"/>
        </w:rPr>
        <w:t xml:space="preserve"> Licata</w:t>
      </w:r>
      <w:r w:rsidRPr="00652FA0">
        <w:rPr>
          <w:rFonts w:ascii="Times New Roman" w:hAnsi="Times New Roman" w:cs="Times New Roman"/>
        </w:rPr>
        <w:t xml:space="preserve"> and Petersen, </w:t>
      </w:r>
      <w:r w:rsidRPr="00652FA0">
        <w:rPr>
          <w:rFonts w:ascii="Times New Roman" w:hAnsi="Times New Roman" w:cs="Times New Roman"/>
          <w:i/>
        </w:rPr>
        <w:t xml:space="preserve">Historical Perspective on Homosexuality, </w:t>
      </w:r>
      <w:r w:rsidRPr="00652FA0">
        <w:rPr>
          <w:rFonts w:ascii="Times New Roman" w:hAnsi="Times New Roman" w:cs="Times New Roman"/>
        </w:rPr>
        <w:t>p.2.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DB3"/>
    <w:rsid w:val="000065DA"/>
    <w:rsid w:val="00024F72"/>
    <w:rsid w:val="0003152E"/>
    <w:rsid w:val="00032A6D"/>
    <w:rsid w:val="0003506B"/>
    <w:rsid w:val="00036814"/>
    <w:rsid w:val="00044062"/>
    <w:rsid w:val="000512E2"/>
    <w:rsid w:val="00054613"/>
    <w:rsid w:val="000620AD"/>
    <w:rsid w:val="00067D80"/>
    <w:rsid w:val="00082005"/>
    <w:rsid w:val="00083092"/>
    <w:rsid w:val="000869D5"/>
    <w:rsid w:val="00094412"/>
    <w:rsid w:val="00095A20"/>
    <w:rsid w:val="000A7557"/>
    <w:rsid w:val="000B247E"/>
    <w:rsid w:val="000B6957"/>
    <w:rsid w:val="000C356D"/>
    <w:rsid w:val="000C5A89"/>
    <w:rsid w:val="000D051F"/>
    <w:rsid w:val="000D5408"/>
    <w:rsid w:val="000F7884"/>
    <w:rsid w:val="00100F36"/>
    <w:rsid w:val="00101501"/>
    <w:rsid w:val="001052D0"/>
    <w:rsid w:val="001150DC"/>
    <w:rsid w:val="00116180"/>
    <w:rsid w:val="0013336A"/>
    <w:rsid w:val="001344A1"/>
    <w:rsid w:val="0014084C"/>
    <w:rsid w:val="00147370"/>
    <w:rsid w:val="00196EF9"/>
    <w:rsid w:val="001D1632"/>
    <w:rsid w:val="001D3650"/>
    <w:rsid w:val="001D66CB"/>
    <w:rsid w:val="001E0907"/>
    <w:rsid w:val="001E7104"/>
    <w:rsid w:val="001F2EBA"/>
    <w:rsid w:val="002024EE"/>
    <w:rsid w:val="00213D99"/>
    <w:rsid w:val="00224878"/>
    <w:rsid w:val="00237330"/>
    <w:rsid w:val="00242EC7"/>
    <w:rsid w:val="002540AE"/>
    <w:rsid w:val="002613A9"/>
    <w:rsid w:val="002645C3"/>
    <w:rsid w:val="002670AC"/>
    <w:rsid w:val="00273421"/>
    <w:rsid w:val="00273766"/>
    <w:rsid w:val="0027669D"/>
    <w:rsid w:val="00281C30"/>
    <w:rsid w:val="002906C1"/>
    <w:rsid w:val="00291089"/>
    <w:rsid w:val="00296913"/>
    <w:rsid w:val="002A1A01"/>
    <w:rsid w:val="002A69B2"/>
    <w:rsid w:val="002B1C02"/>
    <w:rsid w:val="002E03CA"/>
    <w:rsid w:val="002E0C14"/>
    <w:rsid w:val="002F0B38"/>
    <w:rsid w:val="002F4AED"/>
    <w:rsid w:val="00301FDD"/>
    <w:rsid w:val="00315CDE"/>
    <w:rsid w:val="003231A5"/>
    <w:rsid w:val="00327FED"/>
    <w:rsid w:val="00363BF3"/>
    <w:rsid w:val="00370ECA"/>
    <w:rsid w:val="00373A40"/>
    <w:rsid w:val="00381AA2"/>
    <w:rsid w:val="003A2524"/>
    <w:rsid w:val="003B5E81"/>
    <w:rsid w:val="003C5C75"/>
    <w:rsid w:val="003E1F22"/>
    <w:rsid w:val="003F2499"/>
    <w:rsid w:val="00400FE5"/>
    <w:rsid w:val="00413E31"/>
    <w:rsid w:val="00415AAE"/>
    <w:rsid w:val="004213CA"/>
    <w:rsid w:val="004263EC"/>
    <w:rsid w:val="0044510A"/>
    <w:rsid w:val="00450698"/>
    <w:rsid w:val="004543F7"/>
    <w:rsid w:val="00467BD5"/>
    <w:rsid w:val="004704C1"/>
    <w:rsid w:val="0048099A"/>
    <w:rsid w:val="0049384F"/>
    <w:rsid w:val="004954EE"/>
    <w:rsid w:val="004A233A"/>
    <w:rsid w:val="004B453F"/>
    <w:rsid w:val="004E387F"/>
    <w:rsid w:val="004E5050"/>
    <w:rsid w:val="004F726A"/>
    <w:rsid w:val="00501C28"/>
    <w:rsid w:val="00511B7E"/>
    <w:rsid w:val="005231CC"/>
    <w:rsid w:val="005357E6"/>
    <w:rsid w:val="0054098F"/>
    <w:rsid w:val="00541710"/>
    <w:rsid w:val="00546491"/>
    <w:rsid w:val="00584DD3"/>
    <w:rsid w:val="00595BCF"/>
    <w:rsid w:val="005A2900"/>
    <w:rsid w:val="005A2F26"/>
    <w:rsid w:val="005A6690"/>
    <w:rsid w:val="005C6A86"/>
    <w:rsid w:val="005D60E7"/>
    <w:rsid w:val="005D649F"/>
    <w:rsid w:val="005E1D3B"/>
    <w:rsid w:val="005E5FDA"/>
    <w:rsid w:val="006046BE"/>
    <w:rsid w:val="0061281C"/>
    <w:rsid w:val="00631595"/>
    <w:rsid w:val="00645C60"/>
    <w:rsid w:val="00652C99"/>
    <w:rsid w:val="00652FA0"/>
    <w:rsid w:val="00675766"/>
    <w:rsid w:val="006935A3"/>
    <w:rsid w:val="006A1778"/>
    <w:rsid w:val="006A5E93"/>
    <w:rsid w:val="006C5E8A"/>
    <w:rsid w:val="006C7AD2"/>
    <w:rsid w:val="006D0A04"/>
    <w:rsid w:val="006D2EFE"/>
    <w:rsid w:val="006D38A7"/>
    <w:rsid w:val="006E1AB6"/>
    <w:rsid w:val="006F5DCF"/>
    <w:rsid w:val="007010C7"/>
    <w:rsid w:val="00704DC1"/>
    <w:rsid w:val="00704F7D"/>
    <w:rsid w:val="00705DB3"/>
    <w:rsid w:val="007061EC"/>
    <w:rsid w:val="007144BA"/>
    <w:rsid w:val="00721417"/>
    <w:rsid w:val="00721A72"/>
    <w:rsid w:val="007264B1"/>
    <w:rsid w:val="007415F5"/>
    <w:rsid w:val="0074316A"/>
    <w:rsid w:val="00744F14"/>
    <w:rsid w:val="00744F3C"/>
    <w:rsid w:val="00747F7F"/>
    <w:rsid w:val="00751F22"/>
    <w:rsid w:val="007529EB"/>
    <w:rsid w:val="007B0E29"/>
    <w:rsid w:val="007B3FED"/>
    <w:rsid w:val="007C2D3B"/>
    <w:rsid w:val="007D7361"/>
    <w:rsid w:val="007D785C"/>
    <w:rsid w:val="007E285E"/>
    <w:rsid w:val="007E7444"/>
    <w:rsid w:val="007F1EA2"/>
    <w:rsid w:val="007F2DC0"/>
    <w:rsid w:val="007F7D2D"/>
    <w:rsid w:val="00826107"/>
    <w:rsid w:val="00840C56"/>
    <w:rsid w:val="00842DD3"/>
    <w:rsid w:val="00851A49"/>
    <w:rsid w:val="008527CA"/>
    <w:rsid w:val="00872D2D"/>
    <w:rsid w:val="00883F9F"/>
    <w:rsid w:val="00895100"/>
    <w:rsid w:val="008A373A"/>
    <w:rsid w:val="008A5846"/>
    <w:rsid w:val="008C085D"/>
    <w:rsid w:val="008C1334"/>
    <w:rsid w:val="008C2BDB"/>
    <w:rsid w:val="008D4610"/>
    <w:rsid w:val="008D46B0"/>
    <w:rsid w:val="008E7FD7"/>
    <w:rsid w:val="00903B8F"/>
    <w:rsid w:val="0090592D"/>
    <w:rsid w:val="00907DDA"/>
    <w:rsid w:val="0093573C"/>
    <w:rsid w:val="009434D1"/>
    <w:rsid w:val="00951F8F"/>
    <w:rsid w:val="00961701"/>
    <w:rsid w:val="009837B2"/>
    <w:rsid w:val="00987B45"/>
    <w:rsid w:val="00992044"/>
    <w:rsid w:val="009968B0"/>
    <w:rsid w:val="009C1D23"/>
    <w:rsid w:val="009D14A9"/>
    <w:rsid w:val="009F127D"/>
    <w:rsid w:val="009F60AF"/>
    <w:rsid w:val="00A00FB6"/>
    <w:rsid w:val="00A164E1"/>
    <w:rsid w:val="00A233C6"/>
    <w:rsid w:val="00A24FB3"/>
    <w:rsid w:val="00A2529A"/>
    <w:rsid w:val="00A32A5D"/>
    <w:rsid w:val="00A405D4"/>
    <w:rsid w:val="00A4641B"/>
    <w:rsid w:val="00A47170"/>
    <w:rsid w:val="00A501CE"/>
    <w:rsid w:val="00A54D47"/>
    <w:rsid w:val="00A55BA9"/>
    <w:rsid w:val="00A676E3"/>
    <w:rsid w:val="00A809FD"/>
    <w:rsid w:val="00A81F7E"/>
    <w:rsid w:val="00A96FF0"/>
    <w:rsid w:val="00A9753D"/>
    <w:rsid w:val="00AA3466"/>
    <w:rsid w:val="00AA6ED8"/>
    <w:rsid w:val="00AB1120"/>
    <w:rsid w:val="00AB2728"/>
    <w:rsid w:val="00AB5D22"/>
    <w:rsid w:val="00AB5FE3"/>
    <w:rsid w:val="00AB7F8E"/>
    <w:rsid w:val="00AE4163"/>
    <w:rsid w:val="00AF2525"/>
    <w:rsid w:val="00AF38E0"/>
    <w:rsid w:val="00AF4FB0"/>
    <w:rsid w:val="00AF50B1"/>
    <w:rsid w:val="00AF7664"/>
    <w:rsid w:val="00AF77A5"/>
    <w:rsid w:val="00B0258C"/>
    <w:rsid w:val="00B1011A"/>
    <w:rsid w:val="00B10248"/>
    <w:rsid w:val="00B147D2"/>
    <w:rsid w:val="00B24F61"/>
    <w:rsid w:val="00B25D63"/>
    <w:rsid w:val="00B353FD"/>
    <w:rsid w:val="00B37E79"/>
    <w:rsid w:val="00B45198"/>
    <w:rsid w:val="00B474A3"/>
    <w:rsid w:val="00B637DA"/>
    <w:rsid w:val="00B640D0"/>
    <w:rsid w:val="00B7364B"/>
    <w:rsid w:val="00B76A25"/>
    <w:rsid w:val="00B81C4A"/>
    <w:rsid w:val="00B8370F"/>
    <w:rsid w:val="00BB4557"/>
    <w:rsid w:val="00BF0A50"/>
    <w:rsid w:val="00BF6417"/>
    <w:rsid w:val="00BF6FAD"/>
    <w:rsid w:val="00C1033D"/>
    <w:rsid w:val="00C2307D"/>
    <w:rsid w:val="00C32276"/>
    <w:rsid w:val="00C37669"/>
    <w:rsid w:val="00C44DB8"/>
    <w:rsid w:val="00C466EA"/>
    <w:rsid w:val="00C47937"/>
    <w:rsid w:val="00C56DFE"/>
    <w:rsid w:val="00C66440"/>
    <w:rsid w:val="00C74AA7"/>
    <w:rsid w:val="00C82264"/>
    <w:rsid w:val="00C851E4"/>
    <w:rsid w:val="00CA438B"/>
    <w:rsid w:val="00CB142F"/>
    <w:rsid w:val="00CC1FA5"/>
    <w:rsid w:val="00CC2CE3"/>
    <w:rsid w:val="00CC37FB"/>
    <w:rsid w:val="00CC5AD1"/>
    <w:rsid w:val="00CD1F59"/>
    <w:rsid w:val="00CD3C01"/>
    <w:rsid w:val="00CD455A"/>
    <w:rsid w:val="00CD50CA"/>
    <w:rsid w:val="00CE0996"/>
    <w:rsid w:val="00CF0DF8"/>
    <w:rsid w:val="00CF6C9D"/>
    <w:rsid w:val="00D13625"/>
    <w:rsid w:val="00D142FA"/>
    <w:rsid w:val="00D228B3"/>
    <w:rsid w:val="00D27D4D"/>
    <w:rsid w:val="00D3641A"/>
    <w:rsid w:val="00D472D6"/>
    <w:rsid w:val="00D6667C"/>
    <w:rsid w:val="00D67BE8"/>
    <w:rsid w:val="00D749DE"/>
    <w:rsid w:val="00D8200A"/>
    <w:rsid w:val="00D86233"/>
    <w:rsid w:val="00D9283C"/>
    <w:rsid w:val="00DA3056"/>
    <w:rsid w:val="00DA700B"/>
    <w:rsid w:val="00DD0731"/>
    <w:rsid w:val="00DD18B0"/>
    <w:rsid w:val="00DE1BA9"/>
    <w:rsid w:val="00E034B5"/>
    <w:rsid w:val="00E1007E"/>
    <w:rsid w:val="00E13ABE"/>
    <w:rsid w:val="00E310C0"/>
    <w:rsid w:val="00E32DA9"/>
    <w:rsid w:val="00E34BD0"/>
    <w:rsid w:val="00E40EE5"/>
    <w:rsid w:val="00E4589E"/>
    <w:rsid w:val="00E50259"/>
    <w:rsid w:val="00E51A71"/>
    <w:rsid w:val="00E53823"/>
    <w:rsid w:val="00E62DE9"/>
    <w:rsid w:val="00E71995"/>
    <w:rsid w:val="00E7212C"/>
    <w:rsid w:val="00E776EF"/>
    <w:rsid w:val="00E8057A"/>
    <w:rsid w:val="00E81DFB"/>
    <w:rsid w:val="00EA0AEB"/>
    <w:rsid w:val="00EC57C6"/>
    <w:rsid w:val="00EC5E75"/>
    <w:rsid w:val="00ED0141"/>
    <w:rsid w:val="00ED3B34"/>
    <w:rsid w:val="00EE7B2F"/>
    <w:rsid w:val="00F0051B"/>
    <w:rsid w:val="00F01BBE"/>
    <w:rsid w:val="00F10F7F"/>
    <w:rsid w:val="00F1161F"/>
    <w:rsid w:val="00F235EE"/>
    <w:rsid w:val="00F348C9"/>
    <w:rsid w:val="00F3791B"/>
    <w:rsid w:val="00F45D62"/>
    <w:rsid w:val="00F473C9"/>
    <w:rsid w:val="00F5127E"/>
    <w:rsid w:val="00F5563C"/>
    <w:rsid w:val="00F56EC7"/>
    <w:rsid w:val="00F57A9B"/>
    <w:rsid w:val="00F875BC"/>
    <w:rsid w:val="00FA6CE8"/>
    <w:rsid w:val="00FC530E"/>
    <w:rsid w:val="00FD1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603F11"/>
  <w15:chartTrackingRefBased/>
  <w15:docId w15:val="{204850B2-D590-43A5-B32B-BD09EC011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DB3"/>
    <w:pPr>
      <w:spacing w:after="0"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05DB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5DB3"/>
    <w:rPr>
      <w:rFonts w:ascii="Segoe UI" w:eastAsia="Times New Roman" w:hAnsi="Segoe UI" w:cs="Segoe UI"/>
      <w:sz w:val="18"/>
      <w:szCs w:val="18"/>
      <w:lang w:val="en-US"/>
    </w:rPr>
  </w:style>
  <w:style w:type="paragraph" w:styleId="FootnoteText">
    <w:name w:val="footnote text"/>
    <w:basedOn w:val="Normal"/>
    <w:link w:val="FootnoteTextChar"/>
    <w:uiPriority w:val="99"/>
    <w:semiHidden/>
    <w:unhideWhenUsed/>
    <w:rsid w:val="00E034B5"/>
    <w:rPr>
      <w:rFonts w:asciiTheme="minorHAnsi" w:eastAsiaTheme="minorHAnsi" w:hAnsiTheme="minorHAnsi" w:cstheme="minorBidi"/>
      <w:lang w:val="en-GB"/>
    </w:rPr>
  </w:style>
  <w:style w:type="character" w:customStyle="1" w:styleId="FootnoteTextChar">
    <w:name w:val="Footnote Text Char"/>
    <w:basedOn w:val="DefaultParagraphFont"/>
    <w:link w:val="FootnoteText"/>
    <w:uiPriority w:val="99"/>
    <w:semiHidden/>
    <w:rsid w:val="00E034B5"/>
    <w:rPr>
      <w:sz w:val="20"/>
      <w:szCs w:val="20"/>
    </w:rPr>
  </w:style>
  <w:style w:type="character" w:styleId="FootnoteReference">
    <w:name w:val="footnote reference"/>
    <w:basedOn w:val="DefaultParagraphFont"/>
    <w:uiPriority w:val="99"/>
    <w:semiHidden/>
    <w:unhideWhenUsed/>
    <w:rsid w:val="00E034B5"/>
    <w:rPr>
      <w:vertAlign w:val="superscript"/>
    </w:rPr>
  </w:style>
  <w:style w:type="character" w:styleId="Hyperlink">
    <w:name w:val="Hyperlink"/>
    <w:basedOn w:val="DefaultParagraphFont"/>
    <w:uiPriority w:val="99"/>
    <w:unhideWhenUsed/>
    <w:rsid w:val="00E034B5"/>
    <w:rPr>
      <w:color w:val="0000FF"/>
      <w:u w:val="single"/>
    </w:rPr>
  </w:style>
  <w:style w:type="character" w:customStyle="1" w:styleId="hvr">
    <w:name w:val="hvr"/>
    <w:basedOn w:val="DefaultParagraphFont"/>
    <w:rsid w:val="00E034B5"/>
  </w:style>
  <w:style w:type="paragraph" w:styleId="Header">
    <w:name w:val="header"/>
    <w:basedOn w:val="Normal"/>
    <w:link w:val="HeaderChar"/>
    <w:uiPriority w:val="99"/>
    <w:unhideWhenUsed/>
    <w:rsid w:val="00BF6FAD"/>
    <w:pPr>
      <w:tabs>
        <w:tab w:val="center" w:pos="4513"/>
        <w:tab w:val="right" w:pos="9026"/>
      </w:tabs>
    </w:pPr>
  </w:style>
  <w:style w:type="character" w:customStyle="1" w:styleId="HeaderChar">
    <w:name w:val="Header Char"/>
    <w:basedOn w:val="DefaultParagraphFont"/>
    <w:link w:val="Header"/>
    <w:uiPriority w:val="99"/>
    <w:rsid w:val="00BF6FAD"/>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BF6FAD"/>
    <w:pPr>
      <w:tabs>
        <w:tab w:val="center" w:pos="4513"/>
        <w:tab w:val="right" w:pos="9026"/>
      </w:tabs>
    </w:pPr>
  </w:style>
  <w:style w:type="character" w:customStyle="1" w:styleId="FooterChar">
    <w:name w:val="Footer Char"/>
    <w:basedOn w:val="DefaultParagraphFont"/>
    <w:link w:val="Footer"/>
    <w:uiPriority w:val="99"/>
    <w:rsid w:val="00BF6FAD"/>
    <w:rPr>
      <w:rFonts w:ascii="Times New Roman" w:eastAsia="Times New Roman" w:hAnsi="Times New Roman" w:cs="Times New Roman"/>
      <w:sz w:val="20"/>
      <w:szCs w:val="20"/>
      <w:lang w:val="en-US"/>
    </w:rPr>
  </w:style>
  <w:style w:type="character" w:styleId="FollowedHyperlink">
    <w:name w:val="FollowedHyperlink"/>
    <w:basedOn w:val="DefaultParagraphFont"/>
    <w:uiPriority w:val="99"/>
    <w:semiHidden/>
    <w:unhideWhenUsed/>
    <w:rsid w:val="002F0B38"/>
    <w:rPr>
      <w:color w:val="954F72" w:themeColor="followedHyperlink"/>
      <w:u w:val="single"/>
    </w:rPr>
  </w:style>
  <w:style w:type="character" w:styleId="UnresolvedMention">
    <w:name w:val="Unresolved Mention"/>
    <w:basedOn w:val="DefaultParagraphFont"/>
    <w:uiPriority w:val="99"/>
    <w:semiHidden/>
    <w:unhideWhenUsed/>
    <w:rsid w:val="002540AE"/>
    <w:rPr>
      <w:color w:val="605E5C"/>
      <w:shd w:val="clear" w:color="auto" w:fill="E1DFDD"/>
    </w:rPr>
  </w:style>
  <w:style w:type="table" w:styleId="TableGrid">
    <w:name w:val="Table Grid"/>
    <w:basedOn w:val="TableNormal"/>
    <w:uiPriority w:val="39"/>
    <w:rsid w:val="008C13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numista.com/catalogue/pieces25538.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legal-dictionary.thefreedictionary.com/sodom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egal-dictionary.thefreedictionary.com/sodomy" TargetMode="External"/><Relationship Id="rId5" Type="http://schemas.openxmlformats.org/officeDocument/2006/relationships/footnotes" Target="footnotes.xml"/><Relationship Id="rId15" Type="http://schemas.openxmlformats.org/officeDocument/2006/relationships/hyperlink" Target="http://emp-web-84.zetcom.ch/eMP/eMuseumPlus?service=direct/1/ResultListView/result.t1.collection_list.$TspTitleImageLink.link&amp;sp=10&amp;sp=Scollection&amp;sp=SfieldValue&amp;sp=0&amp;sp=0&amp;sp=3&amp;sp=SdetailList&amp;sp=0&amp;sp=Sdetail&amp;sp=0&amp;sp=F&amp;sp=T&amp;sp=0"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collections.chateauversailles.fr/"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emp-web-84.zetcom.ch/eMP/eMuseumPlus?service=direct/1/ResultListView/result.t1.collection_list.$TspTitleImageLink.link&amp;sp=10&amp;sp=Scollection&amp;sp=SfieldValue&amp;sp=0&amp;sp=0&amp;sp=3&amp;sp=SdetailList&amp;sp=0&amp;sp=Sdetail&amp;sp=0&amp;sp=F&amp;sp=T&amp;sp=0" TargetMode="External"/><Relationship Id="rId2" Type="http://schemas.openxmlformats.org/officeDocument/2006/relationships/hyperlink" Target="https://legal-dictionary.thefreedictionary.com/Pederasty" TargetMode="External"/><Relationship Id="rId1" Type="http://schemas.openxmlformats.org/officeDocument/2006/relationships/hyperlink" Target="https://legal-dictionary.thefreedictionary.com/sodomy" TargetMode="External"/><Relationship Id="rId4" Type="http://schemas.openxmlformats.org/officeDocument/2006/relationships/hyperlink" Target="https://en.numista.com/catalogue/pieces2553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7628D-D46F-4243-B414-7FE93146A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10968</Words>
  <Characters>62524</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4</cp:revision>
  <dcterms:created xsi:type="dcterms:W3CDTF">2019-04-24T09:39:00Z</dcterms:created>
  <dcterms:modified xsi:type="dcterms:W3CDTF">2019-04-24T09:54:00Z</dcterms:modified>
</cp:coreProperties>
</file>