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194B9A" w:rsidRDefault="00194B9A">
      <w:pPr>
        <w:spacing w:line="480" w:lineRule="auto"/>
        <w:jc w:val="center"/>
        <w:rPr>
          <w:rFonts w:ascii="Times New Roman" w:eastAsia="Times New Roman" w:hAnsi="Times New Roman" w:cs="Times New Roman"/>
          <w:sz w:val="24"/>
          <w:szCs w:val="24"/>
        </w:rPr>
      </w:pPr>
    </w:p>
    <w:p w14:paraId="00000002" w14:textId="77777777" w:rsidR="00194B9A" w:rsidRDefault="00194B9A">
      <w:pPr>
        <w:spacing w:line="480" w:lineRule="auto"/>
        <w:jc w:val="center"/>
        <w:rPr>
          <w:rFonts w:ascii="Times New Roman" w:eastAsia="Times New Roman" w:hAnsi="Times New Roman" w:cs="Times New Roman"/>
          <w:sz w:val="24"/>
          <w:szCs w:val="24"/>
        </w:rPr>
      </w:pPr>
    </w:p>
    <w:p w14:paraId="00000003" w14:textId="77777777" w:rsidR="00194B9A" w:rsidRDefault="00194B9A">
      <w:pPr>
        <w:spacing w:line="480" w:lineRule="auto"/>
        <w:jc w:val="center"/>
        <w:rPr>
          <w:rFonts w:ascii="Times New Roman" w:eastAsia="Times New Roman" w:hAnsi="Times New Roman" w:cs="Times New Roman"/>
          <w:sz w:val="24"/>
          <w:szCs w:val="24"/>
        </w:rPr>
      </w:pPr>
    </w:p>
    <w:p w14:paraId="00000004" w14:textId="77777777" w:rsidR="00194B9A" w:rsidRDefault="00194B9A">
      <w:pPr>
        <w:spacing w:line="480" w:lineRule="auto"/>
        <w:jc w:val="center"/>
        <w:rPr>
          <w:rFonts w:ascii="Times New Roman" w:eastAsia="Times New Roman" w:hAnsi="Times New Roman" w:cs="Times New Roman"/>
          <w:sz w:val="24"/>
          <w:szCs w:val="24"/>
        </w:rPr>
      </w:pPr>
    </w:p>
    <w:p w14:paraId="00000005" w14:textId="77777777" w:rsidR="00194B9A" w:rsidRDefault="00CF0929">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Academic and Employability Skills</w:t>
      </w:r>
    </w:p>
    <w:p w14:paraId="00000006" w14:textId="31479560" w:rsidR="00194B9A" w:rsidRDefault="00CF0929">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Name:</w:t>
      </w:r>
      <w:r w:rsidR="004824A0">
        <w:rPr>
          <w:rFonts w:ascii="Times New Roman" w:eastAsia="Times New Roman" w:hAnsi="Times New Roman" w:cs="Times New Roman"/>
          <w:sz w:val="24"/>
          <w:szCs w:val="24"/>
        </w:rPr>
        <w:t xml:space="preserve"> Ramiza Fudulu</w:t>
      </w:r>
    </w:p>
    <w:p w14:paraId="00000007" w14:textId="350098E1" w:rsidR="00194B9A" w:rsidRDefault="00CF0929">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ID:</w:t>
      </w:r>
      <w:r w:rsidR="004824A0">
        <w:rPr>
          <w:rFonts w:ascii="Times New Roman" w:eastAsia="Times New Roman" w:hAnsi="Times New Roman" w:cs="Times New Roman"/>
          <w:sz w:val="24"/>
          <w:szCs w:val="24"/>
        </w:rPr>
        <w:t xml:space="preserve"> 2118059</w:t>
      </w:r>
    </w:p>
    <w:p w14:paraId="00000008" w14:textId="41680184" w:rsidR="00194B9A" w:rsidRDefault="004824A0">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Name of the lecturer: Jonathan Wyatt</w:t>
      </w:r>
    </w:p>
    <w:p w14:paraId="00000009" w14:textId="77777777" w:rsidR="00194B9A" w:rsidRDefault="00194B9A">
      <w:pPr>
        <w:spacing w:line="480" w:lineRule="auto"/>
        <w:jc w:val="both"/>
        <w:rPr>
          <w:rFonts w:ascii="Times New Roman" w:eastAsia="Times New Roman" w:hAnsi="Times New Roman" w:cs="Times New Roman"/>
          <w:b/>
          <w:sz w:val="24"/>
          <w:szCs w:val="24"/>
        </w:rPr>
      </w:pPr>
    </w:p>
    <w:p w14:paraId="0000000A" w14:textId="77777777" w:rsidR="00194B9A" w:rsidRDefault="00194B9A">
      <w:pPr>
        <w:spacing w:line="480" w:lineRule="auto"/>
        <w:jc w:val="both"/>
        <w:rPr>
          <w:rFonts w:ascii="Times New Roman" w:eastAsia="Times New Roman" w:hAnsi="Times New Roman" w:cs="Times New Roman"/>
          <w:b/>
          <w:sz w:val="24"/>
          <w:szCs w:val="24"/>
        </w:rPr>
      </w:pPr>
    </w:p>
    <w:p w14:paraId="0000000B" w14:textId="77777777" w:rsidR="00194B9A" w:rsidRDefault="00194B9A">
      <w:pPr>
        <w:spacing w:line="480" w:lineRule="auto"/>
        <w:jc w:val="both"/>
        <w:rPr>
          <w:rFonts w:ascii="Times New Roman" w:eastAsia="Times New Roman" w:hAnsi="Times New Roman" w:cs="Times New Roman"/>
          <w:b/>
          <w:sz w:val="24"/>
          <w:szCs w:val="24"/>
        </w:rPr>
      </w:pPr>
    </w:p>
    <w:p w14:paraId="0000000C" w14:textId="77777777" w:rsidR="00194B9A" w:rsidRDefault="00194B9A">
      <w:pPr>
        <w:spacing w:line="480" w:lineRule="auto"/>
        <w:jc w:val="both"/>
        <w:rPr>
          <w:rFonts w:ascii="Times New Roman" w:eastAsia="Times New Roman" w:hAnsi="Times New Roman" w:cs="Times New Roman"/>
          <w:b/>
          <w:sz w:val="24"/>
          <w:szCs w:val="24"/>
        </w:rPr>
      </w:pPr>
    </w:p>
    <w:p w14:paraId="0000000D" w14:textId="77777777" w:rsidR="00194B9A" w:rsidRDefault="00194B9A">
      <w:pPr>
        <w:spacing w:line="480" w:lineRule="auto"/>
        <w:jc w:val="both"/>
        <w:rPr>
          <w:rFonts w:ascii="Times New Roman" w:eastAsia="Times New Roman" w:hAnsi="Times New Roman" w:cs="Times New Roman"/>
          <w:b/>
          <w:sz w:val="24"/>
          <w:szCs w:val="24"/>
        </w:rPr>
      </w:pPr>
    </w:p>
    <w:p w14:paraId="0000000E" w14:textId="77777777" w:rsidR="00194B9A" w:rsidRDefault="00194B9A">
      <w:pPr>
        <w:spacing w:line="480" w:lineRule="auto"/>
        <w:jc w:val="both"/>
        <w:rPr>
          <w:rFonts w:ascii="Times New Roman" w:eastAsia="Times New Roman" w:hAnsi="Times New Roman" w:cs="Times New Roman"/>
          <w:b/>
          <w:sz w:val="24"/>
          <w:szCs w:val="24"/>
        </w:rPr>
      </w:pPr>
    </w:p>
    <w:p w14:paraId="0000000F" w14:textId="77777777" w:rsidR="00194B9A" w:rsidRDefault="00194B9A">
      <w:pPr>
        <w:spacing w:line="480" w:lineRule="auto"/>
        <w:jc w:val="both"/>
        <w:rPr>
          <w:rFonts w:ascii="Times New Roman" w:eastAsia="Times New Roman" w:hAnsi="Times New Roman" w:cs="Times New Roman"/>
          <w:b/>
          <w:sz w:val="24"/>
          <w:szCs w:val="24"/>
        </w:rPr>
      </w:pPr>
    </w:p>
    <w:p w14:paraId="00000010" w14:textId="77777777" w:rsidR="00194B9A" w:rsidRDefault="00194B9A">
      <w:pPr>
        <w:spacing w:line="480" w:lineRule="auto"/>
        <w:jc w:val="both"/>
        <w:rPr>
          <w:rFonts w:ascii="Times New Roman" w:eastAsia="Times New Roman" w:hAnsi="Times New Roman" w:cs="Times New Roman"/>
          <w:b/>
          <w:sz w:val="24"/>
          <w:szCs w:val="24"/>
        </w:rPr>
      </w:pPr>
    </w:p>
    <w:p w14:paraId="00000011" w14:textId="77777777" w:rsidR="00194B9A" w:rsidRDefault="00194B9A">
      <w:pPr>
        <w:spacing w:line="480" w:lineRule="auto"/>
        <w:jc w:val="both"/>
        <w:rPr>
          <w:rFonts w:ascii="Times New Roman" w:eastAsia="Times New Roman" w:hAnsi="Times New Roman" w:cs="Times New Roman"/>
          <w:b/>
          <w:sz w:val="24"/>
          <w:szCs w:val="24"/>
        </w:rPr>
      </w:pPr>
    </w:p>
    <w:p w14:paraId="00000012" w14:textId="77777777" w:rsidR="00194B9A" w:rsidRDefault="00CF0929">
      <w:pPr>
        <w:pStyle w:val="Heading1"/>
      </w:pPr>
      <w:r>
        <w:lastRenderedPageBreak/>
        <w:t>TASK 1</w:t>
      </w:r>
    </w:p>
    <w:p w14:paraId="00000013" w14:textId="77777777" w:rsidR="00194B9A" w:rsidRDefault="00CF0929">
      <w:pPr>
        <w:pStyle w:val="Heading2"/>
      </w:pPr>
      <w:r>
        <w:t xml:space="preserve">Introduction </w:t>
      </w:r>
    </w:p>
    <w:p w14:paraId="00000014" w14:textId="77777777" w:rsidR="00194B9A" w:rsidRDefault="00CF092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significant portion of the research is devoted to determining the most effective strategies for motivating personnel. Employee motivation will always be a source of contention regardless of the type of organization employees work. An individual's motivation is described as the external factors and conditions, acts or inactions that motivate an individual to have a particular response (Suyono and Mudjanarko, 2017). An individual's intrinsic motivation fuels self-improvement and other endeavours. In everyday speech, motivation refers to the underlying causes and circumstances contributing to a person's specific behavioural reaction. Motivating employees is one strategy for increasing production. This is a critical component of every organization's employment policy.</w:t>
      </w:r>
    </w:p>
    <w:p w14:paraId="00000015" w14:textId="77777777" w:rsidR="00194B9A" w:rsidRDefault="00CF092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Motivation is critical for people and their teams to perform at their best(Holston-Okae and Mushi, 2018). Managers play a crucial role in ensuring that each member of the team and workgroup is motivated appropriately. This strategy enables everyone in the business to work more readily toward the same goal, which benefits everyone. Numerous benefits accrue from having a highly motivated workforce, including increased production and a more enjoyable work environment for all parties involved (Chiat and Panatik, 2019). As a result, this research investigates many effective techniques that businesses may utilize to encourage their employees.</w:t>
      </w:r>
    </w:p>
    <w:p w14:paraId="00000016" w14:textId="77777777" w:rsidR="00194B9A" w:rsidRDefault="00CF0929">
      <w:pPr>
        <w:pStyle w:val="Heading2"/>
      </w:pPr>
      <w:r>
        <w:t>Effective Techniques for Motivating Employees</w:t>
      </w:r>
    </w:p>
    <w:p w14:paraId="00000017" w14:textId="77777777" w:rsidR="00194B9A" w:rsidRDefault="00CF092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Sustaining a business's development necessitates a deliberate approach to employee motivation (Rayner and Morgan, 2018). Numerous strategies for motivating employees include the following:</w:t>
      </w:r>
    </w:p>
    <w:p w14:paraId="00000018" w14:textId="77777777" w:rsidR="00194B9A" w:rsidRDefault="00CF0929">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Pay: </w:t>
      </w:r>
      <w:r>
        <w:rPr>
          <w:rFonts w:ascii="Times New Roman" w:eastAsia="Times New Roman" w:hAnsi="Times New Roman" w:cs="Times New Roman"/>
          <w:sz w:val="24"/>
          <w:szCs w:val="24"/>
        </w:rPr>
        <w:t xml:space="preserve">All other methods of motivating employees are contingent on compensation, and none would function without it. Motivational elements can be seen in two ways: directly or indirectly. Service </w:t>
      </w:r>
      <w:r>
        <w:rPr>
          <w:rFonts w:ascii="Times New Roman" w:eastAsia="Times New Roman" w:hAnsi="Times New Roman" w:cs="Times New Roman"/>
          <w:sz w:val="24"/>
          <w:szCs w:val="24"/>
        </w:rPr>
        <w:lastRenderedPageBreak/>
        <w:t>providers' requirements and expectations may be addressed by looking at them holistically. It can also serve organizational goals by encouraging employees and increasing their productivity. On the other hand, certain vocations provide extra advantages, such as harsh working conditions, night shifts, overtime, and risky tasks (Chiat and Panatik, 2019). When given an option between two careers, most people would choose the one that pays the most after taking numerous factors into account.</w:t>
      </w:r>
    </w:p>
    <w:p w14:paraId="00000019" w14:textId="77777777" w:rsidR="00194B9A" w:rsidRDefault="00CF092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Maslow's Hierarchy of Needs and Herzberg's Factors Hygiene-Motivation are the two essential theories for comprehending the motivation process (Sabir, 2017). By applying "Maslow and Herzberg's theory" to the question of pay as a motivational element, it is possible to see that income indirectly contributes to fulfilling human wants. Salaries are not the most important factor to consider when comparing Maslow and Herzberg's theories of motivation, but they do play a role, which means that salaries are necessary for meeting basic human needs.</w:t>
      </w:r>
    </w:p>
    <w:p w14:paraId="0000001A" w14:textId="77777777" w:rsidR="00194B9A" w:rsidRDefault="00CF092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Salaries alone do not motivate employees; the cold exchange of production for salaries does; it is merely an equitable reward for their work. The employee is only concerned with their survival (Rožman et al., 2017). The business should view salary as an additional incentive function and utilize it to balance this framework's corporate and individual goals. While it is true that an underpaid employee is more likely to become demotivated, individuals are complex creatures, and money is not always a motivator at work (Rozman et al., 2017).</w:t>
      </w:r>
    </w:p>
    <w:p w14:paraId="0000001B" w14:textId="77777777" w:rsidR="00194B9A" w:rsidRDefault="00CF0929">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Recognition and Rewards: </w:t>
      </w:r>
      <w:r>
        <w:rPr>
          <w:rFonts w:ascii="Times New Roman" w:eastAsia="Times New Roman" w:hAnsi="Times New Roman" w:cs="Times New Roman"/>
          <w:sz w:val="24"/>
          <w:szCs w:val="24"/>
        </w:rPr>
        <w:t xml:space="preserve">In today's business atmosphere, rewards and recognition are more critical than ever, as managers have fewer options for influencing their employees' behaviour (Koster, 2017). Even during difficult times, the employee's morale may increase due to benefits such as cash bonuses and other forms of public recognition. Employee recognition and the award </w:t>
      </w:r>
      <w:r>
        <w:rPr>
          <w:rFonts w:ascii="Times New Roman" w:eastAsia="Times New Roman" w:hAnsi="Times New Roman" w:cs="Times New Roman"/>
          <w:sz w:val="24"/>
          <w:szCs w:val="24"/>
        </w:rPr>
        <w:lastRenderedPageBreak/>
        <w:t>should be targeted to the recipients based on their accomplishments and administered at the appropriate time and properly.</w:t>
      </w:r>
    </w:p>
    <w:p w14:paraId="0000001C" w14:textId="77777777" w:rsidR="00194B9A" w:rsidRDefault="00CF0929">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According to Maslow's hierarchy of needs, self-realization is a necessary condition for fulfilling all other human desires and receiving affirmation from family, friends, and the rest of society assists in accomplishing this goal (Khmyzova et al., 2017). A complimentary award might mean a great deal to an employee who will feel valued knowing that their efforts have been recognized. It is critical to acknowledge their daily efforts to motivate employees to continue contributing to the company's success.</w:t>
      </w:r>
    </w:p>
    <w:p w14:paraId="0000001D" w14:textId="77777777" w:rsidR="00194B9A" w:rsidRDefault="00CF092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Recognition is a combination of strategies designed to ensure that persons are happy with their job and themselves. Employees should be acknowledged and rewarded financially and in other ways, such as vacations, extracurricular activities, and gifts, for their achievements at work. When employees understand that their efforts will be rewarded with promotions and advancement within the organization, they are more likely to put forth the effort necessary to perform quality work (Nawaz and Chowdhury).</w:t>
      </w:r>
    </w:p>
    <w:p w14:paraId="0000001E" w14:textId="77777777" w:rsidR="00194B9A" w:rsidRDefault="00CF092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Honour Board is a fantastic alternative for recognizing workers' accomplishments and encouraging a competitive spirit. McDonald's uses this technique to enhance employee and customer morale: each restaurant features a photo of the month's best employee. Another example of this type of system is the board of honour. This novel approach entails recording the company's results and other performance measures on a whiteboard. Workers may examine their dynamic performance, progress toward goals, and how they compare to their colleagues' performance.</w:t>
      </w:r>
    </w:p>
    <w:p w14:paraId="0000001F" w14:textId="77777777" w:rsidR="00194B9A" w:rsidRDefault="00CF092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Free lunches, fair compensation, and mobile phone payments are all acceptable forms of remuneration. If a business has the means, such tangible approaches to motivating employees will </w:t>
      </w:r>
      <w:r>
        <w:rPr>
          <w:rFonts w:ascii="Times New Roman" w:eastAsia="Times New Roman" w:hAnsi="Times New Roman" w:cs="Times New Roman"/>
          <w:sz w:val="24"/>
          <w:szCs w:val="24"/>
        </w:rPr>
        <w:lastRenderedPageBreak/>
        <w:t>result in more motivated and loyal workers (Suyono and Mudjanarko, 2017). It is most typical to compensate employees tangibly. Bonuses are often specified and provided depending on an employee's performance or achievement of goals. Medical insurance is only one of Pfizer's numerous advantages to its workers and their families as part of its benefits package. Additionally, employees get access to a complimentary dining room, a corporate car, a gym, a sauna, and other amenities.</w:t>
      </w:r>
    </w:p>
    <w:p w14:paraId="00000020" w14:textId="77777777" w:rsidR="00194B9A" w:rsidRDefault="00CF092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Additional Holiday:</w:t>
      </w:r>
      <w:r>
        <w:rPr>
          <w:rFonts w:ascii="Times New Roman" w:eastAsia="Times New Roman" w:hAnsi="Times New Roman" w:cs="Times New Roman"/>
          <w:sz w:val="24"/>
          <w:szCs w:val="24"/>
        </w:rPr>
        <w:t xml:space="preserve"> Additional vacation is the time off that an employee receives in addition to their yearly basic leave. The employee's salary and place of employment remain unchanged during the additional leave period. These vacations are often scheduled concurrently with the employee's regular break (Holston-Okae, and Mushi, 2018). This is the longest vacation period that a corporation may provide an employee. While on leave, the employee is temporarily relieved of his official responsibilities. Despite this, the worker retains their position. Recognizing accomplishments, providing timely feedback, and communicating to the team that management recognizes effective employees and values their contribution to the common cause are critical components of motivating people.</w:t>
      </w:r>
    </w:p>
    <w:p w14:paraId="00000021" w14:textId="77777777" w:rsidR="00194B9A" w:rsidRDefault="00CF092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Personnel managers have developed new strategies for inspiring employees in recent years. Employees are often rewarded with non-monetary incentives such as cash bonuses and high salaries. Employers may give social leave for educational purposes or grant unpaid social leave for legal reasons (wedding, death of close relatives, etc.). This type of leave must be properly bureaucratized inside the business (Chiat and Panatik, 2019). This type of absence should be granted only under certain circumstances and for a limited period.</w:t>
      </w:r>
    </w:p>
    <w:p w14:paraId="00000022" w14:textId="77777777" w:rsidR="00194B9A" w:rsidRDefault="00CF092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duration of the leisure and eating break is also crucial. The majority of workers will likely be unable to obtain enough rest if their employer requires a minimum of 20 minutes for these breaks. Employees adore their autonomy over their working hours and compensated time off (Rozman et al., 2017). Allowing an employee to take a paid day off to recognize a well-done job is an excellent non-monetary reward. Employees may amass such days and spend them all at once, resulting in an additional brief vacation for achieving high productivity.</w:t>
      </w:r>
    </w:p>
    <w:p w14:paraId="00000023" w14:textId="77777777" w:rsidR="00194B9A" w:rsidRDefault="00CF0929">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Good working conditions: </w:t>
      </w:r>
      <w:r>
        <w:rPr>
          <w:rFonts w:ascii="Times New Roman" w:eastAsia="Times New Roman" w:hAnsi="Times New Roman" w:cs="Times New Roman"/>
          <w:sz w:val="24"/>
          <w:szCs w:val="24"/>
        </w:rPr>
        <w:t>Working from home or on the employee’s terms may enhance productivity and motivation. However, this method has several drawbacks of increasing drive (Nawaz and Chowdhury, 2019). Remote work is undesirable for certain professionals due to the flexible schedule and the likelihood of non-compliance with obligations or information leakage. While it may appear dangerous at first, empowering employees to determine how and where their work is completed is one of the most successful strategies to drive teams worldwide. Additionally, it is critical to retain top employees who are more attached to the company to save money on office space. PwC is well-known for its global mobility, flexible work hours, and diverse workforce.</w:t>
      </w:r>
    </w:p>
    <w:p w14:paraId="00000024" w14:textId="77777777" w:rsidR="00194B9A" w:rsidRDefault="00CF092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Tarnasky (2020) remarked that there is no need to regulate working hours severely. Organizations may develop a variety of work schedules to accommodate their employees' demands better. For instance, if the employee wishes to expedite the end of the workday, they might shorten the lunch break. Many people would prefer to work longer hours Monday through Thursday for Friday afternoons off. To enhance workers' quality of life, these modest time alterations enable them to balance professional, personal, and family obligations. To optimize productivity and family time during the summer months, it is prudent to work an intense shift.</w:t>
      </w:r>
    </w:p>
    <w:p w14:paraId="00000025" w14:textId="77777777" w:rsidR="00194B9A" w:rsidRDefault="00CF092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Frederik Herzberg established the motivational two-factor theory based on a novel concept (Rayner and Morgan, 2018). There were two distinct sorts of demands identified: sanitary and motivational. The needs of psychologists to eliminate unfavourable work-related elements are listed in the first category (Chiat and Panatik, 2019). Another group of motivating factors includes the desire for job satisfaction, the presence of a system for evaluating and recognizing merit, advancement within the organization, and other factors that contribute to success. Frederick Herzberg is tasked with understanding what motivates individuals to remain in their current job and to work harder to improve their efficiency (Rayner and Morgan, 2018). Additionally, he coined terms like "satisfaction" and "dissatisfaction" with work conditions, which can influence certain elements of human behaviour.</w:t>
      </w:r>
    </w:p>
    <w:p w14:paraId="00000026" w14:textId="77777777" w:rsidR="00194B9A" w:rsidRDefault="00CF0929">
      <w:pPr>
        <w:pStyle w:val="Heading2"/>
      </w:pPr>
      <w:r>
        <w:t>Conclusion</w:t>
      </w:r>
    </w:p>
    <w:p w14:paraId="00000027" w14:textId="77777777" w:rsidR="00194B9A" w:rsidRDefault="00CF092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one of the most critical objectives of corporate management is to encourage personnel. If there is a high degree of employee motivation, the company's growth and development will be matched by the growth and development of its employees. Before any work on employee motivation can begin, an organization's motivation policy must be properly considered and defined. All of the strategies listed for increasing staff morale are effective. Recognition and reward facilitate communication between management and the team; hence, it is considered the most effective motivation approach. This technique increase employee productivity, contributes to long-term financial success and maintains group morale.</w:t>
      </w:r>
    </w:p>
    <w:p w14:paraId="00000028" w14:textId="77777777" w:rsidR="00194B9A" w:rsidRDefault="00CF0929">
      <w:pPr>
        <w:pStyle w:val="Heading2"/>
      </w:pPr>
      <w:r>
        <w:t>Recommendations</w:t>
      </w:r>
    </w:p>
    <w:p w14:paraId="00000029" w14:textId="77777777" w:rsidR="00194B9A" w:rsidRDefault="00CF092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Certain principles should be followed to encourage the company's employees properly. These principles are the product of psychological research on human nature and its application in the actual world (Koster, 2017). Non-monetary incentives should be used in addition to monetary </w:t>
      </w:r>
      <w:r>
        <w:rPr>
          <w:rFonts w:ascii="Times New Roman" w:eastAsia="Times New Roman" w:hAnsi="Times New Roman" w:cs="Times New Roman"/>
          <w:sz w:val="24"/>
          <w:szCs w:val="24"/>
        </w:rPr>
        <w:lastRenderedPageBreak/>
        <w:t>incentives such as cash bonuses and increased pay. These tactics include organizational and moral-psychological assessments. Every month, contributions to leisure activities can help enhance employees' physical and mental well-being. Businesses adopt various tactics to encourage their personnel (Rozman et al., 2017). Here are a few suggestions for the company:</w:t>
      </w:r>
    </w:p>
    <w:p w14:paraId="0000002A" w14:textId="77777777" w:rsidR="00194B9A" w:rsidRDefault="00CF092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Incentive policy: An incentive program must be in place to identify and reward accomplishment. Prizes might be monetary or in the form of holidays or tours.</w:t>
      </w:r>
    </w:p>
    <w:p w14:paraId="0000002B" w14:textId="77777777" w:rsidR="00194B9A" w:rsidRDefault="00CF092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Employment promotion: The Corporation must make career advancement easy for its personnel. The employee's motivation will be bolstered by the prospect of a more good job and compensation.</w:t>
      </w:r>
    </w:p>
    <w:p w14:paraId="0000002C" w14:textId="77777777" w:rsidR="00194B9A" w:rsidRDefault="00CF092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Describe objectives and responsibilities: Determining each person's tasks, the amount of time each worker has available, and the company's ultimate goals are all critical. Consequently, teamwork and motivation in the workplace are developed (Chiat and Panatik, 2019).</w:t>
      </w:r>
    </w:p>
    <w:p w14:paraId="0000002D" w14:textId="77777777" w:rsidR="00194B9A" w:rsidRDefault="00CF092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Job training: To enable an employee to advance their career, the employer must give the appropriate training. It's an effective method for sustaining long-term employee engagement in their work. Finally, organizing the employees appropriately is also a critical factor in workplace motivation.</w:t>
      </w:r>
    </w:p>
    <w:p w14:paraId="0000002E" w14:textId="77777777" w:rsidR="00194B9A" w:rsidRDefault="00CF0929">
      <w:pPr>
        <w:pStyle w:val="Heading2"/>
      </w:pPr>
      <w:r>
        <w:t>References</w:t>
      </w:r>
    </w:p>
    <w:p w14:paraId="0000002F" w14:textId="77777777" w:rsidR="00194B9A" w:rsidRDefault="00CF0929">
      <w:pPr>
        <w:pBdr>
          <w:top w:val="nil"/>
          <w:left w:val="nil"/>
          <w:bottom w:val="nil"/>
          <w:right w:val="nil"/>
          <w:between w:val="nil"/>
        </w:pBdr>
        <w:spacing w:after="0"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CHIAT, L. C. &amp; PANATIK, S. A. 2019. Perceptions of employee turnover intention by Herzberg’s motivation-hygiene theory: A systematic literature review. </w:t>
      </w:r>
      <w:r>
        <w:rPr>
          <w:rFonts w:ascii="Times New Roman" w:eastAsia="Times New Roman" w:hAnsi="Times New Roman" w:cs="Times New Roman"/>
          <w:i/>
          <w:color w:val="000000"/>
          <w:sz w:val="24"/>
          <w:szCs w:val="24"/>
        </w:rPr>
        <w:t>Journal of Research in Psychology,</w:t>
      </w:r>
      <w:r>
        <w:rPr>
          <w:rFonts w:ascii="Times New Roman" w:eastAsia="Times New Roman" w:hAnsi="Times New Roman" w:cs="Times New Roman"/>
          <w:color w:val="000000"/>
          <w:sz w:val="24"/>
          <w:szCs w:val="24"/>
        </w:rPr>
        <w:t xml:space="preserve"> 1</w:t>
      </w: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 xml:space="preserve"> 10-15.</w:t>
      </w:r>
    </w:p>
    <w:p w14:paraId="00000030" w14:textId="77777777" w:rsidR="00194B9A" w:rsidRDefault="00CF0929">
      <w:pPr>
        <w:pBdr>
          <w:top w:val="nil"/>
          <w:left w:val="nil"/>
          <w:bottom w:val="nil"/>
          <w:right w:val="nil"/>
          <w:between w:val="nil"/>
        </w:pBdr>
        <w:spacing w:after="0"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HOLSTON-OKAY, B. L. &amp; MUSHI, R. J. 2018. Employee turnover in the hospitality industry using Herzberg's two-factor motivation-hygiene theory. </w:t>
      </w:r>
      <w:r>
        <w:rPr>
          <w:rFonts w:ascii="Times New Roman" w:eastAsia="Times New Roman" w:hAnsi="Times New Roman" w:cs="Times New Roman"/>
          <w:i/>
          <w:color w:val="000000"/>
          <w:sz w:val="24"/>
          <w:szCs w:val="24"/>
        </w:rPr>
        <w:t>International Journal of Academic Research in Business and Social Sciences,</w:t>
      </w:r>
      <w:r>
        <w:rPr>
          <w:rFonts w:ascii="Times New Roman" w:eastAsia="Times New Roman" w:hAnsi="Times New Roman" w:cs="Times New Roman"/>
          <w:color w:val="000000"/>
          <w:sz w:val="24"/>
          <w:szCs w:val="24"/>
        </w:rPr>
        <w:t xml:space="preserve"> 8</w:t>
      </w: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 xml:space="preserve"> 218-248.</w:t>
      </w:r>
    </w:p>
    <w:p w14:paraId="00000031" w14:textId="77777777" w:rsidR="00194B9A" w:rsidRDefault="00CF0929">
      <w:pPr>
        <w:pBdr>
          <w:top w:val="nil"/>
          <w:left w:val="nil"/>
          <w:bottom w:val="nil"/>
          <w:right w:val="nil"/>
          <w:between w:val="nil"/>
        </w:pBdr>
        <w:spacing w:after="0"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KHMYZOVA, O., DZHRAGATSPANIAN, L. &amp; RADCHUK, A. 2017. </w:t>
      </w:r>
      <w:r>
        <w:rPr>
          <w:rFonts w:ascii="Times New Roman" w:eastAsia="Times New Roman" w:hAnsi="Times New Roman" w:cs="Times New Roman"/>
          <w:i/>
          <w:color w:val="000000"/>
          <w:sz w:val="24"/>
          <w:szCs w:val="24"/>
        </w:rPr>
        <w:t>HOW TO MOTIVATE EMPLOYEES IN TIMES OF CRISIS.</w:t>
      </w:r>
      <w:r>
        <w:rPr>
          <w:rFonts w:ascii="Times New Roman" w:eastAsia="Times New Roman" w:hAnsi="Times New Roman" w:cs="Times New Roman"/>
          <w:color w:val="000000"/>
          <w:sz w:val="24"/>
          <w:szCs w:val="24"/>
        </w:rPr>
        <w:t xml:space="preserve"> Донецький державний університет управління.</w:t>
      </w:r>
    </w:p>
    <w:p w14:paraId="00000032" w14:textId="77777777" w:rsidR="00194B9A" w:rsidRDefault="00CF0929">
      <w:pPr>
        <w:pBdr>
          <w:top w:val="nil"/>
          <w:left w:val="nil"/>
          <w:bottom w:val="nil"/>
          <w:right w:val="nil"/>
          <w:between w:val="nil"/>
        </w:pBdr>
        <w:spacing w:after="0"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KOSTER, D. 2017. Motivation in the workplace.</w:t>
      </w:r>
    </w:p>
    <w:p w14:paraId="00000033" w14:textId="77777777" w:rsidR="00194B9A" w:rsidRDefault="00CF0929">
      <w:pPr>
        <w:pBdr>
          <w:top w:val="nil"/>
          <w:left w:val="nil"/>
          <w:bottom w:val="nil"/>
          <w:right w:val="nil"/>
          <w:between w:val="nil"/>
        </w:pBdr>
        <w:spacing w:after="0"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NAWAZ, M. I. &amp; CHOWDHURY, M. R. Investigating Ways to Motivate Zero-Hour Contract Employees to Improve The Retention Rate: A Case Study of the UK Employment Agencies.</w:t>
      </w:r>
    </w:p>
    <w:p w14:paraId="00000034" w14:textId="77777777" w:rsidR="00194B9A" w:rsidRDefault="00CF0929">
      <w:pPr>
        <w:pBdr>
          <w:top w:val="nil"/>
          <w:left w:val="nil"/>
          <w:bottom w:val="nil"/>
          <w:right w:val="nil"/>
          <w:between w:val="nil"/>
        </w:pBdr>
        <w:spacing w:after="0"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RAYNER, J. &amp; MORGAN, D. 2018. An empirical study of ‘green’workplace behaviours: Ability, motivation and opportunity. </w:t>
      </w:r>
      <w:r>
        <w:rPr>
          <w:rFonts w:ascii="Times New Roman" w:eastAsia="Times New Roman" w:hAnsi="Times New Roman" w:cs="Times New Roman"/>
          <w:i/>
          <w:color w:val="000000"/>
          <w:sz w:val="24"/>
          <w:szCs w:val="24"/>
        </w:rPr>
        <w:t>Asia Pacific Journal of Human Resources,</w:t>
      </w:r>
      <w:r>
        <w:rPr>
          <w:rFonts w:ascii="Times New Roman" w:eastAsia="Times New Roman" w:hAnsi="Times New Roman" w:cs="Times New Roman"/>
          <w:color w:val="000000"/>
          <w:sz w:val="24"/>
          <w:szCs w:val="24"/>
        </w:rPr>
        <w:t xml:space="preserve"> 56</w:t>
      </w: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 xml:space="preserve"> 56-78.</w:t>
      </w:r>
    </w:p>
    <w:p w14:paraId="00000035" w14:textId="77777777" w:rsidR="00194B9A" w:rsidRDefault="00CF0929">
      <w:pPr>
        <w:pBdr>
          <w:top w:val="nil"/>
          <w:left w:val="nil"/>
          <w:bottom w:val="nil"/>
          <w:right w:val="nil"/>
          <w:between w:val="nil"/>
        </w:pBdr>
        <w:spacing w:after="0"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ROŽMAN, M., TREVEN, S. &amp; ČANČER, V. 2017. Motivation and satisfaction of employees in the workplace. </w:t>
      </w:r>
      <w:r>
        <w:rPr>
          <w:rFonts w:ascii="Times New Roman" w:eastAsia="Times New Roman" w:hAnsi="Times New Roman" w:cs="Times New Roman"/>
          <w:i/>
          <w:color w:val="000000"/>
          <w:sz w:val="24"/>
          <w:szCs w:val="24"/>
        </w:rPr>
        <w:t>Business Systems Research: International journal of the Society for Advancing Innovation and Research in Economy,</w:t>
      </w:r>
      <w:r>
        <w:rPr>
          <w:rFonts w:ascii="Times New Roman" w:eastAsia="Times New Roman" w:hAnsi="Times New Roman" w:cs="Times New Roman"/>
          <w:color w:val="000000"/>
          <w:sz w:val="24"/>
          <w:szCs w:val="24"/>
        </w:rPr>
        <w:t xml:space="preserve"> 8</w:t>
      </w: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 xml:space="preserve"> 14-25.</w:t>
      </w:r>
    </w:p>
    <w:p w14:paraId="00000036" w14:textId="77777777" w:rsidR="00194B9A" w:rsidRDefault="00CF0929">
      <w:pPr>
        <w:pBdr>
          <w:top w:val="nil"/>
          <w:left w:val="nil"/>
          <w:bottom w:val="nil"/>
          <w:right w:val="nil"/>
          <w:between w:val="nil"/>
        </w:pBdr>
        <w:spacing w:after="0"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SABIR, A. 2017. Motivation: Outstanding way to promote productivity in employees. </w:t>
      </w:r>
      <w:r>
        <w:rPr>
          <w:rFonts w:ascii="Times New Roman" w:eastAsia="Times New Roman" w:hAnsi="Times New Roman" w:cs="Times New Roman"/>
          <w:i/>
          <w:color w:val="000000"/>
          <w:sz w:val="24"/>
          <w:szCs w:val="24"/>
        </w:rPr>
        <w:t>American Journal of Management Science and Engineering,</w:t>
      </w:r>
      <w:r>
        <w:rPr>
          <w:rFonts w:ascii="Times New Roman" w:eastAsia="Times New Roman" w:hAnsi="Times New Roman" w:cs="Times New Roman"/>
          <w:color w:val="000000"/>
          <w:sz w:val="24"/>
          <w:szCs w:val="24"/>
        </w:rPr>
        <w:t xml:space="preserve"> 2</w:t>
      </w: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 xml:space="preserve"> 35-40.</w:t>
      </w:r>
    </w:p>
    <w:p w14:paraId="00000037" w14:textId="77777777" w:rsidR="00194B9A" w:rsidRDefault="00CF0929">
      <w:pPr>
        <w:pBdr>
          <w:top w:val="nil"/>
          <w:left w:val="nil"/>
          <w:bottom w:val="nil"/>
          <w:right w:val="nil"/>
          <w:between w:val="nil"/>
        </w:pBdr>
        <w:spacing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SUYONO, J. &amp; MUDJANARKO, S. 2017. Motivation engineering to employee by employees Abraham Maslow theory. </w:t>
      </w:r>
      <w:r>
        <w:rPr>
          <w:rFonts w:ascii="Times New Roman" w:eastAsia="Times New Roman" w:hAnsi="Times New Roman" w:cs="Times New Roman"/>
          <w:i/>
          <w:color w:val="000000"/>
          <w:sz w:val="24"/>
          <w:szCs w:val="24"/>
        </w:rPr>
        <w:t>Journal of Education, Teaching and Learning,</w:t>
      </w:r>
      <w:r>
        <w:rPr>
          <w:rFonts w:ascii="Times New Roman" w:eastAsia="Times New Roman" w:hAnsi="Times New Roman" w:cs="Times New Roman"/>
          <w:color w:val="000000"/>
          <w:sz w:val="24"/>
          <w:szCs w:val="24"/>
        </w:rPr>
        <w:t xml:space="preserve"> 2</w:t>
      </w:r>
      <w:r>
        <w:rPr>
          <w:rFonts w:ascii="Times New Roman" w:eastAsia="Times New Roman" w:hAnsi="Times New Roman" w:cs="Times New Roman"/>
          <w:b/>
          <w:color w:val="000000"/>
          <w:sz w:val="24"/>
          <w:szCs w:val="24"/>
        </w:rPr>
        <w:t>,</w:t>
      </w:r>
      <w:r>
        <w:rPr>
          <w:rFonts w:ascii="Times New Roman" w:eastAsia="Times New Roman" w:hAnsi="Times New Roman" w:cs="Times New Roman"/>
          <w:color w:val="000000"/>
          <w:sz w:val="24"/>
          <w:szCs w:val="24"/>
        </w:rPr>
        <w:t xml:space="preserve"> 27-33.</w:t>
      </w:r>
    </w:p>
    <w:p w14:paraId="00000038" w14:textId="77777777" w:rsidR="00194B9A" w:rsidRDefault="00CF0929">
      <w:pPr>
        <w:spacing w:line="480" w:lineRule="auto"/>
        <w:ind w:left="821"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Tarnasky, K.R., 2020. Five Ways to Motivate Yourself and Your Employees. </w:t>
      </w:r>
      <w:r>
        <w:rPr>
          <w:rFonts w:ascii="Times New Roman" w:eastAsia="Times New Roman" w:hAnsi="Times New Roman" w:cs="Times New Roman"/>
          <w:i/>
          <w:sz w:val="24"/>
          <w:szCs w:val="24"/>
        </w:rPr>
        <w:t>Marriott Student Review</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w:t>
      </w:r>
      <w:r>
        <w:rPr>
          <w:rFonts w:ascii="Times New Roman" w:eastAsia="Times New Roman" w:hAnsi="Times New Roman" w:cs="Times New Roman"/>
          <w:sz w:val="24"/>
          <w:szCs w:val="24"/>
        </w:rPr>
        <w:t>(4), p.4.</w:t>
      </w:r>
    </w:p>
    <w:p w14:paraId="00000039" w14:textId="77777777" w:rsidR="00194B9A" w:rsidRDefault="00194B9A">
      <w:pPr>
        <w:pBdr>
          <w:top w:val="nil"/>
          <w:left w:val="nil"/>
          <w:bottom w:val="nil"/>
          <w:right w:val="nil"/>
          <w:between w:val="nil"/>
        </w:pBdr>
        <w:spacing w:line="480" w:lineRule="auto"/>
        <w:ind w:left="720" w:hanging="720"/>
        <w:jc w:val="both"/>
        <w:rPr>
          <w:rFonts w:ascii="Times New Roman" w:eastAsia="Times New Roman" w:hAnsi="Times New Roman" w:cs="Times New Roman"/>
          <w:color w:val="000000"/>
          <w:sz w:val="24"/>
          <w:szCs w:val="24"/>
        </w:rPr>
      </w:pPr>
    </w:p>
    <w:p w14:paraId="0000003A" w14:textId="77777777" w:rsidR="00194B9A" w:rsidRDefault="00194B9A">
      <w:pPr>
        <w:spacing w:line="480" w:lineRule="auto"/>
        <w:jc w:val="both"/>
        <w:rPr>
          <w:rFonts w:ascii="Times New Roman" w:eastAsia="Times New Roman" w:hAnsi="Times New Roman" w:cs="Times New Roman"/>
          <w:sz w:val="24"/>
          <w:szCs w:val="24"/>
        </w:rPr>
      </w:pPr>
    </w:p>
    <w:p w14:paraId="0000003B" w14:textId="77777777" w:rsidR="00194B9A" w:rsidRDefault="00194B9A">
      <w:pPr>
        <w:spacing w:line="480" w:lineRule="auto"/>
        <w:jc w:val="both"/>
        <w:rPr>
          <w:rFonts w:ascii="Times New Roman" w:eastAsia="Times New Roman" w:hAnsi="Times New Roman" w:cs="Times New Roman"/>
          <w:sz w:val="24"/>
          <w:szCs w:val="24"/>
        </w:rPr>
      </w:pPr>
    </w:p>
    <w:p w14:paraId="0000003C" w14:textId="77777777" w:rsidR="00194B9A" w:rsidRDefault="00194B9A">
      <w:pPr>
        <w:spacing w:line="480" w:lineRule="auto"/>
        <w:jc w:val="both"/>
        <w:rPr>
          <w:rFonts w:ascii="Times New Roman" w:eastAsia="Times New Roman" w:hAnsi="Times New Roman" w:cs="Times New Roman"/>
          <w:sz w:val="24"/>
          <w:szCs w:val="24"/>
        </w:rPr>
      </w:pPr>
    </w:p>
    <w:p w14:paraId="0000003D" w14:textId="77777777" w:rsidR="00194B9A" w:rsidRDefault="00194B9A">
      <w:pPr>
        <w:spacing w:line="480" w:lineRule="auto"/>
        <w:jc w:val="both"/>
        <w:rPr>
          <w:rFonts w:ascii="Times New Roman" w:eastAsia="Times New Roman" w:hAnsi="Times New Roman" w:cs="Times New Roman"/>
          <w:sz w:val="24"/>
          <w:szCs w:val="24"/>
        </w:rPr>
      </w:pPr>
    </w:p>
    <w:p w14:paraId="0000003E" w14:textId="77777777" w:rsidR="00194B9A" w:rsidRDefault="00194B9A">
      <w:pPr>
        <w:spacing w:line="480" w:lineRule="auto"/>
        <w:jc w:val="both"/>
        <w:rPr>
          <w:rFonts w:ascii="Times New Roman" w:eastAsia="Times New Roman" w:hAnsi="Times New Roman" w:cs="Times New Roman"/>
          <w:sz w:val="24"/>
          <w:szCs w:val="24"/>
        </w:rPr>
      </w:pPr>
    </w:p>
    <w:p w14:paraId="0000003F" w14:textId="77777777" w:rsidR="00194B9A" w:rsidRDefault="00194B9A">
      <w:pPr>
        <w:spacing w:line="480" w:lineRule="auto"/>
        <w:jc w:val="both"/>
        <w:rPr>
          <w:rFonts w:ascii="Times New Roman" w:eastAsia="Times New Roman" w:hAnsi="Times New Roman" w:cs="Times New Roman"/>
          <w:sz w:val="24"/>
          <w:szCs w:val="24"/>
        </w:rPr>
      </w:pPr>
    </w:p>
    <w:p w14:paraId="00000040" w14:textId="77777777" w:rsidR="00194B9A" w:rsidRDefault="00194B9A">
      <w:pPr>
        <w:spacing w:line="480" w:lineRule="auto"/>
        <w:jc w:val="both"/>
        <w:rPr>
          <w:rFonts w:ascii="Times New Roman" w:eastAsia="Times New Roman" w:hAnsi="Times New Roman" w:cs="Times New Roman"/>
          <w:sz w:val="24"/>
          <w:szCs w:val="24"/>
        </w:rPr>
      </w:pPr>
    </w:p>
    <w:p w14:paraId="00000041" w14:textId="77777777" w:rsidR="00194B9A" w:rsidRDefault="00194B9A">
      <w:pPr>
        <w:spacing w:line="480" w:lineRule="auto"/>
        <w:jc w:val="both"/>
        <w:rPr>
          <w:rFonts w:ascii="Times New Roman" w:eastAsia="Times New Roman" w:hAnsi="Times New Roman" w:cs="Times New Roman"/>
          <w:sz w:val="24"/>
          <w:szCs w:val="24"/>
        </w:rPr>
      </w:pPr>
    </w:p>
    <w:p w14:paraId="00000042" w14:textId="77777777" w:rsidR="00194B9A" w:rsidRDefault="00194B9A">
      <w:pPr>
        <w:spacing w:line="480" w:lineRule="auto"/>
        <w:jc w:val="both"/>
        <w:rPr>
          <w:rFonts w:ascii="Times New Roman" w:eastAsia="Times New Roman" w:hAnsi="Times New Roman" w:cs="Times New Roman"/>
          <w:sz w:val="24"/>
          <w:szCs w:val="24"/>
        </w:rPr>
      </w:pPr>
    </w:p>
    <w:p w14:paraId="00000043" w14:textId="77777777" w:rsidR="00194B9A" w:rsidRDefault="00194B9A">
      <w:pPr>
        <w:spacing w:line="480" w:lineRule="auto"/>
        <w:jc w:val="both"/>
        <w:rPr>
          <w:rFonts w:ascii="Times New Roman" w:eastAsia="Times New Roman" w:hAnsi="Times New Roman" w:cs="Times New Roman"/>
          <w:sz w:val="24"/>
          <w:szCs w:val="24"/>
        </w:rPr>
      </w:pPr>
    </w:p>
    <w:p w14:paraId="00000044" w14:textId="77777777" w:rsidR="00194B9A" w:rsidRDefault="00194B9A">
      <w:pPr>
        <w:spacing w:line="480" w:lineRule="auto"/>
        <w:jc w:val="both"/>
        <w:rPr>
          <w:rFonts w:ascii="Times New Roman" w:eastAsia="Times New Roman" w:hAnsi="Times New Roman" w:cs="Times New Roman"/>
          <w:sz w:val="24"/>
          <w:szCs w:val="24"/>
        </w:rPr>
      </w:pPr>
    </w:p>
    <w:p w14:paraId="00000045" w14:textId="77777777" w:rsidR="00194B9A" w:rsidRDefault="00194B9A">
      <w:pPr>
        <w:spacing w:line="480" w:lineRule="auto"/>
        <w:jc w:val="both"/>
        <w:rPr>
          <w:rFonts w:ascii="Times New Roman" w:eastAsia="Times New Roman" w:hAnsi="Times New Roman" w:cs="Times New Roman"/>
          <w:b/>
          <w:sz w:val="24"/>
          <w:szCs w:val="24"/>
        </w:rPr>
      </w:pPr>
    </w:p>
    <w:p w14:paraId="00000046" w14:textId="77777777" w:rsidR="00194B9A" w:rsidRDefault="00194B9A">
      <w:pPr>
        <w:spacing w:line="480" w:lineRule="auto"/>
        <w:jc w:val="both"/>
        <w:rPr>
          <w:rFonts w:ascii="Times New Roman" w:eastAsia="Times New Roman" w:hAnsi="Times New Roman" w:cs="Times New Roman"/>
          <w:b/>
          <w:sz w:val="24"/>
          <w:szCs w:val="24"/>
        </w:rPr>
      </w:pPr>
    </w:p>
    <w:p w14:paraId="00000047" w14:textId="77777777" w:rsidR="00194B9A" w:rsidRDefault="00194B9A">
      <w:pPr>
        <w:spacing w:line="480" w:lineRule="auto"/>
        <w:jc w:val="both"/>
        <w:rPr>
          <w:rFonts w:ascii="Times New Roman" w:eastAsia="Times New Roman" w:hAnsi="Times New Roman" w:cs="Times New Roman"/>
          <w:sz w:val="24"/>
          <w:szCs w:val="24"/>
        </w:rPr>
      </w:pPr>
    </w:p>
    <w:sectPr w:rsidR="00194B9A">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4B9A"/>
    <w:rsid w:val="00194B9A"/>
    <w:rsid w:val="004824A0"/>
    <w:rsid w:val="00CF09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EBB6A"/>
  <w15:docId w15:val="{A131520C-C501-A740-890A-95CBEE3BF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48F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848F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uiPriority w:val="59"/>
    <w:rsid w:val="00EF6F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EndNoteBibliographyTitle">
    <w:name w:val="EndNote Bibliography Title"/>
    <w:basedOn w:val="Normal"/>
    <w:link w:val="EndNoteBibliographyTitleChar"/>
    <w:rsid w:val="00B37D59"/>
    <w:pPr>
      <w:spacing w:after="0"/>
      <w:jc w:val="center"/>
    </w:pPr>
    <w:rPr>
      <w:noProof/>
    </w:rPr>
  </w:style>
  <w:style w:type="character" w:customStyle="1" w:styleId="EndNoteBibliographyTitleChar">
    <w:name w:val="EndNote Bibliography Title Char"/>
    <w:basedOn w:val="DefaultParagraphFont"/>
    <w:link w:val="EndNoteBibliographyTitle"/>
    <w:rsid w:val="00B37D59"/>
    <w:rPr>
      <w:rFonts w:ascii="Calibri" w:hAnsi="Calibri" w:cs="Calibri"/>
      <w:noProof/>
    </w:rPr>
  </w:style>
  <w:style w:type="paragraph" w:customStyle="1" w:styleId="EndNoteBibliography">
    <w:name w:val="EndNote Bibliography"/>
    <w:basedOn w:val="Normal"/>
    <w:link w:val="EndNoteBibliographyChar"/>
    <w:rsid w:val="00B37D59"/>
    <w:pPr>
      <w:spacing w:line="240" w:lineRule="auto"/>
      <w:jc w:val="both"/>
    </w:pPr>
    <w:rPr>
      <w:noProof/>
    </w:rPr>
  </w:style>
  <w:style w:type="character" w:customStyle="1" w:styleId="EndNoteBibliographyChar">
    <w:name w:val="EndNote Bibliography Char"/>
    <w:basedOn w:val="DefaultParagraphFont"/>
    <w:link w:val="EndNoteBibliography"/>
    <w:rsid w:val="00B37D59"/>
    <w:rPr>
      <w:rFonts w:ascii="Calibri" w:hAnsi="Calibri" w:cs="Calibri"/>
      <w:noProof/>
    </w:rPr>
  </w:style>
  <w:style w:type="character" w:customStyle="1" w:styleId="Heading1Char">
    <w:name w:val="Heading 1 Char"/>
    <w:basedOn w:val="DefaultParagraphFont"/>
    <w:link w:val="Heading1"/>
    <w:uiPriority w:val="9"/>
    <w:rsid w:val="008848F4"/>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848F4"/>
    <w:rPr>
      <w:rFonts w:asciiTheme="majorHAnsi" w:eastAsiaTheme="majorEastAsia" w:hAnsiTheme="majorHAnsi" w:cstheme="majorBidi"/>
      <w:b/>
      <w:bCs/>
      <w:color w:val="4F81BD" w:themeColor="accent1"/>
      <w:sz w:val="26"/>
      <w:szCs w:val="26"/>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66dm4Co/F6quIsKhOqEwQSbypLA==">AMUW2mUowIipGBbN+nNZHQX4RrLsZJU/oJarizu9oG0fLp/CxLl6v7iOUf0CLQPj8L9naL6cNsjpCsVsmAbv64LCYi7Q4aNCnklqa5Rnui77MMI7z4ougTc=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2143</Words>
  <Characters>12219</Characters>
  <Application>Microsoft Office Word</Application>
  <DocSecurity>0</DocSecurity>
  <Lines>101</Lines>
  <Paragraphs>28</Paragraphs>
  <ScaleCrop>false</ScaleCrop>
  <Company/>
  <LinksUpToDate>false</LinksUpToDate>
  <CharactersWithSpaces>14334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 840</dc:creator>
  <cp:lastModifiedBy>alex fudulu</cp:lastModifiedBy>
  <cp:revision>3</cp:revision>
  <dcterms:created xsi:type="dcterms:W3CDTF">2022-04-06T12:28:00Z</dcterms:created>
  <dcterms:modified xsi:type="dcterms:W3CDTF">2022-04-06T12:32:00Z</dcterms:modified>
</cp:coreProperties>
</file>