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0A9A" w:rsidRDefault="0039715D" w:rsidP="00705D01">
      <w:pPr>
        <w:jc w:val="center"/>
      </w:pPr>
      <w:r w:rsidRPr="0039715D">
        <w:rPr>
          <w:noProof/>
        </w:rPr>
        <w:drawing>
          <wp:inline distT="0" distB="0" distL="0" distR="0" wp14:anchorId="167F725F" wp14:editId="325352B8">
            <wp:extent cx="2028825" cy="809625"/>
            <wp:effectExtent l="0" t="0" r="9525" b="9525"/>
            <wp:docPr id="3" name="Picture 3" descr="C:\Users\fad-ch\Desktop\TSD HEADERS\TSD_swan2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ch\Desktop\TSD HEADERS\TSD_swan2013.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rsidR="008C6F93" w:rsidRPr="003A02CA" w:rsidRDefault="008A174C" w:rsidP="003A02CA">
      <w:pPr>
        <w:jc w:val="center"/>
        <w:rPr>
          <w:b/>
          <w:caps/>
        </w:rPr>
      </w:pPr>
      <w:r>
        <w:rPr>
          <w:b/>
        </w:rPr>
        <w:t xml:space="preserve">BSc </w:t>
      </w:r>
      <w:r w:rsidR="008C6F93" w:rsidRPr="003A02CA">
        <w:rPr>
          <w:b/>
          <w:caps/>
        </w:rPr>
        <w:t>Environmental Conservation</w:t>
      </w:r>
    </w:p>
    <w:p w:rsidR="008C6F93" w:rsidRPr="003A02CA" w:rsidRDefault="008C6F93" w:rsidP="003A02CA">
      <w:pPr>
        <w:jc w:val="center"/>
        <w:rPr>
          <w:b/>
          <w:caps/>
        </w:rPr>
      </w:pPr>
      <w:r w:rsidRPr="003A02CA">
        <w:rPr>
          <w:b/>
          <w:caps/>
        </w:rPr>
        <w:t>Module Review</w:t>
      </w:r>
      <w:r w:rsidR="0039715D">
        <w:rPr>
          <w:b/>
          <w:caps/>
        </w:rPr>
        <w:t xml:space="preserve"> 2014</w:t>
      </w:r>
      <w:r w:rsidR="00F036A4">
        <w:rPr>
          <w:b/>
          <w:caps/>
        </w:rPr>
        <w:t xml:space="preserve">5 </w:t>
      </w:r>
      <w:r w:rsidR="00130165" w:rsidRPr="00130165">
        <w:rPr>
          <w:b/>
          <w:caps/>
        </w:rPr>
        <w:t>Research Methodology</w:t>
      </w:r>
      <w:r w:rsidR="00130165" w:rsidRPr="00130165">
        <w:rPr>
          <w:b/>
          <w:caps/>
        </w:rPr>
        <w:tab/>
        <w:t>M2X8747</w:t>
      </w:r>
      <w:r w:rsidR="00130165">
        <w:rPr>
          <w:b/>
          <w:caps/>
        </w:rPr>
        <w:t xml:space="preserve"> </w:t>
      </w:r>
      <w:r w:rsidR="00232595">
        <w:rPr>
          <w:b/>
          <w:caps/>
        </w:rPr>
        <w:t>Level 5</w:t>
      </w:r>
    </w:p>
    <w:p w:rsidR="00E20A9A" w:rsidRPr="003A02CA" w:rsidRDefault="003A02CA">
      <w:pPr>
        <w:rPr>
          <w:b/>
        </w:rPr>
      </w:pPr>
      <w:r>
        <w:rPr>
          <w:b/>
        </w:rPr>
        <w:t>STATISTICS</w:t>
      </w:r>
    </w:p>
    <w:p w:rsidR="008C6F93" w:rsidRDefault="00130165">
      <w:r>
        <w:rPr>
          <w:noProof/>
        </w:rPr>
        <w:drawing>
          <wp:inline distT="0" distB="0" distL="0" distR="0" wp14:anchorId="7F026B81" wp14:editId="19BE7D03">
            <wp:extent cx="5886450" cy="283845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30165" w:rsidRPr="00130165" w:rsidRDefault="00130165" w:rsidP="00130165"/>
    <w:tbl>
      <w:tblPr>
        <w:tblStyle w:val="LightShading-Accent32"/>
        <w:tblW w:w="9134" w:type="dxa"/>
        <w:tblLook w:val="04A0" w:firstRow="1" w:lastRow="0" w:firstColumn="1" w:lastColumn="0" w:noHBand="0" w:noVBand="1"/>
      </w:tblPr>
      <w:tblGrid>
        <w:gridCol w:w="4184"/>
        <w:gridCol w:w="1650"/>
        <w:gridCol w:w="1650"/>
        <w:gridCol w:w="1650"/>
      </w:tblGrid>
      <w:tr w:rsidR="00130165" w:rsidRPr="00130165" w:rsidTr="00AC2346">
        <w:trPr>
          <w:cnfStyle w:val="100000000000" w:firstRow="1" w:lastRow="0" w:firstColumn="0" w:lastColumn="0" w:oddVBand="0" w:evenVBand="0" w:oddHBand="0"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4184" w:type="dxa"/>
            <w:noWrap/>
            <w:hideMark/>
          </w:tcPr>
          <w:p w:rsidR="00130165" w:rsidRPr="00130165" w:rsidRDefault="00130165" w:rsidP="00130165">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ASSESSMENT</w:t>
            </w:r>
          </w:p>
        </w:tc>
        <w:tc>
          <w:tcPr>
            <w:tcW w:w="1650" w:type="dxa"/>
            <w:noWrap/>
            <w:hideMark/>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Cs w:val="0"/>
                <w:color w:val="000000"/>
              </w:rPr>
            </w:pPr>
            <w:r w:rsidRPr="00130165">
              <w:rPr>
                <w:rFonts w:ascii="Calibri" w:eastAsia="Times New Roman" w:hAnsi="Calibri" w:cs="Times New Roman"/>
                <w:b w:val="0"/>
                <w:bCs w:val="0"/>
                <w:color w:val="000000"/>
              </w:rPr>
              <w:t xml:space="preserve">Assign </w:t>
            </w:r>
          </w:p>
        </w:tc>
        <w:tc>
          <w:tcPr>
            <w:tcW w:w="1650" w:type="dxa"/>
            <w:noWrap/>
            <w:hideMark/>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Cs w:val="0"/>
                <w:color w:val="000000"/>
              </w:rPr>
            </w:pPr>
            <w:r w:rsidRPr="00130165">
              <w:rPr>
                <w:rFonts w:ascii="Calibri" w:eastAsia="Times New Roman" w:hAnsi="Calibri" w:cs="Times New Roman"/>
                <w:b w:val="0"/>
                <w:bCs w:val="0"/>
                <w:color w:val="000000"/>
              </w:rPr>
              <w:t>Exam</w:t>
            </w:r>
          </w:p>
        </w:tc>
        <w:tc>
          <w:tcPr>
            <w:tcW w:w="1650" w:type="dxa"/>
            <w:noWrap/>
            <w:hideMark/>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Cs w:val="0"/>
                <w:color w:val="000000"/>
              </w:rPr>
            </w:pPr>
            <w:r w:rsidRPr="00130165">
              <w:rPr>
                <w:rFonts w:ascii="Calibri" w:eastAsia="Times New Roman" w:hAnsi="Calibri" w:cs="Times New Roman"/>
                <w:b w:val="0"/>
                <w:bCs w:val="0"/>
                <w:color w:val="000000"/>
              </w:rPr>
              <w:t>Total</w:t>
            </w:r>
          </w:p>
        </w:tc>
      </w:tr>
      <w:tr w:rsidR="00F036A4" w:rsidRPr="00130165" w:rsidTr="00AC2346">
        <w:trPr>
          <w:cnfStyle w:val="000000100000" w:firstRow="0" w:lastRow="0" w:firstColumn="0" w:lastColumn="0" w:oddVBand="0" w:evenVBand="0" w:oddHBand="1"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4184" w:type="dxa"/>
            <w:noWrap/>
          </w:tcPr>
          <w:p w:rsidR="00F036A4" w:rsidRPr="00130165" w:rsidRDefault="00F036A4" w:rsidP="00553487">
            <w:pPr>
              <w:spacing w:after="200" w:line="276" w:lineRule="auto"/>
              <w:rPr>
                <w:rFonts w:ascii="Calibri" w:eastAsia="Times New Roman" w:hAnsi="Calibri" w:cs="Times New Roman"/>
                <w:bCs w:val="0"/>
                <w:color w:val="000000"/>
              </w:rPr>
            </w:pPr>
            <w:r>
              <w:rPr>
                <w:rFonts w:ascii="Calibri" w:eastAsia="Times New Roman" w:hAnsi="Calibri" w:cs="Times New Roman"/>
                <w:b w:val="0"/>
                <w:bCs w:val="0"/>
                <w:color w:val="000000"/>
              </w:rPr>
              <w:t>MEAN 2015</w:t>
            </w:r>
          </w:p>
        </w:tc>
        <w:tc>
          <w:tcPr>
            <w:tcW w:w="1650" w:type="dxa"/>
            <w:noWrap/>
            <w:vAlign w:val="bottom"/>
          </w:tcPr>
          <w:p w:rsidR="00F036A4" w:rsidRDefault="00F036A4">
            <w:pPr>
              <w:jc w:val="center"/>
              <w:cnfStyle w:val="000000100000" w:firstRow="0" w:lastRow="0" w:firstColumn="0" w:lastColumn="0" w:oddVBand="0" w:evenVBand="0" w:oddHBand="1" w:evenHBand="0" w:firstRowFirstColumn="0" w:firstRowLastColumn="0" w:lastRowFirstColumn="0" w:lastRowLastColumn="0"/>
              <w:rPr>
                <w:rFonts w:ascii="Calibri" w:hAnsi="Calibri"/>
                <w:color w:val="000000"/>
              </w:rPr>
            </w:pPr>
            <w:r>
              <w:rPr>
                <w:rFonts w:ascii="Calibri" w:hAnsi="Calibri"/>
                <w:color w:val="000000"/>
              </w:rPr>
              <w:t>53.44</w:t>
            </w:r>
          </w:p>
        </w:tc>
        <w:tc>
          <w:tcPr>
            <w:tcW w:w="1650" w:type="dxa"/>
            <w:noWrap/>
            <w:vAlign w:val="bottom"/>
          </w:tcPr>
          <w:p w:rsidR="00F036A4" w:rsidRDefault="00F036A4">
            <w:pPr>
              <w:jc w:val="center"/>
              <w:cnfStyle w:val="000000100000" w:firstRow="0" w:lastRow="0" w:firstColumn="0" w:lastColumn="0" w:oddVBand="0" w:evenVBand="0" w:oddHBand="1" w:evenHBand="0" w:firstRowFirstColumn="0" w:firstRowLastColumn="0" w:lastRowFirstColumn="0" w:lastRowLastColumn="0"/>
              <w:rPr>
                <w:rFonts w:ascii="Calibri" w:hAnsi="Calibri"/>
                <w:color w:val="000000"/>
              </w:rPr>
            </w:pPr>
            <w:r>
              <w:rPr>
                <w:rFonts w:ascii="Calibri" w:hAnsi="Calibri"/>
                <w:color w:val="000000"/>
              </w:rPr>
              <w:t>57.78</w:t>
            </w:r>
          </w:p>
        </w:tc>
        <w:tc>
          <w:tcPr>
            <w:tcW w:w="1650" w:type="dxa"/>
            <w:noWrap/>
            <w:vAlign w:val="bottom"/>
          </w:tcPr>
          <w:p w:rsidR="00F036A4" w:rsidRDefault="00F036A4">
            <w:pPr>
              <w:jc w:val="center"/>
              <w:cnfStyle w:val="000000100000" w:firstRow="0" w:lastRow="0" w:firstColumn="0" w:lastColumn="0" w:oddVBand="0" w:evenVBand="0" w:oddHBand="1" w:evenHBand="0" w:firstRowFirstColumn="0" w:firstRowLastColumn="0" w:lastRowFirstColumn="0" w:lastRowLastColumn="0"/>
              <w:rPr>
                <w:rFonts w:ascii="Calibri" w:hAnsi="Calibri"/>
                <w:color w:val="000000"/>
              </w:rPr>
            </w:pPr>
            <w:r>
              <w:rPr>
                <w:rFonts w:ascii="Calibri" w:hAnsi="Calibri"/>
                <w:color w:val="000000"/>
              </w:rPr>
              <w:t>55.61</w:t>
            </w:r>
          </w:p>
        </w:tc>
      </w:tr>
      <w:tr w:rsidR="00F036A4" w:rsidRPr="00130165" w:rsidTr="00AC2346">
        <w:trPr>
          <w:trHeight w:val="348"/>
        </w:trPr>
        <w:tc>
          <w:tcPr>
            <w:cnfStyle w:val="001000000000" w:firstRow="0" w:lastRow="0" w:firstColumn="1" w:lastColumn="0" w:oddVBand="0" w:evenVBand="0" w:oddHBand="0" w:evenHBand="0" w:firstRowFirstColumn="0" w:firstRowLastColumn="0" w:lastRowFirstColumn="0" w:lastRowLastColumn="0"/>
            <w:tcW w:w="4184" w:type="dxa"/>
            <w:noWrap/>
          </w:tcPr>
          <w:p w:rsidR="00F036A4" w:rsidRPr="00130165" w:rsidRDefault="00F036A4" w:rsidP="00553487">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STDEV</w:t>
            </w:r>
          </w:p>
        </w:tc>
        <w:tc>
          <w:tcPr>
            <w:tcW w:w="1650" w:type="dxa"/>
            <w:noWrap/>
            <w:vAlign w:val="bottom"/>
          </w:tcPr>
          <w:p w:rsidR="00F036A4" w:rsidRDefault="00F036A4">
            <w:pPr>
              <w:jc w:val="center"/>
              <w:cnfStyle w:val="000000000000" w:firstRow="0" w:lastRow="0" w:firstColumn="0" w:lastColumn="0" w:oddVBand="0" w:evenVBand="0" w:oddHBand="0" w:evenHBand="0" w:firstRowFirstColumn="0" w:firstRowLastColumn="0" w:lastRowFirstColumn="0" w:lastRowLastColumn="0"/>
              <w:rPr>
                <w:rFonts w:ascii="Calibri" w:hAnsi="Calibri"/>
                <w:color w:val="000000"/>
              </w:rPr>
            </w:pPr>
            <w:r>
              <w:rPr>
                <w:rFonts w:ascii="Calibri" w:hAnsi="Calibri"/>
                <w:color w:val="000000"/>
              </w:rPr>
              <w:t>20.59</w:t>
            </w:r>
          </w:p>
        </w:tc>
        <w:tc>
          <w:tcPr>
            <w:tcW w:w="1650" w:type="dxa"/>
            <w:noWrap/>
            <w:vAlign w:val="bottom"/>
          </w:tcPr>
          <w:p w:rsidR="00F036A4" w:rsidRDefault="00F036A4">
            <w:pPr>
              <w:jc w:val="center"/>
              <w:cnfStyle w:val="000000000000" w:firstRow="0" w:lastRow="0" w:firstColumn="0" w:lastColumn="0" w:oddVBand="0" w:evenVBand="0" w:oddHBand="0" w:evenHBand="0" w:firstRowFirstColumn="0" w:firstRowLastColumn="0" w:lastRowFirstColumn="0" w:lastRowLastColumn="0"/>
              <w:rPr>
                <w:rFonts w:ascii="Calibri" w:hAnsi="Calibri"/>
                <w:color w:val="000000"/>
              </w:rPr>
            </w:pPr>
            <w:r>
              <w:rPr>
                <w:rFonts w:ascii="Calibri" w:hAnsi="Calibri"/>
                <w:color w:val="000000"/>
              </w:rPr>
              <w:t>25.36</w:t>
            </w:r>
          </w:p>
        </w:tc>
        <w:tc>
          <w:tcPr>
            <w:tcW w:w="1650" w:type="dxa"/>
            <w:noWrap/>
            <w:vAlign w:val="bottom"/>
          </w:tcPr>
          <w:p w:rsidR="00F036A4" w:rsidRDefault="00F036A4">
            <w:pPr>
              <w:jc w:val="center"/>
              <w:cnfStyle w:val="000000000000" w:firstRow="0" w:lastRow="0" w:firstColumn="0" w:lastColumn="0" w:oddVBand="0" w:evenVBand="0" w:oddHBand="0" w:evenHBand="0" w:firstRowFirstColumn="0" w:firstRowLastColumn="0" w:lastRowFirstColumn="0" w:lastRowLastColumn="0"/>
              <w:rPr>
                <w:rFonts w:ascii="Calibri" w:hAnsi="Calibri"/>
                <w:color w:val="000000"/>
              </w:rPr>
            </w:pPr>
            <w:r>
              <w:rPr>
                <w:rFonts w:ascii="Calibri" w:hAnsi="Calibri"/>
                <w:color w:val="000000"/>
              </w:rPr>
              <w:t>18.09</w:t>
            </w:r>
          </w:p>
        </w:tc>
      </w:tr>
      <w:tr w:rsidR="00F036A4" w:rsidRPr="00130165" w:rsidTr="00AC2346">
        <w:trPr>
          <w:cnfStyle w:val="000000100000" w:firstRow="0" w:lastRow="0" w:firstColumn="0" w:lastColumn="0" w:oddVBand="0" w:evenVBand="0" w:oddHBand="1"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4184" w:type="dxa"/>
            <w:noWrap/>
          </w:tcPr>
          <w:p w:rsidR="00F036A4" w:rsidRPr="00130165" w:rsidRDefault="00F036A4" w:rsidP="00553487">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MEAN</w:t>
            </w:r>
            <w:r>
              <w:rPr>
                <w:rFonts w:ascii="Calibri" w:eastAsia="Times New Roman" w:hAnsi="Calibri" w:cs="Times New Roman"/>
                <w:b w:val="0"/>
                <w:bCs w:val="0"/>
                <w:color w:val="000000"/>
              </w:rPr>
              <w:t xml:space="preserve"> 2014</w:t>
            </w:r>
          </w:p>
        </w:tc>
        <w:tc>
          <w:tcPr>
            <w:tcW w:w="1650" w:type="dxa"/>
            <w:noWrap/>
            <w:vAlign w:val="bottom"/>
          </w:tcPr>
          <w:p w:rsidR="00F036A4" w:rsidRDefault="00F036A4">
            <w:pPr>
              <w:jc w:val="center"/>
              <w:cnfStyle w:val="000000100000" w:firstRow="0" w:lastRow="0" w:firstColumn="0" w:lastColumn="0" w:oddVBand="0" w:evenVBand="0" w:oddHBand="1" w:evenHBand="0" w:firstRowFirstColumn="0" w:firstRowLastColumn="0" w:lastRowFirstColumn="0" w:lastRowLastColumn="0"/>
              <w:rPr>
                <w:rFonts w:ascii="Calibri" w:hAnsi="Calibri"/>
                <w:color w:val="000000"/>
              </w:rPr>
            </w:pPr>
            <w:r>
              <w:rPr>
                <w:rFonts w:ascii="Calibri" w:hAnsi="Calibri"/>
                <w:color w:val="000000"/>
              </w:rPr>
              <w:t>59.69</w:t>
            </w:r>
          </w:p>
        </w:tc>
        <w:tc>
          <w:tcPr>
            <w:tcW w:w="1650" w:type="dxa"/>
            <w:noWrap/>
            <w:vAlign w:val="bottom"/>
          </w:tcPr>
          <w:p w:rsidR="00F036A4" w:rsidRDefault="00F036A4">
            <w:pPr>
              <w:jc w:val="center"/>
              <w:cnfStyle w:val="000000100000" w:firstRow="0" w:lastRow="0" w:firstColumn="0" w:lastColumn="0" w:oddVBand="0" w:evenVBand="0" w:oddHBand="1" w:evenHBand="0" w:firstRowFirstColumn="0" w:firstRowLastColumn="0" w:lastRowFirstColumn="0" w:lastRowLastColumn="0"/>
              <w:rPr>
                <w:rFonts w:ascii="Calibri" w:hAnsi="Calibri"/>
                <w:color w:val="000000"/>
              </w:rPr>
            </w:pPr>
            <w:r>
              <w:rPr>
                <w:rFonts w:ascii="Calibri" w:hAnsi="Calibri"/>
                <w:color w:val="000000"/>
              </w:rPr>
              <w:t>63.00</w:t>
            </w:r>
          </w:p>
        </w:tc>
        <w:tc>
          <w:tcPr>
            <w:tcW w:w="1650" w:type="dxa"/>
            <w:noWrap/>
            <w:vAlign w:val="bottom"/>
          </w:tcPr>
          <w:p w:rsidR="00F036A4" w:rsidRDefault="00F036A4">
            <w:pPr>
              <w:jc w:val="center"/>
              <w:cnfStyle w:val="000000100000" w:firstRow="0" w:lastRow="0" w:firstColumn="0" w:lastColumn="0" w:oddVBand="0" w:evenVBand="0" w:oddHBand="1" w:evenHBand="0" w:firstRowFirstColumn="0" w:firstRowLastColumn="0" w:lastRowFirstColumn="0" w:lastRowLastColumn="0"/>
              <w:rPr>
                <w:rFonts w:ascii="Calibri" w:hAnsi="Calibri"/>
                <w:color w:val="000000"/>
              </w:rPr>
            </w:pPr>
            <w:r>
              <w:rPr>
                <w:rFonts w:ascii="Calibri" w:hAnsi="Calibri"/>
                <w:color w:val="000000"/>
              </w:rPr>
              <w:t>61.35</w:t>
            </w:r>
          </w:p>
        </w:tc>
      </w:tr>
      <w:tr w:rsidR="00F036A4" w:rsidRPr="00130165" w:rsidTr="00AC2346">
        <w:trPr>
          <w:trHeight w:val="348"/>
        </w:trPr>
        <w:tc>
          <w:tcPr>
            <w:cnfStyle w:val="001000000000" w:firstRow="0" w:lastRow="0" w:firstColumn="1" w:lastColumn="0" w:oddVBand="0" w:evenVBand="0" w:oddHBand="0" w:evenHBand="0" w:firstRowFirstColumn="0" w:firstRowLastColumn="0" w:lastRowFirstColumn="0" w:lastRowLastColumn="0"/>
            <w:tcW w:w="4184" w:type="dxa"/>
            <w:noWrap/>
          </w:tcPr>
          <w:p w:rsidR="00F036A4" w:rsidRPr="00130165" w:rsidRDefault="00F036A4" w:rsidP="00553487">
            <w:pPr>
              <w:spacing w:after="200" w:line="276" w:lineRule="auto"/>
              <w:rPr>
                <w:rFonts w:ascii="Calibri" w:eastAsia="Times New Roman" w:hAnsi="Calibri" w:cs="Times New Roman"/>
                <w:bCs w:val="0"/>
                <w:color w:val="000000"/>
              </w:rPr>
            </w:pPr>
            <w:r w:rsidRPr="00130165">
              <w:rPr>
                <w:rFonts w:ascii="Calibri" w:eastAsia="Times New Roman" w:hAnsi="Calibri" w:cs="Times New Roman"/>
                <w:b w:val="0"/>
                <w:bCs w:val="0"/>
                <w:color w:val="000000"/>
              </w:rPr>
              <w:t>STDEV</w:t>
            </w:r>
          </w:p>
        </w:tc>
        <w:tc>
          <w:tcPr>
            <w:tcW w:w="1650" w:type="dxa"/>
            <w:noWrap/>
            <w:vAlign w:val="bottom"/>
          </w:tcPr>
          <w:p w:rsidR="00F036A4" w:rsidRDefault="00F036A4">
            <w:pPr>
              <w:jc w:val="center"/>
              <w:cnfStyle w:val="000000000000" w:firstRow="0" w:lastRow="0" w:firstColumn="0" w:lastColumn="0" w:oddVBand="0" w:evenVBand="0" w:oddHBand="0" w:evenHBand="0" w:firstRowFirstColumn="0" w:firstRowLastColumn="0" w:lastRowFirstColumn="0" w:lastRowLastColumn="0"/>
              <w:rPr>
                <w:rFonts w:ascii="Calibri" w:hAnsi="Calibri"/>
                <w:color w:val="000000"/>
              </w:rPr>
            </w:pPr>
            <w:r>
              <w:rPr>
                <w:rFonts w:ascii="Calibri" w:hAnsi="Calibri"/>
                <w:color w:val="000000"/>
              </w:rPr>
              <w:t>6.41</w:t>
            </w:r>
          </w:p>
        </w:tc>
        <w:tc>
          <w:tcPr>
            <w:tcW w:w="1650" w:type="dxa"/>
            <w:noWrap/>
            <w:vAlign w:val="bottom"/>
          </w:tcPr>
          <w:p w:rsidR="00F036A4" w:rsidRDefault="00F036A4">
            <w:pPr>
              <w:jc w:val="center"/>
              <w:cnfStyle w:val="000000000000" w:firstRow="0" w:lastRow="0" w:firstColumn="0" w:lastColumn="0" w:oddVBand="0" w:evenVBand="0" w:oddHBand="0" w:evenHBand="0" w:firstRowFirstColumn="0" w:firstRowLastColumn="0" w:lastRowFirstColumn="0" w:lastRowLastColumn="0"/>
              <w:rPr>
                <w:rFonts w:ascii="Calibri" w:hAnsi="Calibri"/>
                <w:color w:val="000000"/>
              </w:rPr>
            </w:pPr>
            <w:r>
              <w:rPr>
                <w:rFonts w:ascii="Calibri" w:hAnsi="Calibri"/>
                <w:color w:val="000000"/>
              </w:rPr>
              <w:t>17.45</w:t>
            </w:r>
          </w:p>
        </w:tc>
        <w:tc>
          <w:tcPr>
            <w:tcW w:w="1650" w:type="dxa"/>
            <w:noWrap/>
            <w:vAlign w:val="bottom"/>
          </w:tcPr>
          <w:p w:rsidR="00F036A4" w:rsidRDefault="00F036A4">
            <w:pPr>
              <w:jc w:val="center"/>
              <w:cnfStyle w:val="000000000000" w:firstRow="0" w:lastRow="0" w:firstColumn="0" w:lastColumn="0" w:oddVBand="0" w:evenVBand="0" w:oddHBand="0" w:evenHBand="0" w:firstRowFirstColumn="0" w:firstRowLastColumn="0" w:lastRowFirstColumn="0" w:lastRowLastColumn="0"/>
              <w:rPr>
                <w:rFonts w:ascii="Calibri" w:hAnsi="Calibri"/>
                <w:color w:val="000000"/>
              </w:rPr>
            </w:pPr>
            <w:r>
              <w:rPr>
                <w:rFonts w:ascii="Calibri" w:hAnsi="Calibri"/>
                <w:color w:val="000000"/>
              </w:rPr>
              <w:t>10.54</w:t>
            </w:r>
          </w:p>
        </w:tc>
      </w:tr>
    </w:tbl>
    <w:p w:rsidR="00130165" w:rsidRPr="00130165" w:rsidRDefault="00130165" w:rsidP="00130165">
      <w:pPr>
        <w:rPr>
          <w:b/>
        </w:rPr>
      </w:pPr>
    </w:p>
    <w:p w:rsidR="00130165" w:rsidRPr="00130165" w:rsidRDefault="00130165" w:rsidP="00130165">
      <w:pPr>
        <w:rPr>
          <w:b/>
        </w:rPr>
      </w:pPr>
      <w:r w:rsidRPr="00130165">
        <w:rPr>
          <w:b/>
        </w:rPr>
        <w:t>GENERAL</w:t>
      </w:r>
    </w:p>
    <w:tbl>
      <w:tblPr>
        <w:tblStyle w:val="LightShading-Accent32"/>
        <w:tblW w:w="0" w:type="auto"/>
        <w:jc w:val="center"/>
        <w:tblLook w:val="04A0" w:firstRow="1" w:lastRow="0" w:firstColumn="1" w:lastColumn="0" w:noHBand="0" w:noVBand="1"/>
      </w:tblPr>
      <w:tblGrid>
        <w:gridCol w:w="1205"/>
        <w:gridCol w:w="906"/>
        <w:gridCol w:w="906"/>
        <w:gridCol w:w="964"/>
        <w:gridCol w:w="906"/>
        <w:gridCol w:w="906"/>
        <w:gridCol w:w="906"/>
        <w:gridCol w:w="906"/>
        <w:gridCol w:w="1637"/>
      </w:tblGrid>
      <w:tr w:rsidR="00130165" w:rsidRPr="00130165" w:rsidTr="00F036A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jc w:val="center"/>
              <w:rPr>
                <w:bCs w:val="0"/>
                <w:color w:val="auto"/>
              </w:rPr>
            </w:pP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64"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90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F036A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64" w:type="dxa"/>
          </w:tcPr>
          <w:p w:rsid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F036A4" w:rsidRPr="00130165" w:rsidRDefault="00F036A4"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0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130165" w:rsidP="00130165">
      <w:pPr>
        <w:jc w:val="both"/>
      </w:pPr>
      <w:r w:rsidRPr="00130165">
        <w:lastRenderedPageBreak/>
        <w:t>The module’s implementation was good although there were particular concerns with cohort attendance</w:t>
      </w:r>
      <w:r>
        <w:t>.  Examination received a high</w:t>
      </w:r>
      <w:r w:rsidR="00F036A4">
        <w:t xml:space="preserve"> SD and some excellent scripts but one student suspended which skewed the marks (0%)</w:t>
      </w:r>
      <w:r>
        <w:t>.</w:t>
      </w:r>
      <w:r w:rsidR="00F036A4">
        <w:t xml:space="preserve">  The research proposal is a very useful form of assessment and the number of students using this work to inform their dissertation has increased.  The slightly lower </w:t>
      </w:r>
      <w:proofErr w:type="gramStart"/>
      <w:r w:rsidR="00F036A4">
        <w:t>marks than in 2014 is</w:t>
      </w:r>
      <w:proofErr w:type="gramEnd"/>
      <w:r w:rsidR="00F036A4">
        <w:t xml:space="preserve"> due to 2 non submissions due to extenuating circumstances.</w:t>
      </w:r>
    </w:p>
    <w:p w:rsidR="00130165" w:rsidRPr="00130165" w:rsidRDefault="00130165" w:rsidP="00130165">
      <w:pPr>
        <w:spacing w:line="240" w:lineRule="auto"/>
        <w:rPr>
          <w:b/>
        </w:rPr>
      </w:pPr>
      <w:r w:rsidRPr="00130165">
        <w:rPr>
          <w:b/>
        </w:rPr>
        <w:t>LEARNING &amp; TEACHING</w:t>
      </w:r>
    </w:p>
    <w:tbl>
      <w:tblPr>
        <w:tblStyle w:val="LightShading-Accent32"/>
        <w:tblW w:w="0" w:type="auto"/>
        <w:jc w:val="center"/>
        <w:tblLook w:val="04A0" w:firstRow="1" w:lastRow="0" w:firstColumn="1" w:lastColumn="0" w:noHBand="0" w:noVBand="1"/>
      </w:tblPr>
      <w:tblGrid>
        <w:gridCol w:w="1205"/>
        <w:gridCol w:w="886"/>
        <w:gridCol w:w="953"/>
        <w:gridCol w:w="953"/>
        <w:gridCol w:w="953"/>
        <w:gridCol w:w="885"/>
        <w:gridCol w:w="885"/>
        <w:gridCol w:w="885"/>
        <w:gridCol w:w="1637"/>
      </w:tblGrid>
      <w:tr w:rsidR="00130165" w:rsidRPr="00130165" w:rsidTr="00AC23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jc w:val="center"/>
              <w:rPr>
                <w:bCs w:val="0"/>
                <w:color w:val="auto"/>
              </w:rPr>
            </w:pPr>
          </w:p>
        </w:tc>
        <w:tc>
          <w:tcPr>
            <w:tcW w:w="88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53"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53"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953"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885"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885"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885"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AC23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5"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88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53" w:type="dxa"/>
          </w:tcPr>
          <w:p w:rsidR="00130165" w:rsidRDefault="00F036A4"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130165" w:rsidRPr="00130165" w:rsidRDefault="00F036A4"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953"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53"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85"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85"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85"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130165" w:rsidP="00130165">
      <w:pPr>
        <w:spacing w:line="240" w:lineRule="auto"/>
        <w:jc w:val="both"/>
      </w:pPr>
      <w:proofErr w:type="gramStart"/>
      <w:r>
        <w:t>Generally excellent.</w:t>
      </w:r>
      <w:proofErr w:type="gramEnd"/>
      <w:r>
        <w:t xml:space="preserve">  No major issues and the combination of research structure and quantitative methods worked very well.  Some additional worked examples needed and Moodle</w:t>
      </w:r>
      <w:r w:rsidR="00F036A4">
        <w:t xml:space="preserve"> worked more effectively</w:t>
      </w:r>
      <w:r w:rsidRPr="00130165">
        <w:t>.</w:t>
      </w:r>
    </w:p>
    <w:p w:rsidR="00130165" w:rsidRPr="00130165" w:rsidRDefault="00130165" w:rsidP="00130165">
      <w:pPr>
        <w:spacing w:line="240" w:lineRule="auto"/>
        <w:rPr>
          <w:b/>
        </w:rPr>
      </w:pPr>
      <w:r w:rsidRPr="00130165">
        <w:rPr>
          <w:b/>
        </w:rPr>
        <w:t>ASSESSMENT</w:t>
      </w:r>
    </w:p>
    <w:tbl>
      <w:tblPr>
        <w:tblStyle w:val="LightShading-Accent32"/>
        <w:tblW w:w="0" w:type="auto"/>
        <w:jc w:val="center"/>
        <w:tblLook w:val="04A0" w:firstRow="1" w:lastRow="0" w:firstColumn="1" w:lastColumn="0" w:noHBand="0" w:noVBand="1"/>
      </w:tblPr>
      <w:tblGrid>
        <w:gridCol w:w="1204"/>
        <w:gridCol w:w="896"/>
        <w:gridCol w:w="958"/>
        <w:gridCol w:w="959"/>
        <w:gridCol w:w="897"/>
        <w:gridCol w:w="897"/>
        <w:gridCol w:w="897"/>
        <w:gridCol w:w="897"/>
        <w:gridCol w:w="1637"/>
      </w:tblGrid>
      <w:tr w:rsidR="00130165" w:rsidRPr="00130165" w:rsidTr="00F036A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4" w:type="dxa"/>
          </w:tcPr>
          <w:p w:rsidR="00130165" w:rsidRPr="00130165" w:rsidRDefault="00130165" w:rsidP="00130165">
            <w:pPr>
              <w:spacing w:after="200" w:line="276" w:lineRule="auto"/>
              <w:jc w:val="center"/>
              <w:rPr>
                <w:bCs w:val="0"/>
                <w:color w:val="auto"/>
              </w:rPr>
            </w:pPr>
          </w:p>
        </w:tc>
        <w:tc>
          <w:tcPr>
            <w:tcW w:w="89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58"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59"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F036A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4"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896" w:type="dxa"/>
          </w:tcPr>
          <w:p w:rsidR="00130165"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tc>
        <w:tc>
          <w:tcPr>
            <w:tcW w:w="958" w:type="dxa"/>
          </w:tcPr>
          <w:p w:rsidR="00130165"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959"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130165" w:rsidP="00130165">
      <w:pPr>
        <w:spacing w:line="240" w:lineRule="auto"/>
        <w:jc w:val="both"/>
      </w:pPr>
      <w:r w:rsidRPr="00130165">
        <w:t>Outcomes were achieved.  The assessment for this module went particularly well.  The r</w:t>
      </w:r>
      <w:r>
        <w:t>esearch proposals were generally proficient</w:t>
      </w:r>
      <w:r w:rsidRPr="00130165">
        <w:t xml:space="preserve"> and the students certainly gained from this form of assessment.  Nonetheless, the graph above shows a</w:t>
      </w:r>
      <w:r>
        <w:t xml:space="preserve"> limited variability of the assignment marks</w:t>
      </w:r>
      <w:r w:rsidR="00D86447">
        <w:t xml:space="preserve"> (compared to exam)</w:t>
      </w:r>
      <w:r>
        <w:t xml:space="preserve"> which is properly due to the structured form of the assessment rubric.</w:t>
      </w:r>
      <w:r w:rsidRPr="00130165">
        <w:t xml:space="preserve">  Some students found the statistics comfortable and others found it very challenging</w:t>
      </w:r>
      <w:r>
        <w:t xml:space="preserve"> which was addressed through individual tutorials</w:t>
      </w:r>
      <w:r w:rsidR="00D86447">
        <w:t xml:space="preserve"> and Moodle exercises however attendance was an issue.</w:t>
      </w:r>
      <w:r w:rsidRPr="00130165">
        <w:t xml:space="preserve">  </w:t>
      </w:r>
    </w:p>
    <w:p w:rsidR="00130165" w:rsidRPr="00130165" w:rsidRDefault="00130165" w:rsidP="00130165">
      <w:pPr>
        <w:spacing w:line="240" w:lineRule="auto"/>
        <w:rPr>
          <w:b/>
        </w:rPr>
      </w:pPr>
      <w:r w:rsidRPr="00130165">
        <w:rPr>
          <w:b/>
        </w:rPr>
        <w:t>STUDENT FEEDBACK</w:t>
      </w:r>
    </w:p>
    <w:tbl>
      <w:tblPr>
        <w:tblStyle w:val="LightShading-Accent32"/>
        <w:tblW w:w="0" w:type="auto"/>
        <w:jc w:val="center"/>
        <w:tblLook w:val="04A0" w:firstRow="1" w:lastRow="0" w:firstColumn="1" w:lastColumn="0" w:noHBand="0" w:noVBand="1"/>
      </w:tblPr>
      <w:tblGrid>
        <w:gridCol w:w="1204"/>
        <w:gridCol w:w="896"/>
        <w:gridCol w:w="958"/>
        <w:gridCol w:w="959"/>
        <w:gridCol w:w="897"/>
        <w:gridCol w:w="897"/>
        <w:gridCol w:w="897"/>
        <w:gridCol w:w="897"/>
        <w:gridCol w:w="1637"/>
      </w:tblGrid>
      <w:tr w:rsidR="00130165" w:rsidRPr="00130165" w:rsidTr="00AC23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jc w:val="center"/>
              <w:rPr>
                <w:bCs w:val="0"/>
                <w:color w:val="auto"/>
              </w:rPr>
            </w:pP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AC23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EA0049" w:rsidRPr="00130165" w:rsidRDefault="00EA0049" w:rsidP="00D86447">
            <w:pPr>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EA0049" w:rsidP="00130165">
      <w:pPr>
        <w:spacing w:line="240" w:lineRule="auto"/>
        <w:jc w:val="both"/>
      </w:pPr>
      <w:r>
        <w:t>Some s</w:t>
      </w:r>
      <w:r w:rsidR="00130165" w:rsidRPr="00130165">
        <w:t>tudents are inherently concerned about this examination and various strategies have helped alleviate concerns.  However, sequential attendance is continues to be important in this type of module.  Furthermore the ‘feed forward’ form of the course seems to be working in relation to student engagement with dissertations.</w:t>
      </w:r>
      <w:r w:rsidR="00D86447">
        <w:t xml:space="preserve">  T</w:t>
      </w:r>
      <w:r>
        <w:t>he students appreciated the embedded nature of the research proposal assessment and the individual tutorials although this style is time consuming</w:t>
      </w:r>
      <w:r w:rsidR="00D86447">
        <w:t xml:space="preserve"> and needs to be reviewed</w:t>
      </w:r>
      <w:r>
        <w:t>.</w:t>
      </w:r>
    </w:p>
    <w:p w:rsidR="00130165" w:rsidRPr="00130165" w:rsidRDefault="00130165" w:rsidP="00130165">
      <w:pPr>
        <w:spacing w:line="240" w:lineRule="auto"/>
        <w:rPr>
          <w:b/>
        </w:rPr>
      </w:pPr>
      <w:r w:rsidRPr="00130165">
        <w:rPr>
          <w:b/>
        </w:rPr>
        <w:t>RESOURCES</w:t>
      </w:r>
    </w:p>
    <w:tbl>
      <w:tblPr>
        <w:tblStyle w:val="LightShading-Accent32"/>
        <w:tblW w:w="0" w:type="auto"/>
        <w:jc w:val="center"/>
        <w:tblLook w:val="04A0" w:firstRow="1" w:lastRow="0" w:firstColumn="1" w:lastColumn="0" w:noHBand="0" w:noVBand="1"/>
      </w:tblPr>
      <w:tblGrid>
        <w:gridCol w:w="1205"/>
        <w:gridCol w:w="906"/>
        <w:gridCol w:w="906"/>
        <w:gridCol w:w="964"/>
        <w:gridCol w:w="906"/>
        <w:gridCol w:w="906"/>
        <w:gridCol w:w="906"/>
        <w:gridCol w:w="906"/>
        <w:gridCol w:w="1637"/>
      </w:tblGrid>
      <w:tr w:rsidR="00130165" w:rsidRPr="00130165" w:rsidTr="00AC234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jc w:val="center"/>
              <w:rPr>
                <w:bCs w:val="0"/>
                <w:color w:val="auto"/>
              </w:rPr>
            </w:pP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02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AC23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6"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p w:rsidR="00EA0049"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02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EA0049" w:rsidRDefault="00EA0049" w:rsidP="00130165">
      <w:pPr>
        <w:spacing w:line="240" w:lineRule="auto"/>
      </w:pPr>
      <w:r>
        <w:lastRenderedPageBreak/>
        <w:t>Moodle is particularly useful for this module and the support team have been very helpful in helping staff and students utilise the VLE effectively.</w:t>
      </w:r>
      <w:r w:rsidR="00D86447">
        <w:t xml:space="preserve">  A Moodle examination is proposed for next year.</w:t>
      </w:r>
    </w:p>
    <w:p w:rsidR="00130165" w:rsidRPr="00130165" w:rsidRDefault="00130165" w:rsidP="00130165">
      <w:pPr>
        <w:spacing w:line="240" w:lineRule="auto"/>
        <w:rPr>
          <w:b/>
        </w:rPr>
      </w:pPr>
      <w:r w:rsidRPr="00130165">
        <w:rPr>
          <w:b/>
        </w:rPr>
        <w:t>ADMINISTRATION</w:t>
      </w:r>
    </w:p>
    <w:tbl>
      <w:tblPr>
        <w:tblStyle w:val="LightShading-Accent32"/>
        <w:tblW w:w="0" w:type="auto"/>
        <w:jc w:val="center"/>
        <w:tblLook w:val="04A0" w:firstRow="1" w:lastRow="0" w:firstColumn="1" w:lastColumn="0" w:noHBand="0" w:noVBand="1"/>
      </w:tblPr>
      <w:tblGrid>
        <w:gridCol w:w="1204"/>
        <w:gridCol w:w="896"/>
        <w:gridCol w:w="958"/>
        <w:gridCol w:w="959"/>
        <w:gridCol w:w="897"/>
        <w:gridCol w:w="897"/>
        <w:gridCol w:w="897"/>
        <w:gridCol w:w="897"/>
        <w:gridCol w:w="1637"/>
      </w:tblGrid>
      <w:tr w:rsidR="00130165" w:rsidRPr="00130165" w:rsidTr="00D8644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4" w:type="dxa"/>
          </w:tcPr>
          <w:p w:rsidR="00130165" w:rsidRPr="00130165" w:rsidRDefault="00130165" w:rsidP="00130165">
            <w:pPr>
              <w:spacing w:after="200" w:line="276" w:lineRule="auto"/>
              <w:jc w:val="center"/>
              <w:rPr>
                <w:bCs w:val="0"/>
                <w:color w:val="auto"/>
              </w:rPr>
            </w:pPr>
          </w:p>
        </w:tc>
        <w:tc>
          <w:tcPr>
            <w:tcW w:w="896"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1</w:t>
            </w:r>
          </w:p>
        </w:tc>
        <w:tc>
          <w:tcPr>
            <w:tcW w:w="958"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2</w:t>
            </w:r>
          </w:p>
        </w:tc>
        <w:tc>
          <w:tcPr>
            <w:tcW w:w="959"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3</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4</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5</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6</w:t>
            </w:r>
          </w:p>
        </w:tc>
        <w:tc>
          <w:tcPr>
            <w:tcW w:w="89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r w:rsidRPr="00130165">
              <w:rPr>
                <w:b w:val="0"/>
                <w:bCs w:val="0"/>
                <w:color w:val="auto"/>
              </w:rPr>
              <w:t>7</w:t>
            </w:r>
          </w:p>
        </w:tc>
        <w:tc>
          <w:tcPr>
            <w:tcW w:w="1637" w:type="dxa"/>
          </w:tcPr>
          <w:p w:rsidR="00130165" w:rsidRPr="00130165" w:rsidRDefault="00130165" w:rsidP="00130165">
            <w:pPr>
              <w:spacing w:after="200" w:line="276" w:lineRule="auto"/>
              <w:jc w:val="center"/>
              <w:cnfStyle w:val="100000000000" w:firstRow="1" w:lastRow="0" w:firstColumn="0" w:lastColumn="0" w:oddVBand="0" w:evenVBand="0" w:oddHBand="0" w:evenHBand="0" w:firstRowFirstColumn="0" w:firstRowLastColumn="0" w:lastRowFirstColumn="0" w:lastRowLastColumn="0"/>
              <w:rPr>
                <w:bCs w:val="0"/>
                <w:color w:val="auto"/>
              </w:rPr>
            </w:pPr>
          </w:p>
        </w:tc>
      </w:tr>
      <w:tr w:rsidR="00130165" w:rsidRPr="00130165" w:rsidTr="00D8644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204" w:type="dxa"/>
          </w:tcPr>
          <w:p w:rsidR="00130165" w:rsidRPr="00130165" w:rsidRDefault="00130165" w:rsidP="00130165">
            <w:pPr>
              <w:spacing w:after="200" w:line="276" w:lineRule="auto"/>
              <w:rPr>
                <w:bCs w:val="0"/>
                <w:color w:val="auto"/>
              </w:rPr>
            </w:pPr>
            <w:r w:rsidRPr="00130165">
              <w:rPr>
                <w:b w:val="0"/>
                <w:bCs w:val="0"/>
                <w:color w:val="auto"/>
              </w:rPr>
              <w:t>EXCELLENT</w:t>
            </w:r>
          </w:p>
        </w:tc>
        <w:tc>
          <w:tcPr>
            <w:tcW w:w="896"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958" w:type="dxa"/>
          </w:tcPr>
          <w:p w:rsidR="00130165"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2015</w:t>
            </w:r>
          </w:p>
        </w:tc>
        <w:tc>
          <w:tcPr>
            <w:tcW w:w="959" w:type="dxa"/>
          </w:tcPr>
          <w:p w:rsidR="00130165" w:rsidRPr="00130165" w:rsidRDefault="00D86447"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r>
              <w:rPr>
                <w:color w:val="FF0000"/>
              </w:rPr>
              <w:t>2014</w:t>
            </w: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897" w:type="dxa"/>
          </w:tcPr>
          <w:p w:rsidR="00130165" w:rsidRPr="00130165" w:rsidRDefault="00130165" w:rsidP="00130165">
            <w:pPr>
              <w:spacing w:after="200" w:line="276" w:lineRule="auto"/>
              <w:jc w:val="center"/>
              <w:cnfStyle w:val="000000100000" w:firstRow="0" w:lastRow="0" w:firstColumn="0" w:lastColumn="0" w:oddVBand="0" w:evenVBand="0" w:oddHBand="1" w:evenHBand="0" w:firstRowFirstColumn="0" w:firstRowLastColumn="0" w:lastRowFirstColumn="0" w:lastRowLastColumn="0"/>
              <w:rPr>
                <w:color w:val="FF0000"/>
              </w:rPr>
            </w:pPr>
          </w:p>
        </w:tc>
        <w:tc>
          <w:tcPr>
            <w:tcW w:w="1637" w:type="dxa"/>
          </w:tcPr>
          <w:p w:rsidR="00130165" w:rsidRPr="00130165" w:rsidRDefault="00130165" w:rsidP="00130165">
            <w:pPr>
              <w:spacing w:after="200" w:line="276" w:lineRule="auto"/>
              <w:cnfStyle w:val="000000100000" w:firstRow="0" w:lastRow="0" w:firstColumn="0" w:lastColumn="0" w:oddVBand="0" w:evenVBand="0" w:oddHBand="1" w:evenHBand="0" w:firstRowFirstColumn="0" w:firstRowLastColumn="0" w:lastRowFirstColumn="0" w:lastRowLastColumn="0"/>
              <w:rPr>
                <w:color w:val="auto"/>
              </w:rPr>
            </w:pPr>
            <w:r w:rsidRPr="00130165">
              <w:rPr>
                <w:color w:val="auto"/>
              </w:rPr>
              <w:t>UNACCEPTABLE</w:t>
            </w:r>
          </w:p>
        </w:tc>
      </w:tr>
    </w:tbl>
    <w:p w:rsidR="00130165" w:rsidRPr="00130165" w:rsidRDefault="00130165" w:rsidP="00130165">
      <w:pPr>
        <w:spacing w:line="240" w:lineRule="auto"/>
      </w:pPr>
      <w:r w:rsidRPr="00130165">
        <w:t xml:space="preserve">No major problems.  </w:t>
      </w:r>
    </w:p>
    <w:p w:rsidR="00130165" w:rsidRPr="00130165" w:rsidRDefault="00130165" w:rsidP="00130165">
      <w:pPr>
        <w:spacing w:line="240" w:lineRule="auto"/>
        <w:jc w:val="both"/>
        <w:rPr>
          <w:b/>
        </w:rPr>
      </w:pPr>
      <w:r w:rsidRPr="00130165">
        <w:rPr>
          <w:b/>
        </w:rPr>
        <w:t>ACTION</w:t>
      </w:r>
    </w:p>
    <w:p w:rsidR="00130165" w:rsidRPr="00130165" w:rsidRDefault="00130165" w:rsidP="00130165">
      <w:pPr>
        <w:spacing w:line="240" w:lineRule="auto"/>
        <w:jc w:val="both"/>
      </w:pPr>
      <w:r w:rsidRPr="00130165">
        <w:t>Previous years actions were addressed satisfactorily</w:t>
      </w:r>
    </w:p>
    <w:p w:rsidR="008A3229" w:rsidRDefault="00D86447" w:rsidP="00EA0049">
      <w:pPr>
        <w:pStyle w:val="ListParagraph"/>
        <w:numPr>
          <w:ilvl w:val="0"/>
          <w:numId w:val="7"/>
        </w:numPr>
      </w:pPr>
      <w:r>
        <w:t>Review electronic</w:t>
      </w:r>
      <w:r w:rsidR="00EA0049">
        <w:t xml:space="preserve"> </w:t>
      </w:r>
      <w:bookmarkStart w:id="0" w:name="_GoBack"/>
      <w:bookmarkEnd w:id="0"/>
      <w:r w:rsidR="00EA0049">
        <w:t>and audio feedback.</w:t>
      </w:r>
    </w:p>
    <w:p w:rsidR="00EA0049" w:rsidRPr="00EA0049" w:rsidRDefault="00EA0049" w:rsidP="00EA0049">
      <w:pPr>
        <w:pStyle w:val="ListParagraph"/>
        <w:numPr>
          <w:ilvl w:val="0"/>
          <w:numId w:val="7"/>
        </w:numPr>
      </w:pPr>
      <w:r>
        <w:t xml:space="preserve">Additional statistical worked examples </w:t>
      </w:r>
      <w:r w:rsidR="00D86447">
        <w:t>put on Moodle</w:t>
      </w:r>
    </w:p>
    <w:p w:rsidR="00A5016A" w:rsidRPr="004C4ABF" w:rsidRDefault="00A5016A" w:rsidP="004C4ABF">
      <w:pPr>
        <w:pStyle w:val="ListParagraph"/>
        <w:rPr>
          <w:b/>
        </w:rPr>
      </w:pPr>
    </w:p>
    <w:sectPr w:rsidR="00A5016A" w:rsidRPr="004C4ABF" w:rsidSect="00BB472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60BB" w:rsidRDefault="000160BB" w:rsidP="00656023">
      <w:pPr>
        <w:spacing w:after="0" w:line="240" w:lineRule="auto"/>
      </w:pPr>
      <w:r>
        <w:separator/>
      </w:r>
    </w:p>
  </w:endnote>
  <w:endnote w:type="continuationSeparator" w:id="0">
    <w:p w:rsidR="000160BB" w:rsidRDefault="000160BB" w:rsidP="00656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33105"/>
      <w:docPartObj>
        <w:docPartGallery w:val="Page Numbers (Bottom of Page)"/>
        <w:docPartUnique/>
      </w:docPartObj>
    </w:sdtPr>
    <w:sdtEndPr/>
    <w:sdtContent>
      <w:p w:rsidR="000160BB" w:rsidRDefault="003E65E3">
        <w:pPr>
          <w:pStyle w:val="Footer"/>
          <w:jc w:val="center"/>
        </w:pPr>
        <w:r>
          <w:fldChar w:fldCharType="begin"/>
        </w:r>
        <w:r>
          <w:instrText xml:space="preserve"> PAGE   \* MERGEFORMAT </w:instrText>
        </w:r>
        <w:r>
          <w:fldChar w:fldCharType="separate"/>
        </w:r>
        <w:r w:rsidR="00BD08A3">
          <w:rPr>
            <w:noProof/>
          </w:rPr>
          <w:t>3</w:t>
        </w:r>
        <w:r>
          <w:rPr>
            <w:noProof/>
          </w:rPr>
          <w:fldChar w:fldCharType="end"/>
        </w:r>
      </w:p>
    </w:sdtContent>
  </w:sdt>
  <w:p w:rsidR="000160BB" w:rsidRDefault="000160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60BB" w:rsidRDefault="000160BB" w:rsidP="00656023">
      <w:pPr>
        <w:spacing w:after="0" w:line="240" w:lineRule="auto"/>
      </w:pPr>
      <w:r>
        <w:separator/>
      </w:r>
    </w:p>
  </w:footnote>
  <w:footnote w:type="continuationSeparator" w:id="0">
    <w:p w:rsidR="000160BB" w:rsidRDefault="000160BB" w:rsidP="006560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1D63F8"/>
    <w:multiLevelType w:val="hybridMultilevel"/>
    <w:tmpl w:val="E78EA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6441F8"/>
    <w:multiLevelType w:val="hybridMultilevel"/>
    <w:tmpl w:val="F92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40B6213"/>
    <w:multiLevelType w:val="hybridMultilevel"/>
    <w:tmpl w:val="923C9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0810CC"/>
    <w:multiLevelType w:val="hybridMultilevel"/>
    <w:tmpl w:val="5052B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B0279E3"/>
    <w:multiLevelType w:val="hybridMultilevel"/>
    <w:tmpl w:val="9FE2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A103A82"/>
    <w:multiLevelType w:val="hybridMultilevel"/>
    <w:tmpl w:val="9F900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8301E61"/>
    <w:multiLevelType w:val="hybridMultilevel"/>
    <w:tmpl w:val="72CA3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0"/>
  </w:num>
  <w:num w:numId="4">
    <w:abstractNumId w:val="3"/>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6F93"/>
    <w:rsid w:val="000160BB"/>
    <w:rsid w:val="00093938"/>
    <w:rsid w:val="00100081"/>
    <w:rsid w:val="00100DC5"/>
    <w:rsid w:val="00130165"/>
    <w:rsid w:val="00180B73"/>
    <w:rsid w:val="00193F81"/>
    <w:rsid w:val="001D7007"/>
    <w:rsid w:val="00232595"/>
    <w:rsid w:val="00280789"/>
    <w:rsid w:val="00354E98"/>
    <w:rsid w:val="0039715D"/>
    <w:rsid w:val="003A02CA"/>
    <w:rsid w:val="003E65E3"/>
    <w:rsid w:val="004C4ABF"/>
    <w:rsid w:val="004E1F15"/>
    <w:rsid w:val="00504CFC"/>
    <w:rsid w:val="005957E8"/>
    <w:rsid w:val="005A40C6"/>
    <w:rsid w:val="00604FE0"/>
    <w:rsid w:val="00656023"/>
    <w:rsid w:val="00705D01"/>
    <w:rsid w:val="007377D9"/>
    <w:rsid w:val="00754A59"/>
    <w:rsid w:val="00777B9B"/>
    <w:rsid w:val="00786561"/>
    <w:rsid w:val="007A0612"/>
    <w:rsid w:val="00847686"/>
    <w:rsid w:val="00867E70"/>
    <w:rsid w:val="00893860"/>
    <w:rsid w:val="008A174C"/>
    <w:rsid w:val="008A3229"/>
    <w:rsid w:val="008C22A1"/>
    <w:rsid w:val="008C6F93"/>
    <w:rsid w:val="00933805"/>
    <w:rsid w:val="00947C3E"/>
    <w:rsid w:val="00A222A1"/>
    <w:rsid w:val="00A5016A"/>
    <w:rsid w:val="00A9021D"/>
    <w:rsid w:val="00AD50E3"/>
    <w:rsid w:val="00B85BFA"/>
    <w:rsid w:val="00BB472E"/>
    <w:rsid w:val="00BD08A3"/>
    <w:rsid w:val="00BF0497"/>
    <w:rsid w:val="00CB5E4E"/>
    <w:rsid w:val="00CD31A5"/>
    <w:rsid w:val="00D672A7"/>
    <w:rsid w:val="00D85D78"/>
    <w:rsid w:val="00D86447"/>
    <w:rsid w:val="00DB3E65"/>
    <w:rsid w:val="00E17282"/>
    <w:rsid w:val="00E20A9A"/>
    <w:rsid w:val="00EA0049"/>
    <w:rsid w:val="00EF397E"/>
    <w:rsid w:val="00F036A4"/>
    <w:rsid w:val="00F90DF0"/>
    <w:rsid w:val="00FB618A"/>
    <w:rsid w:val="00FF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F93"/>
    <w:rPr>
      <w:rFonts w:ascii="Tahoma" w:hAnsi="Tahoma" w:cs="Tahoma"/>
      <w:sz w:val="16"/>
      <w:szCs w:val="16"/>
    </w:rPr>
  </w:style>
  <w:style w:type="paragraph" w:styleId="ListParagraph">
    <w:name w:val="List Paragraph"/>
    <w:basedOn w:val="Normal"/>
    <w:uiPriority w:val="34"/>
    <w:qFormat/>
    <w:rsid w:val="00656023"/>
    <w:pPr>
      <w:ind w:left="720"/>
      <w:contextualSpacing/>
    </w:pPr>
  </w:style>
  <w:style w:type="paragraph" w:styleId="Header">
    <w:name w:val="header"/>
    <w:basedOn w:val="Normal"/>
    <w:link w:val="HeaderChar"/>
    <w:uiPriority w:val="99"/>
    <w:semiHidden/>
    <w:unhideWhenUsed/>
    <w:rsid w:val="006560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6023"/>
  </w:style>
  <w:style w:type="paragraph" w:styleId="Footer">
    <w:name w:val="footer"/>
    <w:basedOn w:val="Normal"/>
    <w:link w:val="FooterChar"/>
    <w:uiPriority w:val="99"/>
    <w:unhideWhenUsed/>
    <w:rsid w:val="00656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023"/>
  </w:style>
  <w:style w:type="table" w:styleId="LightShading-Accent3">
    <w:name w:val="Light Shading Accent 3"/>
    <w:basedOn w:val="TableNormal"/>
    <w:uiPriority w:val="60"/>
    <w:rsid w:val="008A3229"/>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ableGrid">
    <w:name w:val="Table Grid"/>
    <w:basedOn w:val="TableNormal"/>
    <w:uiPriority w:val="59"/>
    <w:rsid w:val="0010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31">
    <w:name w:val="Light Shading - Accent 31"/>
    <w:basedOn w:val="TableNormal"/>
    <w:next w:val="LightShading-Accent3"/>
    <w:uiPriority w:val="60"/>
    <w:rsid w:val="00232595"/>
    <w:pPr>
      <w:spacing w:after="0" w:line="240" w:lineRule="auto"/>
    </w:pPr>
    <w:rPr>
      <w:rFonts w:eastAsiaTheme="minorHAnsi"/>
      <w:color w:val="76923C" w:themeColor="accent3" w:themeShade="BF"/>
      <w:lang w:eastAsia="en-US"/>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customStyle="1" w:styleId="LightShading-Accent32">
    <w:name w:val="Light Shading - Accent 32"/>
    <w:basedOn w:val="TableNormal"/>
    <w:next w:val="LightShading-Accent3"/>
    <w:uiPriority w:val="60"/>
    <w:rsid w:val="0013016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F93"/>
    <w:rPr>
      <w:rFonts w:ascii="Tahoma" w:hAnsi="Tahoma" w:cs="Tahoma"/>
      <w:sz w:val="16"/>
      <w:szCs w:val="16"/>
    </w:rPr>
  </w:style>
  <w:style w:type="paragraph" w:styleId="ListParagraph">
    <w:name w:val="List Paragraph"/>
    <w:basedOn w:val="Normal"/>
    <w:uiPriority w:val="34"/>
    <w:qFormat/>
    <w:rsid w:val="00656023"/>
    <w:pPr>
      <w:ind w:left="720"/>
      <w:contextualSpacing/>
    </w:pPr>
  </w:style>
  <w:style w:type="paragraph" w:styleId="Header">
    <w:name w:val="header"/>
    <w:basedOn w:val="Normal"/>
    <w:link w:val="HeaderChar"/>
    <w:uiPriority w:val="99"/>
    <w:semiHidden/>
    <w:unhideWhenUsed/>
    <w:rsid w:val="006560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6023"/>
  </w:style>
  <w:style w:type="paragraph" w:styleId="Footer">
    <w:name w:val="footer"/>
    <w:basedOn w:val="Normal"/>
    <w:link w:val="FooterChar"/>
    <w:uiPriority w:val="99"/>
    <w:unhideWhenUsed/>
    <w:rsid w:val="00656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023"/>
  </w:style>
  <w:style w:type="table" w:styleId="LightShading-Accent3">
    <w:name w:val="Light Shading Accent 3"/>
    <w:basedOn w:val="TableNormal"/>
    <w:uiPriority w:val="60"/>
    <w:rsid w:val="008A3229"/>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TableGrid">
    <w:name w:val="Table Grid"/>
    <w:basedOn w:val="TableNormal"/>
    <w:uiPriority w:val="59"/>
    <w:rsid w:val="0010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31">
    <w:name w:val="Light Shading - Accent 31"/>
    <w:basedOn w:val="TableNormal"/>
    <w:next w:val="LightShading-Accent3"/>
    <w:uiPriority w:val="60"/>
    <w:rsid w:val="00232595"/>
    <w:pPr>
      <w:spacing w:after="0" w:line="240" w:lineRule="auto"/>
    </w:pPr>
    <w:rPr>
      <w:rFonts w:eastAsiaTheme="minorHAnsi"/>
      <w:color w:val="76923C" w:themeColor="accent3" w:themeShade="BF"/>
      <w:lang w:eastAsia="en-US"/>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customStyle="1" w:styleId="LightShading-Accent32">
    <w:name w:val="Light Shading - Accent 32"/>
    <w:basedOn w:val="TableNormal"/>
    <w:next w:val="LightShading-Accent3"/>
    <w:uiPriority w:val="60"/>
    <w:rsid w:val="0013016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7779496">
      <w:bodyDiv w:val="1"/>
      <w:marLeft w:val="0"/>
      <w:marRight w:val="0"/>
      <w:marTop w:val="0"/>
      <w:marBottom w:val="0"/>
      <w:divBdr>
        <w:top w:val="none" w:sz="0" w:space="0" w:color="auto"/>
        <w:left w:val="none" w:sz="0" w:space="0" w:color="auto"/>
        <w:bottom w:val="none" w:sz="0" w:space="0" w:color="auto"/>
        <w:right w:val="none" w:sz="0" w:space="0" w:color="auto"/>
      </w:divBdr>
    </w:div>
    <w:div w:id="1385057480">
      <w:bodyDiv w:val="1"/>
      <w:marLeft w:val="0"/>
      <w:marRight w:val="0"/>
      <w:marTop w:val="0"/>
      <w:marBottom w:val="0"/>
      <w:divBdr>
        <w:top w:val="none" w:sz="0" w:space="0" w:color="auto"/>
        <w:left w:val="none" w:sz="0" w:space="0" w:color="auto"/>
        <w:bottom w:val="none" w:sz="0" w:space="0" w:color="auto"/>
        <w:right w:val="none" w:sz="0" w:space="0" w:color="auto"/>
      </w:divBdr>
    </w:div>
    <w:div w:id="1798640048">
      <w:bodyDiv w:val="1"/>
      <w:marLeft w:val="0"/>
      <w:marRight w:val="0"/>
      <w:marTop w:val="0"/>
      <w:marBottom w:val="0"/>
      <w:divBdr>
        <w:top w:val="none" w:sz="0" w:space="0" w:color="auto"/>
        <w:left w:val="none" w:sz="0" w:space="0" w:color="auto"/>
        <w:bottom w:val="none" w:sz="0" w:space="0" w:color="auto"/>
        <w:right w:val="none" w:sz="0" w:space="0" w:color="auto"/>
      </w:divBdr>
    </w:div>
    <w:div w:id="1910072417">
      <w:bodyDiv w:val="1"/>
      <w:marLeft w:val="0"/>
      <w:marRight w:val="0"/>
      <w:marTop w:val="0"/>
      <w:marBottom w:val="0"/>
      <w:divBdr>
        <w:top w:val="none" w:sz="0" w:space="0" w:color="auto"/>
        <w:left w:val="none" w:sz="0" w:space="0" w:color="auto"/>
        <w:bottom w:val="none" w:sz="0" w:space="0" w:color="auto"/>
        <w:right w:val="none" w:sz="0" w:space="0" w:color="auto"/>
      </w:divBdr>
    </w:div>
    <w:div w:id="1973366713">
      <w:bodyDiv w:val="1"/>
      <w:marLeft w:val="0"/>
      <w:marRight w:val="0"/>
      <w:marTop w:val="0"/>
      <w:marBottom w:val="0"/>
      <w:divBdr>
        <w:top w:val="none" w:sz="0" w:space="0" w:color="auto"/>
        <w:left w:val="none" w:sz="0" w:space="0" w:color="auto"/>
        <w:bottom w:val="none" w:sz="0" w:space="0" w:color="auto"/>
        <w:right w:val="none" w:sz="0" w:space="0" w:color="auto"/>
      </w:divBdr>
    </w:div>
    <w:div w:id="2038697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image" Target="media/image1.gif"/></Relationships>
</file>

<file path=word/charts/_rels/chart1.xml.rels><?xml version="1.0" encoding="UTF-8" standalone="yes"?>
<Relationships xmlns="http://schemas.openxmlformats.org/package/2006/relationships"><Relationship Id="rId2" Type="http://schemas.openxmlformats.org/officeDocument/2006/relationships/oleObject" Target="file:///K:\Chris%20House\Year2\Year%202%202014%20marks.xlsx"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scatterChart>
        <c:scatterStyle val="lineMarker"/>
        <c:varyColors val="0"/>
        <c:ser>
          <c:idx val="0"/>
          <c:order val="0"/>
          <c:tx>
            <c:strRef>
              <c:f>Sheet1!$M$22</c:f>
              <c:strCache>
                <c:ptCount val="1"/>
                <c:pt idx="0">
                  <c:v>Assign</c:v>
                </c:pt>
              </c:strCache>
            </c:strRef>
          </c:tx>
          <c:spPr>
            <a:ln w="28575">
              <a:noFill/>
            </a:ln>
          </c:spPr>
          <c:trendline>
            <c:trendlineType val="linear"/>
            <c:dispRSqr val="0"/>
            <c:dispEq val="0"/>
          </c:trendline>
          <c:xVal>
            <c:numRef>
              <c:f>Sheet1!$L$23:$L$35</c:f>
              <c:numCache>
                <c:formatCode>General</c:formatCode>
                <c:ptCount val="13"/>
                <c:pt idx="0">
                  <c:v>1</c:v>
                </c:pt>
                <c:pt idx="1">
                  <c:v>2</c:v>
                </c:pt>
                <c:pt idx="2">
                  <c:v>3</c:v>
                </c:pt>
                <c:pt idx="3">
                  <c:v>4</c:v>
                </c:pt>
                <c:pt idx="4">
                  <c:v>5</c:v>
                </c:pt>
                <c:pt idx="5">
                  <c:v>6</c:v>
                </c:pt>
                <c:pt idx="6">
                  <c:v>7</c:v>
                </c:pt>
                <c:pt idx="7">
                  <c:v>8</c:v>
                </c:pt>
                <c:pt idx="8">
                  <c:v>9</c:v>
                </c:pt>
                <c:pt idx="9">
                  <c:v>10</c:v>
                </c:pt>
                <c:pt idx="10">
                  <c:v>11</c:v>
                </c:pt>
                <c:pt idx="11">
                  <c:v>12</c:v>
                </c:pt>
                <c:pt idx="12">
                  <c:v>13</c:v>
                </c:pt>
              </c:numCache>
            </c:numRef>
          </c:xVal>
          <c:yVal>
            <c:numRef>
              <c:f>Sheet1!$M$23:$M$35</c:f>
              <c:numCache>
                <c:formatCode>General</c:formatCode>
                <c:ptCount val="13"/>
                <c:pt idx="0">
                  <c:v>58</c:v>
                </c:pt>
                <c:pt idx="1">
                  <c:v>58</c:v>
                </c:pt>
                <c:pt idx="2">
                  <c:v>55</c:v>
                </c:pt>
                <c:pt idx="3">
                  <c:v>45</c:v>
                </c:pt>
                <c:pt idx="4">
                  <c:v>58</c:v>
                </c:pt>
                <c:pt idx="5">
                  <c:v>55</c:v>
                </c:pt>
                <c:pt idx="6">
                  <c:v>62</c:v>
                </c:pt>
                <c:pt idx="7">
                  <c:v>65</c:v>
                </c:pt>
                <c:pt idx="8">
                  <c:v>62</c:v>
                </c:pt>
                <c:pt idx="9">
                  <c:v>57</c:v>
                </c:pt>
                <c:pt idx="10">
                  <c:v>64</c:v>
                </c:pt>
                <c:pt idx="11">
                  <c:v>67</c:v>
                </c:pt>
                <c:pt idx="12">
                  <c:v>70</c:v>
                </c:pt>
              </c:numCache>
            </c:numRef>
          </c:yVal>
          <c:smooth val="0"/>
        </c:ser>
        <c:ser>
          <c:idx val="1"/>
          <c:order val="1"/>
          <c:tx>
            <c:strRef>
              <c:f>Sheet1!$N$22</c:f>
              <c:strCache>
                <c:ptCount val="1"/>
                <c:pt idx="0">
                  <c:v>Exam</c:v>
                </c:pt>
              </c:strCache>
            </c:strRef>
          </c:tx>
          <c:spPr>
            <a:ln w="28575">
              <a:noFill/>
            </a:ln>
          </c:spPr>
          <c:trendline>
            <c:trendlineType val="linear"/>
            <c:dispRSqr val="0"/>
            <c:dispEq val="0"/>
          </c:trendline>
          <c:xVal>
            <c:numRef>
              <c:f>Sheet1!$L$23:$L$35</c:f>
              <c:numCache>
                <c:formatCode>General</c:formatCode>
                <c:ptCount val="13"/>
                <c:pt idx="0">
                  <c:v>1</c:v>
                </c:pt>
                <c:pt idx="1">
                  <c:v>2</c:v>
                </c:pt>
                <c:pt idx="2">
                  <c:v>3</c:v>
                </c:pt>
                <c:pt idx="3">
                  <c:v>4</c:v>
                </c:pt>
                <c:pt idx="4">
                  <c:v>5</c:v>
                </c:pt>
                <c:pt idx="5">
                  <c:v>6</c:v>
                </c:pt>
                <c:pt idx="6">
                  <c:v>7</c:v>
                </c:pt>
                <c:pt idx="7">
                  <c:v>8</c:v>
                </c:pt>
                <c:pt idx="8">
                  <c:v>9</c:v>
                </c:pt>
                <c:pt idx="9">
                  <c:v>10</c:v>
                </c:pt>
                <c:pt idx="10">
                  <c:v>11</c:v>
                </c:pt>
                <c:pt idx="11">
                  <c:v>12</c:v>
                </c:pt>
                <c:pt idx="12">
                  <c:v>13</c:v>
                </c:pt>
              </c:numCache>
            </c:numRef>
          </c:xVal>
          <c:yVal>
            <c:numRef>
              <c:f>Sheet1!$N$23:$N$35</c:f>
              <c:numCache>
                <c:formatCode>General</c:formatCode>
                <c:ptCount val="13"/>
                <c:pt idx="0">
                  <c:v>31</c:v>
                </c:pt>
                <c:pt idx="1">
                  <c:v>41</c:v>
                </c:pt>
                <c:pt idx="2">
                  <c:v>51</c:v>
                </c:pt>
                <c:pt idx="3">
                  <c:v>66</c:v>
                </c:pt>
                <c:pt idx="4">
                  <c:v>53</c:v>
                </c:pt>
                <c:pt idx="5">
                  <c:v>57</c:v>
                </c:pt>
                <c:pt idx="6">
                  <c:v>53</c:v>
                </c:pt>
                <c:pt idx="7">
                  <c:v>64</c:v>
                </c:pt>
                <c:pt idx="8">
                  <c:v>73</c:v>
                </c:pt>
                <c:pt idx="9">
                  <c:v>81</c:v>
                </c:pt>
                <c:pt idx="10">
                  <c:v>74</c:v>
                </c:pt>
                <c:pt idx="11">
                  <c:v>85</c:v>
                </c:pt>
                <c:pt idx="12">
                  <c:v>90</c:v>
                </c:pt>
              </c:numCache>
            </c:numRef>
          </c:yVal>
          <c:smooth val="0"/>
        </c:ser>
        <c:ser>
          <c:idx val="2"/>
          <c:order val="2"/>
          <c:tx>
            <c:strRef>
              <c:f>Sheet1!$O$22</c:f>
              <c:strCache>
                <c:ptCount val="1"/>
                <c:pt idx="0">
                  <c:v>total</c:v>
                </c:pt>
              </c:strCache>
            </c:strRef>
          </c:tx>
          <c:spPr>
            <a:ln w="28575">
              <a:noFill/>
            </a:ln>
          </c:spPr>
          <c:trendline>
            <c:trendlineType val="linear"/>
            <c:dispRSqr val="0"/>
            <c:dispEq val="0"/>
          </c:trendline>
          <c:xVal>
            <c:numRef>
              <c:f>Sheet1!$L$23:$L$35</c:f>
              <c:numCache>
                <c:formatCode>General</c:formatCode>
                <c:ptCount val="13"/>
                <c:pt idx="0">
                  <c:v>1</c:v>
                </c:pt>
                <c:pt idx="1">
                  <c:v>2</c:v>
                </c:pt>
                <c:pt idx="2">
                  <c:v>3</c:v>
                </c:pt>
                <c:pt idx="3">
                  <c:v>4</c:v>
                </c:pt>
                <c:pt idx="4">
                  <c:v>5</c:v>
                </c:pt>
                <c:pt idx="5">
                  <c:v>6</c:v>
                </c:pt>
                <c:pt idx="6">
                  <c:v>7</c:v>
                </c:pt>
                <c:pt idx="7">
                  <c:v>8</c:v>
                </c:pt>
                <c:pt idx="8">
                  <c:v>9</c:v>
                </c:pt>
                <c:pt idx="9">
                  <c:v>10</c:v>
                </c:pt>
                <c:pt idx="10">
                  <c:v>11</c:v>
                </c:pt>
                <c:pt idx="11">
                  <c:v>12</c:v>
                </c:pt>
                <c:pt idx="12">
                  <c:v>13</c:v>
                </c:pt>
              </c:numCache>
            </c:numRef>
          </c:xVal>
          <c:yVal>
            <c:numRef>
              <c:f>Sheet1!$O$23:$O$35</c:f>
              <c:numCache>
                <c:formatCode>General</c:formatCode>
                <c:ptCount val="13"/>
                <c:pt idx="0">
                  <c:v>44.5</c:v>
                </c:pt>
                <c:pt idx="1">
                  <c:v>49.5</c:v>
                </c:pt>
                <c:pt idx="2">
                  <c:v>53</c:v>
                </c:pt>
                <c:pt idx="3">
                  <c:v>55.5</c:v>
                </c:pt>
                <c:pt idx="4">
                  <c:v>55.5</c:v>
                </c:pt>
                <c:pt idx="5">
                  <c:v>56</c:v>
                </c:pt>
                <c:pt idx="6">
                  <c:v>57.5</c:v>
                </c:pt>
                <c:pt idx="7">
                  <c:v>64.5</c:v>
                </c:pt>
                <c:pt idx="8">
                  <c:v>67.5</c:v>
                </c:pt>
                <c:pt idx="9">
                  <c:v>69</c:v>
                </c:pt>
                <c:pt idx="10">
                  <c:v>69</c:v>
                </c:pt>
                <c:pt idx="11">
                  <c:v>76</c:v>
                </c:pt>
                <c:pt idx="12">
                  <c:v>80</c:v>
                </c:pt>
              </c:numCache>
            </c:numRef>
          </c:yVal>
          <c:smooth val="0"/>
        </c:ser>
        <c:dLbls>
          <c:showLegendKey val="0"/>
          <c:showVal val="0"/>
          <c:showCatName val="0"/>
          <c:showSerName val="0"/>
          <c:showPercent val="0"/>
          <c:showBubbleSize val="0"/>
        </c:dLbls>
        <c:axId val="129606208"/>
        <c:axId val="129609664"/>
      </c:scatterChart>
      <c:valAx>
        <c:axId val="129606208"/>
        <c:scaling>
          <c:orientation val="minMax"/>
        </c:scaling>
        <c:delete val="0"/>
        <c:axPos val="b"/>
        <c:majorGridlines/>
        <c:minorGridlines/>
        <c:title>
          <c:tx>
            <c:rich>
              <a:bodyPr/>
              <a:lstStyle/>
              <a:p>
                <a:pPr>
                  <a:defRPr/>
                </a:pPr>
                <a:r>
                  <a:rPr lang="en-US"/>
                  <a:t>Student group</a:t>
                </a:r>
              </a:p>
            </c:rich>
          </c:tx>
          <c:layout/>
          <c:overlay val="0"/>
        </c:title>
        <c:numFmt formatCode="General" sourceLinked="1"/>
        <c:majorTickMark val="out"/>
        <c:minorTickMark val="none"/>
        <c:tickLblPos val="nextTo"/>
        <c:crossAx val="129609664"/>
        <c:crosses val="autoZero"/>
        <c:crossBetween val="midCat"/>
      </c:valAx>
      <c:valAx>
        <c:axId val="129609664"/>
        <c:scaling>
          <c:orientation val="minMax"/>
        </c:scaling>
        <c:delete val="0"/>
        <c:axPos val="l"/>
        <c:majorGridlines/>
        <c:minorGridlines/>
        <c:title>
          <c:tx>
            <c:rich>
              <a:bodyPr/>
              <a:lstStyle/>
              <a:p>
                <a:pPr>
                  <a:defRPr/>
                </a:pPr>
                <a:r>
                  <a:rPr lang="en-US"/>
                  <a:t>%</a:t>
                </a:r>
              </a:p>
            </c:rich>
          </c:tx>
          <c:layout/>
          <c:overlay val="0"/>
        </c:title>
        <c:numFmt formatCode="General" sourceLinked="1"/>
        <c:majorTickMark val="out"/>
        <c:minorTickMark val="none"/>
        <c:tickLblPos val="nextTo"/>
        <c:crossAx val="129606208"/>
        <c:crosses val="autoZero"/>
        <c:crossBetween val="midCat"/>
      </c:valAx>
    </c:plotArea>
    <c:legend>
      <c:legendPos val="r"/>
      <c:layout/>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CA2E415-4BE5-4E90-8845-1FCC7CEB5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411</Words>
  <Characters>2343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fad-ch</dc:creator>
  <cp:lastModifiedBy>Chris House</cp:lastModifiedBy>
  <cp:revision>3</cp:revision>
  <cp:lastPrinted>2013-06-12T10:49:00Z</cp:lastPrinted>
  <dcterms:created xsi:type="dcterms:W3CDTF">2015-06-17T08:20:00Z</dcterms:created>
  <dcterms:modified xsi:type="dcterms:W3CDTF">2015-06-17T08:20:00Z</dcterms:modified>
</cp:coreProperties>
</file>