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9513EB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57592">
        <w:rPr>
          <w:rFonts w:asciiTheme="minorBidi" w:hAnsiTheme="minorBidi"/>
          <w:sz w:val="28"/>
          <w:szCs w:val="28"/>
        </w:rPr>
        <w:t xml:space="preserve">Brenda Da Silva Rodrigues Marciano </w:t>
      </w:r>
    </w:p>
    <w:p w14:paraId="485B6F49" w14:textId="0CDEF5A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61319">
        <w:rPr>
          <w:rFonts w:asciiTheme="minorBidi" w:hAnsiTheme="minorBidi"/>
          <w:sz w:val="28"/>
          <w:szCs w:val="28"/>
        </w:rPr>
        <w:t>2509114</w:t>
      </w:r>
    </w:p>
    <w:p w14:paraId="3C1E7A20" w14:textId="6C432D0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948C7">
        <w:rPr>
          <w:rFonts w:asciiTheme="minorBidi" w:hAnsiTheme="minorBidi"/>
          <w:sz w:val="28"/>
          <w:szCs w:val="28"/>
        </w:rPr>
        <w:t>LCH</w:t>
      </w:r>
      <w:r w:rsidR="00C573DB">
        <w:rPr>
          <w:rFonts w:asciiTheme="minorBidi" w:hAnsiTheme="minorBidi"/>
          <w:sz w:val="28"/>
          <w:szCs w:val="28"/>
        </w:rPr>
        <w:t>S4008_LON</w:t>
      </w:r>
    </w:p>
    <w:p w14:paraId="4EEB2DA3" w14:textId="353EC84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573DB">
        <w:rPr>
          <w:rFonts w:asciiTheme="minorBidi" w:hAnsiTheme="minorBidi"/>
          <w:sz w:val="28"/>
          <w:szCs w:val="28"/>
        </w:rPr>
        <w:t>Int</w:t>
      </w:r>
      <w:r w:rsidR="00167CCE">
        <w:rPr>
          <w:rFonts w:asciiTheme="minorBidi" w:hAnsiTheme="minorBidi"/>
          <w:sz w:val="28"/>
          <w:szCs w:val="28"/>
        </w:rPr>
        <w:t>roduction to Public Health</w:t>
      </w:r>
    </w:p>
    <w:p w14:paraId="18DF9F85" w14:textId="23AAC7B7" w:rsidR="007454C4" w:rsidRPr="007454C4" w:rsidRDefault="00ED5964">
      <w:pPr>
        <w:pStyle w:val="p1"/>
        <w:rPr>
          <w:rFonts w:ascii="Arial" w:hAnsi="Arial" w:cs="Arial"/>
          <w:sz w:val="17"/>
          <w:szCs w:val="17"/>
        </w:rPr>
      </w:pPr>
      <w:r>
        <w:rPr>
          <w:rFonts w:asciiTheme="minorBidi" w:hAnsiTheme="minorBidi"/>
          <w:sz w:val="28"/>
          <w:szCs w:val="28"/>
        </w:rPr>
        <w:t>Lecturer:</w:t>
      </w:r>
      <w:r w:rsidR="007454C4" w:rsidRPr="007454C4">
        <w:rPr>
          <w:rFonts w:ascii="Arial-BoldMT" w:hAnsi="Arial-BoldMT" w:cs="Arial"/>
          <w:b/>
          <w:bCs/>
          <w:sz w:val="17"/>
          <w:szCs w:val="17"/>
        </w:rPr>
        <w:t xml:space="preserve"> </w:t>
      </w:r>
      <w:r w:rsidR="007454C4" w:rsidRPr="007454C4">
        <w:rPr>
          <w:rFonts w:ascii="Arial" w:hAnsi="Arial" w:cs="Arial"/>
          <w:sz w:val="22"/>
          <w:szCs w:val="22"/>
        </w:rPr>
        <w:t>Jolly Nwankwo</w:t>
      </w:r>
      <w:r w:rsidR="007454C4" w:rsidRPr="007454C4">
        <w:rPr>
          <w:rFonts w:ascii="Arial-BoldMT" w:hAnsi="Arial-BoldMT" w:cs="Arial"/>
          <w:b/>
          <w:bCs/>
          <w:sz w:val="17"/>
          <w:szCs w:val="17"/>
        </w:rPr>
        <w:t> </w:t>
      </w:r>
    </w:p>
    <w:p w14:paraId="112342CB" w14:textId="55F77AF8" w:rsidR="00ED5964" w:rsidRDefault="00ED5964" w:rsidP="00ED5964">
      <w:pPr>
        <w:jc w:val="both"/>
        <w:rPr>
          <w:rFonts w:asciiTheme="minorBidi" w:hAnsiTheme="minorBidi"/>
          <w:sz w:val="28"/>
          <w:szCs w:val="28"/>
        </w:rPr>
      </w:pPr>
    </w:p>
    <w:p w14:paraId="06BE2086" w14:textId="77777777" w:rsidR="00E4747B" w:rsidRDefault="00E4747B"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213574811"/>
        <w:docPartObj>
          <w:docPartGallery w:val="Table of Contents"/>
          <w:docPartUnique/>
        </w:docPartObj>
      </w:sdtPr>
      <w:sdtEndPr>
        <w:rPr>
          <w:b/>
          <w:noProof/>
        </w:rPr>
      </w:sdtEndPr>
      <w:sdtContent>
        <w:p w14:paraId="7514F2F0" w14:textId="3CF69C43" w:rsidR="009246B7" w:rsidRPr="009F779B" w:rsidRDefault="009246B7">
          <w:pPr>
            <w:pStyle w:val="TOCHeading"/>
            <w:rPr>
              <w:color w:val="000000" w:themeColor="text1"/>
            </w:rPr>
          </w:pPr>
          <w:r w:rsidRPr="009F779B">
            <w:rPr>
              <w:color w:val="000000" w:themeColor="text1"/>
            </w:rPr>
            <w:t>Table of Contents</w:t>
          </w:r>
        </w:p>
        <w:p w14:paraId="23C90291" w14:textId="58FA9558" w:rsidR="009F779B" w:rsidRDefault="009246B7">
          <w:pPr>
            <w:pStyle w:val="TOC2"/>
            <w:tabs>
              <w:tab w:val="right" w:leader="dot" w:pos="9016"/>
            </w:tabs>
            <w:rPr>
              <w:rFonts w:asciiTheme="minorHAnsi" w:hAnsiTheme="minorHAnsi"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7056644" w:history="1">
            <w:r w:rsidR="009F779B" w:rsidRPr="002F4EAC">
              <w:rPr>
                <w:rStyle w:val="Hyperlink"/>
                <w:rFonts w:ascii="Arial" w:eastAsia="Times New Roman" w:hAnsi="Arial" w:cs="Arial"/>
                <w:noProof/>
                <w:kern w:val="0"/>
                <w:lang w:eastAsia="en-GB"/>
                <w14:ligatures w14:val="none"/>
              </w:rPr>
              <w:t>1. Introduction</w:t>
            </w:r>
            <w:r w:rsidR="009F779B">
              <w:rPr>
                <w:noProof/>
                <w:webHidden/>
              </w:rPr>
              <w:tab/>
            </w:r>
            <w:r w:rsidR="009F779B">
              <w:rPr>
                <w:noProof/>
                <w:webHidden/>
              </w:rPr>
              <w:fldChar w:fldCharType="begin"/>
            </w:r>
            <w:r w:rsidR="009F779B">
              <w:rPr>
                <w:noProof/>
                <w:webHidden/>
              </w:rPr>
              <w:instrText xml:space="preserve"> PAGEREF _Toc227056644 \h </w:instrText>
            </w:r>
            <w:r w:rsidR="009F779B">
              <w:rPr>
                <w:noProof/>
                <w:webHidden/>
              </w:rPr>
            </w:r>
            <w:r w:rsidR="009F779B">
              <w:rPr>
                <w:noProof/>
                <w:webHidden/>
              </w:rPr>
              <w:fldChar w:fldCharType="separate"/>
            </w:r>
            <w:r w:rsidR="009F779B">
              <w:rPr>
                <w:noProof/>
                <w:webHidden/>
              </w:rPr>
              <w:t>2</w:t>
            </w:r>
            <w:r w:rsidR="009F779B">
              <w:rPr>
                <w:noProof/>
                <w:webHidden/>
              </w:rPr>
              <w:fldChar w:fldCharType="end"/>
            </w:r>
          </w:hyperlink>
        </w:p>
        <w:p w14:paraId="7174430C" w14:textId="5C1B31D0" w:rsidR="009F779B" w:rsidRDefault="009F779B">
          <w:pPr>
            <w:pStyle w:val="TOC2"/>
            <w:tabs>
              <w:tab w:val="right" w:leader="dot" w:pos="9016"/>
            </w:tabs>
            <w:rPr>
              <w:rFonts w:asciiTheme="minorHAnsi" w:hAnsiTheme="minorHAnsi" w:cstheme="minorBidi"/>
              <w:b w:val="0"/>
              <w:bCs w:val="0"/>
              <w:noProof/>
              <w:sz w:val="24"/>
              <w:szCs w:val="24"/>
              <w:lang w:eastAsia="en-GB"/>
            </w:rPr>
          </w:pPr>
          <w:hyperlink w:anchor="_Toc227056645" w:history="1">
            <w:r w:rsidRPr="002F4EAC">
              <w:rPr>
                <w:rStyle w:val="Hyperlink"/>
                <w:rFonts w:ascii="Arial" w:eastAsia="Times New Roman" w:hAnsi="Arial" w:cs="Arial"/>
                <w:noProof/>
                <w:kern w:val="0"/>
                <w:lang w:eastAsia="en-GB"/>
                <w14:ligatures w14:val="none"/>
              </w:rPr>
              <w:t>2. Approaches to Measuring and Monitoring Stroke</w:t>
            </w:r>
            <w:r>
              <w:rPr>
                <w:noProof/>
                <w:webHidden/>
              </w:rPr>
              <w:tab/>
            </w:r>
            <w:r>
              <w:rPr>
                <w:noProof/>
                <w:webHidden/>
              </w:rPr>
              <w:fldChar w:fldCharType="begin"/>
            </w:r>
            <w:r>
              <w:rPr>
                <w:noProof/>
                <w:webHidden/>
              </w:rPr>
              <w:instrText xml:space="preserve"> PAGEREF _Toc227056645 \h </w:instrText>
            </w:r>
            <w:r>
              <w:rPr>
                <w:noProof/>
                <w:webHidden/>
              </w:rPr>
            </w:r>
            <w:r>
              <w:rPr>
                <w:noProof/>
                <w:webHidden/>
              </w:rPr>
              <w:fldChar w:fldCharType="separate"/>
            </w:r>
            <w:r>
              <w:rPr>
                <w:noProof/>
                <w:webHidden/>
              </w:rPr>
              <w:t>2</w:t>
            </w:r>
            <w:r>
              <w:rPr>
                <w:noProof/>
                <w:webHidden/>
              </w:rPr>
              <w:fldChar w:fldCharType="end"/>
            </w:r>
          </w:hyperlink>
        </w:p>
        <w:p w14:paraId="143D236A" w14:textId="798366E0" w:rsidR="009F779B" w:rsidRDefault="009F779B">
          <w:pPr>
            <w:pStyle w:val="TOC2"/>
            <w:tabs>
              <w:tab w:val="right" w:leader="dot" w:pos="9016"/>
            </w:tabs>
            <w:rPr>
              <w:rFonts w:asciiTheme="minorHAnsi" w:hAnsiTheme="minorHAnsi" w:cstheme="minorBidi"/>
              <w:b w:val="0"/>
              <w:bCs w:val="0"/>
              <w:noProof/>
              <w:sz w:val="24"/>
              <w:szCs w:val="24"/>
              <w:lang w:eastAsia="en-GB"/>
            </w:rPr>
          </w:pPr>
          <w:hyperlink w:anchor="_Toc227056646" w:history="1">
            <w:r w:rsidRPr="002F4EAC">
              <w:rPr>
                <w:rStyle w:val="Hyperlink"/>
                <w:rFonts w:ascii="Arial" w:eastAsia="Times New Roman" w:hAnsi="Arial" w:cs="Arial"/>
                <w:noProof/>
                <w:kern w:val="0"/>
                <w:lang w:eastAsia="en-GB"/>
                <w14:ligatures w14:val="none"/>
              </w:rPr>
              <w:t>3. Control and Prevention of Stroke</w:t>
            </w:r>
            <w:r>
              <w:rPr>
                <w:noProof/>
                <w:webHidden/>
              </w:rPr>
              <w:tab/>
            </w:r>
            <w:r>
              <w:rPr>
                <w:noProof/>
                <w:webHidden/>
              </w:rPr>
              <w:fldChar w:fldCharType="begin"/>
            </w:r>
            <w:r>
              <w:rPr>
                <w:noProof/>
                <w:webHidden/>
              </w:rPr>
              <w:instrText xml:space="preserve"> PAGEREF _Toc227056646 \h </w:instrText>
            </w:r>
            <w:r>
              <w:rPr>
                <w:noProof/>
                <w:webHidden/>
              </w:rPr>
            </w:r>
            <w:r>
              <w:rPr>
                <w:noProof/>
                <w:webHidden/>
              </w:rPr>
              <w:fldChar w:fldCharType="separate"/>
            </w:r>
            <w:r>
              <w:rPr>
                <w:noProof/>
                <w:webHidden/>
              </w:rPr>
              <w:t>3</w:t>
            </w:r>
            <w:r>
              <w:rPr>
                <w:noProof/>
                <w:webHidden/>
              </w:rPr>
              <w:fldChar w:fldCharType="end"/>
            </w:r>
          </w:hyperlink>
        </w:p>
        <w:p w14:paraId="08845D52" w14:textId="68888876" w:rsidR="009F779B" w:rsidRDefault="009F779B">
          <w:pPr>
            <w:pStyle w:val="TOC2"/>
            <w:tabs>
              <w:tab w:val="right" w:leader="dot" w:pos="9016"/>
            </w:tabs>
            <w:rPr>
              <w:rFonts w:asciiTheme="minorHAnsi" w:hAnsiTheme="minorHAnsi" w:cstheme="minorBidi"/>
              <w:b w:val="0"/>
              <w:bCs w:val="0"/>
              <w:noProof/>
              <w:sz w:val="24"/>
              <w:szCs w:val="24"/>
              <w:lang w:eastAsia="en-GB"/>
            </w:rPr>
          </w:pPr>
          <w:hyperlink w:anchor="_Toc227056647" w:history="1">
            <w:r w:rsidRPr="002F4EAC">
              <w:rPr>
                <w:rStyle w:val="Hyperlink"/>
                <w:rFonts w:ascii="Arial" w:eastAsia="Times New Roman" w:hAnsi="Arial" w:cs="Arial"/>
                <w:noProof/>
                <w:kern w:val="0"/>
                <w:lang w:eastAsia="en-GB"/>
                <w14:ligatures w14:val="none"/>
              </w:rPr>
              <w:t>4. Consequences of Stroke on People in the Community</w:t>
            </w:r>
            <w:r>
              <w:rPr>
                <w:noProof/>
                <w:webHidden/>
              </w:rPr>
              <w:tab/>
            </w:r>
            <w:r>
              <w:rPr>
                <w:noProof/>
                <w:webHidden/>
              </w:rPr>
              <w:fldChar w:fldCharType="begin"/>
            </w:r>
            <w:r>
              <w:rPr>
                <w:noProof/>
                <w:webHidden/>
              </w:rPr>
              <w:instrText xml:space="preserve"> PAGEREF _Toc227056647 \h </w:instrText>
            </w:r>
            <w:r>
              <w:rPr>
                <w:noProof/>
                <w:webHidden/>
              </w:rPr>
            </w:r>
            <w:r>
              <w:rPr>
                <w:noProof/>
                <w:webHidden/>
              </w:rPr>
              <w:fldChar w:fldCharType="separate"/>
            </w:r>
            <w:r>
              <w:rPr>
                <w:noProof/>
                <w:webHidden/>
              </w:rPr>
              <w:t>3</w:t>
            </w:r>
            <w:r>
              <w:rPr>
                <w:noProof/>
                <w:webHidden/>
              </w:rPr>
              <w:fldChar w:fldCharType="end"/>
            </w:r>
          </w:hyperlink>
        </w:p>
        <w:p w14:paraId="58FCD506" w14:textId="55ADFA0E" w:rsidR="009F779B" w:rsidRDefault="009F779B">
          <w:pPr>
            <w:pStyle w:val="TOC2"/>
            <w:tabs>
              <w:tab w:val="right" w:leader="dot" w:pos="9016"/>
            </w:tabs>
            <w:rPr>
              <w:rFonts w:asciiTheme="minorHAnsi" w:hAnsiTheme="minorHAnsi" w:cstheme="minorBidi"/>
              <w:b w:val="0"/>
              <w:bCs w:val="0"/>
              <w:noProof/>
              <w:sz w:val="24"/>
              <w:szCs w:val="24"/>
              <w:lang w:eastAsia="en-GB"/>
            </w:rPr>
          </w:pPr>
          <w:hyperlink w:anchor="_Toc227056648" w:history="1">
            <w:r w:rsidRPr="002F4EAC">
              <w:rPr>
                <w:rStyle w:val="Hyperlink"/>
                <w:rFonts w:ascii="Arial" w:eastAsia="Times New Roman" w:hAnsi="Arial" w:cs="Arial"/>
                <w:noProof/>
                <w:kern w:val="0"/>
                <w:lang w:eastAsia="en-GB"/>
                <w14:ligatures w14:val="none"/>
              </w:rPr>
              <w:t>5. Health and Social Care Support Services</w:t>
            </w:r>
            <w:r>
              <w:rPr>
                <w:noProof/>
                <w:webHidden/>
              </w:rPr>
              <w:tab/>
            </w:r>
            <w:r>
              <w:rPr>
                <w:noProof/>
                <w:webHidden/>
              </w:rPr>
              <w:fldChar w:fldCharType="begin"/>
            </w:r>
            <w:r>
              <w:rPr>
                <w:noProof/>
                <w:webHidden/>
              </w:rPr>
              <w:instrText xml:space="preserve"> PAGEREF _Toc227056648 \h </w:instrText>
            </w:r>
            <w:r>
              <w:rPr>
                <w:noProof/>
                <w:webHidden/>
              </w:rPr>
            </w:r>
            <w:r>
              <w:rPr>
                <w:noProof/>
                <w:webHidden/>
              </w:rPr>
              <w:fldChar w:fldCharType="separate"/>
            </w:r>
            <w:r>
              <w:rPr>
                <w:noProof/>
                <w:webHidden/>
              </w:rPr>
              <w:t>4</w:t>
            </w:r>
            <w:r>
              <w:rPr>
                <w:noProof/>
                <w:webHidden/>
              </w:rPr>
              <w:fldChar w:fldCharType="end"/>
            </w:r>
          </w:hyperlink>
        </w:p>
        <w:p w14:paraId="768536E5" w14:textId="63EF32B1" w:rsidR="009F779B" w:rsidRDefault="009F779B">
          <w:pPr>
            <w:pStyle w:val="TOC2"/>
            <w:tabs>
              <w:tab w:val="right" w:leader="dot" w:pos="9016"/>
            </w:tabs>
            <w:rPr>
              <w:rFonts w:asciiTheme="minorHAnsi" w:hAnsiTheme="minorHAnsi" w:cstheme="minorBidi"/>
              <w:b w:val="0"/>
              <w:bCs w:val="0"/>
              <w:noProof/>
              <w:sz w:val="24"/>
              <w:szCs w:val="24"/>
              <w:lang w:eastAsia="en-GB"/>
            </w:rPr>
          </w:pPr>
          <w:hyperlink w:anchor="_Toc227056649" w:history="1">
            <w:r w:rsidRPr="002F4EAC">
              <w:rPr>
                <w:rStyle w:val="Hyperlink"/>
                <w:rFonts w:ascii="Arial" w:eastAsia="Times New Roman" w:hAnsi="Arial" w:cs="Arial"/>
                <w:noProof/>
                <w:kern w:val="0"/>
                <w:lang w:eastAsia="en-GB"/>
                <w14:ligatures w14:val="none"/>
              </w:rPr>
              <w:t>6. Conclusion</w:t>
            </w:r>
            <w:r>
              <w:rPr>
                <w:noProof/>
                <w:webHidden/>
              </w:rPr>
              <w:tab/>
            </w:r>
            <w:r>
              <w:rPr>
                <w:noProof/>
                <w:webHidden/>
              </w:rPr>
              <w:fldChar w:fldCharType="begin"/>
            </w:r>
            <w:r>
              <w:rPr>
                <w:noProof/>
                <w:webHidden/>
              </w:rPr>
              <w:instrText xml:space="preserve"> PAGEREF _Toc227056649 \h </w:instrText>
            </w:r>
            <w:r>
              <w:rPr>
                <w:noProof/>
                <w:webHidden/>
              </w:rPr>
            </w:r>
            <w:r>
              <w:rPr>
                <w:noProof/>
                <w:webHidden/>
              </w:rPr>
              <w:fldChar w:fldCharType="separate"/>
            </w:r>
            <w:r>
              <w:rPr>
                <w:noProof/>
                <w:webHidden/>
              </w:rPr>
              <w:t>5</w:t>
            </w:r>
            <w:r>
              <w:rPr>
                <w:noProof/>
                <w:webHidden/>
              </w:rPr>
              <w:fldChar w:fldCharType="end"/>
            </w:r>
          </w:hyperlink>
        </w:p>
        <w:p w14:paraId="6F97E8B9" w14:textId="2FA59E3D" w:rsidR="009F779B" w:rsidRDefault="009F779B">
          <w:pPr>
            <w:pStyle w:val="TOC2"/>
            <w:tabs>
              <w:tab w:val="right" w:leader="dot" w:pos="9016"/>
            </w:tabs>
            <w:rPr>
              <w:rFonts w:asciiTheme="minorHAnsi" w:hAnsiTheme="minorHAnsi" w:cstheme="minorBidi"/>
              <w:b w:val="0"/>
              <w:bCs w:val="0"/>
              <w:noProof/>
              <w:sz w:val="24"/>
              <w:szCs w:val="24"/>
              <w:lang w:eastAsia="en-GB"/>
            </w:rPr>
          </w:pPr>
          <w:hyperlink w:anchor="_Toc227056650" w:history="1">
            <w:r w:rsidRPr="002F4EAC">
              <w:rPr>
                <w:rStyle w:val="Hyperlink"/>
                <w:rFonts w:ascii="Arial" w:eastAsia="Times New Roman" w:hAnsi="Arial" w:cs="Arial"/>
                <w:noProof/>
                <w:kern w:val="0"/>
                <w:lang w:eastAsia="en-GB"/>
                <w14:ligatures w14:val="none"/>
              </w:rPr>
              <w:t>References:</w:t>
            </w:r>
            <w:r>
              <w:rPr>
                <w:noProof/>
                <w:webHidden/>
              </w:rPr>
              <w:tab/>
            </w:r>
            <w:r>
              <w:rPr>
                <w:noProof/>
                <w:webHidden/>
              </w:rPr>
              <w:fldChar w:fldCharType="begin"/>
            </w:r>
            <w:r>
              <w:rPr>
                <w:noProof/>
                <w:webHidden/>
              </w:rPr>
              <w:instrText xml:space="preserve"> PAGEREF _Toc227056650 \h </w:instrText>
            </w:r>
            <w:r>
              <w:rPr>
                <w:noProof/>
                <w:webHidden/>
              </w:rPr>
            </w:r>
            <w:r>
              <w:rPr>
                <w:noProof/>
                <w:webHidden/>
              </w:rPr>
              <w:fldChar w:fldCharType="separate"/>
            </w:r>
            <w:r>
              <w:rPr>
                <w:noProof/>
                <w:webHidden/>
              </w:rPr>
              <w:t>5</w:t>
            </w:r>
            <w:r>
              <w:rPr>
                <w:noProof/>
                <w:webHidden/>
              </w:rPr>
              <w:fldChar w:fldCharType="end"/>
            </w:r>
          </w:hyperlink>
        </w:p>
        <w:p w14:paraId="3FB8D088" w14:textId="31C7F2E0" w:rsidR="009246B7" w:rsidRDefault="009246B7">
          <w:r>
            <w:rPr>
              <w:b/>
              <w:bCs/>
              <w:noProof/>
            </w:rPr>
            <w:fldChar w:fldCharType="end"/>
          </w:r>
        </w:p>
      </w:sdtContent>
    </w:sdt>
    <w:p w14:paraId="32FA35F9" w14:textId="77777777" w:rsidR="00FA026C" w:rsidRDefault="00FA026C" w:rsidP="00FA026C">
      <w:pPr>
        <w:jc w:val="both"/>
        <w:rPr>
          <w:rFonts w:asciiTheme="minorBidi" w:hAnsiTheme="minorBidi"/>
          <w:sz w:val="28"/>
          <w:szCs w:val="28"/>
        </w:rPr>
      </w:pPr>
    </w:p>
    <w:p w14:paraId="133D600F" w14:textId="77777777" w:rsidR="00F960A7" w:rsidRDefault="00F960A7" w:rsidP="00FA026C">
      <w:pPr>
        <w:jc w:val="both"/>
        <w:rPr>
          <w:rFonts w:ascii="Arial" w:eastAsia="Times New Roman" w:hAnsi="Arial" w:cs="Arial"/>
          <w:b/>
          <w:bCs/>
          <w:color w:val="000000"/>
          <w:kern w:val="36"/>
          <w:sz w:val="22"/>
          <w:lang w:eastAsia="en-GB"/>
          <w14:ligatures w14:val="none"/>
        </w:rPr>
      </w:pPr>
    </w:p>
    <w:p w14:paraId="35F3393B" w14:textId="77777777" w:rsidR="00F960A7" w:rsidRDefault="00F960A7" w:rsidP="00FA026C">
      <w:pPr>
        <w:jc w:val="both"/>
        <w:rPr>
          <w:rFonts w:ascii="Arial" w:eastAsia="Times New Roman" w:hAnsi="Arial" w:cs="Arial"/>
          <w:b/>
          <w:bCs/>
          <w:color w:val="000000"/>
          <w:kern w:val="36"/>
          <w:sz w:val="22"/>
          <w:lang w:eastAsia="en-GB"/>
          <w14:ligatures w14:val="none"/>
        </w:rPr>
      </w:pPr>
    </w:p>
    <w:p w14:paraId="2A076F6A" w14:textId="76470066" w:rsidR="007B4551" w:rsidRDefault="007B4551" w:rsidP="00FA026C">
      <w:pPr>
        <w:jc w:val="both"/>
        <w:rPr>
          <w:rFonts w:ascii="Arial" w:eastAsia="Times New Roman" w:hAnsi="Arial" w:cs="Arial"/>
          <w:b/>
          <w:bCs/>
          <w:color w:val="000000"/>
          <w:kern w:val="36"/>
          <w:sz w:val="22"/>
          <w:lang w:eastAsia="en-GB"/>
          <w14:ligatures w14:val="none"/>
        </w:rPr>
      </w:pPr>
      <w:r w:rsidRPr="002B165D">
        <w:rPr>
          <w:rFonts w:ascii="Arial" w:eastAsia="Times New Roman" w:hAnsi="Arial" w:cs="Arial"/>
          <w:b/>
          <w:bCs/>
          <w:color w:val="000000"/>
          <w:kern w:val="36"/>
          <w:sz w:val="22"/>
          <w:lang w:eastAsia="en-GB"/>
          <w14:ligatures w14:val="none"/>
        </w:rPr>
        <w:t>Health and Social Care Report:The Impact and Management of Stroke</w:t>
      </w:r>
    </w:p>
    <w:p w14:paraId="204D7330" w14:textId="77777777" w:rsidR="00FA026C" w:rsidRPr="00FA026C" w:rsidRDefault="00FA026C" w:rsidP="00FA026C">
      <w:pPr>
        <w:jc w:val="both"/>
        <w:rPr>
          <w:rFonts w:asciiTheme="minorBidi" w:hAnsiTheme="minorBidi"/>
          <w:sz w:val="28"/>
          <w:szCs w:val="28"/>
        </w:rPr>
      </w:pPr>
    </w:p>
    <w:p w14:paraId="7A4A0168" w14:textId="77777777" w:rsidR="007B4551" w:rsidRPr="002B165D" w:rsidRDefault="007B4551" w:rsidP="007B4551">
      <w:pPr>
        <w:spacing w:after="100" w:afterAutospacing="1" w:line="240" w:lineRule="auto"/>
        <w:outlineLvl w:val="1"/>
        <w:rPr>
          <w:rFonts w:ascii="Arial" w:eastAsia="Times New Roman" w:hAnsi="Arial" w:cs="Arial"/>
          <w:b/>
          <w:bCs/>
          <w:color w:val="000000"/>
          <w:kern w:val="0"/>
          <w:sz w:val="22"/>
          <w:lang w:eastAsia="en-GB"/>
          <w14:ligatures w14:val="none"/>
        </w:rPr>
      </w:pPr>
      <w:bookmarkStart w:id="0" w:name="_Toc227056483"/>
      <w:bookmarkStart w:id="1" w:name="_Toc227056533"/>
      <w:bookmarkStart w:id="2" w:name="_Toc227056644"/>
      <w:r w:rsidRPr="002B165D">
        <w:rPr>
          <w:rFonts w:ascii="Arial" w:eastAsia="Times New Roman" w:hAnsi="Arial" w:cs="Arial"/>
          <w:b/>
          <w:bCs/>
          <w:color w:val="000000"/>
          <w:kern w:val="0"/>
          <w:sz w:val="22"/>
          <w:lang w:eastAsia="en-GB"/>
          <w14:ligatures w14:val="none"/>
        </w:rPr>
        <w:t>1. Introduction</w:t>
      </w:r>
      <w:bookmarkEnd w:id="0"/>
      <w:bookmarkEnd w:id="1"/>
      <w:bookmarkEnd w:id="2"/>
    </w:p>
    <w:p w14:paraId="0424F310" w14:textId="182BD1A4" w:rsidR="007B4551" w:rsidRPr="00E224D5" w:rsidRDefault="00DE47E9" w:rsidP="007B4551">
      <w:pPr>
        <w:spacing w:after="100" w:afterAutospacing="1" w:line="240" w:lineRule="auto"/>
        <w:rPr>
          <w:rFonts w:ascii="Arial" w:hAnsi="Arial" w:cs="Arial"/>
          <w:color w:val="000000"/>
          <w:kern w:val="0"/>
          <w:sz w:val="22"/>
          <w:lang w:eastAsia="en-GB"/>
          <w14:ligatures w14:val="none"/>
        </w:rPr>
      </w:pPr>
      <w:r w:rsidRPr="00E224D5">
        <w:rPr>
          <w:rFonts w:ascii="Arial" w:eastAsia="Times New Roman" w:hAnsi="Arial" w:cs="Arial"/>
          <w:color w:val="000000"/>
          <w:sz w:val="22"/>
        </w:rPr>
        <w:t>A stroke,</w:t>
      </w:r>
      <w:r w:rsidRPr="00E224D5">
        <w:rPr>
          <w:rStyle w:val="apple-converted-space"/>
          <w:rFonts w:ascii="Arial" w:eastAsia="Times New Roman" w:hAnsi="Arial" w:cs="Arial"/>
          <w:color w:val="000000"/>
          <w:sz w:val="22"/>
        </w:rPr>
        <w:t> </w:t>
      </w:r>
      <w:r w:rsidRPr="00E224D5">
        <w:rPr>
          <w:rFonts w:ascii="Arial" w:eastAsia="Times New Roman" w:hAnsi="Arial" w:cs="Arial"/>
          <w:color w:val="000000"/>
          <w:sz w:val="22"/>
        </w:rPr>
        <w:t>clinically</w:t>
      </w:r>
      <w:r w:rsidRPr="00E224D5">
        <w:rPr>
          <w:rStyle w:val="apple-converted-space"/>
          <w:rFonts w:ascii="Arial" w:eastAsia="Times New Roman" w:hAnsi="Arial" w:cs="Arial"/>
          <w:color w:val="000000"/>
          <w:sz w:val="22"/>
        </w:rPr>
        <w:t> </w:t>
      </w:r>
      <w:r w:rsidRPr="00E224D5">
        <w:rPr>
          <w:rFonts w:ascii="Arial" w:eastAsia="Times New Roman" w:hAnsi="Arial" w:cs="Arial"/>
          <w:color w:val="000000"/>
          <w:sz w:val="22"/>
        </w:rPr>
        <w:t>known as a cerebrovascular accident (CVA), is a critical medical emergency that</w:t>
      </w:r>
      <w:r w:rsidRPr="00E224D5">
        <w:rPr>
          <w:rStyle w:val="apple-converted-space"/>
          <w:rFonts w:ascii="Arial" w:eastAsia="Times New Roman" w:hAnsi="Arial" w:cs="Arial"/>
          <w:color w:val="000000"/>
          <w:sz w:val="22"/>
        </w:rPr>
        <w:t> </w:t>
      </w:r>
      <w:r w:rsidRPr="00E224D5">
        <w:rPr>
          <w:rFonts w:ascii="Arial" w:eastAsia="Times New Roman" w:hAnsi="Arial" w:cs="Arial"/>
          <w:color w:val="000000"/>
          <w:sz w:val="22"/>
        </w:rPr>
        <w:t>happens</w:t>
      </w:r>
      <w:r w:rsidRPr="00E224D5">
        <w:rPr>
          <w:rStyle w:val="apple-converted-space"/>
          <w:rFonts w:ascii="Arial" w:eastAsia="Times New Roman" w:hAnsi="Arial" w:cs="Arial"/>
          <w:color w:val="000000"/>
          <w:sz w:val="22"/>
        </w:rPr>
        <w:t> </w:t>
      </w:r>
      <w:r w:rsidRPr="00E224D5">
        <w:rPr>
          <w:rFonts w:ascii="Arial" w:eastAsia="Times New Roman" w:hAnsi="Arial" w:cs="Arial"/>
          <w:color w:val="000000"/>
          <w:sz w:val="22"/>
        </w:rPr>
        <w:t>when the blood supply to part of the brain is interrupted or reduced, preventing brain</w:t>
      </w:r>
      <w:r w:rsidRPr="00E224D5">
        <w:rPr>
          <w:rStyle w:val="apple-converted-space"/>
          <w:rFonts w:ascii="Arial" w:eastAsia="Times New Roman" w:hAnsi="Arial" w:cs="Arial"/>
          <w:color w:val="000000"/>
          <w:sz w:val="22"/>
        </w:rPr>
        <w:t> </w:t>
      </w:r>
      <w:r w:rsidRPr="00E224D5">
        <w:rPr>
          <w:rFonts w:ascii="Arial" w:eastAsia="Times New Roman" w:hAnsi="Arial" w:cs="Arial"/>
          <w:color w:val="000000"/>
          <w:sz w:val="22"/>
        </w:rPr>
        <w:t>tissue</w:t>
      </w:r>
      <w:r w:rsidRPr="00E224D5">
        <w:rPr>
          <w:rStyle w:val="apple-converted-space"/>
          <w:rFonts w:ascii="Arial" w:eastAsia="Times New Roman" w:hAnsi="Arial" w:cs="Arial"/>
          <w:color w:val="000000"/>
          <w:sz w:val="22"/>
        </w:rPr>
        <w:t> </w:t>
      </w:r>
      <w:r w:rsidRPr="00E224D5">
        <w:rPr>
          <w:rFonts w:ascii="Arial" w:eastAsia="Times New Roman" w:hAnsi="Arial" w:cs="Arial"/>
          <w:color w:val="000000"/>
          <w:sz w:val="22"/>
        </w:rPr>
        <w:t>from getting oxygen and nutrients. Within minutes, brain cells begin to die, leading to potential</w:t>
      </w:r>
      <w:r w:rsidRPr="00E224D5">
        <w:rPr>
          <w:rStyle w:val="apple-converted-space"/>
          <w:rFonts w:ascii="Arial" w:eastAsia="Times New Roman" w:hAnsi="Arial" w:cs="Arial"/>
          <w:color w:val="000000"/>
          <w:sz w:val="22"/>
        </w:rPr>
        <w:t> </w:t>
      </w:r>
      <w:r w:rsidRPr="00E224D5">
        <w:rPr>
          <w:rFonts w:ascii="Arial" w:eastAsia="Times New Roman" w:hAnsi="Arial" w:cs="Arial"/>
          <w:color w:val="000000"/>
          <w:sz w:val="22"/>
        </w:rPr>
        <w:t>long-term</w:t>
      </w:r>
      <w:r w:rsidRPr="00E224D5">
        <w:rPr>
          <w:rStyle w:val="apple-converted-space"/>
          <w:rFonts w:ascii="Arial" w:eastAsia="Times New Roman" w:hAnsi="Arial" w:cs="Arial"/>
          <w:color w:val="000000"/>
          <w:sz w:val="22"/>
        </w:rPr>
        <w:t> </w:t>
      </w:r>
      <w:r w:rsidRPr="00E224D5">
        <w:rPr>
          <w:rFonts w:ascii="Arial" w:eastAsia="Times New Roman" w:hAnsi="Arial" w:cs="Arial"/>
          <w:color w:val="000000"/>
          <w:sz w:val="22"/>
        </w:rPr>
        <w:t>disability or death.</w:t>
      </w:r>
      <w:r w:rsidR="007B4551" w:rsidRPr="00E224D5">
        <w:rPr>
          <w:rFonts w:ascii="Arial" w:hAnsi="Arial" w:cs="Arial"/>
          <w:color w:val="000000"/>
          <w:kern w:val="0"/>
          <w:sz w:val="22"/>
          <w:lang w:eastAsia="en-GB"/>
          <w14:ligatures w14:val="none"/>
        </w:rPr>
        <w:t>Strokes are generally classified into two main types: ischaemic, caused by a blockage in an artery, and haemorrhagic, caused by the leaking or bursting of a blood vessel. The signs and symptoms of a stroke are most commonly identified using the FAST acronym, which stands for Face drooping, Arm weakness, Speech difficulties, and Time to call emergency services. Other symptoms may include sudden confusion, trouble seeing in one or both eyes, and a sudden severe headache with no known cause.</w:t>
      </w:r>
    </w:p>
    <w:p w14:paraId="188D5F18" w14:textId="77777777" w:rsidR="007B4551"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The severity of stroke as a global health issue cannot be overstated. Worldwide, stroke remains the second leading cause of death and the third leading cause of disability. According to the World Stroke Organization, there are over 12 million new strokes each year. In the United Kingdom, the statistics are equally sobering. The Stroke Association reports that there are approximately 100,000 strokes annually, equating to one every five minutes. There are over 1.3 million stroke survivors in the UK, many of whom live with complex disabilities. These levels of incidence demonstrate that stroke is not just a clinical challenge but a significant socioeconomic burden that requires robust public health strategies and integrated care systems.</w:t>
      </w:r>
    </w:p>
    <w:p w14:paraId="4AA581EA" w14:textId="77777777" w:rsidR="00FA026C" w:rsidRPr="002B165D" w:rsidRDefault="00FA026C" w:rsidP="007B4551">
      <w:pPr>
        <w:spacing w:after="100" w:afterAutospacing="1" w:line="240" w:lineRule="auto"/>
        <w:rPr>
          <w:rFonts w:ascii="Arial" w:hAnsi="Arial" w:cs="Arial"/>
          <w:color w:val="000000"/>
          <w:kern w:val="0"/>
          <w:sz w:val="22"/>
          <w:lang w:eastAsia="en-GB"/>
          <w14:ligatures w14:val="none"/>
        </w:rPr>
      </w:pPr>
    </w:p>
    <w:p w14:paraId="0285CAA1" w14:textId="77777777" w:rsidR="007B4551" w:rsidRPr="002B165D" w:rsidRDefault="007B4551" w:rsidP="007B4551">
      <w:pPr>
        <w:spacing w:after="100" w:afterAutospacing="1" w:line="240" w:lineRule="auto"/>
        <w:outlineLvl w:val="1"/>
        <w:rPr>
          <w:rFonts w:ascii="Arial" w:eastAsia="Times New Roman" w:hAnsi="Arial" w:cs="Arial"/>
          <w:b/>
          <w:bCs/>
          <w:color w:val="000000"/>
          <w:kern w:val="0"/>
          <w:sz w:val="22"/>
          <w:lang w:eastAsia="en-GB"/>
          <w14:ligatures w14:val="none"/>
        </w:rPr>
      </w:pPr>
      <w:bookmarkStart w:id="3" w:name="_Toc227056484"/>
      <w:bookmarkStart w:id="4" w:name="_Toc227056534"/>
      <w:bookmarkStart w:id="5" w:name="_Toc227056645"/>
      <w:r w:rsidRPr="002B165D">
        <w:rPr>
          <w:rFonts w:ascii="Arial" w:eastAsia="Times New Roman" w:hAnsi="Arial" w:cs="Arial"/>
          <w:b/>
          <w:bCs/>
          <w:color w:val="000000"/>
          <w:kern w:val="0"/>
          <w:sz w:val="22"/>
          <w:lang w:eastAsia="en-GB"/>
          <w14:ligatures w14:val="none"/>
        </w:rPr>
        <w:t>2. Approaches to Measuring and Monitoring Stroke</w:t>
      </w:r>
      <w:bookmarkEnd w:id="3"/>
      <w:bookmarkEnd w:id="4"/>
      <w:bookmarkEnd w:id="5"/>
    </w:p>
    <w:p w14:paraId="61BB2AB9"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The measurement and monitoring of stroke involve a sophisticated combination of clinical assessment tools, advanced imaging technology, and longitudinal data collection. At the acute stage, the primary objective is to measure the severity of the neurological deficit. The National Institutes of Health Stroke Scale (NIHSS) is the gold standard for this purpose. It is a systematic assessment tool that allows healthcare professionals to quantify the impairment caused by a stroke across several domains, including level of consciousness, visual fields, motor function, sensation, and language. Monitoring the NIHSS score over time provides critical data on whether a patient’s condition is improving or deteriorating, which directly informs the immediate clinical pathway, such as the decision to administer thrombolysis or perform a thrombectomy.</w:t>
      </w:r>
    </w:p>
    <w:p w14:paraId="6462E9CD" w14:textId="231D89F5"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Following the initial clinical assessment, neuroimaging is the most critical approach for monitoring the physical state of the brain. Computed Tomography (CT) scans are typically the first line of defence in the UK’s National Health Service (NHS) because of their speed and availability, allowing clinicians to immediately rule out haemorrhage. However, Magnetic Resonance Imaging (MRI) provides a more detailed measurement of the extent of ischaemic damage and can identify "penumbra"</w:t>
      </w:r>
      <w:r w:rsidR="00E224D5">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areas of brain tissue that are at risk but still salvageable. In the longer term, monitoring involves carotid ultrasound to measure the degree of stenosis in the neck arteries and echocardiograms to monitor for atrial fibrillation, a leading risk factor for recurrent strokes.</w:t>
      </w:r>
    </w:p>
    <w:p w14:paraId="41B05236" w14:textId="390F6412"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lastRenderedPageBreak/>
        <w:t>Beyond the individual clinical level, stroke is monitored at a population level through comprehensive registries such as the Sentinel Stroke National Audit Programme (SSNAP) in the UK. This programme measures the quality of care provided by hospitals against national standards, such as how quickly patients are admitted to a specialist stroke unit and how much therapy time they receive. Monitoring these metrics is essential for reducing regional health inequalities and ensuring that all patients receive evidence</w:t>
      </w:r>
      <w:r w:rsidR="00E9463F">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based care. For the survivor, long</w:t>
      </w:r>
      <w:r w:rsidR="00E9463F">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term monitoring often shifts toward functional outcome measures, such as the Modified Rankin Scale (mRS) or the Barthel Index, which measure the degree of disability and dependence in daily activities. These tools allow social care services to quantify the level of support a person requires as they transition from hospital to the community.</w:t>
      </w:r>
    </w:p>
    <w:p w14:paraId="2338C4BD" w14:textId="77777777" w:rsidR="00FA026C" w:rsidRDefault="00FA026C" w:rsidP="007B4551">
      <w:pPr>
        <w:spacing w:after="100" w:afterAutospacing="1" w:line="240" w:lineRule="auto"/>
        <w:outlineLvl w:val="1"/>
        <w:rPr>
          <w:rFonts w:ascii="Arial" w:eastAsia="Times New Roman" w:hAnsi="Arial" w:cs="Arial"/>
          <w:b/>
          <w:bCs/>
          <w:color w:val="000000"/>
          <w:kern w:val="0"/>
          <w:sz w:val="22"/>
          <w:lang w:eastAsia="en-GB"/>
          <w14:ligatures w14:val="none"/>
        </w:rPr>
      </w:pPr>
    </w:p>
    <w:p w14:paraId="244EBB4F" w14:textId="4A75C5F9" w:rsidR="007B4551" w:rsidRPr="002B165D" w:rsidRDefault="007B4551" w:rsidP="007B4551">
      <w:pPr>
        <w:spacing w:after="100" w:afterAutospacing="1" w:line="240" w:lineRule="auto"/>
        <w:outlineLvl w:val="1"/>
        <w:rPr>
          <w:rFonts w:ascii="Arial" w:eastAsia="Times New Roman" w:hAnsi="Arial" w:cs="Arial"/>
          <w:b/>
          <w:bCs/>
          <w:color w:val="000000"/>
          <w:kern w:val="0"/>
          <w:sz w:val="22"/>
          <w:lang w:eastAsia="en-GB"/>
          <w14:ligatures w14:val="none"/>
        </w:rPr>
      </w:pPr>
      <w:bookmarkStart w:id="6" w:name="_Toc227056485"/>
      <w:bookmarkStart w:id="7" w:name="_Toc227056535"/>
      <w:bookmarkStart w:id="8" w:name="_Toc227056646"/>
      <w:r w:rsidRPr="002B165D">
        <w:rPr>
          <w:rFonts w:ascii="Arial" w:eastAsia="Times New Roman" w:hAnsi="Arial" w:cs="Arial"/>
          <w:b/>
          <w:bCs/>
          <w:color w:val="000000"/>
          <w:kern w:val="0"/>
          <w:sz w:val="22"/>
          <w:lang w:eastAsia="en-GB"/>
          <w14:ligatures w14:val="none"/>
        </w:rPr>
        <w:t>3. Control and Prevention of Stroke</w:t>
      </w:r>
      <w:bookmarkEnd w:id="6"/>
      <w:bookmarkEnd w:id="7"/>
      <w:bookmarkEnd w:id="8"/>
    </w:p>
    <w:p w14:paraId="7B74896E" w14:textId="7C49028C"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The control of stroke is divided into primary prevention, which focuses on reducing the incidence of the disease in the general population, and secondary prevention, aimed at preventing a recurrence in those who have already suffered a stroke. Public health initiatives in the UK focus heavily on the ABCD of stroke prevention Age, Blood pressure, Cholesterol, and Diabetes. Hypertension is the single most important modifiable risk factor. Controlling blood pressure through a combination of lifestyle changes</w:t>
      </w:r>
      <w:r w:rsidR="007F17A2">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such as reducing salt intake and increasing physical activity</w:t>
      </w:r>
      <w:r w:rsidR="007F17A2">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and pharmacological interventions is estimated to prevent up to 50% of all strokes. National screening programmes in primary care, such as the NHS Health Check, are vital for identifying high-risk individuals before a catastrophic event occurs.</w:t>
      </w:r>
    </w:p>
    <w:p w14:paraId="40C948F5" w14:textId="22A7CCDE"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Secondary prevention is equally rigorous and relies on a multidisciplinary medical approach. For ischaemic stroke survivors, antiplatelet therapy (such as aspirin or clopidogrel) or anticoagulation (for those with atrial fibrillation) is standard. Cholesterol control through statins is also a cornerstone of long</w:t>
      </w:r>
      <w:r w:rsidR="00254071">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 xml:space="preserve">term management to prevent the buildup of plaque in the arteries. Furthermore, surgical interventions like carotid endarterectomy can be used to control the risk of stroke in patients with significant arterial blockage. Control also involves intensive education for the patient and their family. Understanding the risk of </w:t>
      </w:r>
      <w:r w:rsidR="004039DB">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Transient Ischaemic Attacks (TIAs), often called mini-strokes, is crucial, as these serve as warning signs that a major stroke may be imminent. Rapid access TIA clinics in the UK ensure that these patients are assessed within 24 hours, significantly reducing the long</w:t>
      </w:r>
      <w:r w:rsidR="00EF74C5">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term incidence of full</w:t>
      </w:r>
      <w:r w:rsidR="00EF74C5">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scale strokes.</w:t>
      </w:r>
    </w:p>
    <w:p w14:paraId="0500AC8F" w14:textId="4A7E310A"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At a societal level, control is exerted through legislative and environmental changes. Tobacco control policies, such as the ban on smoking in public places and high taxation on cigarettes, have had a direct impact on reducing stroke rates. Similarly, efforts to regulate the sugar and salt content in processed foods address the underlying causes of obesity and diabetes, which are significant contributors to stroke risk. However, control is not just about medicine</w:t>
      </w:r>
      <w:r w:rsidR="0044640B">
        <w:rPr>
          <w:rFonts w:ascii="Arial" w:hAnsi="Arial" w:cs="Arial"/>
          <w:color w:val="000000"/>
          <w:kern w:val="0"/>
          <w:sz w:val="22"/>
          <w:lang w:eastAsia="en-GB"/>
          <w14:ligatures w14:val="none"/>
        </w:rPr>
        <w:t>,</w:t>
      </w:r>
      <w:r w:rsidRPr="002B165D">
        <w:rPr>
          <w:rFonts w:ascii="Arial" w:hAnsi="Arial" w:cs="Arial"/>
          <w:color w:val="000000"/>
          <w:kern w:val="0"/>
          <w:sz w:val="22"/>
          <w:lang w:eastAsia="en-GB"/>
          <w14:ligatures w14:val="none"/>
        </w:rPr>
        <w:t>it is about social equity. Data suggests that individuals from deprived backgrounds or certain ethnic minorities, such as South Asian or Afro-Caribbean communities, are at a higher risk of stroke. Therefore, targeted community outreach and culturally competent health education are essential components of an effective national control strategy.</w:t>
      </w:r>
    </w:p>
    <w:p w14:paraId="6002D5C5" w14:textId="77777777" w:rsidR="00FA026C" w:rsidRDefault="00FA026C" w:rsidP="007B4551">
      <w:pPr>
        <w:spacing w:after="100" w:afterAutospacing="1" w:line="240" w:lineRule="auto"/>
        <w:outlineLvl w:val="1"/>
        <w:rPr>
          <w:rFonts w:ascii="Arial" w:eastAsia="Times New Roman" w:hAnsi="Arial" w:cs="Arial"/>
          <w:b/>
          <w:bCs/>
          <w:color w:val="000000"/>
          <w:kern w:val="0"/>
          <w:sz w:val="22"/>
          <w:lang w:eastAsia="en-GB"/>
          <w14:ligatures w14:val="none"/>
        </w:rPr>
      </w:pPr>
    </w:p>
    <w:p w14:paraId="05E89D5B" w14:textId="67CFBDA2" w:rsidR="007B4551" w:rsidRPr="002B165D" w:rsidRDefault="007B4551" w:rsidP="007B4551">
      <w:pPr>
        <w:spacing w:after="100" w:afterAutospacing="1" w:line="240" w:lineRule="auto"/>
        <w:outlineLvl w:val="1"/>
        <w:rPr>
          <w:rFonts w:ascii="Arial" w:eastAsia="Times New Roman" w:hAnsi="Arial" w:cs="Arial"/>
          <w:b/>
          <w:bCs/>
          <w:color w:val="000000"/>
          <w:kern w:val="0"/>
          <w:sz w:val="22"/>
          <w:lang w:eastAsia="en-GB"/>
          <w14:ligatures w14:val="none"/>
        </w:rPr>
      </w:pPr>
      <w:bookmarkStart w:id="9" w:name="_Toc227056486"/>
      <w:bookmarkStart w:id="10" w:name="_Toc227056536"/>
      <w:bookmarkStart w:id="11" w:name="_Toc227056647"/>
      <w:r w:rsidRPr="002B165D">
        <w:rPr>
          <w:rFonts w:ascii="Arial" w:eastAsia="Times New Roman" w:hAnsi="Arial" w:cs="Arial"/>
          <w:b/>
          <w:bCs/>
          <w:color w:val="000000"/>
          <w:kern w:val="0"/>
          <w:sz w:val="22"/>
          <w:lang w:eastAsia="en-GB"/>
          <w14:ligatures w14:val="none"/>
        </w:rPr>
        <w:t>4. Consequences of Stroke on People in the Community</w:t>
      </w:r>
      <w:bookmarkEnd w:id="9"/>
      <w:bookmarkEnd w:id="10"/>
      <w:bookmarkEnd w:id="11"/>
    </w:p>
    <w:p w14:paraId="47E95066"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 xml:space="preserve">The consequences of a stroke are far-reaching, affecting not only the physical health of the individual but also their psychological well-being, social standing, and economic stability. Physically, many stroke survivors in the community face permanent impairments such as </w:t>
      </w:r>
      <w:r w:rsidRPr="002B165D">
        <w:rPr>
          <w:rFonts w:ascii="Arial" w:hAnsi="Arial" w:cs="Arial"/>
          <w:color w:val="000000"/>
          <w:kern w:val="0"/>
          <w:sz w:val="22"/>
          <w:lang w:eastAsia="en-GB"/>
          <w14:ligatures w14:val="none"/>
        </w:rPr>
        <w:lastRenderedPageBreak/>
        <w:t>hemiparesis (weakness on one side of the body), dysphagia (difficulty swallowing), and aphasia (loss of speech). These conditions drastically alter a person’s ability to navigate their environment. A simple task like grocery shopping or using public transport can become an insurmountable challenge, leading to a loss of independence. The physical changes also necessitate significant modifications to the home environment, such as the installation of ramps, rails, and specialised equipment, which can be both disruptive and expensive.</w:t>
      </w:r>
    </w:p>
    <w:p w14:paraId="5CBE3690" w14:textId="1421DF0C"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Psychologically, the impact of a stroke is often devastating. Many survivors experience post-stroke depressio</w:t>
      </w:r>
      <w:r w:rsidR="00176803">
        <w:rPr>
          <w:rFonts w:ascii="Arial" w:hAnsi="Arial" w:cs="Arial"/>
          <w:color w:val="000000"/>
          <w:kern w:val="0"/>
          <w:sz w:val="22"/>
          <w:lang w:eastAsia="en-GB"/>
          <w14:ligatures w14:val="none"/>
        </w:rPr>
        <w:t xml:space="preserve">n </w:t>
      </w:r>
      <w:r w:rsidRPr="002B165D">
        <w:rPr>
          <w:rFonts w:ascii="Arial" w:hAnsi="Arial" w:cs="Arial"/>
          <w:color w:val="000000"/>
          <w:kern w:val="0"/>
          <w:sz w:val="22"/>
          <w:lang w:eastAsia="en-GB"/>
          <w14:ligatures w14:val="none"/>
        </w:rPr>
        <w:t>or anxiety, stemming from the sudden loss of their former identity and the trauma of the event. The frustration of being unable to communicate through aphasia can lead to social withdrawal and a breakdown in personal relationships. For many, the stroke marks the end of their professional life. The economic consequences of being forced into early retirement or losing the ability to work are profound, often leading to financial hardship for the survivor and their family. This is compounded by the fact that many family members must give up their own employment to become unpaid carers, creating a double hit to the household income and increasing the overall burden on social security systems.</w:t>
      </w:r>
    </w:p>
    <w:p w14:paraId="08402688" w14:textId="336594C4"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Furthermore, the community itself faces the challenge of integration. A stroke survivor may feel stigmatised or isolated if the community lacks the infrastructure to support them. Social isolation is a major concern; when a person can no longer participate in local clubs, religious activities, or social gatherings, their quality of life plummets. This isolation has secondary health effects, including a higher risk of dementia and further cardiovascular issues. Therefore, the consequence of a stroke is a total reconstruction of the individual’s life, requiring a resilient community response that includes emotional support, financial guidance, and inclusive urban planning to ensure that the survivor is not hidden away</w:t>
      </w:r>
      <w:r w:rsidR="00E1484A">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but remains a visible and valued member of society.</w:t>
      </w:r>
    </w:p>
    <w:p w14:paraId="2012D852" w14:textId="77777777" w:rsidR="007B4551" w:rsidRPr="002B165D" w:rsidRDefault="007B4551" w:rsidP="007B4551">
      <w:pPr>
        <w:spacing w:after="100" w:afterAutospacing="1" w:line="240" w:lineRule="auto"/>
        <w:outlineLvl w:val="1"/>
        <w:rPr>
          <w:rFonts w:ascii="Arial" w:eastAsia="Times New Roman" w:hAnsi="Arial" w:cs="Arial"/>
          <w:b/>
          <w:bCs/>
          <w:color w:val="000000"/>
          <w:kern w:val="0"/>
          <w:sz w:val="22"/>
          <w:lang w:eastAsia="en-GB"/>
          <w14:ligatures w14:val="none"/>
        </w:rPr>
      </w:pPr>
      <w:bookmarkStart w:id="12" w:name="_Toc227056487"/>
      <w:bookmarkStart w:id="13" w:name="_Toc227056537"/>
      <w:bookmarkStart w:id="14" w:name="_Toc227056648"/>
      <w:r w:rsidRPr="002B165D">
        <w:rPr>
          <w:rFonts w:ascii="Arial" w:eastAsia="Times New Roman" w:hAnsi="Arial" w:cs="Arial"/>
          <w:b/>
          <w:bCs/>
          <w:color w:val="000000"/>
          <w:kern w:val="0"/>
          <w:sz w:val="22"/>
          <w:lang w:eastAsia="en-GB"/>
          <w14:ligatures w14:val="none"/>
        </w:rPr>
        <w:t>5. Health and Social Care Support Services</w:t>
      </w:r>
      <w:bookmarkEnd w:id="12"/>
      <w:bookmarkEnd w:id="13"/>
      <w:bookmarkEnd w:id="14"/>
    </w:p>
    <w:p w14:paraId="0E017C03"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Meeting the needs of stroke survivors in the community requires an integrated network of health and social care services. The transition from hospital to home is managed through Early Supported Discharge (ESD) teams. These are multidisciplinary teams consisting of physiotherapists, occupational therapists, speech and language therapists (SLT), and specialist nurses. ESD allows survivors to receive hospital-level rehabilitation in the comfort of their own homes, which has been shown to improve functional outcomes and patient satisfaction. Physiotherapy focuses on restoring mobility and balance, while occupational therapy helps the individual relearn Activities of Daily Living (ADLs), such as dressing and cooking, often through the use of adaptive equipment.</w:t>
      </w:r>
    </w:p>
    <w:p w14:paraId="7F66F07F" w14:textId="77777777" w:rsidR="00D54423"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 xml:space="preserve">Speech and Language Therapy is critical for those with aphasia or dysphagia. For individuals like the case of Mr. Ahmed, the SLT provides the tools to reconnect with the world, whether through traditional speech exercises or high-tech communication aids. Beyond physical rehabilitation, social care services play a vital role. Local authorities provide </w:t>
      </w:r>
    </w:p>
    <w:p w14:paraId="4E930BE8" w14:textId="77777777" w:rsidR="00D54423" w:rsidRDefault="00D54423" w:rsidP="007B4551">
      <w:pPr>
        <w:spacing w:after="100" w:afterAutospacing="1" w:line="240" w:lineRule="auto"/>
        <w:rPr>
          <w:rFonts w:ascii="Arial" w:hAnsi="Arial" w:cs="Arial"/>
          <w:color w:val="000000"/>
          <w:kern w:val="0"/>
          <w:sz w:val="22"/>
          <w:lang w:eastAsia="en-GB"/>
          <w14:ligatures w14:val="none"/>
        </w:rPr>
      </w:pPr>
    </w:p>
    <w:p w14:paraId="019E28DC" w14:textId="77777777" w:rsidR="00D54423" w:rsidRDefault="00D54423" w:rsidP="007B4551">
      <w:pPr>
        <w:spacing w:after="100" w:afterAutospacing="1" w:line="240" w:lineRule="auto"/>
        <w:rPr>
          <w:rFonts w:ascii="Arial" w:hAnsi="Arial" w:cs="Arial"/>
          <w:color w:val="000000"/>
          <w:kern w:val="0"/>
          <w:sz w:val="22"/>
          <w:lang w:eastAsia="en-GB"/>
          <w14:ligatures w14:val="none"/>
        </w:rPr>
      </w:pPr>
    </w:p>
    <w:p w14:paraId="69FF37BC" w14:textId="19FCD671"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social workers who assess the need for domiciliary care</w:t>
      </w:r>
      <w:r w:rsidR="00A54BDD">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carers who visit the home to assist with personal hygiene, medication management, and meal preparation. This support is essential for maintaining the survivor’s dignity and preventing readmission to the hospital. Additionally, psychological support services, such as counselling and stroke support groups, are necessary to address the mental health challenges of life after a stroke.</w:t>
      </w:r>
    </w:p>
    <w:p w14:paraId="7F0A0D6C" w14:textId="205F6951"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lastRenderedPageBreak/>
        <w:t>Furthermore, the voluntary sector provides an indispensable layer of support. Organisations like the Stroke Association and various Stroke Clubs offer peer support, allowing survivors to meet others who understand their struggles. These services often provide Life After Stroke grants and help navigate the complex system of disability benefits, such as the Personal Independence Payment (PIP). Primary care, led by the GP, remains the central coordinator, monitoring secondary prevention and managing the long-term comorbidities associated with the condition. The integration of these services</w:t>
      </w:r>
      <w:r w:rsidR="008039AE">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clinical, social, and voluntary</w:t>
      </w:r>
      <w:r w:rsidR="008039AE">
        <w:rPr>
          <w:rFonts w:ascii="Arial" w:hAnsi="Arial" w:cs="Arial"/>
          <w:color w:val="000000"/>
          <w:kern w:val="0"/>
          <w:sz w:val="22"/>
          <w:lang w:eastAsia="en-GB"/>
          <w14:ligatures w14:val="none"/>
        </w:rPr>
        <w:t xml:space="preserve"> </w:t>
      </w:r>
      <w:r w:rsidRPr="002B165D">
        <w:rPr>
          <w:rFonts w:ascii="Arial" w:hAnsi="Arial" w:cs="Arial"/>
          <w:color w:val="000000"/>
          <w:kern w:val="0"/>
          <w:sz w:val="22"/>
          <w:lang w:eastAsia="en-GB"/>
          <w14:ligatures w14:val="none"/>
        </w:rPr>
        <w:t>is the only way to meet the multifaceted needs of the stroke survivor, ensuring that the care provided is not just about survival, but about thriving within the community.</w:t>
      </w:r>
    </w:p>
    <w:p w14:paraId="3FB1D82D" w14:textId="77777777" w:rsidR="007B4551" w:rsidRPr="002B165D" w:rsidRDefault="007B4551" w:rsidP="007B4551">
      <w:pPr>
        <w:spacing w:after="100" w:afterAutospacing="1" w:line="240" w:lineRule="auto"/>
        <w:outlineLvl w:val="1"/>
        <w:rPr>
          <w:rFonts w:ascii="Arial" w:eastAsia="Times New Roman" w:hAnsi="Arial" w:cs="Arial"/>
          <w:b/>
          <w:bCs/>
          <w:color w:val="000000"/>
          <w:kern w:val="0"/>
          <w:sz w:val="22"/>
          <w:lang w:eastAsia="en-GB"/>
          <w14:ligatures w14:val="none"/>
        </w:rPr>
      </w:pPr>
      <w:bookmarkStart w:id="15" w:name="_Toc227056488"/>
      <w:bookmarkStart w:id="16" w:name="_Toc227056538"/>
      <w:bookmarkStart w:id="17" w:name="_Toc227056649"/>
      <w:r w:rsidRPr="002B165D">
        <w:rPr>
          <w:rFonts w:ascii="Arial" w:eastAsia="Times New Roman" w:hAnsi="Arial" w:cs="Arial"/>
          <w:b/>
          <w:bCs/>
          <w:color w:val="000000"/>
          <w:kern w:val="0"/>
          <w:sz w:val="22"/>
          <w:lang w:eastAsia="en-GB"/>
          <w14:ligatures w14:val="none"/>
        </w:rPr>
        <w:t>6. Conclusion</w:t>
      </w:r>
      <w:bookmarkEnd w:id="15"/>
      <w:bookmarkEnd w:id="16"/>
      <w:bookmarkEnd w:id="17"/>
    </w:p>
    <w:p w14:paraId="24BF1E6D"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In conclusion, stroke is a profound health challenge that demands a rigorous and coordinated response from both the health and social care sectors. As defined in this report, the condition is a medical emergency with devastating potential for long-term disability, as evidenced by the high incidence rates both globally and within the UK. Effective management requires a combination of high-tech monitoring tools like MRI and NIHSS, alongside robust population-level audits like SSNAP. Control of the disease is a lifelong process of primary and secondary prevention, focusing on blood pressure management, lifestyle modification, and equitable access to healthcare.</w:t>
      </w:r>
    </w:p>
    <w:p w14:paraId="52FEFA89"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The consequences of a stroke extend far beyond the individual’s brain, impacting their family, their finances, and their place within the community. To mitigate these effects, a wide array of support services is required, ranging from intensive home-based rehabilitation to domiciliary social care and psychological support. The success of these interventions depends on the ability of different agencies to work collaboratively, placing the survivor at the centre of the care pathway. Ultimately, while the clinical treatment of stroke has advanced significantly, the true measure of a society’s health system lies in how well it supports its survivors to live a life of dignity, independence, and social connection in the years following their illness.</w:t>
      </w:r>
    </w:p>
    <w:p w14:paraId="1ADE49CA" w14:textId="27CEBE55" w:rsidR="007B4551" w:rsidRDefault="007B4551" w:rsidP="007B4551">
      <w:pPr>
        <w:spacing w:after="0" w:line="240" w:lineRule="auto"/>
        <w:rPr>
          <w:rFonts w:ascii="Arial" w:eastAsia="Times New Roman" w:hAnsi="Arial" w:cs="Arial"/>
          <w:color w:val="000000"/>
          <w:kern w:val="0"/>
          <w:sz w:val="22"/>
          <w:lang w:eastAsia="en-GB"/>
          <w14:ligatures w14:val="none"/>
        </w:rPr>
      </w:pPr>
    </w:p>
    <w:p w14:paraId="310208B2"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44F209CD"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500F0BCB"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4EECB35B"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613515A6"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1E5930A6"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167D7DBD"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0DA5A3A9"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753BD6F2"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29751C3B"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6608DDD1"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14771138"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5A644B6D"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4CFEFE7E"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299B44B3" w14:textId="77777777" w:rsidR="00D54423" w:rsidRDefault="00D54423" w:rsidP="007B4551">
      <w:pPr>
        <w:spacing w:after="0" w:line="240" w:lineRule="auto"/>
        <w:rPr>
          <w:rFonts w:ascii="Arial" w:eastAsia="Times New Roman" w:hAnsi="Arial" w:cs="Arial"/>
          <w:color w:val="000000"/>
          <w:kern w:val="0"/>
          <w:sz w:val="22"/>
          <w:lang w:eastAsia="en-GB"/>
          <w14:ligatures w14:val="none"/>
        </w:rPr>
      </w:pPr>
    </w:p>
    <w:p w14:paraId="72C6F083" w14:textId="77777777" w:rsidR="00D54423" w:rsidRPr="002B165D" w:rsidRDefault="00D54423" w:rsidP="007B4551">
      <w:pPr>
        <w:spacing w:after="0" w:line="240" w:lineRule="auto"/>
        <w:rPr>
          <w:rFonts w:ascii="Arial" w:eastAsia="Times New Roman" w:hAnsi="Arial" w:cs="Arial"/>
          <w:color w:val="000000"/>
          <w:kern w:val="0"/>
          <w:sz w:val="22"/>
          <w:lang w:eastAsia="en-GB"/>
          <w14:ligatures w14:val="none"/>
        </w:rPr>
      </w:pPr>
    </w:p>
    <w:p w14:paraId="27E76CDD" w14:textId="77777777" w:rsidR="0053601F" w:rsidRDefault="0053601F" w:rsidP="007B4551">
      <w:pPr>
        <w:spacing w:after="100" w:afterAutospacing="1" w:line="240" w:lineRule="auto"/>
        <w:outlineLvl w:val="1"/>
        <w:rPr>
          <w:rFonts w:ascii="Arial" w:eastAsia="Times New Roman" w:hAnsi="Arial" w:cs="Arial"/>
          <w:b/>
          <w:bCs/>
          <w:color w:val="000000"/>
          <w:kern w:val="0"/>
          <w:sz w:val="22"/>
          <w:lang w:eastAsia="en-GB"/>
          <w14:ligatures w14:val="none"/>
        </w:rPr>
      </w:pPr>
    </w:p>
    <w:p w14:paraId="0BB7BE58" w14:textId="77777777" w:rsidR="0053601F" w:rsidRDefault="0053601F" w:rsidP="007B4551">
      <w:pPr>
        <w:spacing w:after="100" w:afterAutospacing="1" w:line="240" w:lineRule="auto"/>
        <w:outlineLvl w:val="1"/>
        <w:rPr>
          <w:rFonts w:ascii="Arial" w:eastAsia="Times New Roman" w:hAnsi="Arial" w:cs="Arial"/>
          <w:b/>
          <w:bCs/>
          <w:color w:val="000000"/>
          <w:kern w:val="0"/>
          <w:sz w:val="22"/>
          <w:lang w:eastAsia="en-GB"/>
          <w14:ligatures w14:val="none"/>
        </w:rPr>
      </w:pPr>
    </w:p>
    <w:p w14:paraId="65FB6084" w14:textId="77777777" w:rsidR="0053601F" w:rsidRDefault="0053601F" w:rsidP="007B4551">
      <w:pPr>
        <w:spacing w:after="100" w:afterAutospacing="1" w:line="240" w:lineRule="auto"/>
        <w:outlineLvl w:val="1"/>
        <w:rPr>
          <w:rFonts w:ascii="Arial" w:eastAsia="Times New Roman" w:hAnsi="Arial" w:cs="Arial"/>
          <w:b/>
          <w:bCs/>
          <w:color w:val="000000"/>
          <w:kern w:val="0"/>
          <w:sz w:val="22"/>
          <w:lang w:eastAsia="en-GB"/>
          <w14:ligatures w14:val="none"/>
        </w:rPr>
      </w:pPr>
    </w:p>
    <w:p w14:paraId="5CC19310" w14:textId="230DDD9C" w:rsidR="007B4551" w:rsidRPr="002B165D" w:rsidRDefault="007B4551" w:rsidP="007B4551">
      <w:pPr>
        <w:spacing w:after="100" w:afterAutospacing="1" w:line="240" w:lineRule="auto"/>
        <w:outlineLvl w:val="1"/>
        <w:rPr>
          <w:rFonts w:ascii="Arial" w:eastAsia="Times New Roman" w:hAnsi="Arial" w:cs="Arial"/>
          <w:b/>
          <w:bCs/>
          <w:color w:val="000000"/>
          <w:kern w:val="0"/>
          <w:sz w:val="22"/>
          <w:lang w:eastAsia="en-GB"/>
          <w14:ligatures w14:val="none"/>
        </w:rPr>
      </w:pPr>
      <w:bookmarkStart w:id="18" w:name="_Toc227056489"/>
      <w:bookmarkStart w:id="19" w:name="_Toc227056539"/>
      <w:bookmarkStart w:id="20" w:name="_Toc227056650"/>
      <w:r w:rsidRPr="002B165D">
        <w:rPr>
          <w:rFonts w:ascii="Arial" w:eastAsia="Times New Roman" w:hAnsi="Arial" w:cs="Arial"/>
          <w:b/>
          <w:bCs/>
          <w:color w:val="000000"/>
          <w:kern w:val="0"/>
          <w:sz w:val="22"/>
          <w:lang w:eastAsia="en-GB"/>
          <w14:ligatures w14:val="none"/>
        </w:rPr>
        <w:lastRenderedPageBreak/>
        <w:t>References</w:t>
      </w:r>
      <w:r w:rsidR="00955D32" w:rsidRPr="002B165D">
        <w:rPr>
          <w:rFonts w:ascii="Arial" w:eastAsia="Times New Roman" w:hAnsi="Arial" w:cs="Arial"/>
          <w:b/>
          <w:bCs/>
          <w:color w:val="000000"/>
          <w:kern w:val="0"/>
          <w:sz w:val="22"/>
          <w:lang w:eastAsia="en-GB"/>
          <w14:ligatures w14:val="none"/>
        </w:rPr>
        <w:t>:</w:t>
      </w:r>
      <w:bookmarkEnd w:id="18"/>
      <w:bookmarkEnd w:id="19"/>
      <w:bookmarkEnd w:id="20"/>
    </w:p>
    <w:p w14:paraId="0933AE00"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Care Quality Commission (CQC) (2024) </w:t>
      </w:r>
      <w:r w:rsidRPr="002B165D">
        <w:rPr>
          <w:rFonts w:ascii="Arial" w:hAnsi="Arial" w:cs="Arial"/>
          <w:i/>
          <w:iCs/>
          <w:color w:val="000000"/>
          <w:kern w:val="0"/>
          <w:sz w:val="22"/>
          <w:lang w:eastAsia="en-GB"/>
          <w14:ligatures w14:val="none"/>
        </w:rPr>
        <w:t>Regulation 17: Good governance</w:t>
      </w:r>
      <w:r w:rsidRPr="002B165D">
        <w:rPr>
          <w:rFonts w:ascii="Arial" w:hAnsi="Arial" w:cs="Arial"/>
          <w:color w:val="000000"/>
          <w:kern w:val="0"/>
          <w:sz w:val="22"/>
          <w:lang w:eastAsia="en-GB"/>
          <w14:ligatures w14:val="none"/>
        </w:rPr>
        <w:t>. Available at: </w:t>
      </w:r>
      <w:hyperlink r:id="rId9" w:tgtFrame="_blank" w:history="1">
        <w:r w:rsidRPr="00005D82">
          <w:rPr>
            <w:rFonts w:ascii="Arial" w:hAnsi="Arial" w:cs="Arial"/>
            <w:color w:val="191919" w:themeColor="text1" w:themeTint="E6"/>
            <w:kern w:val="0"/>
            <w:sz w:val="22"/>
            <w:u w:val="single"/>
            <w:lang w:eastAsia="en-GB"/>
            <w14:ligatures w14:val="none"/>
          </w:rPr>
          <w:t>https://www.cqc.org.uk</w:t>
        </w:r>
      </w:hyperlink>
      <w:r w:rsidRPr="002B165D">
        <w:rPr>
          <w:rFonts w:ascii="Arial" w:hAnsi="Arial" w:cs="Arial"/>
          <w:color w:val="000000"/>
          <w:kern w:val="0"/>
          <w:sz w:val="22"/>
          <w:lang w:eastAsia="en-GB"/>
          <w14:ligatures w14:val="none"/>
        </w:rPr>
        <w:t>(Accessed: 13 April 2026).</w:t>
      </w:r>
    </w:p>
    <w:p w14:paraId="1EA6D9AB"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Data Protection Act 2018, c. 12. London: The Stationery Office.</w:t>
      </w:r>
    </w:p>
    <w:p w14:paraId="01F93A49"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Department of Health and Social Care (2021) </w:t>
      </w:r>
      <w:r w:rsidRPr="002B165D">
        <w:rPr>
          <w:rFonts w:ascii="Arial" w:hAnsi="Arial" w:cs="Arial"/>
          <w:i/>
          <w:iCs/>
          <w:color w:val="000000"/>
          <w:kern w:val="0"/>
          <w:sz w:val="22"/>
          <w:lang w:eastAsia="en-GB"/>
          <w14:ligatures w14:val="none"/>
        </w:rPr>
        <w:t>Health and social care integration: joining up care for people, places and populations</w:t>
      </w:r>
      <w:r w:rsidRPr="002B165D">
        <w:rPr>
          <w:rFonts w:ascii="Arial" w:hAnsi="Arial" w:cs="Arial"/>
          <w:color w:val="000000"/>
          <w:kern w:val="0"/>
          <w:sz w:val="22"/>
          <w:lang w:eastAsia="en-GB"/>
          <w14:ligatures w14:val="none"/>
        </w:rPr>
        <w:t>. London: DHSC.</w:t>
      </w:r>
    </w:p>
    <w:p w14:paraId="513DA8BB"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Equality Act 2010, c. 15. London: The Stationery Office.</w:t>
      </w:r>
    </w:p>
    <w:p w14:paraId="457F0034"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Kourkouta, L. and Papathanasiou, I. V. (2014) 'Communication in nursing practice', </w:t>
      </w:r>
      <w:r w:rsidRPr="002B165D">
        <w:rPr>
          <w:rFonts w:ascii="Arial" w:hAnsi="Arial" w:cs="Arial"/>
          <w:i/>
          <w:iCs/>
          <w:color w:val="000000"/>
          <w:kern w:val="0"/>
          <w:sz w:val="22"/>
          <w:lang w:eastAsia="en-GB"/>
          <w14:ligatures w14:val="none"/>
        </w:rPr>
        <w:t>Materia Socio-Medica</w:t>
      </w:r>
      <w:r w:rsidRPr="002B165D">
        <w:rPr>
          <w:rFonts w:ascii="Arial" w:hAnsi="Arial" w:cs="Arial"/>
          <w:color w:val="000000"/>
          <w:kern w:val="0"/>
          <w:sz w:val="22"/>
          <w:lang w:eastAsia="en-GB"/>
          <w14:ligatures w14:val="none"/>
        </w:rPr>
        <w:t>, 26(1), pp. 65-67.</w:t>
      </w:r>
    </w:p>
    <w:p w14:paraId="34379572"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Larkin, M. (2018) </w:t>
      </w:r>
      <w:r w:rsidRPr="002B165D">
        <w:rPr>
          <w:rFonts w:ascii="Arial" w:hAnsi="Arial" w:cs="Arial"/>
          <w:i/>
          <w:iCs/>
          <w:color w:val="000000"/>
          <w:kern w:val="0"/>
          <w:sz w:val="22"/>
          <w:lang w:eastAsia="en-GB"/>
          <w14:ligatures w14:val="none"/>
        </w:rPr>
        <w:t>Collaborative Working in Health and Social Care</w:t>
      </w:r>
      <w:r w:rsidRPr="002B165D">
        <w:rPr>
          <w:rFonts w:ascii="Arial" w:hAnsi="Arial" w:cs="Arial"/>
          <w:color w:val="000000"/>
          <w:kern w:val="0"/>
          <w:sz w:val="22"/>
          <w:lang w:eastAsia="en-GB"/>
          <w14:ligatures w14:val="none"/>
        </w:rPr>
        <w:t>. 2nd edn. London: Sage.</w:t>
      </w:r>
    </w:p>
    <w:p w14:paraId="536D05FD"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SSNAP (2024) </w:t>
      </w:r>
      <w:r w:rsidRPr="002B165D">
        <w:rPr>
          <w:rFonts w:ascii="Arial" w:hAnsi="Arial" w:cs="Arial"/>
          <w:i/>
          <w:iCs/>
          <w:color w:val="000000"/>
          <w:kern w:val="0"/>
          <w:sz w:val="22"/>
          <w:lang w:eastAsia="en-GB"/>
          <w14:ligatures w14:val="none"/>
        </w:rPr>
        <w:t>Sentinel Stroke National Audit Programme: Annual Report</w:t>
      </w:r>
      <w:r w:rsidRPr="002B165D">
        <w:rPr>
          <w:rFonts w:ascii="Arial" w:hAnsi="Arial" w:cs="Arial"/>
          <w:color w:val="000000"/>
          <w:kern w:val="0"/>
          <w:sz w:val="22"/>
          <w:lang w:eastAsia="en-GB"/>
          <w14:ligatures w14:val="none"/>
        </w:rPr>
        <w:t>. Available at: </w:t>
      </w:r>
      <w:hyperlink r:id="rId10" w:tgtFrame="_blank" w:history="1">
        <w:r w:rsidRPr="00005D82">
          <w:rPr>
            <w:rFonts w:ascii="Arial" w:hAnsi="Arial" w:cs="Arial"/>
            <w:color w:val="000000" w:themeColor="text1"/>
            <w:kern w:val="0"/>
            <w:sz w:val="22"/>
            <w:u w:val="single"/>
            <w:lang w:eastAsia="en-GB"/>
            <w14:ligatures w14:val="none"/>
          </w:rPr>
          <w:t>https://www.strokeaudit.org</w:t>
        </w:r>
      </w:hyperlink>
      <w:r w:rsidRPr="002B165D">
        <w:rPr>
          <w:rFonts w:ascii="Arial" w:hAnsi="Arial" w:cs="Arial"/>
          <w:color w:val="000000"/>
          <w:kern w:val="0"/>
          <w:sz w:val="22"/>
          <w:lang w:eastAsia="en-GB"/>
          <w14:ligatures w14:val="none"/>
        </w:rPr>
        <w:t> (Accessed: 13 April 2026).</w:t>
      </w:r>
    </w:p>
    <w:p w14:paraId="188B9101"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Stewart, K. R. and Hand, K. A. (2017) 'SBAR, communication, and patient safety: an integrated literature review', </w:t>
      </w:r>
      <w:r w:rsidRPr="002B165D">
        <w:rPr>
          <w:rFonts w:ascii="Arial" w:hAnsi="Arial" w:cs="Arial"/>
          <w:i/>
          <w:iCs/>
          <w:color w:val="000000"/>
          <w:kern w:val="0"/>
          <w:sz w:val="22"/>
          <w:lang w:eastAsia="en-GB"/>
          <w14:ligatures w14:val="none"/>
        </w:rPr>
        <w:t>MEDSURG Nursing</w:t>
      </w:r>
      <w:r w:rsidRPr="002B165D">
        <w:rPr>
          <w:rFonts w:ascii="Arial" w:hAnsi="Arial" w:cs="Arial"/>
          <w:color w:val="000000"/>
          <w:kern w:val="0"/>
          <w:sz w:val="22"/>
          <w:lang w:eastAsia="en-GB"/>
          <w14:ligatures w14:val="none"/>
        </w:rPr>
        <w:t>, 26(5), pp. 297-305.</w:t>
      </w:r>
    </w:p>
    <w:p w14:paraId="3D46A1E3"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Stroke Association (2024) </w:t>
      </w:r>
      <w:r w:rsidRPr="002B165D">
        <w:rPr>
          <w:rFonts w:ascii="Arial" w:hAnsi="Arial" w:cs="Arial"/>
          <w:i/>
          <w:iCs/>
          <w:color w:val="000000"/>
          <w:kern w:val="0"/>
          <w:sz w:val="22"/>
          <w:lang w:eastAsia="en-GB"/>
          <w14:ligatures w14:val="none"/>
        </w:rPr>
        <w:t>State of the Nation: Stroke statistics</w:t>
      </w:r>
      <w:r w:rsidRPr="002B165D">
        <w:rPr>
          <w:rFonts w:ascii="Arial" w:hAnsi="Arial" w:cs="Arial"/>
          <w:color w:val="000000"/>
          <w:kern w:val="0"/>
          <w:sz w:val="22"/>
          <w:lang w:eastAsia="en-GB"/>
          <w14:ligatures w14:val="none"/>
        </w:rPr>
        <w:t>. Available at: </w:t>
      </w:r>
      <w:hyperlink r:id="rId11" w:tgtFrame="_blank" w:history="1">
        <w:r w:rsidRPr="00005D82">
          <w:rPr>
            <w:rFonts w:ascii="Arial" w:hAnsi="Arial" w:cs="Arial"/>
            <w:color w:val="000000" w:themeColor="text1"/>
            <w:kern w:val="0"/>
            <w:sz w:val="22"/>
            <w:u w:val="single"/>
            <w:lang w:eastAsia="en-GB"/>
            <w14:ligatures w14:val="none"/>
          </w:rPr>
          <w:t>https://www.stroke.org.uk</w:t>
        </w:r>
      </w:hyperlink>
      <w:r w:rsidRPr="002B165D">
        <w:rPr>
          <w:rFonts w:ascii="Arial" w:hAnsi="Arial" w:cs="Arial"/>
          <w:color w:val="000000"/>
          <w:kern w:val="0"/>
          <w:sz w:val="22"/>
          <w:lang w:eastAsia="en-GB"/>
          <w14:ligatures w14:val="none"/>
        </w:rPr>
        <w:t>(Accessed: 13 April 2026).</w:t>
      </w:r>
    </w:p>
    <w:p w14:paraId="59BD6917"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Thompson, N. (2021) </w:t>
      </w:r>
      <w:r w:rsidRPr="002B165D">
        <w:rPr>
          <w:rFonts w:ascii="Arial" w:hAnsi="Arial" w:cs="Arial"/>
          <w:i/>
          <w:iCs/>
          <w:color w:val="000000"/>
          <w:kern w:val="0"/>
          <w:sz w:val="22"/>
          <w:lang w:eastAsia="en-GB"/>
          <w14:ligatures w14:val="none"/>
        </w:rPr>
        <w:t>Anti-Discriminatory Practice: Equality, Diversity and Social Justice</w:t>
      </w:r>
      <w:r w:rsidRPr="002B165D">
        <w:rPr>
          <w:rFonts w:ascii="Arial" w:hAnsi="Arial" w:cs="Arial"/>
          <w:color w:val="000000"/>
          <w:kern w:val="0"/>
          <w:sz w:val="22"/>
          <w:lang w:eastAsia="en-GB"/>
          <w14:ligatures w14:val="none"/>
        </w:rPr>
        <w:t>. 7th edn. London: Palgrave Macmillan.</w:t>
      </w:r>
    </w:p>
    <w:p w14:paraId="52757936" w14:textId="77777777" w:rsidR="007B4551" w:rsidRPr="002B165D" w:rsidRDefault="007B4551" w:rsidP="007B4551">
      <w:pPr>
        <w:spacing w:after="100" w:afterAutospacing="1" w:line="240" w:lineRule="auto"/>
        <w:rPr>
          <w:rFonts w:ascii="Arial" w:hAnsi="Arial" w:cs="Arial"/>
          <w:color w:val="000000"/>
          <w:kern w:val="0"/>
          <w:sz w:val="22"/>
          <w:lang w:eastAsia="en-GB"/>
          <w14:ligatures w14:val="none"/>
        </w:rPr>
      </w:pPr>
      <w:r w:rsidRPr="002B165D">
        <w:rPr>
          <w:rFonts w:ascii="Arial" w:hAnsi="Arial" w:cs="Arial"/>
          <w:color w:val="000000"/>
          <w:kern w:val="0"/>
          <w:sz w:val="22"/>
          <w:lang w:eastAsia="en-GB"/>
          <w14:ligatures w14:val="none"/>
        </w:rPr>
        <w:t>World Stroke Organization (WSO) (2024) </w:t>
      </w:r>
      <w:r w:rsidRPr="002B165D">
        <w:rPr>
          <w:rFonts w:ascii="Arial" w:hAnsi="Arial" w:cs="Arial"/>
          <w:i/>
          <w:iCs/>
          <w:color w:val="000000"/>
          <w:kern w:val="0"/>
          <w:sz w:val="22"/>
          <w:lang w:eastAsia="en-GB"/>
          <w14:ligatures w14:val="none"/>
        </w:rPr>
        <w:t>Global Stroke Fact Sheet</w:t>
      </w:r>
      <w:r w:rsidRPr="002B165D">
        <w:rPr>
          <w:rFonts w:ascii="Arial" w:hAnsi="Arial" w:cs="Arial"/>
          <w:color w:val="000000"/>
          <w:kern w:val="0"/>
          <w:sz w:val="22"/>
          <w:lang w:eastAsia="en-GB"/>
          <w14:ligatures w14:val="none"/>
        </w:rPr>
        <w:t>. Available at: </w:t>
      </w:r>
      <w:hyperlink r:id="rId12" w:tgtFrame="_blank" w:history="1">
        <w:r w:rsidRPr="00FA026C">
          <w:rPr>
            <w:rFonts w:ascii="Arial" w:hAnsi="Arial" w:cs="Arial"/>
            <w:color w:val="000000" w:themeColor="text1"/>
            <w:kern w:val="0"/>
            <w:sz w:val="22"/>
            <w:u w:val="single"/>
            <w:lang w:eastAsia="en-GB"/>
            <w14:ligatures w14:val="none"/>
          </w:rPr>
          <w:t>https://www.world-stroke.org</w:t>
        </w:r>
      </w:hyperlink>
      <w:r w:rsidRPr="002B165D">
        <w:rPr>
          <w:rFonts w:ascii="Arial" w:hAnsi="Arial" w:cs="Arial"/>
          <w:color w:val="000000"/>
          <w:kern w:val="0"/>
          <w:sz w:val="22"/>
          <w:lang w:eastAsia="en-GB"/>
          <w14:ligatures w14:val="none"/>
        </w:rPr>
        <w:t>(Accessed: 13 April 2026).</w:t>
      </w:r>
    </w:p>
    <w:p w14:paraId="6138A55F" w14:textId="34A87486" w:rsidR="00184A9A" w:rsidRPr="00242974" w:rsidRDefault="00184A9A" w:rsidP="00BB1E1D">
      <w:pPr>
        <w:pStyle w:val="TOCHeading"/>
      </w:pPr>
    </w:p>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F24571" w:rsidRDefault="00ED5964" w:rsidP="00ED5964">
      <w:pPr>
        <w:jc w:val="both"/>
        <w:rPr>
          <w:rFonts w:asciiTheme="minorBidi" w:hAnsiTheme="minorBidi"/>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6288D9DA" w14:textId="66547519" w:rsidR="00C81DA0" w:rsidRPr="00BB1E1D" w:rsidRDefault="002E71BA" w:rsidP="00BB1E1D">
      <w:pPr>
        <w:rPr>
          <w:b/>
          <w:bCs/>
          <w:sz w:val="21"/>
          <w:szCs w:val="21"/>
        </w:rPr>
      </w:pPr>
      <w:r w:rsidRPr="00242974">
        <w:rPr>
          <w:b/>
          <w:bCs/>
          <w:sz w:val="21"/>
          <w:szCs w:val="21"/>
        </w:rPr>
        <w:lastRenderedPageBreak/>
        <w:br w:type="page"/>
      </w:r>
    </w:p>
    <w:p w14:paraId="1D0F2D59" w14:textId="04C6862D" w:rsidR="004552CE" w:rsidRPr="000B17D3" w:rsidRDefault="004552CE" w:rsidP="00F06167">
      <w:pPr>
        <w:spacing w:after="0" w:line="240" w:lineRule="auto"/>
        <w:rPr>
          <w:rFonts w:ascii="Arial" w:hAnsi="Arial" w:cs="Arial"/>
          <w:sz w:val="22"/>
        </w:rPr>
      </w:pPr>
    </w:p>
    <w:sectPr w:rsidR="004552CE" w:rsidRPr="000B17D3" w:rsidSect="00D676C3">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5B98F" w14:textId="77777777" w:rsidR="00052412" w:rsidRDefault="00052412" w:rsidP="003C7C97">
      <w:pPr>
        <w:spacing w:after="0" w:line="240" w:lineRule="auto"/>
      </w:pPr>
      <w:r>
        <w:separator/>
      </w:r>
    </w:p>
  </w:endnote>
  <w:endnote w:type="continuationSeparator" w:id="0">
    <w:p w14:paraId="428694F9" w14:textId="77777777" w:rsidR="00052412" w:rsidRDefault="0005241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BoldMT">
    <w:altName w:val="Arial"/>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342BD" w14:textId="77777777" w:rsidR="00052412" w:rsidRDefault="00052412" w:rsidP="003C7C97">
      <w:pPr>
        <w:spacing w:after="0" w:line="240" w:lineRule="auto"/>
      </w:pPr>
      <w:r>
        <w:separator/>
      </w:r>
    </w:p>
  </w:footnote>
  <w:footnote w:type="continuationSeparator" w:id="0">
    <w:p w14:paraId="4A00CD06" w14:textId="77777777" w:rsidR="00052412" w:rsidRDefault="0005241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1740392E">
      <w:start w:val="1"/>
      <w:numFmt w:val="bullet"/>
      <w:lvlText w:val=""/>
      <w:lvlJc w:val="left"/>
      <w:pPr>
        <w:ind w:left="720" w:hanging="360"/>
      </w:pPr>
      <w:rPr>
        <w:rFonts w:ascii="Symbol" w:hAnsi="Symbol" w:hint="default"/>
      </w:rPr>
    </w:lvl>
    <w:lvl w:ilvl="1" w:tplc="24B0B648">
      <w:start w:val="1"/>
      <w:numFmt w:val="bullet"/>
      <w:lvlText w:val="o"/>
      <w:lvlJc w:val="left"/>
      <w:pPr>
        <w:ind w:left="1440" w:hanging="360"/>
      </w:pPr>
      <w:rPr>
        <w:rFonts w:ascii="Courier New" w:hAnsi="Courier New" w:hint="default"/>
      </w:rPr>
    </w:lvl>
    <w:lvl w:ilvl="2" w:tplc="6AEA294A">
      <w:start w:val="1"/>
      <w:numFmt w:val="bullet"/>
      <w:lvlText w:val=""/>
      <w:lvlJc w:val="left"/>
      <w:pPr>
        <w:ind w:left="2160" w:hanging="360"/>
      </w:pPr>
      <w:rPr>
        <w:rFonts w:ascii="Wingdings" w:hAnsi="Wingdings" w:hint="default"/>
      </w:rPr>
    </w:lvl>
    <w:lvl w:ilvl="3" w:tplc="60A4D68C">
      <w:start w:val="1"/>
      <w:numFmt w:val="bullet"/>
      <w:lvlText w:val=""/>
      <w:lvlJc w:val="left"/>
      <w:pPr>
        <w:ind w:left="2880" w:hanging="360"/>
      </w:pPr>
      <w:rPr>
        <w:rFonts w:ascii="Symbol" w:hAnsi="Symbol" w:hint="default"/>
      </w:rPr>
    </w:lvl>
    <w:lvl w:ilvl="4" w:tplc="55561A78">
      <w:start w:val="1"/>
      <w:numFmt w:val="bullet"/>
      <w:lvlText w:val="o"/>
      <w:lvlJc w:val="left"/>
      <w:pPr>
        <w:ind w:left="3600" w:hanging="360"/>
      </w:pPr>
      <w:rPr>
        <w:rFonts w:ascii="Courier New" w:hAnsi="Courier New" w:hint="default"/>
      </w:rPr>
    </w:lvl>
    <w:lvl w:ilvl="5" w:tplc="CF9C4326">
      <w:start w:val="1"/>
      <w:numFmt w:val="bullet"/>
      <w:lvlText w:val=""/>
      <w:lvlJc w:val="left"/>
      <w:pPr>
        <w:ind w:left="4320" w:hanging="360"/>
      </w:pPr>
      <w:rPr>
        <w:rFonts w:ascii="Wingdings" w:hAnsi="Wingdings" w:hint="default"/>
      </w:rPr>
    </w:lvl>
    <w:lvl w:ilvl="6" w:tplc="86D88A04">
      <w:start w:val="1"/>
      <w:numFmt w:val="bullet"/>
      <w:lvlText w:val=""/>
      <w:lvlJc w:val="left"/>
      <w:pPr>
        <w:ind w:left="5040" w:hanging="360"/>
      </w:pPr>
      <w:rPr>
        <w:rFonts w:ascii="Symbol" w:hAnsi="Symbol" w:hint="default"/>
      </w:rPr>
    </w:lvl>
    <w:lvl w:ilvl="7" w:tplc="24A08FEC">
      <w:start w:val="1"/>
      <w:numFmt w:val="bullet"/>
      <w:lvlText w:val="o"/>
      <w:lvlJc w:val="left"/>
      <w:pPr>
        <w:ind w:left="5760" w:hanging="360"/>
      </w:pPr>
      <w:rPr>
        <w:rFonts w:ascii="Courier New" w:hAnsi="Courier New" w:hint="default"/>
      </w:rPr>
    </w:lvl>
    <w:lvl w:ilvl="8" w:tplc="F658323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F4DC6102">
      <w:start w:val="1"/>
      <w:numFmt w:val="bullet"/>
      <w:lvlText w:val=""/>
      <w:lvlJc w:val="left"/>
      <w:pPr>
        <w:ind w:left="720" w:hanging="360"/>
      </w:pPr>
      <w:rPr>
        <w:rFonts w:ascii="Symbol" w:hAnsi="Symbol" w:hint="default"/>
      </w:rPr>
    </w:lvl>
    <w:lvl w:ilvl="1" w:tplc="E69A50D6">
      <w:start w:val="1"/>
      <w:numFmt w:val="bullet"/>
      <w:lvlText w:val="o"/>
      <w:lvlJc w:val="left"/>
      <w:pPr>
        <w:ind w:left="1440" w:hanging="360"/>
      </w:pPr>
      <w:rPr>
        <w:rFonts w:ascii="Courier New" w:hAnsi="Courier New" w:hint="default"/>
      </w:rPr>
    </w:lvl>
    <w:lvl w:ilvl="2" w:tplc="BA1AF3A6">
      <w:start w:val="1"/>
      <w:numFmt w:val="bullet"/>
      <w:lvlText w:val=""/>
      <w:lvlJc w:val="left"/>
      <w:pPr>
        <w:ind w:left="2160" w:hanging="360"/>
      </w:pPr>
      <w:rPr>
        <w:rFonts w:ascii="Wingdings" w:hAnsi="Wingdings" w:hint="default"/>
      </w:rPr>
    </w:lvl>
    <w:lvl w:ilvl="3" w:tplc="CC14CF58">
      <w:start w:val="1"/>
      <w:numFmt w:val="bullet"/>
      <w:lvlText w:val=""/>
      <w:lvlJc w:val="left"/>
      <w:pPr>
        <w:ind w:left="2880" w:hanging="360"/>
      </w:pPr>
      <w:rPr>
        <w:rFonts w:ascii="Symbol" w:hAnsi="Symbol" w:hint="default"/>
      </w:rPr>
    </w:lvl>
    <w:lvl w:ilvl="4" w:tplc="FF1096AC">
      <w:start w:val="1"/>
      <w:numFmt w:val="bullet"/>
      <w:lvlText w:val="o"/>
      <w:lvlJc w:val="left"/>
      <w:pPr>
        <w:ind w:left="3600" w:hanging="360"/>
      </w:pPr>
      <w:rPr>
        <w:rFonts w:ascii="Courier New" w:hAnsi="Courier New" w:hint="default"/>
      </w:rPr>
    </w:lvl>
    <w:lvl w:ilvl="5" w:tplc="BF3AA746">
      <w:start w:val="1"/>
      <w:numFmt w:val="bullet"/>
      <w:lvlText w:val=""/>
      <w:lvlJc w:val="left"/>
      <w:pPr>
        <w:ind w:left="4320" w:hanging="360"/>
      </w:pPr>
      <w:rPr>
        <w:rFonts w:ascii="Wingdings" w:hAnsi="Wingdings" w:hint="default"/>
      </w:rPr>
    </w:lvl>
    <w:lvl w:ilvl="6" w:tplc="92346264">
      <w:start w:val="1"/>
      <w:numFmt w:val="bullet"/>
      <w:lvlText w:val=""/>
      <w:lvlJc w:val="left"/>
      <w:pPr>
        <w:ind w:left="5040" w:hanging="360"/>
      </w:pPr>
      <w:rPr>
        <w:rFonts w:ascii="Symbol" w:hAnsi="Symbol" w:hint="default"/>
      </w:rPr>
    </w:lvl>
    <w:lvl w:ilvl="7" w:tplc="EC2AA22E">
      <w:start w:val="1"/>
      <w:numFmt w:val="bullet"/>
      <w:lvlText w:val="o"/>
      <w:lvlJc w:val="left"/>
      <w:pPr>
        <w:ind w:left="5760" w:hanging="360"/>
      </w:pPr>
      <w:rPr>
        <w:rFonts w:ascii="Courier New" w:hAnsi="Courier New" w:hint="default"/>
      </w:rPr>
    </w:lvl>
    <w:lvl w:ilvl="8" w:tplc="6FB26F9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82DEFA56">
      <w:start w:val="1"/>
      <w:numFmt w:val="bullet"/>
      <w:lvlText w:val=""/>
      <w:lvlJc w:val="left"/>
      <w:pPr>
        <w:ind w:left="720" w:hanging="360"/>
      </w:pPr>
      <w:rPr>
        <w:rFonts w:ascii="Symbol" w:hAnsi="Symbol" w:hint="default"/>
      </w:rPr>
    </w:lvl>
    <w:lvl w:ilvl="1" w:tplc="5F444514">
      <w:start w:val="1"/>
      <w:numFmt w:val="bullet"/>
      <w:lvlText w:val="o"/>
      <w:lvlJc w:val="left"/>
      <w:pPr>
        <w:ind w:left="1440" w:hanging="360"/>
      </w:pPr>
      <w:rPr>
        <w:rFonts w:ascii="Courier New" w:hAnsi="Courier New" w:hint="default"/>
      </w:rPr>
    </w:lvl>
    <w:lvl w:ilvl="2" w:tplc="926A8A14">
      <w:start w:val="1"/>
      <w:numFmt w:val="bullet"/>
      <w:lvlText w:val=""/>
      <w:lvlJc w:val="left"/>
      <w:pPr>
        <w:ind w:left="2160" w:hanging="360"/>
      </w:pPr>
      <w:rPr>
        <w:rFonts w:ascii="Wingdings" w:hAnsi="Wingdings" w:hint="default"/>
      </w:rPr>
    </w:lvl>
    <w:lvl w:ilvl="3" w:tplc="BCC44130">
      <w:start w:val="1"/>
      <w:numFmt w:val="bullet"/>
      <w:lvlText w:val=""/>
      <w:lvlJc w:val="left"/>
      <w:pPr>
        <w:ind w:left="2880" w:hanging="360"/>
      </w:pPr>
      <w:rPr>
        <w:rFonts w:ascii="Symbol" w:hAnsi="Symbol" w:hint="default"/>
      </w:rPr>
    </w:lvl>
    <w:lvl w:ilvl="4" w:tplc="224884B2">
      <w:start w:val="1"/>
      <w:numFmt w:val="bullet"/>
      <w:lvlText w:val="o"/>
      <w:lvlJc w:val="left"/>
      <w:pPr>
        <w:ind w:left="3600" w:hanging="360"/>
      </w:pPr>
      <w:rPr>
        <w:rFonts w:ascii="Courier New" w:hAnsi="Courier New" w:hint="default"/>
      </w:rPr>
    </w:lvl>
    <w:lvl w:ilvl="5" w:tplc="3072E104">
      <w:start w:val="1"/>
      <w:numFmt w:val="bullet"/>
      <w:lvlText w:val=""/>
      <w:lvlJc w:val="left"/>
      <w:pPr>
        <w:ind w:left="4320" w:hanging="360"/>
      </w:pPr>
      <w:rPr>
        <w:rFonts w:ascii="Wingdings" w:hAnsi="Wingdings" w:hint="default"/>
      </w:rPr>
    </w:lvl>
    <w:lvl w:ilvl="6" w:tplc="E8267E86">
      <w:start w:val="1"/>
      <w:numFmt w:val="bullet"/>
      <w:lvlText w:val=""/>
      <w:lvlJc w:val="left"/>
      <w:pPr>
        <w:ind w:left="5040" w:hanging="360"/>
      </w:pPr>
      <w:rPr>
        <w:rFonts w:ascii="Symbol" w:hAnsi="Symbol" w:hint="default"/>
      </w:rPr>
    </w:lvl>
    <w:lvl w:ilvl="7" w:tplc="69043C76">
      <w:start w:val="1"/>
      <w:numFmt w:val="bullet"/>
      <w:lvlText w:val="o"/>
      <w:lvlJc w:val="left"/>
      <w:pPr>
        <w:ind w:left="5760" w:hanging="360"/>
      </w:pPr>
      <w:rPr>
        <w:rFonts w:ascii="Courier New" w:hAnsi="Courier New" w:hint="default"/>
      </w:rPr>
    </w:lvl>
    <w:lvl w:ilvl="8" w:tplc="05AC08C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3D265ADA">
      <w:start w:val="1"/>
      <w:numFmt w:val="bullet"/>
      <w:lvlText w:val=""/>
      <w:lvlJc w:val="left"/>
      <w:pPr>
        <w:ind w:left="720" w:hanging="360"/>
      </w:pPr>
      <w:rPr>
        <w:rFonts w:ascii="Symbol" w:hAnsi="Symbol" w:hint="default"/>
      </w:rPr>
    </w:lvl>
    <w:lvl w:ilvl="1" w:tplc="D5968A7C">
      <w:start w:val="1"/>
      <w:numFmt w:val="bullet"/>
      <w:lvlText w:val="o"/>
      <w:lvlJc w:val="left"/>
      <w:pPr>
        <w:ind w:left="1440" w:hanging="360"/>
      </w:pPr>
      <w:rPr>
        <w:rFonts w:ascii="Courier New" w:hAnsi="Courier New" w:hint="default"/>
      </w:rPr>
    </w:lvl>
    <w:lvl w:ilvl="2" w:tplc="5C3CDE3C">
      <w:start w:val="1"/>
      <w:numFmt w:val="bullet"/>
      <w:lvlText w:val=""/>
      <w:lvlJc w:val="left"/>
      <w:pPr>
        <w:ind w:left="2160" w:hanging="360"/>
      </w:pPr>
      <w:rPr>
        <w:rFonts w:ascii="Wingdings" w:hAnsi="Wingdings" w:hint="default"/>
      </w:rPr>
    </w:lvl>
    <w:lvl w:ilvl="3" w:tplc="4F82BAAA">
      <w:start w:val="1"/>
      <w:numFmt w:val="bullet"/>
      <w:lvlText w:val=""/>
      <w:lvlJc w:val="left"/>
      <w:pPr>
        <w:ind w:left="2880" w:hanging="360"/>
      </w:pPr>
      <w:rPr>
        <w:rFonts w:ascii="Symbol" w:hAnsi="Symbol" w:hint="default"/>
      </w:rPr>
    </w:lvl>
    <w:lvl w:ilvl="4" w:tplc="B7CCB52A">
      <w:start w:val="1"/>
      <w:numFmt w:val="bullet"/>
      <w:lvlText w:val="o"/>
      <w:lvlJc w:val="left"/>
      <w:pPr>
        <w:ind w:left="3600" w:hanging="360"/>
      </w:pPr>
      <w:rPr>
        <w:rFonts w:ascii="Courier New" w:hAnsi="Courier New" w:hint="default"/>
      </w:rPr>
    </w:lvl>
    <w:lvl w:ilvl="5" w:tplc="B9322850">
      <w:start w:val="1"/>
      <w:numFmt w:val="bullet"/>
      <w:lvlText w:val=""/>
      <w:lvlJc w:val="left"/>
      <w:pPr>
        <w:ind w:left="4320" w:hanging="360"/>
      </w:pPr>
      <w:rPr>
        <w:rFonts w:ascii="Wingdings" w:hAnsi="Wingdings" w:hint="default"/>
      </w:rPr>
    </w:lvl>
    <w:lvl w:ilvl="6" w:tplc="046A9AA2">
      <w:start w:val="1"/>
      <w:numFmt w:val="bullet"/>
      <w:lvlText w:val=""/>
      <w:lvlJc w:val="left"/>
      <w:pPr>
        <w:ind w:left="5040" w:hanging="360"/>
      </w:pPr>
      <w:rPr>
        <w:rFonts w:ascii="Symbol" w:hAnsi="Symbol" w:hint="default"/>
      </w:rPr>
    </w:lvl>
    <w:lvl w:ilvl="7" w:tplc="BAEA4B9A">
      <w:start w:val="1"/>
      <w:numFmt w:val="bullet"/>
      <w:lvlText w:val="o"/>
      <w:lvlJc w:val="left"/>
      <w:pPr>
        <w:ind w:left="5760" w:hanging="360"/>
      </w:pPr>
      <w:rPr>
        <w:rFonts w:ascii="Courier New" w:hAnsi="Courier New" w:hint="default"/>
      </w:rPr>
    </w:lvl>
    <w:lvl w:ilvl="8" w:tplc="BAE2FED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70EC89D6">
      <w:start w:val="1"/>
      <w:numFmt w:val="bullet"/>
      <w:lvlText w:val=""/>
      <w:lvlJc w:val="left"/>
      <w:pPr>
        <w:ind w:left="720" w:hanging="360"/>
      </w:pPr>
      <w:rPr>
        <w:rFonts w:ascii="Symbol" w:hAnsi="Symbol" w:hint="default"/>
      </w:rPr>
    </w:lvl>
    <w:lvl w:ilvl="1" w:tplc="431020F4">
      <w:start w:val="1"/>
      <w:numFmt w:val="bullet"/>
      <w:lvlText w:val="o"/>
      <w:lvlJc w:val="left"/>
      <w:pPr>
        <w:ind w:left="1440" w:hanging="360"/>
      </w:pPr>
      <w:rPr>
        <w:rFonts w:ascii="Courier New" w:hAnsi="Courier New" w:hint="default"/>
      </w:rPr>
    </w:lvl>
    <w:lvl w:ilvl="2" w:tplc="86EEFF94">
      <w:start w:val="1"/>
      <w:numFmt w:val="bullet"/>
      <w:lvlText w:val=""/>
      <w:lvlJc w:val="left"/>
      <w:pPr>
        <w:ind w:left="2160" w:hanging="360"/>
      </w:pPr>
      <w:rPr>
        <w:rFonts w:ascii="Wingdings" w:hAnsi="Wingdings" w:hint="default"/>
      </w:rPr>
    </w:lvl>
    <w:lvl w:ilvl="3" w:tplc="9DF8E334">
      <w:start w:val="1"/>
      <w:numFmt w:val="bullet"/>
      <w:lvlText w:val=""/>
      <w:lvlJc w:val="left"/>
      <w:pPr>
        <w:ind w:left="2880" w:hanging="360"/>
      </w:pPr>
      <w:rPr>
        <w:rFonts w:ascii="Symbol" w:hAnsi="Symbol" w:hint="default"/>
      </w:rPr>
    </w:lvl>
    <w:lvl w:ilvl="4" w:tplc="CFAECAAA">
      <w:start w:val="1"/>
      <w:numFmt w:val="bullet"/>
      <w:lvlText w:val="o"/>
      <w:lvlJc w:val="left"/>
      <w:pPr>
        <w:ind w:left="3600" w:hanging="360"/>
      </w:pPr>
      <w:rPr>
        <w:rFonts w:ascii="Courier New" w:hAnsi="Courier New" w:hint="default"/>
      </w:rPr>
    </w:lvl>
    <w:lvl w:ilvl="5" w:tplc="6A604A20">
      <w:start w:val="1"/>
      <w:numFmt w:val="bullet"/>
      <w:lvlText w:val=""/>
      <w:lvlJc w:val="left"/>
      <w:pPr>
        <w:ind w:left="4320" w:hanging="360"/>
      </w:pPr>
      <w:rPr>
        <w:rFonts w:ascii="Wingdings" w:hAnsi="Wingdings" w:hint="default"/>
      </w:rPr>
    </w:lvl>
    <w:lvl w:ilvl="6" w:tplc="159C79AA">
      <w:start w:val="1"/>
      <w:numFmt w:val="bullet"/>
      <w:lvlText w:val=""/>
      <w:lvlJc w:val="left"/>
      <w:pPr>
        <w:ind w:left="5040" w:hanging="360"/>
      </w:pPr>
      <w:rPr>
        <w:rFonts w:ascii="Symbol" w:hAnsi="Symbol" w:hint="default"/>
      </w:rPr>
    </w:lvl>
    <w:lvl w:ilvl="7" w:tplc="F386F568">
      <w:start w:val="1"/>
      <w:numFmt w:val="bullet"/>
      <w:lvlText w:val="o"/>
      <w:lvlJc w:val="left"/>
      <w:pPr>
        <w:ind w:left="5760" w:hanging="360"/>
      </w:pPr>
      <w:rPr>
        <w:rFonts w:ascii="Courier New" w:hAnsi="Courier New" w:hint="default"/>
      </w:rPr>
    </w:lvl>
    <w:lvl w:ilvl="8" w:tplc="3C1C583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FFFFFFF"/>
    <w:lvl w:ilvl="0" w:tplc="D45698C8">
      <w:start w:val="1"/>
      <w:numFmt w:val="bullet"/>
      <w:lvlText w:val=""/>
      <w:lvlJc w:val="left"/>
      <w:pPr>
        <w:ind w:left="720" w:hanging="360"/>
      </w:pPr>
      <w:rPr>
        <w:rFonts w:ascii="Symbol" w:hAnsi="Symbol" w:hint="default"/>
      </w:rPr>
    </w:lvl>
    <w:lvl w:ilvl="1" w:tplc="A8206334">
      <w:start w:val="1"/>
      <w:numFmt w:val="bullet"/>
      <w:lvlText w:val="o"/>
      <w:lvlJc w:val="left"/>
      <w:pPr>
        <w:ind w:left="1440" w:hanging="360"/>
      </w:pPr>
      <w:rPr>
        <w:rFonts w:ascii="Courier New" w:hAnsi="Courier New" w:hint="default"/>
      </w:rPr>
    </w:lvl>
    <w:lvl w:ilvl="2" w:tplc="23E42F04">
      <w:start w:val="1"/>
      <w:numFmt w:val="bullet"/>
      <w:lvlText w:val=""/>
      <w:lvlJc w:val="left"/>
      <w:pPr>
        <w:ind w:left="2160" w:hanging="360"/>
      </w:pPr>
      <w:rPr>
        <w:rFonts w:ascii="Wingdings" w:hAnsi="Wingdings" w:hint="default"/>
      </w:rPr>
    </w:lvl>
    <w:lvl w:ilvl="3" w:tplc="23D2B81E">
      <w:start w:val="1"/>
      <w:numFmt w:val="bullet"/>
      <w:lvlText w:val=""/>
      <w:lvlJc w:val="left"/>
      <w:pPr>
        <w:ind w:left="2880" w:hanging="360"/>
      </w:pPr>
      <w:rPr>
        <w:rFonts w:ascii="Symbol" w:hAnsi="Symbol" w:hint="default"/>
      </w:rPr>
    </w:lvl>
    <w:lvl w:ilvl="4" w:tplc="0C80CE6C">
      <w:start w:val="1"/>
      <w:numFmt w:val="bullet"/>
      <w:lvlText w:val="o"/>
      <w:lvlJc w:val="left"/>
      <w:pPr>
        <w:ind w:left="3600" w:hanging="360"/>
      </w:pPr>
      <w:rPr>
        <w:rFonts w:ascii="Courier New" w:hAnsi="Courier New" w:hint="default"/>
      </w:rPr>
    </w:lvl>
    <w:lvl w:ilvl="5" w:tplc="BC78D79E">
      <w:start w:val="1"/>
      <w:numFmt w:val="bullet"/>
      <w:lvlText w:val=""/>
      <w:lvlJc w:val="left"/>
      <w:pPr>
        <w:ind w:left="4320" w:hanging="360"/>
      </w:pPr>
      <w:rPr>
        <w:rFonts w:ascii="Wingdings" w:hAnsi="Wingdings" w:hint="default"/>
      </w:rPr>
    </w:lvl>
    <w:lvl w:ilvl="6" w:tplc="4A52BE08">
      <w:start w:val="1"/>
      <w:numFmt w:val="bullet"/>
      <w:lvlText w:val=""/>
      <w:lvlJc w:val="left"/>
      <w:pPr>
        <w:ind w:left="5040" w:hanging="360"/>
      </w:pPr>
      <w:rPr>
        <w:rFonts w:ascii="Symbol" w:hAnsi="Symbol" w:hint="default"/>
      </w:rPr>
    </w:lvl>
    <w:lvl w:ilvl="7" w:tplc="B28E70EA">
      <w:start w:val="1"/>
      <w:numFmt w:val="bullet"/>
      <w:lvlText w:val="o"/>
      <w:lvlJc w:val="left"/>
      <w:pPr>
        <w:ind w:left="5760" w:hanging="360"/>
      </w:pPr>
      <w:rPr>
        <w:rFonts w:ascii="Courier New" w:hAnsi="Courier New" w:hint="default"/>
      </w:rPr>
    </w:lvl>
    <w:lvl w:ilvl="8" w:tplc="3B020B3E">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1011118">
    <w:abstractNumId w:val="11"/>
  </w:num>
  <w:num w:numId="2" w16cid:durableId="1145702149">
    <w:abstractNumId w:val="12"/>
  </w:num>
  <w:num w:numId="3" w16cid:durableId="713698864">
    <w:abstractNumId w:val="1"/>
  </w:num>
  <w:num w:numId="4" w16cid:durableId="1982998043">
    <w:abstractNumId w:val="3"/>
  </w:num>
  <w:num w:numId="5" w16cid:durableId="351616701">
    <w:abstractNumId w:val="15"/>
  </w:num>
  <w:num w:numId="6" w16cid:durableId="1380208613">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D82"/>
    <w:rsid w:val="00013D88"/>
    <w:rsid w:val="0001715D"/>
    <w:rsid w:val="00022C42"/>
    <w:rsid w:val="00027B15"/>
    <w:rsid w:val="00030A05"/>
    <w:rsid w:val="00050BE1"/>
    <w:rsid w:val="00052412"/>
    <w:rsid w:val="00070818"/>
    <w:rsid w:val="0008238F"/>
    <w:rsid w:val="00082EC6"/>
    <w:rsid w:val="00085388"/>
    <w:rsid w:val="000948C7"/>
    <w:rsid w:val="000B17D3"/>
    <w:rsid w:val="000C10AD"/>
    <w:rsid w:val="000D41DC"/>
    <w:rsid w:val="000D4A73"/>
    <w:rsid w:val="001064D7"/>
    <w:rsid w:val="00107D1B"/>
    <w:rsid w:val="00125D37"/>
    <w:rsid w:val="00127C1A"/>
    <w:rsid w:val="00134CE4"/>
    <w:rsid w:val="001441DD"/>
    <w:rsid w:val="00150D81"/>
    <w:rsid w:val="00166CEB"/>
    <w:rsid w:val="00167CCE"/>
    <w:rsid w:val="00176803"/>
    <w:rsid w:val="00183CB9"/>
    <w:rsid w:val="00184A9A"/>
    <w:rsid w:val="001947DF"/>
    <w:rsid w:val="001B22BB"/>
    <w:rsid w:val="001B504B"/>
    <w:rsid w:val="001B619C"/>
    <w:rsid w:val="001D1D3C"/>
    <w:rsid w:val="001F59B6"/>
    <w:rsid w:val="001F627F"/>
    <w:rsid w:val="0021327E"/>
    <w:rsid w:val="00217FFD"/>
    <w:rsid w:val="002205D4"/>
    <w:rsid w:val="00222C3A"/>
    <w:rsid w:val="00225E94"/>
    <w:rsid w:val="00226D31"/>
    <w:rsid w:val="002277F2"/>
    <w:rsid w:val="00235A68"/>
    <w:rsid w:val="00236401"/>
    <w:rsid w:val="002370CE"/>
    <w:rsid w:val="00242974"/>
    <w:rsid w:val="00254071"/>
    <w:rsid w:val="00261650"/>
    <w:rsid w:val="002829A6"/>
    <w:rsid w:val="00294354"/>
    <w:rsid w:val="002976D4"/>
    <w:rsid w:val="002A5577"/>
    <w:rsid w:val="002A72AA"/>
    <w:rsid w:val="002B165D"/>
    <w:rsid w:val="002B4AA4"/>
    <w:rsid w:val="002C34FD"/>
    <w:rsid w:val="002C4A82"/>
    <w:rsid w:val="002D17F2"/>
    <w:rsid w:val="002D2203"/>
    <w:rsid w:val="002E71BA"/>
    <w:rsid w:val="002F007E"/>
    <w:rsid w:val="002F5066"/>
    <w:rsid w:val="003003FD"/>
    <w:rsid w:val="00300790"/>
    <w:rsid w:val="00310245"/>
    <w:rsid w:val="00316C95"/>
    <w:rsid w:val="003458DB"/>
    <w:rsid w:val="003523D3"/>
    <w:rsid w:val="003537D5"/>
    <w:rsid w:val="0036489B"/>
    <w:rsid w:val="00364C35"/>
    <w:rsid w:val="00396F60"/>
    <w:rsid w:val="003A51D6"/>
    <w:rsid w:val="003B125E"/>
    <w:rsid w:val="003B2A5E"/>
    <w:rsid w:val="003B2B07"/>
    <w:rsid w:val="003B6705"/>
    <w:rsid w:val="003C2665"/>
    <w:rsid w:val="003C7C97"/>
    <w:rsid w:val="00401438"/>
    <w:rsid w:val="0040243A"/>
    <w:rsid w:val="004025DA"/>
    <w:rsid w:val="004039DB"/>
    <w:rsid w:val="00406B8D"/>
    <w:rsid w:val="00410068"/>
    <w:rsid w:val="0041618E"/>
    <w:rsid w:val="0042295C"/>
    <w:rsid w:val="00426EEC"/>
    <w:rsid w:val="0044640B"/>
    <w:rsid w:val="004466C3"/>
    <w:rsid w:val="00454747"/>
    <w:rsid w:val="004552CE"/>
    <w:rsid w:val="00455742"/>
    <w:rsid w:val="00481FF7"/>
    <w:rsid w:val="00483032"/>
    <w:rsid w:val="004F27AE"/>
    <w:rsid w:val="00500295"/>
    <w:rsid w:val="00501AAF"/>
    <w:rsid w:val="00527AFA"/>
    <w:rsid w:val="0053601F"/>
    <w:rsid w:val="005419DA"/>
    <w:rsid w:val="005461E3"/>
    <w:rsid w:val="00557592"/>
    <w:rsid w:val="0056671D"/>
    <w:rsid w:val="005678AC"/>
    <w:rsid w:val="005679BD"/>
    <w:rsid w:val="005709B1"/>
    <w:rsid w:val="00572B3B"/>
    <w:rsid w:val="00583543"/>
    <w:rsid w:val="005836D2"/>
    <w:rsid w:val="00587C58"/>
    <w:rsid w:val="00590B2F"/>
    <w:rsid w:val="005A7FD4"/>
    <w:rsid w:val="005B1A84"/>
    <w:rsid w:val="005D12B8"/>
    <w:rsid w:val="005D1AF9"/>
    <w:rsid w:val="005D5457"/>
    <w:rsid w:val="005E2699"/>
    <w:rsid w:val="005E44B5"/>
    <w:rsid w:val="005F743B"/>
    <w:rsid w:val="0060633A"/>
    <w:rsid w:val="00612DEA"/>
    <w:rsid w:val="00614572"/>
    <w:rsid w:val="006232DF"/>
    <w:rsid w:val="0062548E"/>
    <w:rsid w:val="00630349"/>
    <w:rsid w:val="00631F2E"/>
    <w:rsid w:val="00640410"/>
    <w:rsid w:val="006457C0"/>
    <w:rsid w:val="00652BB7"/>
    <w:rsid w:val="00661758"/>
    <w:rsid w:val="0067612C"/>
    <w:rsid w:val="00676FEB"/>
    <w:rsid w:val="006912C4"/>
    <w:rsid w:val="006924FB"/>
    <w:rsid w:val="006A5213"/>
    <w:rsid w:val="006A5CFC"/>
    <w:rsid w:val="006B5266"/>
    <w:rsid w:val="006C5138"/>
    <w:rsid w:val="006C689B"/>
    <w:rsid w:val="006E005C"/>
    <w:rsid w:val="006E6EE5"/>
    <w:rsid w:val="006F0029"/>
    <w:rsid w:val="006F502D"/>
    <w:rsid w:val="006F5FCE"/>
    <w:rsid w:val="007138EF"/>
    <w:rsid w:val="007228C2"/>
    <w:rsid w:val="00725487"/>
    <w:rsid w:val="007454C4"/>
    <w:rsid w:val="00746191"/>
    <w:rsid w:val="00746455"/>
    <w:rsid w:val="007501F0"/>
    <w:rsid w:val="00753E6C"/>
    <w:rsid w:val="007579FF"/>
    <w:rsid w:val="007632A9"/>
    <w:rsid w:val="00765703"/>
    <w:rsid w:val="00774092"/>
    <w:rsid w:val="00782830"/>
    <w:rsid w:val="0078664A"/>
    <w:rsid w:val="00793C38"/>
    <w:rsid w:val="007B0F6D"/>
    <w:rsid w:val="007B1356"/>
    <w:rsid w:val="007B4551"/>
    <w:rsid w:val="007C62C3"/>
    <w:rsid w:val="007D25AA"/>
    <w:rsid w:val="007D2A49"/>
    <w:rsid w:val="007E0613"/>
    <w:rsid w:val="007E5A1A"/>
    <w:rsid w:val="007F0873"/>
    <w:rsid w:val="007F17A2"/>
    <w:rsid w:val="008000B6"/>
    <w:rsid w:val="008039AE"/>
    <w:rsid w:val="00805726"/>
    <w:rsid w:val="00815117"/>
    <w:rsid w:val="00824CB1"/>
    <w:rsid w:val="00832C7A"/>
    <w:rsid w:val="008520F8"/>
    <w:rsid w:val="00855F34"/>
    <w:rsid w:val="008826B6"/>
    <w:rsid w:val="008A5563"/>
    <w:rsid w:val="008A745D"/>
    <w:rsid w:val="008B0B22"/>
    <w:rsid w:val="008C58B0"/>
    <w:rsid w:val="008C591B"/>
    <w:rsid w:val="008C6182"/>
    <w:rsid w:val="008E4B3A"/>
    <w:rsid w:val="008E722A"/>
    <w:rsid w:val="0090779E"/>
    <w:rsid w:val="00910B1F"/>
    <w:rsid w:val="00910FDE"/>
    <w:rsid w:val="00913DD9"/>
    <w:rsid w:val="00923523"/>
    <w:rsid w:val="009246B7"/>
    <w:rsid w:val="00926458"/>
    <w:rsid w:val="00933720"/>
    <w:rsid w:val="00935FB4"/>
    <w:rsid w:val="00955D32"/>
    <w:rsid w:val="00974437"/>
    <w:rsid w:val="00982551"/>
    <w:rsid w:val="009969F0"/>
    <w:rsid w:val="009B003B"/>
    <w:rsid w:val="009C7E52"/>
    <w:rsid w:val="009E4934"/>
    <w:rsid w:val="009E7DFA"/>
    <w:rsid w:val="009F40A7"/>
    <w:rsid w:val="009F5CE6"/>
    <w:rsid w:val="009F692C"/>
    <w:rsid w:val="009F779B"/>
    <w:rsid w:val="00A035CD"/>
    <w:rsid w:val="00A12B34"/>
    <w:rsid w:val="00A14E1C"/>
    <w:rsid w:val="00A33F09"/>
    <w:rsid w:val="00A50E80"/>
    <w:rsid w:val="00A513B0"/>
    <w:rsid w:val="00A54BDD"/>
    <w:rsid w:val="00A634EF"/>
    <w:rsid w:val="00A63F7F"/>
    <w:rsid w:val="00A667CE"/>
    <w:rsid w:val="00A75042"/>
    <w:rsid w:val="00A774BC"/>
    <w:rsid w:val="00A82678"/>
    <w:rsid w:val="00A94336"/>
    <w:rsid w:val="00A946CB"/>
    <w:rsid w:val="00A975FA"/>
    <w:rsid w:val="00AA0591"/>
    <w:rsid w:val="00AA77C8"/>
    <w:rsid w:val="00AC7BE2"/>
    <w:rsid w:val="00AD7218"/>
    <w:rsid w:val="00AE35BF"/>
    <w:rsid w:val="00AF622A"/>
    <w:rsid w:val="00B1067E"/>
    <w:rsid w:val="00B12736"/>
    <w:rsid w:val="00B1557E"/>
    <w:rsid w:val="00B41EA7"/>
    <w:rsid w:val="00B81790"/>
    <w:rsid w:val="00B81BBC"/>
    <w:rsid w:val="00B90C21"/>
    <w:rsid w:val="00BB1E1D"/>
    <w:rsid w:val="00BD03D5"/>
    <w:rsid w:val="00BF4CAC"/>
    <w:rsid w:val="00C1591B"/>
    <w:rsid w:val="00C2342A"/>
    <w:rsid w:val="00C3215E"/>
    <w:rsid w:val="00C45272"/>
    <w:rsid w:val="00C47770"/>
    <w:rsid w:val="00C55379"/>
    <w:rsid w:val="00C573DB"/>
    <w:rsid w:val="00C75856"/>
    <w:rsid w:val="00C81DA0"/>
    <w:rsid w:val="00C85A7C"/>
    <w:rsid w:val="00C95214"/>
    <w:rsid w:val="00CB1961"/>
    <w:rsid w:val="00CB3A56"/>
    <w:rsid w:val="00CC0ACE"/>
    <w:rsid w:val="00CC3F59"/>
    <w:rsid w:val="00CD4774"/>
    <w:rsid w:val="00CD75BB"/>
    <w:rsid w:val="00CE1732"/>
    <w:rsid w:val="00CF0C22"/>
    <w:rsid w:val="00CF0EF8"/>
    <w:rsid w:val="00D04FF6"/>
    <w:rsid w:val="00D10AAF"/>
    <w:rsid w:val="00D20920"/>
    <w:rsid w:val="00D241AE"/>
    <w:rsid w:val="00D27540"/>
    <w:rsid w:val="00D4006B"/>
    <w:rsid w:val="00D40D7A"/>
    <w:rsid w:val="00D42C7B"/>
    <w:rsid w:val="00D54423"/>
    <w:rsid w:val="00D557BA"/>
    <w:rsid w:val="00D61319"/>
    <w:rsid w:val="00D64A0D"/>
    <w:rsid w:val="00D676C3"/>
    <w:rsid w:val="00D750B4"/>
    <w:rsid w:val="00D750D6"/>
    <w:rsid w:val="00D81C18"/>
    <w:rsid w:val="00D8461A"/>
    <w:rsid w:val="00D87843"/>
    <w:rsid w:val="00D92E23"/>
    <w:rsid w:val="00D95CAF"/>
    <w:rsid w:val="00DA2316"/>
    <w:rsid w:val="00DA5402"/>
    <w:rsid w:val="00DB60B6"/>
    <w:rsid w:val="00DC10C6"/>
    <w:rsid w:val="00DC1CC6"/>
    <w:rsid w:val="00DC2BB7"/>
    <w:rsid w:val="00DC4C8D"/>
    <w:rsid w:val="00DD486A"/>
    <w:rsid w:val="00DD5135"/>
    <w:rsid w:val="00DD5E24"/>
    <w:rsid w:val="00DE47E9"/>
    <w:rsid w:val="00DE6972"/>
    <w:rsid w:val="00DE74FC"/>
    <w:rsid w:val="00DF1539"/>
    <w:rsid w:val="00DF773F"/>
    <w:rsid w:val="00E067A8"/>
    <w:rsid w:val="00E13924"/>
    <w:rsid w:val="00E1484A"/>
    <w:rsid w:val="00E15FD5"/>
    <w:rsid w:val="00E1725A"/>
    <w:rsid w:val="00E224D5"/>
    <w:rsid w:val="00E33758"/>
    <w:rsid w:val="00E4747B"/>
    <w:rsid w:val="00E5050B"/>
    <w:rsid w:val="00E53E5E"/>
    <w:rsid w:val="00E6128D"/>
    <w:rsid w:val="00E6183F"/>
    <w:rsid w:val="00E64325"/>
    <w:rsid w:val="00E673C5"/>
    <w:rsid w:val="00E67967"/>
    <w:rsid w:val="00E82723"/>
    <w:rsid w:val="00E833D0"/>
    <w:rsid w:val="00E939EC"/>
    <w:rsid w:val="00E9463F"/>
    <w:rsid w:val="00EA29A5"/>
    <w:rsid w:val="00EA7344"/>
    <w:rsid w:val="00EB4F81"/>
    <w:rsid w:val="00EC107C"/>
    <w:rsid w:val="00EC7EBE"/>
    <w:rsid w:val="00EC7FD2"/>
    <w:rsid w:val="00ED5964"/>
    <w:rsid w:val="00EE5EF4"/>
    <w:rsid w:val="00EF74C5"/>
    <w:rsid w:val="00F05E7E"/>
    <w:rsid w:val="00F06167"/>
    <w:rsid w:val="00F1720B"/>
    <w:rsid w:val="00F24571"/>
    <w:rsid w:val="00F25496"/>
    <w:rsid w:val="00F36ADC"/>
    <w:rsid w:val="00F605C6"/>
    <w:rsid w:val="00F6785B"/>
    <w:rsid w:val="00F77210"/>
    <w:rsid w:val="00F8594A"/>
    <w:rsid w:val="00F9012D"/>
    <w:rsid w:val="00F9056B"/>
    <w:rsid w:val="00F915D6"/>
    <w:rsid w:val="00F960A7"/>
    <w:rsid w:val="00FA026C"/>
    <w:rsid w:val="00FB4DFB"/>
    <w:rsid w:val="00FB67AF"/>
    <w:rsid w:val="00FC6295"/>
    <w:rsid w:val="00FD1A3D"/>
    <w:rsid w:val="00FD2B36"/>
    <w:rsid w:val="00FE20F0"/>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p1">
    <w:name w:val="p1"/>
    <w:basedOn w:val="Normal"/>
    <w:rsid w:val="00D04FF6"/>
    <w:pPr>
      <w:spacing w:after="0" w:line="240" w:lineRule="auto"/>
    </w:pPr>
    <w:rPr>
      <w:rFonts w:ascii="Helvetica" w:hAnsi="Helvetica" w:cs="Times New Roman"/>
      <w:color w:val="000000"/>
      <w:kern w:val="0"/>
      <w:szCs w:val="20"/>
      <w:lang w:eastAsia="en-GB"/>
      <w14:ligatures w14:val="none"/>
    </w:rPr>
  </w:style>
  <w:style w:type="character" w:customStyle="1" w:styleId="s1">
    <w:name w:val="s1"/>
    <w:basedOn w:val="DefaultParagraphFont"/>
    <w:rsid w:val="00D04FF6"/>
    <w:rPr>
      <w:rFonts w:ascii="Helvetica" w:hAnsi="Helvetica" w:hint="default"/>
      <w:b w:val="0"/>
      <w:bCs w:val="0"/>
      <w:i w:val="0"/>
      <w:iCs w:val="0"/>
      <w:sz w:val="20"/>
      <w:szCs w:val="20"/>
    </w:rPr>
  </w:style>
  <w:style w:type="character" w:customStyle="1" w:styleId="s2">
    <w:name w:val="s2"/>
    <w:basedOn w:val="DefaultParagraphFont"/>
    <w:rsid w:val="00D04FF6"/>
    <w:rPr>
      <w:rFonts w:ascii="Helvetica" w:hAnsi="Helvetica" w:hint="default"/>
      <w:b w:val="0"/>
      <w:bCs w:val="0"/>
      <w:i w:val="0"/>
      <w:iCs w:val="0"/>
      <w:sz w:val="15"/>
      <w:szCs w:val="15"/>
    </w:rPr>
  </w:style>
  <w:style w:type="character" w:customStyle="1" w:styleId="s3">
    <w:name w:val="s3"/>
    <w:basedOn w:val="DefaultParagraphFont"/>
    <w:rsid w:val="00D04FF6"/>
    <w:rPr>
      <w:rFonts w:ascii="Arial" w:hAnsi="Arial" w:cs="Arial" w:hint="default"/>
      <w:b w:val="0"/>
      <w:bCs w:val="0"/>
      <w:i w:val="0"/>
      <w:iCs w:val="0"/>
      <w:sz w:val="15"/>
      <w:szCs w:val="15"/>
    </w:rPr>
  </w:style>
  <w:style w:type="character" w:customStyle="1" w:styleId="apple-converted-space">
    <w:name w:val="apple-converted-space"/>
    <w:basedOn w:val="DefaultParagraphFont"/>
    <w:rsid w:val="006A52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orld-stroke.or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roke.org.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trokeaudit.org/" TargetMode="External"/><Relationship Id="rId4" Type="http://schemas.openxmlformats.org/officeDocument/2006/relationships/settings" Target="settings.xml"/><Relationship Id="rId9" Type="http://schemas.openxmlformats.org/officeDocument/2006/relationships/hyperlink" Target="https://www.cqc.org.u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2321</Words>
  <Characters>13233</Characters>
  <Application>Microsoft Office Word</Application>
  <DocSecurity>0</DocSecurity>
  <Lines>110</Lines>
  <Paragraphs>31</Paragraphs>
  <ScaleCrop>false</ScaleCrop>
  <Company>University of Wales Trinity Saint David</Company>
  <LinksUpToDate>false</LinksUpToDate>
  <CharactersWithSpaces>15523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Brenda Da Silva Rodrigues Marciano (2509114)</cp:lastModifiedBy>
  <cp:revision>2</cp:revision>
  <dcterms:created xsi:type="dcterms:W3CDTF">2026-04-20T10:33:00Z</dcterms:created>
  <dcterms:modified xsi:type="dcterms:W3CDTF">2026-04-20T10:33:00Z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