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A75E7" w14:textId="24B829F7" w:rsidR="008C6F4D" w:rsidRPr="00BC2AFA" w:rsidRDefault="005C04B4" w:rsidP="00BC2AFA">
      <w:pPr>
        <w:jc w:val="center"/>
        <w:rPr>
          <w:rFonts w:asciiTheme="majorBidi" w:hAnsiTheme="majorBidi" w:cstheme="majorBidi"/>
          <w:b/>
          <w:bCs/>
        </w:rPr>
      </w:pPr>
      <w:r w:rsidRPr="00BC2AFA">
        <w:rPr>
          <w:rFonts w:asciiTheme="majorBidi" w:hAnsiTheme="majorBidi" w:cstheme="majorBidi"/>
          <w:b/>
          <w:bCs/>
        </w:rPr>
        <w:t>Experiences of Family Therapy for Eating Disorders: A Systematic Literature Review</w:t>
      </w:r>
    </w:p>
    <w:p w14:paraId="2F6A4186" w14:textId="77777777" w:rsidR="008C6F4D" w:rsidRDefault="008C6F4D" w:rsidP="008C6F4D">
      <w:pPr>
        <w:rPr>
          <w:rFonts w:asciiTheme="majorBidi" w:hAnsiTheme="majorBidi" w:cstheme="majorBidi"/>
          <w:b/>
          <w:bCs/>
        </w:rPr>
      </w:pPr>
    </w:p>
    <w:p w14:paraId="087DEE18" w14:textId="6E02225F" w:rsidR="008C6F4D" w:rsidRPr="00B90A5D" w:rsidRDefault="008C6F4D" w:rsidP="00E04005">
      <w:pPr>
        <w:spacing w:line="360" w:lineRule="auto"/>
        <w:rPr>
          <w:rFonts w:ascii="Times New Roman" w:hAnsi="Times New Roman" w:cs="Times New Roman"/>
          <w:sz w:val="22"/>
          <w:szCs w:val="22"/>
        </w:rPr>
      </w:pPr>
      <w:r w:rsidRPr="00B90A5D">
        <w:rPr>
          <w:rFonts w:ascii="Times New Roman" w:hAnsi="Times New Roman" w:cs="Times New Roman"/>
          <w:b/>
          <w:bCs/>
          <w:sz w:val="22"/>
          <w:szCs w:val="22"/>
        </w:rPr>
        <w:t>Background:</w:t>
      </w:r>
      <w:r w:rsidR="00B90A5D" w:rsidRPr="00B90A5D">
        <w:rPr>
          <w:rFonts w:ascii="Times New Roman" w:hAnsi="Times New Roman" w:cs="Times New Roman"/>
          <w:sz w:val="22"/>
          <w:szCs w:val="22"/>
        </w:rPr>
        <w:t xml:space="preserve"> </w:t>
      </w:r>
      <w:r w:rsidR="00B90A5D" w:rsidRPr="00B90A5D">
        <w:rPr>
          <w:rFonts w:ascii="Times New Roman" w:hAnsi="Times New Roman" w:cs="Times New Roman"/>
          <w:sz w:val="22"/>
          <w:szCs w:val="22"/>
        </w:rPr>
        <w:t>Family therapy interventions, including Family-Based Treatment (FBT) and multifamily approaches, are recommended treatments for young people with eating disorders, particularly anorexia nervosa (Coopey &amp; Johnson, 2022; Gao et al., 2025; Lock &amp; Le Grange, 2013). While evidence supports their effectiveness for behavioural and physical recovery, less is known regarding how young people and families experience these interventions and their perceived impacts (Conti et al., 2017; Coopey &amp; Johnson, 2022; Gao et al., 2025).</w:t>
      </w:r>
    </w:p>
    <w:p w14:paraId="504B75C3" w14:textId="77777777" w:rsidR="00B90A5D" w:rsidRPr="00B90A5D" w:rsidRDefault="00B90A5D" w:rsidP="00E04005">
      <w:pPr>
        <w:spacing w:line="360" w:lineRule="auto"/>
        <w:rPr>
          <w:rFonts w:ascii="Times New Roman" w:hAnsi="Times New Roman" w:cs="Times New Roman"/>
          <w:b/>
          <w:bCs/>
          <w:sz w:val="22"/>
          <w:szCs w:val="22"/>
        </w:rPr>
      </w:pPr>
    </w:p>
    <w:p w14:paraId="10F4C8CE" w14:textId="62ED9A75" w:rsidR="008C6F4D" w:rsidRPr="00B90A5D" w:rsidRDefault="008C6F4D" w:rsidP="00E04005">
      <w:pPr>
        <w:spacing w:line="360" w:lineRule="auto"/>
        <w:rPr>
          <w:rFonts w:ascii="Times New Roman" w:hAnsi="Times New Roman" w:cs="Times New Roman"/>
          <w:sz w:val="22"/>
          <w:szCs w:val="22"/>
        </w:rPr>
      </w:pPr>
      <w:r w:rsidRPr="00B90A5D">
        <w:rPr>
          <w:rFonts w:ascii="Times New Roman" w:hAnsi="Times New Roman" w:cs="Times New Roman"/>
          <w:b/>
          <w:bCs/>
          <w:sz w:val="22"/>
          <w:szCs w:val="22"/>
        </w:rPr>
        <w:t>Aim:</w:t>
      </w:r>
      <w:r w:rsidRPr="00B90A5D">
        <w:rPr>
          <w:rFonts w:ascii="Times New Roman" w:hAnsi="Times New Roman" w:cs="Times New Roman"/>
          <w:sz w:val="22"/>
          <w:szCs w:val="22"/>
        </w:rPr>
        <w:t xml:space="preserve"> This systematic literature review aimed to explore experiences and perceived impacts of family therapy interventions for eating disorders among young people and their families.</w:t>
      </w:r>
    </w:p>
    <w:p w14:paraId="42933934" w14:textId="77777777" w:rsidR="00B90A5D" w:rsidRPr="00B90A5D" w:rsidRDefault="00B90A5D" w:rsidP="00E04005">
      <w:pPr>
        <w:spacing w:line="360" w:lineRule="auto"/>
        <w:rPr>
          <w:rFonts w:ascii="Times New Roman" w:hAnsi="Times New Roman" w:cs="Times New Roman"/>
          <w:b/>
          <w:bCs/>
          <w:sz w:val="22"/>
          <w:szCs w:val="22"/>
        </w:rPr>
      </w:pPr>
    </w:p>
    <w:p w14:paraId="322F9833" w14:textId="79F18BF5" w:rsidR="008C6F4D" w:rsidRPr="00B90A5D" w:rsidRDefault="008C6F4D" w:rsidP="00E04005">
      <w:pPr>
        <w:spacing w:line="360" w:lineRule="auto"/>
        <w:rPr>
          <w:rFonts w:ascii="Times New Roman" w:hAnsi="Times New Roman" w:cs="Times New Roman"/>
          <w:sz w:val="22"/>
          <w:szCs w:val="22"/>
        </w:rPr>
      </w:pPr>
      <w:r w:rsidRPr="00B90A5D">
        <w:rPr>
          <w:rFonts w:ascii="Times New Roman" w:hAnsi="Times New Roman" w:cs="Times New Roman"/>
          <w:b/>
          <w:bCs/>
          <w:sz w:val="22"/>
          <w:szCs w:val="22"/>
        </w:rPr>
        <w:t>Method:</w:t>
      </w:r>
      <w:r w:rsidRPr="00B90A5D">
        <w:rPr>
          <w:rFonts w:ascii="Times New Roman" w:hAnsi="Times New Roman" w:cs="Times New Roman"/>
          <w:sz w:val="22"/>
          <w:szCs w:val="22"/>
        </w:rPr>
        <w:t xml:space="preserve"> </w:t>
      </w:r>
      <w:r w:rsidR="00B90A5D" w:rsidRPr="00B90A5D">
        <w:rPr>
          <w:rFonts w:ascii="Times New Roman" w:hAnsi="Times New Roman" w:cs="Times New Roman"/>
          <w:sz w:val="22"/>
          <w:szCs w:val="22"/>
        </w:rPr>
        <w:t>A systematic search of seven electronic databases identified qualitative studies published between January 2016 and April 2026. Six studies met the inclusion criteria. Screening procedures followed PRISMA-P guidance (Moher et al., 2015), and methodological quality was assessed using the Critical Appraisal Skills Programme (CASP) qualitative checklist (Critical Appraisal Skills Programme, 2018). Data were synthesised using thematic analysis.</w:t>
      </w:r>
    </w:p>
    <w:p w14:paraId="7FFDA8FB" w14:textId="77777777" w:rsidR="00B90A5D" w:rsidRPr="00B90A5D" w:rsidRDefault="00B90A5D" w:rsidP="00E04005">
      <w:pPr>
        <w:spacing w:line="360" w:lineRule="auto"/>
        <w:rPr>
          <w:rFonts w:ascii="Times New Roman" w:hAnsi="Times New Roman" w:cs="Times New Roman"/>
          <w:b/>
          <w:bCs/>
          <w:sz w:val="22"/>
          <w:szCs w:val="22"/>
        </w:rPr>
      </w:pPr>
    </w:p>
    <w:p w14:paraId="6E418C8B" w14:textId="25065BD4" w:rsidR="008C6F4D" w:rsidRPr="00B90A5D" w:rsidRDefault="008C6F4D" w:rsidP="00E04005">
      <w:pPr>
        <w:spacing w:line="360" w:lineRule="auto"/>
        <w:rPr>
          <w:rFonts w:ascii="Times New Roman" w:hAnsi="Times New Roman" w:cs="Times New Roman"/>
          <w:sz w:val="22"/>
          <w:szCs w:val="22"/>
        </w:rPr>
      </w:pPr>
      <w:r w:rsidRPr="00B90A5D">
        <w:rPr>
          <w:rFonts w:ascii="Times New Roman" w:hAnsi="Times New Roman" w:cs="Times New Roman"/>
          <w:b/>
          <w:bCs/>
          <w:sz w:val="22"/>
          <w:szCs w:val="22"/>
        </w:rPr>
        <w:t>Results:</w:t>
      </w:r>
      <w:r w:rsidRPr="00B90A5D">
        <w:rPr>
          <w:rFonts w:ascii="Times New Roman" w:hAnsi="Times New Roman" w:cs="Times New Roman"/>
          <w:sz w:val="22"/>
          <w:szCs w:val="22"/>
        </w:rPr>
        <w:t xml:space="preserve"> Four overarching themes emerged: family therapy as both supportive and restrictive; changes in family relationships and communication; recovery extending beyond weight restoration; and the importance of social connection and peer support. Participants frequently viewed family therapy as necessary for behavioural recovery and parental support, whilst simultaneously reporting concerns regarding reduced autonomy, emotional </w:t>
      </w:r>
      <w:r w:rsidR="00BF1F77" w:rsidRPr="00B90A5D">
        <w:rPr>
          <w:rFonts w:ascii="Times New Roman" w:hAnsi="Times New Roman" w:cs="Times New Roman"/>
          <w:sz w:val="22"/>
          <w:szCs w:val="22"/>
        </w:rPr>
        <w:t>well-being</w:t>
      </w:r>
      <w:r w:rsidRPr="00B90A5D">
        <w:rPr>
          <w:rFonts w:ascii="Times New Roman" w:hAnsi="Times New Roman" w:cs="Times New Roman"/>
          <w:sz w:val="22"/>
          <w:szCs w:val="22"/>
        </w:rPr>
        <w:t>, and family conflict.</w:t>
      </w:r>
    </w:p>
    <w:p w14:paraId="1AE0DA02" w14:textId="77777777" w:rsidR="00B90A5D" w:rsidRPr="00B90A5D" w:rsidRDefault="00B90A5D" w:rsidP="002E7D29">
      <w:pPr>
        <w:spacing w:line="360" w:lineRule="auto"/>
        <w:rPr>
          <w:rFonts w:ascii="Times New Roman" w:hAnsi="Times New Roman" w:cs="Times New Roman"/>
          <w:b/>
          <w:bCs/>
          <w:sz w:val="22"/>
          <w:szCs w:val="22"/>
        </w:rPr>
      </w:pPr>
    </w:p>
    <w:p w14:paraId="171A310F" w14:textId="4148A4A3" w:rsidR="005C04B4" w:rsidRPr="00B90A5D" w:rsidRDefault="008C6F4D" w:rsidP="002E7D29">
      <w:pPr>
        <w:spacing w:line="360" w:lineRule="auto"/>
        <w:rPr>
          <w:rFonts w:ascii="Times New Roman" w:hAnsi="Times New Roman" w:cs="Times New Roman"/>
          <w:sz w:val="22"/>
          <w:szCs w:val="22"/>
        </w:rPr>
      </w:pPr>
      <w:r w:rsidRPr="00B90A5D">
        <w:rPr>
          <w:rFonts w:ascii="Times New Roman" w:hAnsi="Times New Roman" w:cs="Times New Roman"/>
          <w:b/>
          <w:bCs/>
          <w:sz w:val="22"/>
          <w:szCs w:val="22"/>
        </w:rPr>
        <w:t>Conclusions:</w:t>
      </w:r>
      <w:r w:rsidRPr="00B90A5D">
        <w:rPr>
          <w:rFonts w:ascii="Times New Roman" w:hAnsi="Times New Roman" w:cs="Times New Roman"/>
          <w:sz w:val="22"/>
          <w:szCs w:val="22"/>
        </w:rPr>
        <w:t xml:space="preserve"> Experiences of family therapy for eating disorders were characterised by complexity and ambivalence. Findings suggest that interventions may benefit from greater attention to adolescent autonomy, psychosocial </w:t>
      </w:r>
      <w:r w:rsidR="00BF1F77" w:rsidRPr="00B90A5D">
        <w:rPr>
          <w:rFonts w:ascii="Times New Roman" w:hAnsi="Times New Roman" w:cs="Times New Roman"/>
          <w:sz w:val="22"/>
          <w:szCs w:val="22"/>
        </w:rPr>
        <w:t>well-being</w:t>
      </w:r>
      <w:r w:rsidRPr="00B90A5D">
        <w:rPr>
          <w:rFonts w:ascii="Times New Roman" w:hAnsi="Times New Roman" w:cs="Times New Roman"/>
          <w:sz w:val="22"/>
          <w:szCs w:val="22"/>
        </w:rPr>
        <w:t>, and broader definitions of recovery beyond physical outcomes.</w:t>
      </w:r>
    </w:p>
    <w:p w14:paraId="4492C7B2" w14:textId="77777777" w:rsidR="00271DE9" w:rsidRDefault="00271DE9" w:rsidP="00E04005">
      <w:pPr>
        <w:spacing w:line="360" w:lineRule="auto"/>
        <w:rPr>
          <w:rFonts w:asciiTheme="majorBidi" w:hAnsiTheme="majorBidi" w:cstheme="majorBidi"/>
          <w:b/>
          <w:bCs/>
        </w:rPr>
      </w:pPr>
    </w:p>
    <w:p w14:paraId="08DEB3A3" w14:textId="77777777" w:rsidR="00B90A5D" w:rsidRDefault="00B90A5D" w:rsidP="00E04005">
      <w:pPr>
        <w:spacing w:line="360" w:lineRule="auto"/>
        <w:rPr>
          <w:rFonts w:asciiTheme="majorBidi" w:hAnsiTheme="majorBidi" w:cstheme="majorBidi"/>
          <w:b/>
          <w:bCs/>
        </w:rPr>
      </w:pPr>
    </w:p>
    <w:p w14:paraId="5170FD19" w14:textId="77777777" w:rsidR="00B90A5D" w:rsidRDefault="00B90A5D" w:rsidP="00E04005">
      <w:pPr>
        <w:spacing w:line="360" w:lineRule="auto"/>
        <w:rPr>
          <w:rFonts w:asciiTheme="majorBidi" w:hAnsiTheme="majorBidi" w:cstheme="majorBidi"/>
          <w:b/>
          <w:bCs/>
        </w:rPr>
      </w:pPr>
    </w:p>
    <w:p w14:paraId="1A808CCA" w14:textId="401DC73B" w:rsidR="002A2A17" w:rsidRPr="002A2A17" w:rsidRDefault="002A2A17" w:rsidP="00E04005">
      <w:pPr>
        <w:spacing w:line="360" w:lineRule="auto"/>
        <w:rPr>
          <w:rFonts w:asciiTheme="majorBidi" w:hAnsiTheme="majorBidi" w:cstheme="majorBidi"/>
          <w:b/>
          <w:bCs/>
        </w:rPr>
      </w:pPr>
      <w:r w:rsidRPr="002A2A17">
        <w:rPr>
          <w:rFonts w:asciiTheme="majorBidi" w:hAnsiTheme="majorBidi" w:cstheme="majorBidi"/>
          <w:b/>
          <w:bCs/>
        </w:rPr>
        <w:lastRenderedPageBreak/>
        <w:t>Introduction</w:t>
      </w:r>
    </w:p>
    <w:p w14:paraId="09A422D1" w14:textId="66E65062" w:rsidR="005C04B4" w:rsidRDefault="005C04B4" w:rsidP="00E04005">
      <w:pPr>
        <w:spacing w:line="360" w:lineRule="auto"/>
        <w:ind w:firstLine="720"/>
        <w:rPr>
          <w:rFonts w:asciiTheme="majorBidi" w:hAnsiTheme="majorBidi" w:cstheme="majorBidi"/>
        </w:rPr>
      </w:pPr>
      <w:r w:rsidRPr="005C04B4">
        <w:rPr>
          <w:rFonts w:asciiTheme="majorBidi" w:hAnsiTheme="majorBidi" w:cstheme="majorBidi"/>
        </w:rPr>
        <w:t>Eating disorders (EDs) are severe psychiatric conditions associated with significant physical, psychological</w:t>
      </w:r>
      <w:r w:rsidR="00074242">
        <w:rPr>
          <w:rFonts w:asciiTheme="majorBidi" w:hAnsiTheme="majorBidi" w:cstheme="majorBidi"/>
        </w:rPr>
        <w:t>,</w:t>
      </w:r>
      <w:r w:rsidRPr="005C04B4">
        <w:rPr>
          <w:rFonts w:asciiTheme="majorBidi" w:hAnsiTheme="majorBidi" w:cstheme="majorBidi"/>
        </w:rPr>
        <w:t xml:space="preserve"> and social consequences (Coopey &amp; Johnson, 2022; Gao et al., 2025). Disorders including anorexia nervosa, bulimia nervosa and binge eating disorder frequently emerge during adolescence, a developmental period characterised by rapid emotional, social</w:t>
      </w:r>
      <w:r w:rsidR="00074242">
        <w:rPr>
          <w:rFonts w:asciiTheme="majorBidi" w:hAnsiTheme="majorBidi" w:cstheme="majorBidi"/>
        </w:rPr>
        <w:t>,</w:t>
      </w:r>
      <w:r w:rsidRPr="005C04B4">
        <w:rPr>
          <w:rFonts w:asciiTheme="majorBidi" w:hAnsiTheme="majorBidi" w:cstheme="majorBidi"/>
        </w:rPr>
        <w:t xml:space="preserve"> and cognitive change (</w:t>
      </w:r>
      <w:proofErr w:type="spellStart"/>
      <w:r w:rsidRPr="005C04B4">
        <w:rPr>
          <w:rFonts w:asciiTheme="majorBidi" w:hAnsiTheme="majorBidi" w:cstheme="majorBidi"/>
        </w:rPr>
        <w:t>Brinchmann</w:t>
      </w:r>
      <w:proofErr w:type="spellEnd"/>
      <w:r w:rsidRPr="005C04B4">
        <w:rPr>
          <w:rFonts w:asciiTheme="majorBidi" w:hAnsiTheme="majorBidi" w:cstheme="majorBidi"/>
        </w:rPr>
        <w:t xml:space="preserve"> &amp; </w:t>
      </w:r>
      <w:proofErr w:type="spellStart"/>
      <w:r w:rsidRPr="005C04B4">
        <w:rPr>
          <w:rFonts w:asciiTheme="majorBidi" w:hAnsiTheme="majorBidi" w:cstheme="majorBidi"/>
        </w:rPr>
        <w:t>Krvavac</w:t>
      </w:r>
      <w:proofErr w:type="spellEnd"/>
      <w:r w:rsidRPr="005C04B4">
        <w:rPr>
          <w:rFonts w:asciiTheme="majorBidi" w:hAnsiTheme="majorBidi" w:cstheme="majorBidi"/>
        </w:rPr>
        <w:t>, 2021; Medway et al., 2019). Adolescence involves increasing independence from parents, identity formation, peer relationship development</w:t>
      </w:r>
      <w:r w:rsidR="00074242">
        <w:rPr>
          <w:rFonts w:asciiTheme="majorBidi" w:hAnsiTheme="majorBidi" w:cstheme="majorBidi"/>
        </w:rPr>
        <w:t>,</w:t>
      </w:r>
      <w:r w:rsidRPr="005C04B4">
        <w:rPr>
          <w:rFonts w:asciiTheme="majorBidi" w:hAnsiTheme="majorBidi" w:cstheme="majorBidi"/>
        </w:rPr>
        <w:t xml:space="preserve"> and greater autonomy (Medway et al., 2019). Consequently, the onset of an eating disorder during this developmental stage can substantially disrupt normal developmental trajectories and negatively affect family functioning, educational participation</w:t>
      </w:r>
      <w:r w:rsidR="00074242">
        <w:rPr>
          <w:rFonts w:asciiTheme="majorBidi" w:hAnsiTheme="majorBidi" w:cstheme="majorBidi"/>
        </w:rPr>
        <w:t>,</w:t>
      </w:r>
      <w:r w:rsidRPr="005C04B4">
        <w:rPr>
          <w:rFonts w:asciiTheme="majorBidi" w:hAnsiTheme="majorBidi" w:cstheme="majorBidi"/>
        </w:rPr>
        <w:t xml:space="preserve"> and psychosocial </w:t>
      </w:r>
      <w:r w:rsidR="00074242">
        <w:rPr>
          <w:rFonts w:asciiTheme="majorBidi" w:hAnsiTheme="majorBidi" w:cstheme="majorBidi"/>
        </w:rPr>
        <w:t>well-being</w:t>
      </w:r>
      <w:r w:rsidRPr="005C04B4">
        <w:rPr>
          <w:rFonts w:asciiTheme="majorBidi" w:hAnsiTheme="majorBidi" w:cstheme="majorBidi"/>
        </w:rPr>
        <w:t xml:space="preserve"> (Medway et al., 2019; Nilsen et al., 2021). Eating disorders are associated with high levels of morbidity and may create enduring difficulties extending beyond the remission of symptoms (Gao et al., 2025).</w:t>
      </w:r>
    </w:p>
    <w:p w14:paraId="3C4B8B08" w14:textId="7AC47D2F" w:rsidR="005C04B4" w:rsidRDefault="005C04B4" w:rsidP="00E04005">
      <w:pPr>
        <w:spacing w:line="360" w:lineRule="auto"/>
        <w:ind w:firstLine="720"/>
        <w:rPr>
          <w:rFonts w:asciiTheme="majorBidi" w:hAnsiTheme="majorBidi" w:cstheme="majorBidi"/>
        </w:rPr>
      </w:pPr>
      <w:r w:rsidRPr="005C04B4">
        <w:rPr>
          <w:rFonts w:asciiTheme="majorBidi" w:hAnsiTheme="majorBidi" w:cstheme="majorBidi"/>
        </w:rPr>
        <w:t>Young people with eating disorders often experience challenges relating to emotional regulation, self-esteem, identity development</w:t>
      </w:r>
      <w:r w:rsidR="00074242">
        <w:rPr>
          <w:rFonts w:asciiTheme="majorBidi" w:hAnsiTheme="majorBidi" w:cstheme="majorBidi"/>
        </w:rPr>
        <w:t>,</w:t>
      </w:r>
      <w:r w:rsidRPr="005C04B4">
        <w:rPr>
          <w:rFonts w:asciiTheme="majorBidi" w:hAnsiTheme="majorBidi" w:cstheme="majorBidi"/>
        </w:rPr>
        <w:t xml:space="preserve"> and interpersonal relationships (Conti et al., 2017; Medway et al., 2019). Families are also profoundly affected, with family members often describing stress, uncertainty, guilt</w:t>
      </w:r>
      <w:r w:rsidR="00074242">
        <w:rPr>
          <w:rFonts w:asciiTheme="majorBidi" w:hAnsiTheme="majorBidi" w:cstheme="majorBidi"/>
        </w:rPr>
        <w:t>,</w:t>
      </w:r>
      <w:r w:rsidRPr="005C04B4">
        <w:rPr>
          <w:rFonts w:asciiTheme="majorBidi" w:hAnsiTheme="majorBidi" w:cstheme="majorBidi"/>
        </w:rPr>
        <w:t xml:space="preserve"> and emotional burden while attempting to support the young person through illness and recovery (</w:t>
      </w:r>
      <w:proofErr w:type="spellStart"/>
      <w:r w:rsidRPr="005C04B4">
        <w:rPr>
          <w:rFonts w:asciiTheme="majorBidi" w:hAnsiTheme="majorBidi" w:cstheme="majorBidi"/>
        </w:rPr>
        <w:t>Brinchmann</w:t>
      </w:r>
      <w:proofErr w:type="spellEnd"/>
      <w:r w:rsidRPr="005C04B4">
        <w:rPr>
          <w:rFonts w:asciiTheme="majorBidi" w:hAnsiTheme="majorBidi" w:cstheme="majorBidi"/>
        </w:rPr>
        <w:t xml:space="preserve"> &amp; </w:t>
      </w:r>
      <w:proofErr w:type="spellStart"/>
      <w:r w:rsidRPr="005C04B4">
        <w:rPr>
          <w:rFonts w:asciiTheme="majorBidi" w:hAnsiTheme="majorBidi" w:cstheme="majorBidi"/>
        </w:rPr>
        <w:t>Krvavac</w:t>
      </w:r>
      <w:proofErr w:type="spellEnd"/>
      <w:r w:rsidRPr="005C04B4">
        <w:rPr>
          <w:rFonts w:asciiTheme="majorBidi" w:hAnsiTheme="majorBidi" w:cstheme="majorBidi"/>
        </w:rPr>
        <w:t>, 2021; Nilsen et al., 2021). Family relationships may become strained due to conflict surrounding food, increased caregiving responsibilities</w:t>
      </w:r>
      <w:r w:rsidR="00074242">
        <w:rPr>
          <w:rFonts w:asciiTheme="majorBidi" w:hAnsiTheme="majorBidi" w:cstheme="majorBidi"/>
        </w:rPr>
        <w:t>,</w:t>
      </w:r>
      <w:r w:rsidRPr="005C04B4">
        <w:rPr>
          <w:rFonts w:asciiTheme="majorBidi" w:hAnsiTheme="majorBidi" w:cstheme="majorBidi"/>
        </w:rPr>
        <w:t xml:space="preserve"> and disruptions to established family roles (Conti et al., 2017; Nilsen et al., 2021). Consequently, treatment approaches increasingly recognise the importance of involving family systems within intervention processes rather than focusing solely on individual psychopathology (Lock &amp; Le Grange, 201</w:t>
      </w:r>
      <w:r w:rsidR="00685A46">
        <w:rPr>
          <w:rFonts w:asciiTheme="majorBidi" w:hAnsiTheme="majorBidi" w:cstheme="majorBidi"/>
        </w:rPr>
        <w:t>3</w:t>
      </w:r>
      <w:r w:rsidRPr="005C04B4">
        <w:rPr>
          <w:rFonts w:asciiTheme="majorBidi" w:hAnsiTheme="majorBidi" w:cstheme="majorBidi"/>
        </w:rPr>
        <w:t>; Nilsen et al., 2021).</w:t>
      </w:r>
    </w:p>
    <w:p w14:paraId="703C7680" w14:textId="4BAC5BE6" w:rsidR="005C04B4" w:rsidRDefault="005C04B4" w:rsidP="00E04005">
      <w:pPr>
        <w:spacing w:line="360" w:lineRule="auto"/>
        <w:ind w:firstLine="720"/>
        <w:rPr>
          <w:rFonts w:asciiTheme="majorBidi" w:hAnsiTheme="majorBidi" w:cstheme="majorBidi"/>
        </w:rPr>
      </w:pPr>
      <w:r w:rsidRPr="005C04B4">
        <w:rPr>
          <w:rFonts w:asciiTheme="majorBidi" w:hAnsiTheme="majorBidi" w:cstheme="majorBidi"/>
        </w:rPr>
        <w:t>Family therapy approaches have therefore become central within treatment provision for adolescents with eating disorders, particularly anorexia nervosa (Lock &amp; Le Grange, 201</w:t>
      </w:r>
      <w:r w:rsidR="00685A46">
        <w:rPr>
          <w:rFonts w:asciiTheme="majorBidi" w:hAnsiTheme="majorBidi" w:cstheme="majorBidi"/>
        </w:rPr>
        <w:t>3)</w:t>
      </w:r>
      <w:r w:rsidRPr="005C04B4">
        <w:rPr>
          <w:rFonts w:asciiTheme="majorBidi" w:hAnsiTheme="majorBidi" w:cstheme="majorBidi"/>
        </w:rPr>
        <w:t xml:space="preserve">. </w:t>
      </w:r>
      <w:r w:rsidR="00DB0E66" w:rsidRPr="00DB0E66">
        <w:rPr>
          <w:rFonts w:asciiTheme="majorBidi" w:hAnsiTheme="majorBidi" w:cstheme="majorBidi"/>
        </w:rPr>
        <w:t>Among these interventions, Family-Based Treatment (FBT), commonly referred to as the Maudsley model, is widely recognised as a leading family-based approach for adolescents experiencing anorexia nervosa (</w:t>
      </w:r>
      <w:r w:rsidR="00104A14" w:rsidRPr="00DB0E66">
        <w:rPr>
          <w:rFonts w:asciiTheme="majorBidi" w:hAnsiTheme="majorBidi" w:cstheme="majorBidi"/>
        </w:rPr>
        <w:t>Coopey &amp; Johnson, 2022</w:t>
      </w:r>
      <w:r w:rsidR="00104A14">
        <w:rPr>
          <w:rFonts w:asciiTheme="majorBidi" w:hAnsiTheme="majorBidi" w:cstheme="majorBidi"/>
        </w:rPr>
        <w:t xml:space="preserve">; </w:t>
      </w:r>
      <w:r w:rsidR="00104A14" w:rsidRPr="00DB0E66">
        <w:rPr>
          <w:rFonts w:asciiTheme="majorBidi" w:hAnsiTheme="majorBidi" w:cstheme="majorBidi"/>
        </w:rPr>
        <w:t>Gao et al.</w:t>
      </w:r>
      <w:r w:rsidR="00104A14">
        <w:rPr>
          <w:rFonts w:asciiTheme="majorBidi" w:hAnsiTheme="majorBidi" w:cstheme="majorBidi"/>
        </w:rPr>
        <w:t>,</w:t>
      </w:r>
      <w:r w:rsidR="00104A14" w:rsidRPr="00DB0E66">
        <w:rPr>
          <w:rFonts w:asciiTheme="majorBidi" w:hAnsiTheme="majorBidi" w:cstheme="majorBidi"/>
        </w:rPr>
        <w:t xml:space="preserve"> 2025</w:t>
      </w:r>
      <w:r w:rsidR="00104A14">
        <w:rPr>
          <w:rFonts w:asciiTheme="majorBidi" w:hAnsiTheme="majorBidi" w:cstheme="majorBidi"/>
        </w:rPr>
        <w:t xml:space="preserve">; </w:t>
      </w:r>
      <w:r w:rsidR="00DB0E66" w:rsidRPr="00DB0E66">
        <w:rPr>
          <w:rFonts w:asciiTheme="majorBidi" w:hAnsiTheme="majorBidi" w:cstheme="majorBidi"/>
        </w:rPr>
        <w:t>Lock &amp; Le Grange, 2013).</w:t>
      </w:r>
      <w:r w:rsidR="00DB0E66">
        <w:rPr>
          <w:rFonts w:asciiTheme="majorBidi" w:hAnsiTheme="majorBidi" w:cstheme="majorBidi"/>
        </w:rPr>
        <w:t xml:space="preserve"> </w:t>
      </w:r>
      <w:r w:rsidRPr="005C04B4">
        <w:rPr>
          <w:rFonts w:asciiTheme="majorBidi" w:hAnsiTheme="majorBidi" w:cstheme="majorBidi"/>
        </w:rPr>
        <w:t>FBT adopts a behavioural and family-centred approach in which parents initially assume responsibility for restoring the young person’s nutrition and weight before gradually returning control throughout later stages of treatment (Lock &amp; Le Grange, 201</w:t>
      </w:r>
      <w:r w:rsidR="00685A46">
        <w:rPr>
          <w:rFonts w:asciiTheme="majorBidi" w:hAnsiTheme="majorBidi" w:cstheme="majorBidi"/>
        </w:rPr>
        <w:t>3</w:t>
      </w:r>
      <w:r w:rsidRPr="005C04B4">
        <w:rPr>
          <w:rFonts w:asciiTheme="majorBidi" w:hAnsiTheme="majorBidi" w:cstheme="majorBidi"/>
        </w:rPr>
        <w:t xml:space="preserve">). </w:t>
      </w:r>
      <w:r w:rsidRPr="005C04B4">
        <w:rPr>
          <w:rFonts w:asciiTheme="majorBidi" w:hAnsiTheme="majorBidi" w:cstheme="majorBidi"/>
        </w:rPr>
        <w:lastRenderedPageBreak/>
        <w:t>Treatment is typically divided into three phases: parental management of eating behaviours, gradual transfer of responsibility back to the adolescent, and support for broader developmental and family functioning goals (Lock &amp; Le Grange, 201</w:t>
      </w:r>
      <w:r w:rsidR="00685A46">
        <w:rPr>
          <w:rFonts w:asciiTheme="majorBidi" w:hAnsiTheme="majorBidi" w:cstheme="majorBidi"/>
        </w:rPr>
        <w:t>3</w:t>
      </w:r>
      <w:r w:rsidRPr="005C04B4">
        <w:rPr>
          <w:rFonts w:asciiTheme="majorBidi" w:hAnsiTheme="majorBidi" w:cstheme="majorBidi"/>
        </w:rPr>
        <w:t>; Medway et al., 2019).</w:t>
      </w:r>
    </w:p>
    <w:p w14:paraId="3FA6B947" w14:textId="0ADC90C4" w:rsidR="008C6F4D" w:rsidRDefault="005C04B4" w:rsidP="00E04005">
      <w:pPr>
        <w:spacing w:line="360" w:lineRule="auto"/>
        <w:ind w:firstLine="720"/>
        <w:rPr>
          <w:rFonts w:asciiTheme="majorBidi" w:hAnsiTheme="majorBidi" w:cstheme="majorBidi"/>
        </w:rPr>
      </w:pPr>
      <w:r w:rsidRPr="005C04B4">
        <w:rPr>
          <w:rFonts w:asciiTheme="majorBidi" w:hAnsiTheme="majorBidi" w:cstheme="majorBidi"/>
        </w:rPr>
        <w:t>Alongside standard FBT approaches, adaptations including Multifamily Therapy (MFT) and family-based inpatient programmes have also emerged (</w:t>
      </w:r>
      <w:proofErr w:type="spellStart"/>
      <w:r w:rsidRPr="005C04B4">
        <w:rPr>
          <w:rFonts w:asciiTheme="majorBidi" w:hAnsiTheme="majorBidi" w:cstheme="majorBidi"/>
        </w:rPr>
        <w:t>Brinchmann</w:t>
      </w:r>
      <w:proofErr w:type="spellEnd"/>
      <w:r w:rsidRPr="005C04B4">
        <w:rPr>
          <w:rFonts w:asciiTheme="majorBidi" w:hAnsiTheme="majorBidi" w:cstheme="majorBidi"/>
        </w:rPr>
        <w:t xml:space="preserve"> &amp; </w:t>
      </w:r>
      <w:proofErr w:type="spellStart"/>
      <w:r w:rsidRPr="005C04B4">
        <w:rPr>
          <w:rFonts w:asciiTheme="majorBidi" w:hAnsiTheme="majorBidi" w:cstheme="majorBidi"/>
        </w:rPr>
        <w:t>Krvavac</w:t>
      </w:r>
      <w:proofErr w:type="spellEnd"/>
      <w:r w:rsidRPr="005C04B4">
        <w:rPr>
          <w:rFonts w:asciiTheme="majorBidi" w:hAnsiTheme="majorBidi" w:cstheme="majorBidi"/>
        </w:rPr>
        <w:t>, 2021; Coopey &amp; Johnson, 2022; Nilsen et al., 2021). Multifamily approaches involve multiple families participating simultaneously in therapeutic processes, allowing opportunities for shared learning, peer support</w:t>
      </w:r>
      <w:r w:rsidR="00074242">
        <w:rPr>
          <w:rFonts w:asciiTheme="majorBidi" w:hAnsiTheme="majorBidi" w:cstheme="majorBidi"/>
        </w:rPr>
        <w:t>,</w:t>
      </w:r>
      <w:r w:rsidRPr="005C04B4">
        <w:rPr>
          <w:rFonts w:asciiTheme="majorBidi" w:hAnsiTheme="majorBidi" w:cstheme="majorBidi"/>
        </w:rPr>
        <w:t xml:space="preserve"> and collaborative problem-solving (</w:t>
      </w:r>
      <w:proofErr w:type="spellStart"/>
      <w:r w:rsidRPr="005C04B4">
        <w:rPr>
          <w:rFonts w:asciiTheme="majorBidi" w:hAnsiTheme="majorBidi" w:cstheme="majorBidi"/>
        </w:rPr>
        <w:t>Brinchmann</w:t>
      </w:r>
      <w:proofErr w:type="spellEnd"/>
      <w:r w:rsidRPr="005C04B4">
        <w:rPr>
          <w:rFonts w:asciiTheme="majorBidi" w:hAnsiTheme="majorBidi" w:cstheme="majorBidi"/>
        </w:rPr>
        <w:t xml:space="preserve"> &amp; </w:t>
      </w:r>
      <w:proofErr w:type="spellStart"/>
      <w:r w:rsidRPr="005C04B4">
        <w:rPr>
          <w:rFonts w:asciiTheme="majorBidi" w:hAnsiTheme="majorBidi" w:cstheme="majorBidi"/>
        </w:rPr>
        <w:t>Krvavac</w:t>
      </w:r>
      <w:proofErr w:type="spellEnd"/>
      <w:r w:rsidRPr="005C04B4">
        <w:rPr>
          <w:rFonts w:asciiTheme="majorBidi" w:hAnsiTheme="majorBidi" w:cstheme="majorBidi"/>
        </w:rPr>
        <w:t>, 2021; Coopey &amp; Johnson, 2022). These approaches aim not only to support symptom reduction but also to reduce social isolation and strengthen family communication (</w:t>
      </w:r>
      <w:proofErr w:type="spellStart"/>
      <w:r w:rsidRPr="005C04B4">
        <w:rPr>
          <w:rFonts w:asciiTheme="majorBidi" w:hAnsiTheme="majorBidi" w:cstheme="majorBidi"/>
        </w:rPr>
        <w:t>Brinchmann</w:t>
      </w:r>
      <w:proofErr w:type="spellEnd"/>
      <w:r w:rsidRPr="005C04B4">
        <w:rPr>
          <w:rFonts w:asciiTheme="majorBidi" w:hAnsiTheme="majorBidi" w:cstheme="majorBidi"/>
        </w:rPr>
        <w:t xml:space="preserve"> &amp; </w:t>
      </w:r>
      <w:proofErr w:type="spellStart"/>
      <w:r w:rsidRPr="005C04B4">
        <w:rPr>
          <w:rFonts w:asciiTheme="majorBidi" w:hAnsiTheme="majorBidi" w:cstheme="majorBidi"/>
        </w:rPr>
        <w:t>Krvavac</w:t>
      </w:r>
      <w:proofErr w:type="spellEnd"/>
      <w:r w:rsidRPr="005C04B4">
        <w:rPr>
          <w:rFonts w:asciiTheme="majorBidi" w:hAnsiTheme="majorBidi" w:cstheme="majorBidi"/>
        </w:rPr>
        <w:t>, 2021). Similarly, inpatient family programmes attempt to integrate families directly into treatment environments and support systemic change (Nilsen et al., 2021).</w:t>
      </w:r>
    </w:p>
    <w:p w14:paraId="6E33606A" w14:textId="77777777" w:rsidR="00685A46" w:rsidRDefault="00685A46" w:rsidP="00E04005">
      <w:pPr>
        <w:spacing w:line="360" w:lineRule="auto"/>
        <w:ind w:firstLine="720"/>
        <w:rPr>
          <w:rFonts w:asciiTheme="majorBidi" w:hAnsiTheme="majorBidi" w:cstheme="majorBidi"/>
        </w:rPr>
      </w:pPr>
    </w:p>
    <w:p w14:paraId="4B877095" w14:textId="732CA83F" w:rsidR="005C04B4" w:rsidRDefault="005C04B4" w:rsidP="00E04005">
      <w:pPr>
        <w:spacing w:line="360" w:lineRule="auto"/>
        <w:ind w:firstLine="720"/>
        <w:rPr>
          <w:rFonts w:asciiTheme="majorBidi" w:hAnsiTheme="majorBidi" w:cstheme="majorBidi"/>
        </w:rPr>
      </w:pPr>
      <w:r w:rsidRPr="005C04B4">
        <w:rPr>
          <w:rFonts w:asciiTheme="majorBidi" w:hAnsiTheme="majorBidi" w:cstheme="majorBidi"/>
        </w:rPr>
        <w:t>Although family therapy interventions demonstrate effectiveness in improving weight restoration and clinical outcomes, increasing attention has been directed toward understanding recovery beyond symptom reduction alone (</w:t>
      </w:r>
      <w:proofErr w:type="spellStart"/>
      <w:r w:rsidRPr="005C04B4">
        <w:rPr>
          <w:rFonts w:asciiTheme="majorBidi" w:hAnsiTheme="majorBidi" w:cstheme="majorBidi"/>
        </w:rPr>
        <w:t>Bardone</w:t>
      </w:r>
      <w:proofErr w:type="spellEnd"/>
      <w:r w:rsidRPr="005C04B4">
        <w:rPr>
          <w:rFonts w:asciiTheme="majorBidi" w:hAnsiTheme="majorBidi" w:cstheme="majorBidi"/>
        </w:rPr>
        <w:t xml:space="preserve">-Cone et al., 2010; Gao et al., 2025). Recovery experiences are multifaceted and may involve changes in identity, emotional </w:t>
      </w:r>
      <w:r w:rsidR="00074242">
        <w:rPr>
          <w:rFonts w:asciiTheme="majorBidi" w:hAnsiTheme="majorBidi" w:cstheme="majorBidi"/>
        </w:rPr>
        <w:t>well-being</w:t>
      </w:r>
      <w:r w:rsidRPr="005C04B4">
        <w:rPr>
          <w:rFonts w:asciiTheme="majorBidi" w:hAnsiTheme="majorBidi" w:cstheme="majorBidi"/>
        </w:rPr>
        <w:t>, relationships</w:t>
      </w:r>
      <w:r w:rsidR="00074242">
        <w:rPr>
          <w:rFonts w:asciiTheme="majorBidi" w:hAnsiTheme="majorBidi" w:cstheme="majorBidi"/>
        </w:rPr>
        <w:t>,</w:t>
      </w:r>
      <w:r w:rsidRPr="005C04B4">
        <w:rPr>
          <w:rFonts w:asciiTheme="majorBidi" w:hAnsiTheme="majorBidi" w:cstheme="majorBidi"/>
        </w:rPr>
        <w:t xml:space="preserve"> and autonomy (</w:t>
      </w:r>
      <w:proofErr w:type="spellStart"/>
      <w:r w:rsidRPr="005C04B4">
        <w:rPr>
          <w:rFonts w:asciiTheme="majorBidi" w:hAnsiTheme="majorBidi" w:cstheme="majorBidi"/>
        </w:rPr>
        <w:t>Bardone</w:t>
      </w:r>
      <w:proofErr w:type="spellEnd"/>
      <w:r w:rsidRPr="005C04B4">
        <w:rPr>
          <w:rFonts w:asciiTheme="majorBidi" w:hAnsiTheme="majorBidi" w:cstheme="majorBidi"/>
        </w:rPr>
        <w:t>-Cone et al., 2010; Medway et al., 2019). Adolescents receiving treatment may experience tensions between therapeutic goals and developmental needs, particularly where parental involvement alters typical processes of independence and self-development (Conti et al., 2017; Gao et al., 2025; Medway et al., 2019). While family-based interventions are designed to support recovery, some young people report experiences of reduced autonomy, difficulties feeling heard, and emotional needs remaining insufficiently addressed (Conti et al., 2017; Gao et al., 2025).</w:t>
      </w:r>
    </w:p>
    <w:p w14:paraId="7DBB2AC6" w14:textId="6CCDF52B" w:rsidR="002A2A17" w:rsidRPr="002A2A17" w:rsidRDefault="002A2A17" w:rsidP="00E04005">
      <w:pPr>
        <w:spacing w:line="360" w:lineRule="auto"/>
        <w:ind w:firstLine="720"/>
        <w:rPr>
          <w:rFonts w:asciiTheme="majorBidi" w:hAnsiTheme="majorBidi" w:cstheme="majorBidi"/>
        </w:rPr>
      </w:pPr>
      <w:r w:rsidRPr="002A2A17">
        <w:rPr>
          <w:rFonts w:asciiTheme="majorBidi" w:hAnsiTheme="majorBidi" w:cstheme="majorBidi"/>
        </w:rPr>
        <w:t xml:space="preserve">Qualitative research offers a valuable means of exploring these experiences because it allows examination of how young people and families interpret and make meaning from treatment participation </w:t>
      </w:r>
      <w:r w:rsidR="004C3874" w:rsidRPr="004C3874">
        <w:rPr>
          <w:rFonts w:asciiTheme="majorBidi" w:hAnsiTheme="majorBidi" w:cstheme="majorBidi"/>
        </w:rPr>
        <w:t>(Coopey &amp; Johnson, 2022; Gao et al., 2025)</w:t>
      </w:r>
      <w:r w:rsidR="004C3874">
        <w:rPr>
          <w:rFonts w:asciiTheme="majorBidi" w:hAnsiTheme="majorBidi" w:cstheme="majorBidi"/>
        </w:rPr>
        <w:t>.</w:t>
      </w:r>
      <w:r w:rsidR="00BF1F77" w:rsidRPr="00BF1F77">
        <w:t xml:space="preserve"> </w:t>
      </w:r>
      <w:r w:rsidR="00BF1F77" w:rsidRPr="00BF1F77">
        <w:rPr>
          <w:rFonts w:asciiTheme="majorBidi" w:hAnsiTheme="majorBidi" w:cstheme="majorBidi"/>
        </w:rPr>
        <w:t xml:space="preserve">Unlike quantitative outcome studies, qualitative approaches provide insight into lived experiences, perceived benefits and challenges, and factors influencing engagement with therapy (Conti et al., 2017; </w:t>
      </w:r>
      <w:r w:rsidR="00BF1F77" w:rsidRPr="00BF1F77">
        <w:rPr>
          <w:rFonts w:asciiTheme="majorBidi" w:hAnsiTheme="majorBidi" w:cstheme="majorBidi"/>
        </w:rPr>
        <w:lastRenderedPageBreak/>
        <w:t>Coopey &amp; Johnson, 2022; Gao et al., 2025)</w:t>
      </w:r>
      <w:r w:rsidR="00BF1F77">
        <w:rPr>
          <w:rFonts w:asciiTheme="majorBidi" w:hAnsiTheme="majorBidi" w:cstheme="majorBidi"/>
        </w:rPr>
        <w:t>.</w:t>
      </w:r>
      <w:r w:rsidRPr="002A2A17">
        <w:rPr>
          <w:rFonts w:asciiTheme="majorBidi" w:hAnsiTheme="majorBidi" w:cstheme="majorBidi"/>
        </w:rPr>
        <w:t xml:space="preserve"> Understanding subjective experiences may help identify aspects of treatment that are experienced as supportive as well as areas requiring adaptation</w:t>
      </w:r>
      <w:r w:rsidR="004C3874">
        <w:rPr>
          <w:rFonts w:asciiTheme="majorBidi" w:hAnsiTheme="majorBidi" w:cstheme="majorBidi"/>
        </w:rPr>
        <w:t xml:space="preserve"> </w:t>
      </w:r>
      <w:r w:rsidR="004C3874" w:rsidRPr="004C3874">
        <w:rPr>
          <w:rFonts w:asciiTheme="majorBidi" w:hAnsiTheme="majorBidi" w:cstheme="majorBidi"/>
        </w:rPr>
        <w:t>(Conti et al., 2017; Coopey &amp; Johnson, 2022)</w:t>
      </w:r>
      <w:r w:rsidR="004C3874">
        <w:rPr>
          <w:rFonts w:asciiTheme="majorBidi" w:hAnsiTheme="majorBidi" w:cstheme="majorBidi"/>
        </w:rPr>
        <w:t>.</w:t>
      </w:r>
    </w:p>
    <w:p w14:paraId="1064F853" w14:textId="1B69C426" w:rsidR="002A2A17" w:rsidRPr="002A2A17" w:rsidRDefault="00BF1F77" w:rsidP="00E04005">
      <w:pPr>
        <w:spacing w:line="360" w:lineRule="auto"/>
        <w:ind w:firstLine="720"/>
        <w:rPr>
          <w:rFonts w:asciiTheme="majorBidi" w:hAnsiTheme="majorBidi" w:cstheme="majorBidi"/>
        </w:rPr>
      </w:pPr>
      <w:r w:rsidRPr="00BF1F77">
        <w:rPr>
          <w:rFonts w:asciiTheme="majorBidi" w:hAnsiTheme="majorBidi" w:cstheme="majorBidi"/>
        </w:rPr>
        <w:t>Several qualitative studies have explored experiences of family therapy interventions for eating disorders; however, synthesising the six included studies provides a clearer understanding of shared patterns across the literature.</w:t>
      </w:r>
      <w:r>
        <w:rPr>
          <w:rFonts w:asciiTheme="majorBidi" w:hAnsiTheme="majorBidi" w:cstheme="majorBidi"/>
        </w:rPr>
        <w:t xml:space="preserve"> </w:t>
      </w:r>
      <w:r w:rsidR="002A2A17" w:rsidRPr="002A2A17">
        <w:rPr>
          <w:rFonts w:asciiTheme="majorBidi" w:hAnsiTheme="majorBidi" w:cstheme="majorBidi"/>
        </w:rPr>
        <w:t>Existing studies vary in treatment type, sample characteristics and methodological approaches, and individual findings may not fully capture broader patterns across the literature. Synthesising qualitative evidence may therefore provide a deeper understanding of common experiences and perceived impacts among young people and families.</w:t>
      </w:r>
    </w:p>
    <w:p w14:paraId="0C974E83" w14:textId="77777777" w:rsidR="002A2A17" w:rsidRDefault="002A2A17" w:rsidP="00E04005">
      <w:pPr>
        <w:spacing w:line="360" w:lineRule="auto"/>
        <w:ind w:firstLine="720"/>
        <w:rPr>
          <w:rFonts w:asciiTheme="majorBidi" w:hAnsiTheme="majorBidi" w:cstheme="majorBidi"/>
          <w:i/>
          <w:iCs/>
        </w:rPr>
      </w:pPr>
      <w:r w:rsidRPr="002A2A17">
        <w:rPr>
          <w:rFonts w:asciiTheme="majorBidi" w:hAnsiTheme="majorBidi" w:cstheme="majorBidi"/>
        </w:rPr>
        <w:t xml:space="preserve">Therefore, the present systematic literature review aimed to synthesise qualitative evidence examining experiences of family therapy interventions for eating disorders among young people and their families. Specifically, this review sought to address the research question: </w:t>
      </w:r>
      <w:r w:rsidRPr="002A2A17">
        <w:rPr>
          <w:rFonts w:asciiTheme="majorBidi" w:hAnsiTheme="majorBidi" w:cstheme="majorBidi"/>
          <w:i/>
          <w:iCs/>
        </w:rPr>
        <w:t>“What are the experiences and perceived impacts of family therapy interventions for eating disorders among young people and their families?”</w:t>
      </w:r>
    </w:p>
    <w:p w14:paraId="603B5DD6" w14:textId="77777777" w:rsidR="00685A46" w:rsidRDefault="00685A46" w:rsidP="00E04005">
      <w:pPr>
        <w:spacing w:line="360" w:lineRule="auto"/>
        <w:rPr>
          <w:rFonts w:asciiTheme="majorBidi" w:hAnsiTheme="majorBidi" w:cstheme="majorBidi"/>
          <w:i/>
          <w:iCs/>
        </w:rPr>
      </w:pPr>
    </w:p>
    <w:p w14:paraId="3F815F71" w14:textId="77777777" w:rsidR="00BF22A2" w:rsidRDefault="00BF22A2" w:rsidP="00E04005">
      <w:pPr>
        <w:spacing w:line="360" w:lineRule="auto"/>
        <w:rPr>
          <w:rFonts w:asciiTheme="majorBidi" w:hAnsiTheme="majorBidi" w:cstheme="majorBidi"/>
          <w:b/>
          <w:bCs/>
        </w:rPr>
      </w:pPr>
    </w:p>
    <w:p w14:paraId="04A6245D" w14:textId="7ADF3684" w:rsidR="008C6F4D" w:rsidRPr="002A2A17" w:rsidRDefault="008C6F4D" w:rsidP="00E04005">
      <w:pPr>
        <w:spacing w:line="360" w:lineRule="auto"/>
        <w:rPr>
          <w:rFonts w:asciiTheme="majorBidi" w:hAnsiTheme="majorBidi" w:cstheme="majorBidi"/>
          <w:b/>
          <w:bCs/>
        </w:rPr>
      </w:pPr>
      <w:r w:rsidRPr="002A2A17">
        <w:rPr>
          <w:rFonts w:asciiTheme="majorBidi" w:hAnsiTheme="majorBidi" w:cstheme="majorBidi"/>
          <w:b/>
          <w:bCs/>
        </w:rPr>
        <w:t>Methods</w:t>
      </w:r>
    </w:p>
    <w:p w14:paraId="74CDC45F" w14:textId="77777777" w:rsidR="008C6F4D" w:rsidRPr="006D3BB0" w:rsidRDefault="008C6F4D" w:rsidP="00E04005">
      <w:pPr>
        <w:spacing w:line="360" w:lineRule="auto"/>
        <w:rPr>
          <w:rFonts w:asciiTheme="majorBidi" w:hAnsiTheme="majorBidi" w:cstheme="majorBidi"/>
          <w:i/>
          <w:iCs/>
        </w:rPr>
      </w:pPr>
      <w:r w:rsidRPr="006D3BB0">
        <w:rPr>
          <w:rFonts w:asciiTheme="majorBidi" w:hAnsiTheme="majorBidi" w:cstheme="majorBidi"/>
          <w:i/>
          <w:iCs/>
        </w:rPr>
        <w:t>The Search Process</w:t>
      </w:r>
    </w:p>
    <w:p w14:paraId="14F36062" w14:textId="216142A1" w:rsidR="008C6F4D" w:rsidRPr="008A5538" w:rsidRDefault="008C6F4D" w:rsidP="00E04005">
      <w:pPr>
        <w:spacing w:line="360" w:lineRule="auto"/>
        <w:rPr>
          <w:rFonts w:asciiTheme="majorBidi" w:hAnsiTheme="majorBidi" w:cstheme="majorBidi"/>
        </w:rPr>
      </w:pPr>
      <w:proofErr w:type="gramStart"/>
      <w:r w:rsidRPr="008A5538">
        <w:rPr>
          <w:rFonts w:asciiTheme="majorBidi" w:hAnsiTheme="majorBidi" w:cstheme="majorBidi"/>
        </w:rPr>
        <w:t>In order to</w:t>
      </w:r>
      <w:proofErr w:type="gramEnd"/>
      <w:r w:rsidRPr="008A5538">
        <w:rPr>
          <w:rFonts w:asciiTheme="majorBidi" w:hAnsiTheme="majorBidi" w:cstheme="majorBidi"/>
        </w:rPr>
        <w:t xml:space="preserve"> conduct a thorough examination of the literature, </w:t>
      </w:r>
      <w:r w:rsidR="00E24636">
        <w:rPr>
          <w:rFonts w:asciiTheme="majorBidi" w:hAnsiTheme="majorBidi" w:cstheme="majorBidi"/>
        </w:rPr>
        <w:t xml:space="preserve">seven </w:t>
      </w:r>
      <w:r w:rsidRPr="008A5538">
        <w:rPr>
          <w:rFonts w:asciiTheme="majorBidi" w:hAnsiTheme="majorBidi" w:cstheme="majorBidi"/>
        </w:rPr>
        <w:t xml:space="preserve">electronic databases were selected for use. A database search of published literature dating from January 2016 to April 2026 was conducted. Seven electronic databases were selected for this purpose: ScienceDirect, JSTOR, ProQuest, PsycINFO, </w:t>
      </w:r>
      <w:proofErr w:type="spellStart"/>
      <w:r w:rsidRPr="008A5538">
        <w:rPr>
          <w:rFonts w:asciiTheme="majorBidi" w:hAnsiTheme="majorBidi" w:cstheme="majorBidi"/>
        </w:rPr>
        <w:t>PsycARTICLES</w:t>
      </w:r>
      <w:proofErr w:type="spellEnd"/>
      <w:r w:rsidRPr="008A5538">
        <w:rPr>
          <w:rFonts w:asciiTheme="majorBidi" w:hAnsiTheme="majorBidi" w:cstheme="majorBidi"/>
        </w:rPr>
        <w:t>, EBSCOhost, and Google Scholar.</w:t>
      </w:r>
    </w:p>
    <w:p w14:paraId="57C54A6B" w14:textId="77777777" w:rsidR="008C6F4D" w:rsidRPr="008A5538" w:rsidRDefault="008C6F4D" w:rsidP="00E04005">
      <w:pPr>
        <w:spacing w:line="360" w:lineRule="auto"/>
        <w:rPr>
          <w:rFonts w:asciiTheme="majorBidi" w:hAnsiTheme="majorBidi" w:cstheme="majorBidi"/>
        </w:rPr>
      </w:pPr>
      <w:r w:rsidRPr="008A5538">
        <w:rPr>
          <w:rFonts w:asciiTheme="majorBidi" w:hAnsiTheme="majorBidi" w:cstheme="majorBidi"/>
        </w:rPr>
        <w:t>Search terms were developed using Boolean operators and truncations to maximise retrieval. Core search strings included combinations of:</w:t>
      </w:r>
      <w:r>
        <w:rPr>
          <w:rFonts w:asciiTheme="majorBidi" w:hAnsiTheme="majorBidi" w:cstheme="majorBidi"/>
        </w:rPr>
        <w:t xml:space="preserve"> </w:t>
      </w:r>
      <w:r w:rsidRPr="008A5538">
        <w:rPr>
          <w:rFonts w:asciiTheme="majorBidi" w:hAnsiTheme="majorBidi" w:cstheme="majorBidi"/>
        </w:rPr>
        <w:t xml:space="preserve">“eating disorder” OR “anorexia nervosa” OR “bulimia </w:t>
      </w:r>
      <w:proofErr w:type="gramStart"/>
      <w:r w:rsidRPr="008A5538">
        <w:rPr>
          <w:rFonts w:asciiTheme="majorBidi" w:hAnsiTheme="majorBidi" w:cstheme="majorBidi"/>
        </w:rPr>
        <w:t>nervosa”*</w:t>
      </w:r>
      <w:proofErr w:type="gramEnd"/>
      <w:r>
        <w:rPr>
          <w:rFonts w:asciiTheme="majorBidi" w:hAnsiTheme="majorBidi" w:cstheme="majorBidi"/>
        </w:rPr>
        <w:t xml:space="preserve"> </w:t>
      </w:r>
      <w:r w:rsidRPr="008A5538">
        <w:rPr>
          <w:rFonts w:asciiTheme="majorBidi" w:hAnsiTheme="majorBidi" w:cstheme="majorBidi"/>
        </w:rPr>
        <w:t>“family therapy” OR “family-based treatment” OR “Maudsley” OR “multifamily therapy”</w:t>
      </w:r>
      <w:r>
        <w:rPr>
          <w:rFonts w:asciiTheme="majorBidi" w:hAnsiTheme="majorBidi" w:cstheme="majorBidi"/>
        </w:rPr>
        <w:t xml:space="preserve"> </w:t>
      </w:r>
      <w:r w:rsidRPr="008A5538">
        <w:rPr>
          <w:rFonts w:asciiTheme="majorBidi" w:hAnsiTheme="majorBidi" w:cstheme="majorBidi"/>
        </w:rPr>
        <w:t>“experience” OR “perception*” OR “lived experience” OR “</w:t>
      </w:r>
      <w:proofErr w:type="gramStart"/>
      <w:r w:rsidRPr="008A5538">
        <w:rPr>
          <w:rFonts w:asciiTheme="majorBidi" w:hAnsiTheme="majorBidi" w:cstheme="majorBidi"/>
        </w:rPr>
        <w:t>qualitative”*</w:t>
      </w:r>
      <w:proofErr w:type="gramEnd"/>
      <w:r>
        <w:rPr>
          <w:rFonts w:asciiTheme="majorBidi" w:hAnsiTheme="majorBidi" w:cstheme="majorBidi"/>
        </w:rPr>
        <w:t xml:space="preserve"> </w:t>
      </w:r>
      <w:r w:rsidRPr="008A5538">
        <w:rPr>
          <w:rFonts w:asciiTheme="majorBidi" w:hAnsiTheme="majorBidi" w:cstheme="majorBidi"/>
        </w:rPr>
        <w:t>“adolescent” OR “young people” OR “child</w:t>
      </w:r>
      <w:proofErr w:type="gramStart"/>
      <w:r w:rsidRPr="008A5538">
        <w:rPr>
          <w:rFonts w:asciiTheme="majorBidi" w:hAnsiTheme="majorBidi" w:cstheme="majorBidi"/>
        </w:rPr>
        <w:t>*”*</w:t>
      </w:r>
      <w:proofErr w:type="gramEnd"/>
    </w:p>
    <w:p w14:paraId="46C4DB43" w14:textId="77777777" w:rsidR="008C6F4D" w:rsidRPr="008A5538" w:rsidRDefault="008C6F4D" w:rsidP="00E04005">
      <w:pPr>
        <w:spacing w:line="360" w:lineRule="auto"/>
        <w:rPr>
          <w:rFonts w:asciiTheme="majorBidi" w:hAnsiTheme="majorBidi" w:cstheme="majorBidi"/>
        </w:rPr>
      </w:pPr>
      <w:r w:rsidRPr="008A5538">
        <w:rPr>
          <w:rFonts w:asciiTheme="majorBidi" w:hAnsiTheme="majorBidi" w:cstheme="majorBidi"/>
        </w:rPr>
        <w:lastRenderedPageBreak/>
        <w:t xml:space="preserve">Reference </w:t>
      </w:r>
      <w:r>
        <w:rPr>
          <w:rFonts w:asciiTheme="majorBidi" w:hAnsiTheme="majorBidi" w:cstheme="majorBidi"/>
        </w:rPr>
        <w:t>lists of included papers were also hand-searched</w:t>
      </w:r>
      <w:r w:rsidRPr="008A5538">
        <w:rPr>
          <w:rFonts w:asciiTheme="majorBidi" w:hAnsiTheme="majorBidi" w:cstheme="majorBidi"/>
        </w:rPr>
        <w:t xml:space="preserve"> to identify any additional relevant studies. Grey literature was </w:t>
      </w:r>
      <w:r>
        <w:rPr>
          <w:rFonts w:asciiTheme="majorBidi" w:hAnsiTheme="majorBidi" w:cstheme="majorBidi"/>
        </w:rPr>
        <w:t>excluded because the review focused</w:t>
      </w:r>
      <w:r w:rsidRPr="008A5538">
        <w:rPr>
          <w:rFonts w:asciiTheme="majorBidi" w:hAnsiTheme="majorBidi" w:cstheme="majorBidi"/>
        </w:rPr>
        <w:t xml:space="preserve"> on peer-reviewed empirical evidence.</w:t>
      </w:r>
    </w:p>
    <w:p w14:paraId="091C84DE" w14:textId="77777777" w:rsidR="008C6F4D" w:rsidRPr="008A5538" w:rsidRDefault="008C6F4D" w:rsidP="00E04005">
      <w:pPr>
        <w:spacing w:line="360" w:lineRule="auto"/>
        <w:rPr>
          <w:rFonts w:asciiTheme="majorBidi" w:hAnsiTheme="majorBidi" w:cstheme="majorBidi"/>
        </w:rPr>
      </w:pPr>
    </w:p>
    <w:p w14:paraId="2621DEDD" w14:textId="77777777" w:rsidR="008C6F4D" w:rsidRPr="00D50E9B" w:rsidRDefault="008C6F4D" w:rsidP="00E04005">
      <w:pPr>
        <w:spacing w:line="360" w:lineRule="auto"/>
        <w:rPr>
          <w:rFonts w:asciiTheme="majorBidi" w:hAnsiTheme="majorBidi" w:cstheme="majorBidi"/>
          <w:i/>
          <w:iCs/>
        </w:rPr>
      </w:pPr>
      <w:r w:rsidRPr="00D50E9B">
        <w:rPr>
          <w:rFonts w:asciiTheme="majorBidi" w:hAnsiTheme="majorBidi" w:cstheme="majorBidi"/>
          <w:i/>
          <w:iCs/>
        </w:rPr>
        <w:t>Inclusion and Exclusion Criteria</w:t>
      </w:r>
    </w:p>
    <w:p w14:paraId="7C6F902F" w14:textId="77777777" w:rsidR="008C6F4D" w:rsidRPr="008A5538" w:rsidRDefault="008C6F4D" w:rsidP="00E04005">
      <w:pPr>
        <w:spacing w:line="360" w:lineRule="auto"/>
        <w:rPr>
          <w:rFonts w:asciiTheme="majorBidi" w:hAnsiTheme="majorBidi" w:cstheme="majorBidi"/>
        </w:rPr>
      </w:pPr>
      <w:r w:rsidRPr="008A5538">
        <w:rPr>
          <w:rFonts w:asciiTheme="majorBidi" w:hAnsiTheme="majorBidi" w:cstheme="majorBidi"/>
        </w:rPr>
        <w:t>Studies were selected according to predefined inclusion and exclusion criteria.</w:t>
      </w:r>
    </w:p>
    <w:p w14:paraId="5EFB5B5A" w14:textId="77777777" w:rsidR="008C6F4D" w:rsidRPr="008A5538" w:rsidRDefault="008C6F4D" w:rsidP="00E04005">
      <w:pPr>
        <w:spacing w:line="360" w:lineRule="auto"/>
        <w:rPr>
          <w:rFonts w:asciiTheme="majorBidi" w:hAnsiTheme="majorBidi" w:cstheme="majorBidi"/>
        </w:rPr>
      </w:pPr>
      <w:r w:rsidRPr="008A5538">
        <w:rPr>
          <w:rFonts w:asciiTheme="majorBidi" w:hAnsiTheme="majorBidi" w:cstheme="majorBidi"/>
        </w:rPr>
        <w:t>Inclusion criteria:</w:t>
      </w:r>
    </w:p>
    <w:p w14:paraId="6BEC6455" w14:textId="2A7E28F2" w:rsidR="008C6F4D" w:rsidRPr="008A5538" w:rsidRDefault="008C6F4D" w:rsidP="00E04005">
      <w:pPr>
        <w:pStyle w:val="ListParagraph"/>
        <w:numPr>
          <w:ilvl w:val="0"/>
          <w:numId w:val="1"/>
        </w:numPr>
        <w:spacing w:line="360" w:lineRule="auto"/>
        <w:rPr>
          <w:rFonts w:asciiTheme="majorBidi" w:hAnsiTheme="majorBidi" w:cstheme="majorBidi"/>
        </w:rPr>
      </w:pPr>
      <w:r w:rsidRPr="008A5538">
        <w:rPr>
          <w:rFonts w:asciiTheme="majorBidi" w:hAnsiTheme="majorBidi" w:cstheme="majorBidi"/>
        </w:rPr>
        <w:t xml:space="preserve">Published between January 2016 </w:t>
      </w:r>
      <w:r w:rsidR="00074242">
        <w:rPr>
          <w:rFonts w:asciiTheme="majorBidi" w:hAnsiTheme="majorBidi" w:cstheme="majorBidi"/>
        </w:rPr>
        <w:t>and</w:t>
      </w:r>
      <w:r w:rsidRPr="008A5538">
        <w:rPr>
          <w:rFonts w:asciiTheme="majorBidi" w:hAnsiTheme="majorBidi" w:cstheme="majorBidi"/>
        </w:rPr>
        <w:t xml:space="preserve"> April 2026</w:t>
      </w:r>
    </w:p>
    <w:p w14:paraId="66D20C82" w14:textId="77777777" w:rsidR="008C6F4D" w:rsidRPr="008A5538" w:rsidRDefault="008C6F4D" w:rsidP="00E04005">
      <w:pPr>
        <w:pStyle w:val="ListParagraph"/>
        <w:numPr>
          <w:ilvl w:val="0"/>
          <w:numId w:val="1"/>
        </w:numPr>
        <w:spacing w:line="360" w:lineRule="auto"/>
        <w:rPr>
          <w:rFonts w:asciiTheme="majorBidi" w:hAnsiTheme="majorBidi" w:cstheme="majorBidi"/>
        </w:rPr>
      </w:pPr>
      <w:r w:rsidRPr="008A5538">
        <w:rPr>
          <w:rFonts w:asciiTheme="majorBidi" w:hAnsiTheme="majorBidi" w:cstheme="majorBidi"/>
        </w:rPr>
        <w:t>Peer-reviewed journal articles</w:t>
      </w:r>
    </w:p>
    <w:p w14:paraId="2336CC57" w14:textId="77777777" w:rsidR="008C6F4D" w:rsidRPr="008A5538" w:rsidRDefault="008C6F4D" w:rsidP="00E04005">
      <w:pPr>
        <w:pStyle w:val="ListParagraph"/>
        <w:numPr>
          <w:ilvl w:val="0"/>
          <w:numId w:val="1"/>
        </w:numPr>
        <w:spacing w:line="360" w:lineRule="auto"/>
        <w:rPr>
          <w:rFonts w:asciiTheme="majorBidi" w:hAnsiTheme="majorBidi" w:cstheme="majorBidi"/>
        </w:rPr>
      </w:pPr>
      <w:r w:rsidRPr="008A5538">
        <w:rPr>
          <w:rFonts w:asciiTheme="majorBidi" w:hAnsiTheme="majorBidi" w:cstheme="majorBidi"/>
        </w:rPr>
        <w:t>Qualitative empirical design (e.g., interviews, focus groups, thematic analysis, IPA)</w:t>
      </w:r>
    </w:p>
    <w:p w14:paraId="0849FBC7" w14:textId="77777777" w:rsidR="008C6F4D" w:rsidRPr="008A5538" w:rsidRDefault="008C6F4D" w:rsidP="00E04005">
      <w:pPr>
        <w:pStyle w:val="ListParagraph"/>
        <w:numPr>
          <w:ilvl w:val="0"/>
          <w:numId w:val="1"/>
        </w:numPr>
        <w:spacing w:line="360" w:lineRule="auto"/>
        <w:rPr>
          <w:rFonts w:asciiTheme="majorBidi" w:hAnsiTheme="majorBidi" w:cstheme="majorBidi"/>
        </w:rPr>
      </w:pPr>
      <w:r w:rsidRPr="008A5538">
        <w:rPr>
          <w:rFonts w:asciiTheme="majorBidi" w:hAnsiTheme="majorBidi" w:cstheme="majorBidi"/>
        </w:rPr>
        <w:t>Focus on family therapy / family-based interventions (including FBT, Maudsley, multifamily therapy)</w:t>
      </w:r>
    </w:p>
    <w:p w14:paraId="194CB06D" w14:textId="77777777" w:rsidR="008C6F4D" w:rsidRPr="008A5538" w:rsidRDefault="008C6F4D" w:rsidP="00E04005">
      <w:pPr>
        <w:pStyle w:val="ListParagraph"/>
        <w:numPr>
          <w:ilvl w:val="0"/>
          <w:numId w:val="1"/>
        </w:numPr>
        <w:spacing w:line="360" w:lineRule="auto"/>
        <w:rPr>
          <w:rFonts w:asciiTheme="majorBidi" w:hAnsiTheme="majorBidi" w:cstheme="majorBidi"/>
        </w:rPr>
      </w:pPr>
      <w:r w:rsidRPr="008A5538">
        <w:rPr>
          <w:rFonts w:asciiTheme="majorBidi" w:hAnsiTheme="majorBidi" w:cstheme="majorBidi"/>
        </w:rPr>
        <w:t>Participants included young people with eating disorders and/or their families</w:t>
      </w:r>
    </w:p>
    <w:p w14:paraId="2E1902BE" w14:textId="77777777" w:rsidR="008C6F4D" w:rsidRPr="008A5538" w:rsidRDefault="008C6F4D" w:rsidP="00E04005">
      <w:pPr>
        <w:pStyle w:val="ListParagraph"/>
        <w:numPr>
          <w:ilvl w:val="0"/>
          <w:numId w:val="1"/>
        </w:numPr>
        <w:spacing w:line="360" w:lineRule="auto"/>
        <w:rPr>
          <w:rFonts w:asciiTheme="majorBidi" w:hAnsiTheme="majorBidi" w:cstheme="majorBidi"/>
        </w:rPr>
      </w:pPr>
      <w:r w:rsidRPr="008A5538">
        <w:rPr>
          <w:rFonts w:asciiTheme="majorBidi" w:hAnsiTheme="majorBidi" w:cstheme="majorBidi"/>
        </w:rPr>
        <w:t>English language publications</w:t>
      </w:r>
    </w:p>
    <w:p w14:paraId="108AEEE5" w14:textId="77777777" w:rsidR="008C6F4D" w:rsidRPr="008A5538" w:rsidRDefault="008C6F4D" w:rsidP="00E04005">
      <w:pPr>
        <w:spacing w:line="360" w:lineRule="auto"/>
        <w:rPr>
          <w:rFonts w:asciiTheme="majorBidi" w:hAnsiTheme="majorBidi" w:cstheme="majorBidi"/>
        </w:rPr>
      </w:pPr>
      <w:r w:rsidRPr="008A5538">
        <w:rPr>
          <w:rFonts w:asciiTheme="majorBidi" w:hAnsiTheme="majorBidi" w:cstheme="majorBidi"/>
        </w:rPr>
        <w:t>Exclusion criteria:</w:t>
      </w:r>
    </w:p>
    <w:p w14:paraId="3CFB7FB0" w14:textId="77777777" w:rsidR="008C6F4D" w:rsidRPr="008A5538" w:rsidRDefault="008C6F4D" w:rsidP="00E04005">
      <w:pPr>
        <w:pStyle w:val="ListParagraph"/>
        <w:numPr>
          <w:ilvl w:val="0"/>
          <w:numId w:val="2"/>
        </w:numPr>
        <w:spacing w:line="360" w:lineRule="auto"/>
        <w:rPr>
          <w:rFonts w:asciiTheme="majorBidi" w:hAnsiTheme="majorBidi" w:cstheme="majorBidi"/>
        </w:rPr>
      </w:pPr>
      <w:r w:rsidRPr="008A5538">
        <w:rPr>
          <w:rFonts w:asciiTheme="majorBidi" w:hAnsiTheme="majorBidi" w:cstheme="majorBidi"/>
        </w:rPr>
        <w:t>Quantitative-only studies</w:t>
      </w:r>
    </w:p>
    <w:p w14:paraId="175E5B22" w14:textId="77777777" w:rsidR="008C6F4D" w:rsidRPr="008A5538" w:rsidRDefault="008C6F4D" w:rsidP="00E04005">
      <w:pPr>
        <w:pStyle w:val="ListParagraph"/>
        <w:numPr>
          <w:ilvl w:val="0"/>
          <w:numId w:val="2"/>
        </w:numPr>
        <w:spacing w:line="360" w:lineRule="auto"/>
        <w:rPr>
          <w:rFonts w:asciiTheme="majorBidi" w:hAnsiTheme="majorBidi" w:cstheme="majorBidi"/>
        </w:rPr>
      </w:pPr>
      <w:r w:rsidRPr="008A5538">
        <w:rPr>
          <w:rFonts w:asciiTheme="majorBidi" w:hAnsiTheme="majorBidi" w:cstheme="majorBidi"/>
        </w:rPr>
        <w:t>Reviews, meta-analyses, editorials, or commentaries</w:t>
      </w:r>
    </w:p>
    <w:p w14:paraId="19DAD2D0" w14:textId="77777777" w:rsidR="008C6F4D" w:rsidRPr="008A5538" w:rsidRDefault="008C6F4D" w:rsidP="00E04005">
      <w:pPr>
        <w:pStyle w:val="ListParagraph"/>
        <w:numPr>
          <w:ilvl w:val="0"/>
          <w:numId w:val="2"/>
        </w:numPr>
        <w:spacing w:line="360" w:lineRule="auto"/>
        <w:rPr>
          <w:rFonts w:asciiTheme="majorBidi" w:hAnsiTheme="majorBidi" w:cstheme="majorBidi"/>
        </w:rPr>
      </w:pPr>
      <w:r w:rsidRPr="008A5538">
        <w:rPr>
          <w:rFonts w:asciiTheme="majorBidi" w:hAnsiTheme="majorBidi" w:cstheme="majorBidi"/>
        </w:rPr>
        <w:t xml:space="preserve">Adult-only samples (unless family therapy </w:t>
      </w:r>
      <w:r>
        <w:rPr>
          <w:rFonts w:asciiTheme="majorBidi" w:hAnsiTheme="majorBidi" w:cstheme="majorBidi"/>
        </w:rPr>
        <w:t xml:space="preserve">is </w:t>
      </w:r>
      <w:r w:rsidRPr="008A5538">
        <w:rPr>
          <w:rFonts w:asciiTheme="majorBidi" w:hAnsiTheme="majorBidi" w:cstheme="majorBidi"/>
        </w:rPr>
        <w:t>delivered within youth services)</w:t>
      </w:r>
    </w:p>
    <w:p w14:paraId="7AD63686" w14:textId="77777777" w:rsidR="008C6F4D" w:rsidRPr="008A5538" w:rsidRDefault="008C6F4D" w:rsidP="00E04005">
      <w:pPr>
        <w:pStyle w:val="ListParagraph"/>
        <w:numPr>
          <w:ilvl w:val="0"/>
          <w:numId w:val="2"/>
        </w:numPr>
        <w:spacing w:line="360" w:lineRule="auto"/>
        <w:rPr>
          <w:rFonts w:asciiTheme="majorBidi" w:hAnsiTheme="majorBidi" w:cstheme="majorBidi"/>
        </w:rPr>
      </w:pPr>
      <w:r w:rsidRPr="008A5538">
        <w:rPr>
          <w:rFonts w:asciiTheme="majorBidi" w:hAnsiTheme="majorBidi" w:cstheme="majorBidi"/>
        </w:rPr>
        <w:t>Studies not focused on treatment/intervention experience</w:t>
      </w:r>
    </w:p>
    <w:p w14:paraId="06F69F08" w14:textId="77777777" w:rsidR="008C6F4D" w:rsidRPr="008A5538" w:rsidRDefault="008C6F4D" w:rsidP="00E04005">
      <w:pPr>
        <w:pStyle w:val="ListParagraph"/>
        <w:numPr>
          <w:ilvl w:val="0"/>
          <w:numId w:val="2"/>
        </w:numPr>
        <w:spacing w:line="360" w:lineRule="auto"/>
        <w:rPr>
          <w:rFonts w:asciiTheme="majorBidi" w:hAnsiTheme="majorBidi" w:cstheme="majorBidi"/>
        </w:rPr>
      </w:pPr>
      <w:r w:rsidRPr="008A5538">
        <w:rPr>
          <w:rFonts w:asciiTheme="majorBidi" w:hAnsiTheme="majorBidi" w:cstheme="majorBidi"/>
        </w:rPr>
        <w:t>Non-peer-reviewed literature</w:t>
      </w:r>
    </w:p>
    <w:p w14:paraId="3E3F9C32" w14:textId="77777777" w:rsidR="008C6F4D" w:rsidRPr="008A5538" w:rsidRDefault="008C6F4D" w:rsidP="00E04005">
      <w:pPr>
        <w:spacing w:line="360" w:lineRule="auto"/>
        <w:rPr>
          <w:rFonts w:asciiTheme="majorBidi" w:hAnsiTheme="majorBidi" w:cstheme="majorBidi"/>
        </w:rPr>
      </w:pPr>
      <w:r w:rsidRPr="008A5538">
        <w:rPr>
          <w:rFonts w:asciiTheme="majorBidi" w:hAnsiTheme="majorBidi" w:cstheme="majorBidi"/>
        </w:rPr>
        <w:t>Following screening, six papers met the inclusion criteria.</w:t>
      </w:r>
    </w:p>
    <w:p w14:paraId="2957FD09" w14:textId="77777777" w:rsidR="008C6F4D" w:rsidRPr="008A5538" w:rsidRDefault="008C6F4D" w:rsidP="00E04005">
      <w:pPr>
        <w:spacing w:line="360" w:lineRule="auto"/>
        <w:rPr>
          <w:rFonts w:asciiTheme="majorBidi" w:hAnsiTheme="majorBidi" w:cstheme="majorBidi"/>
        </w:rPr>
      </w:pPr>
    </w:p>
    <w:p w14:paraId="532275C0" w14:textId="77777777" w:rsidR="00685A46" w:rsidRDefault="00685A46" w:rsidP="00E04005">
      <w:pPr>
        <w:spacing w:line="360" w:lineRule="auto"/>
        <w:rPr>
          <w:rFonts w:asciiTheme="majorBidi" w:hAnsiTheme="majorBidi" w:cstheme="majorBidi"/>
          <w:i/>
          <w:iCs/>
        </w:rPr>
      </w:pPr>
    </w:p>
    <w:p w14:paraId="2F931810" w14:textId="169AFE82" w:rsidR="008C6F4D" w:rsidRPr="00D50E9B" w:rsidRDefault="008C6F4D" w:rsidP="00E04005">
      <w:pPr>
        <w:spacing w:line="360" w:lineRule="auto"/>
        <w:rPr>
          <w:rFonts w:asciiTheme="majorBidi" w:hAnsiTheme="majorBidi" w:cstheme="majorBidi"/>
          <w:i/>
          <w:iCs/>
        </w:rPr>
      </w:pPr>
      <w:r w:rsidRPr="00D50E9B">
        <w:rPr>
          <w:rFonts w:asciiTheme="majorBidi" w:hAnsiTheme="majorBidi" w:cstheme="majorBidi"/>
          <w:i/>
          <w:iCs/>
        </w:rPr>
        <w:t>Quality Assessment, Screening and Coding</w:t>
      </w:r>
    </w:p>
    <w:p w14:paraId="2A30DCAC" w14:textId="77777777" w:rsidR="00685A46" w:rsidRDefault="00685A46" w:rsidP="00E04005">
      <w:pPr>
        <w:spacing w:line="360" w:lineRule="auto"/>
        <w:rPr>
          <w:rFonts w:asciiTheme="majorBidi" w:hAnsiTheme="majorBidi" w:cstheme="majorBidi"/>
        </w:rPr>
      </w:pPr>
    </w:p>
    <w:p w14:paraId="390EF6D4" w14:textId="6C0C2D40" w:rsidR="008C6F4D" w:rsidRPr="008A5538" w:rsidRDefault="008C6F4D" w:rsidP="00E04005">
      <w:pPr>
        <w:spacing w:line="360" w:lineRule="auto"/>
        <w:rPr>
          <w:rFonts w:asciiTheme="majorBidi" w:hAnsiTheme="majorBidi" w:cstheme="majorBidi"/>
        </w:rPr>
      </w:pPr>
      <w:r w:rsidRPr="008A5538">
        <w:rPr>
          <w:rFonts w:asciiTheme="majorBidi" w:hAnsiTheme="majorBidi" w:cstheme="majorBidi"/>
        </w:rPr>
        <w:t xml:space="preserve">Screening followed a staged approach aligned with </w:t>
      </w:r>
      <w:r>
        <w:rPr>
          <w:rFonts w:asciiTheme="majorBidi" w:hAnsiTheme="majorBidi" w:cstheme="majorBidi"/>
        </w:rPr>
        <w:t>the guidance of systematic reviews</w:t>
      </w:r>
      <w:r w:rsidRPr="008A5538">
        <w:rPr>
          <w:rFonts w:asciiTheme="majorBidi" w:hAnsiTheme="majorBidi" w:cstheme="majorBidi"/>
        </w:rPr>
        <w:t>.</w:t>
      </w:r>
    </w:p>
    <w:p w14:paraId="0E1FF4C4" w14:textId="77777777" w:rsidR="008C6F4D" w:rsidRPr="008A5538" w:rsidRDefault="008C6F4D" w:rsidP="00E04005">
      <w:pPr>
        <w:pStyle w:val="ListParagraph"/>
        <w:numPr>
          <w:ilvl w:val="0"/>
          <w:numId w:val="3"/>
        </w:numPr>
        <w:spacing w:line="360" w:lineRule="auto"/>
        <w:rPr>
          <w:rFonts w:asciiTheme="majorBidi" w:hAnsiTheme="majorBidi" w:cstheme="majorBidi"/>
        </w:rPr>
      </w:pPr>
      <w:r w:rsidRPr="008A5538">
        <w:rPr>
          <w:rFonts w:asciiTheme="majorBidi" w:hAnsiTheme="majorBidi" w:cstheme="majorBidi"/>
        </w:rPr>
        <w:t xml:space="preserve">Title screening </w:t>
      </w:r>
      <w:r>
        <w:rPr>
          <w:rFonts w:asciiTheme="majorBidi" w:hAnsiTheme="majorBidi" w:cstheme="majorBidi"/>
        </w:rPr>
        <w:t xml:space="preserve">- </w:t>
      </w:r>
      <w:r w:rsidRPr="008A5538">
        <w:rPr>
          <w:rFonts w:asciiTheme="majorBidi" w:hAnsiTheme="majorBidi" w:cstheme="majorBidi"/>
        </w:rPr>
        <w:t>removal of clearly irrelevant studies</w:t>
      </w:r>
    </w:p>
    <w:p w14:paraId="7AFDBD32" w14:textId="77777777" w:rsidR="008C6F4D" w:rsidRPr="008A5538" w:rsidRDefault="008C6F4D" w:rsidP="00E04005">
      <w:pPr>
        <w:pStyle w:val="ListParagraph"/>
        <w:numPr>
          <w:ilvl w:val="0"/>
          <w:numId w:val="3"/>
        </w:numPr>
        <w:spacing w:line="360" w:lineRule="auto"/>
        <w:rPr>
          <w:rFonts w:asciiTheme="majorBidi" w:hAnsiTheme="majorBidi" w:cstheme="majorBidi"/>
        </w:rPr>
      </w:pPr>
      <w:r w:rsidRPr="008A5538">
        <w:rPr>
          <w:rFonts w:asciiTheme="majorBidi" w:hAnsiTheme="majorBidi" w:cstheme="majorBidi"/>
        </w:rPr>
        <w:lastRenderedPageBreak/>
        <w:t xml:space="preserve">Abstract screening </w:t>
      </w:r>
      <w:r>
        <w:rPr>
          <w:rFonts w:asciiTheme="majorBidi" w:hAnsiTheme="majorBidi" w:cstheme="majorBidi"/>
        </w:rPr>
        <w:t>-</w:t>
      </w:r>
      <w:r w:rsidRPr="008A5538">
        <w:rPr>
          <w:rFonts w:asciiTheme="majorBidi" w:hAnsiTheme="majorBidi" w:cstheme="majorBidi"/>
        </w:rPr>
        <w:t xml:space="preserve"> assessment against inclusion criteria</w:t>
      </w:r>
    </w:p>
    <w:p w14:paraId="735017A1" w14:textId="77777777" w:rsidR="008C6F4D" w:rsidRPr="008A5538" w:rsidRDefault="008C6F4D" w:rsidP="00E04005">
      <w:pPr>
        <w:pStyle w:val="ListParagraph"/>
        <w:numPr>
          <w:ilvl w:val="0"/>
          <w:numId w:val="3"/>
        </w:numPr>
        <w:spacing w:line="360" w:lineRule="auto"/>
        <w:rPr>
          <w:rFonts w:asciiTheme="majorBidi" w:hAnsiTheme="majorBidi" w:cstheme="majorBidi"/>
        </w:rPr>
      </w:pPr>
      <w:r w:rsidRPr="008A5538">
        <w:rPr>
          <w:rFonts w:asciiTheme="majorBidi" w:hAnsiTheme="majorBidi" w:cstheme="majorBidi"/>
        </w:rPr>
        <w:t xml:space="preserve">Full-text review </w:t>
      </w:r>
      <w:r>
        <w:rPr>
          <w:rFonts w:asciiTheme="majorBidi" w:hAnsiTheme="majorBidi" w:cstheme="majorBidi"/>
        </w:rPr>
        <w:t>-</w:t>
      </w:r>
      <w:r w:rsidRPr="008A5538">
        <w:rPr>
          <w:rFonts w:asciiTheme="majorBidi" w:hAnsiTheme="majorBidi" w:cstheme="majorBidi"/>
        </w:rPr>
        <w:t xml:space="preserve"> eligibility confirmation</w:t>
      </w:r>
    </w:p>
    <w:p w14:paraId="62A76E0D" w14:textId="77777777" w:rsidR="008C6F4D" w:rsidRPr="008A5538" w:rsidRDefault="008C6F4D" w:rsidP="00E04005">
      <w:pPr>
        <w:pStyle w:val="ListParagraph"/>
        <w:numPr>
          <w:ilvl w:val="0"/>
          <w:numId w:val="3"/>
        </w:numPr>
        <w:spacing w:line="360" w:lineRule="auto"/>
        <w:rPr>
          <w:rFonts w:asciiTheme="majorBidi" w:hAnsiTheme="majorBidi" w:cstheme="majorBidi"/>
        </w:rPr>
      </w:pPr>
      <w:r w:rsidRPr="008A5538">
        <w:rPr>
          <w:rFonts w:asciiTheme="majorBidi" w:hAnsiTheme="majorBidi" w:cstheme="majorBidi"/>
        </w:rPr>
        <w:t xml:space="preserve">Quality appraisal </w:t>
      </w:r>
      <w:r>
        <w:rPr>
          <w:rFonts w:asciiTheme="majorBidi" w:hAnsiTheme="majorBidi" w:cstheme="majorBidi"/>
        </w:rPr>
        <w:t>-</w:t>
      </w:r>
      <w:r w:rsidRPr="008A5538">
        <w:rPr>
          <w:rFonts w:asciiTheme="majorBidi" w:hAnsiTheme="majorBidi" w:cstheme="majorBidi"/>
        </w:rPr>
        <w:t xml:space="preserve"> CASP checklist applied</w:t>
      </w:r>
    </w:p>
    <w:p w14:paraId="4C35DE96" w14:textId="77777777" w:rsidR="008C6F4D" w:rsidRDefault="008C6F4D" w:rsidP="00E04005">
      <w:pPr>
        <w:pStyle w:val="ListParagraph"/>
        <w:numPr>
          <w:ilvl w:val="0"/>
          <w:numId w:val="3"/>
        </w:numPr>
        <w:spacing w:line="360" w:lineRule="auto"/>
        <w:rPr>
          <w:rFonts w:asciiTheme="majorBidi" w:hAnsiTheme="majorBidi" w:cstheme="majorBidi"/>
        </w:rPr>
      </w:pPr>
      <w:r w:rsidRPr="008A5538">
        <w:rPr>
          <w:rFonts w:asciiTheme="majorBidi" w:hAnsiTheme="majorBidi" w:cstheme="majorBidi"/>
        </w:rPr>
        <w:t xml:space="preserve">Data extraction and coding </w:t>
      </w:r>
      <w:r>
        <w:rPr>
          <w:rFonts w:asciiTheme="majorBidi" w:hAnsiTheme="majorBidi" w:cstheme="majorBidi"/>
        </w:rPr>
        <w:t xml:space="preserve">- </w:t>
      </w:r>
      <w:r w:rsidRPr="008A5538">
        <w:rPr>
          <w:rFonts w:asciiTheme="majorBidi" w:hAnsiTheme="majorBidi" w:cstheme="majorBidi"/>
        </w:rPr>
        <w:t>thematic synthesis preparation</w:t>
      </w:r>
    </w:p>
    <w:p w14:paraId="49A8EF9E" w14:textId="77777777" w:rsidR="008C6F4D" w:rsidRPr="008A5538" w:rsidRDefault="008C6F4D" w:rsidP="00E04005">
      <w:pPr>
        <w:pStyle w:val="ListParagraph"/>
        <w:spacing w:line="360" w:lineRule="auto"/>
        <w:rPr>
          <w:rFonts w:asciiTheme="majorBidi" w:hAnsiTheme="majorBidi" w:cstheme="majorBidi"/>
        </w:rPr>
      </w:pPr>
    </w:p>
    <w:p w14:paraId="46D2CDB3" w14:textId="77777777" w:rsidR="008C6F4D" w:rsidRDefault="008C6F4D" w:rsidP="00E04005">
      <w:pPr>
        <w:spacing w:line="360" w:lineRule="auto"/>
        <w:rPr>
          <w:rFonts w:asciiTheme="majorBidi" w:hAnsiTheme="majorBidi" w:cstheme="majorBidi"/>
        </w:rPr>
      </w:pPr>
    </w:p>
    <w:p w14:paraId="70FD530B" w14:textId="72F1F1B6" w:rsidR="008C6F4D" w:rsidRPr="000656BA" w:rsidRDefault="008C6F4D" w:rsidP="00E04005">
      <w:pPr>
        <w:spacing w:line="360" w:lineRule="auto"/>
        <w:rPr>
          <w:rFonts w:asciiTheme="majorBidi" w:hAnsiTheme="majorBidi" w:cstheme="majorBidi"/>
        </w:rPr>
      </w:pPr>
      <w:r>
        <w:rPr>
          <w:rFonts w:asciiTheme="majorBidi" w:hAnsiTheme="majorBidi" w:cstheme="majorBidi"/>
        </w:rPr>
        <w:t>The six s</w:t>
      </w:r>
      <w:r w:rsidRPr="000656BA">
        <w:rPr>
          <w:rFonts w:asciiTheme="majorBidi" w:hAnsiTheme="majorBidi" w:cstheme="majorBidi"/>
        </w:rPr>
        <w:t xml:space="preserve">tudies included in </w:t>
      </w:r>
      <w:r>
        <w:rPr>
          <w:rFonts w:asciiTheme="majorBidi" w:hAnsiTheme="majorBidi" w:cstheme="majorBidi"/>
        </w:rPr>
        <w:t>the final synthesis are summarised below in Table 1.</w:t>
      </w:r>
    </w:p>
    <w:p w14:paraId="4167B43F" w14:textId="77777777" w:rsidR="008C6F4D" w:rsidRDefault="008C6F4D" w:rsidP="008C6F4D">
      <w:pPr>
        <w:rPr>
          <w:rFonts w:asciiTheme="majorBidi" w:hAnsiTheme="majorBidi" w:cstheme="majorBidi"/>
        </w:rPr>
      </w:pPr>
    </w:p>
    <w:p w14:paraId="427ABA6A" w14:textId="77777777" w:rsidR="008C6F4D" w:rsidRPr="00336DD6" w:rsidRDefault="008C6F4D" w:rsidP="008C6F4D">
      <w:pPr>
        <w:rPr>
          <w:rFonts w:asciiTheme="majorBidi" w:hAnsiTheme="majorBidi" w:cstheme="majorBidi"/>
        </w:rPr>
      </w:pPr>
      <w:r w:rsidRPr="008A5538">
        <w:rPr>
          <w:rFonts w:asciiTheme="majorBidi" w:hAnsiTheme="majorBidi" w:cstheme="majorBidi"/>
        </w:rPr>
        <w:t>Table</w:t>
      </w:r>
      <w:r>
        <w:rPr>
          <w:rFonts w:asciiTheme="majorBidi" w:hAnsiTheme="majorBidi" w:cstheme="majorBidi"/>
        </w:rPr>
        <w:t xml:space="preserve"> 1: </w:t>
      </w:r>
      <w:r w:rsidRPr="00C034C7">
        <w:rPr>
          <w:rFonts w:asciiTheme="majorBidi" w:hAnsiTheme="majorBidi" w:cstheme="majorBidi"/>
        </w:rPr>
        <w:t>Summary characteristics of studies reporting</w:t>
      </w:r>
      <w:r>
        <w:rPr>
          <w:rFonts w:asciiTheme="majorBidi" w:hAnsiTheme="majorBidi" w:cstheme="majorBidi"/>
        </w:rPr>
        <w:t xml:space="preserve"> </w:t>
      </w:r>
      <w:r w:rsidRPr="000B13CB">
        <w:rPr>
          <w:rFonts w:asciiTheme="majorBidi" w:hAnsiTheme="majorBidi" w:cstheme="majorBidi"/>
        </w:rPr>
        <w:t>Experiences of Family Therapy for Eating Disorders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3"/>
        <w:gridCol w:w="867"/>
        <w:gridCol w:w="1699"/>
        <w:gridCol w:w="1745"/>
        <w:gridCol w:w="2852"/>
      </w:tblGrid>
      <w:tr w:rsidR="008C6F4D" w:rsidRPr="00336DD6" w14:paraId="5A58A0C8" w14:textId="77777777" w:rsidTr="00832E7F">
        <w:trPr>
          <w:tblHeader/>
          <w:tblCellSpacing w:w="15" w:type="dxa"/>
        </w:trPr>
        <w:tc>
          <w:tcPr>
            <w:tcW w:w="0" w:type="auto"/>
            <w:vAlign w:val="center"/>
            <w:hideMark/>
          </w:tcPr>
          <w:p w14:paraId="794E5310" w14:textId="77777777" w:rsidR="008C6F4D" w:rsidRPr="00336DD6" w:rsidRDefault="008C6F4D" w:rsidP="00832E7F">
            <w:pPr>
              <w:spacing w:after="0" w:line="240" w:lineRule="auto"/>
              <w:jc w:val="center"/>
              <w:rPr>
                <w:rFonts w:ascii="Times New Roman" w:eastAsia="Times New Roman" w:hAnsi="Times New Roman" w:cs="Times New Roman"/>
                <w:b/>
                <w:bCs/>
                <w:kern w:val="0"/>
                <w:sz w:val="22"/>
                <w:szCs w:val="22"/>
                <w14:ligatures w14:val="none"/>
              </w:rPr>
            </w:pPr>
            <w:r w:rsidRPr="00336DD6">
              <w:rPr>
                <w:rFonts w:ascii="Times New Roman" w:eastAsia="Times New Roman" w:hAnsi="Times New Roman" w:cs="Times New Roman"/>
                <w:b/>
                <w:bCs/>
                <w:kern w:val="0"/>
                <w:sz w:val="22"/>
                <w:szCs w:val="22"/>
                <w14:ligatures w14:val="none"/>
              </w:rPr>
              <w:t>Study</w:t>
            </w:r>
          </w:p>
        </w:tc>
        <w:tc>
          <w:tcPr>
            <w:tcW w:w="0" w:type="auto"/>
            <w:vAlign w:val="center"/>
            <w:hideMark/>
          </w:tcPr>
          <w:p w14:paraId="4CD595DB" w14:textId="77777777" w:rsidR="008C6F4D" w:rsidRPr="00336DD6" w:rsidRDefault="008C6F4D" w:rsidP="00832E7F">
            <w:pPr>
              <w:spacing w:after="0" w:line="240" w:lineRule="auto"/>
              <w:jc w:val="center"/>
              <w:rPr>
                <w:rFonts w:ascii="Times New Roman" w:eastAsia="Times New Roman" w:hAnsi="Times New Roman" w:cs="Times New Roman"/>
                <w:b/>
                <w:bCs/>
                <w:kern w:val="0"/>
                <w:sz w:val="22"/>
                <w:szCs w:val="22"/>
                <w14:ligatures w14:val="none"/>
              </w:rPr>
            </w:pPr>
            <w:r w:rsidRPr="00336DD6">
              <w:rPr>
                <w:rFonts w:ascii="Times New Roman" w:eastAsia="Times New Roman" w:hAnsi="Times New Roman" w:cs="Times New Roman"/>
                <w:b/>
                <w:bCs/>
                <w:kern w:val="0"/>
                <w:sz w:val="22"/>
                <w:szCs w:val="22"/>
                <w14:ligatures w14:val="none"/>
              </w:rPr>
              <w:t>Country</w:t>
            </w:r>
          </w:p>
        </w:tc>
        <w:tc>
          <w:tcPr>
            <w:tcW w:w="0" w:type="auto"/>
            <w:vAlign w:val="center"/>
            <w:hideMark/>
          </w:tcPr>
          <w:p w14:paraId="38E2D4F1" w14:textId="77777777" w:rsidR="008C6F4D" w:rsidRPr="00336DD6" w:rsidRDefault="008C6F4D" w:rsidP="00832E7F">
            <w:pPr>
              <w:spacing w:after="0" w:line="240" w:lineRule="auto"/>
              <w:jc w:val="center"/>
              <w:rPr>
                <w:rFonts w:ascii="Times New Roman" w:eastAsia="Times New Roman" w:hAnsi="Times New Roman" w:cs="Times New Roman"/>
                <w:b/>
                <w:bCs/>
                <w:kern w:val="0"/>
                <w:sz w:val="22"/>
                <w:szCs w:val="22"/>
                <w14:ligatures w14:val="none"/>
              </w:rPr>
            </w:pPr>
            <w:r w:rsidRPr="00336DD6">
              <w:rPr>
                <w:rFonts w:ascii="Times New Roman" w:eastAsia="Times New Roman" w:hAnsi="Times New Roman" w:cs="Times New Roman"/>
                <w:b/>
                <w:bCs/>
                <w:kern w:val="0"/>
                <w:sz w:val="22"/>
                <w:szCs w:val="22"/>
                <w14:ligatures w14:val="none"/>
              </w:rPr>
              <w:t>Study Design</w:t>
            </w:r>
          </w:p>
        </w:tc>
        <w:tc>
          <w:tcPr>
            <w:tcW w:w="0" w:type="auto"/>
            <w:vAlign w:val="center"/>
            <w:hideMark/>
          </w:tcPr>
          <w:p w14:paraId="710FE7FB" w14:textId="77777777" w:rsidR="008C6F4D" w:rsidRPr="00336DD6" w:rsidRDefault="008C6F4D" w:rsidP="00832E7F">
            <w:pPr>
              <w:spacing w:after="0" w:line="240" w:lineRule="auto"/>
              <w:jc w:val="center"/>
              <w:rPr>
                <w:rFonts w:ascii="Times New Roman" w:eastAsia="Times New Roman" w:hAnsi="Times New Roman" w:cs="Times New Roman"/>
                <w:b/>
                <w:bCs/>
                <w:kern w:val="0"/>
                <w:sz w:val="22"/>
                <w:szCs w:val="22"/>
                <w14:ligatures w14:val="none"/>
              </w:rPr>
            </w:pPr>
            <w:r w:rsidRPr="00336DD6">
              <w:rPr>
                <w:rFonts w:ascii="Times New Roman" w:eastAsia="Times New Roman" w:hAnsi="Times New Roman" w:cs="Times New Roman"/>
                <w:b/>
                <w:bCs/>
                <w:kern w:val="0"/>
                <w:sz w:val="22"/>
                <w:szCs w:val="22"/>
                <w14:ligatures w14:val="none"/>
              </w:rPr>
              <w:t>Data Collection Method</w:t>
            </w:r>
          </w:p>
        </w:tc>
        <w:tc>
          <w:tcPr>
            <w:tcW w:w="0" w:type="auto"/>
            <w:vAlign w:val="center"/>
            <w:hideMark/>
          </w:tcPr>
          <w:p w14:paraId="0A437E80" w14:textId="77777777" w:rsidR="008C6F4D" w:rsidRPr="00336DD6" w:rsidRDefault="008C6F4D" w:rsidP="00832E7F">
            <w:pPr>
              <w:spacing w:after="0" w:line="240" w:lineRule="auto"/>
              <w:jc w:val="center"/>
              <w:rPr>
                <w:rFonts w:ascii="Times New Roman" w:eastAsia="Times New Roman" w:hAnsi="Times New Roman" w:cs="Times New Roman"/>
                <w:b/>
                <w:bCs/>
                <w:kern w:val="0"/>
                <w:sz w:val="22"/>
                <w:szCs w:val="22"/>
                <w14:ligatures w14:val="none"/>
              </w:rPr>
            </w:pPr>
            <w:r w:rsidRPr="00336DD6">
              <w:rPr>
                <w:rFonts w:ascii="Times New Roman" w:eastAsia="Times New Roman" w:hAnsi="Times New Roman" w:cs="Times New Roman"/>
                <w:b/>
                <w:bCs/>
                <w:kern w:val="0"/>
                <w:sz w:val="22"/>
                <w:szCs w:val="22"/>
                <w14:ligatures w14:val="none"/>
              </w:rPr>
              <w:t>Sample</w:t>
            </w:r>
          </w:p>
        </w:tc>
      </w:tr>
      <w:tr w:rsidR="008C6F4D" w:rsidRPr="00336DD6" w14:paraId="5C1080FB" w14:textId="77777777" w:rsidTr="00832E7F">
        <w:trPr>
          <w:tblCellSpacing w:w="15" w:type="dxa"/>
        </w:trPr>
        <w:tc>
          <w:tcPr>
            <w:tcW w:w="0" w:type="auto"/>
            <w:vAlign w:val="center"/>
            <w:hideMark/>
          </w:tcPr>
          <w:p w14:paraId="151CFFE9"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proofErr w:type="spellStart"/>
            <w:r w:rsidRPr="00336DD6">
              <w:rPr>
                <w:rFonts w:ascii="Times New Roman" w:eastAsia="Times New Roman" w:hAnsi="Times New Roman" w:cs="Times New Roman"/>
                <w:kern w:val="0"/>
                <w:sz w:val="22"/>
                <w:szCs w:val="22"/>
                <w14:ligatures w14:val="none"/>
              </w:rPr>
              <w:t>Brinchmann</w:t>
            </w:r>
            <w:proofErr w:type="spellEnd"/>
            <w:r w:rsidRPr="00336DD6">
              <w:rPr>
                <w:rFonts w:ascii="Times New Roman" w:eastAsia="Times New Roman" w:hAnsi="Times New Roman" w:cs="Times New Roman"/>
                <w:kern w:val="0"/>
                <w:sz w:val="22"/>
                <w:szCs w:val="22"/>
                <w14:ligatures w14:val="none"/>
              </w:rPr>
              <w:t xml:space="preserve"> &amp; </w:t>
            </w:r>
            <w:proofErr w:type="spellStart"/>
            <w:r w:rsidRPr="00336DD6">
              <w:rPr>
                <w:rFonts w:ascii="Times New Roman" w:eastAsia="Times New Roman" w:hAnsi="Times New Roman" w:cs="Times New Roman"/>
                <w:kern w:val="0"/>
                <w:sz w:val="22"/>
                <w:szCs w:val="22"/>
                <w14:ligatures w14:val="none"/>
              </w:rPr>
              <w:t>Krvavac</w:t>
            </w:r>
            <w:proofErr w:type="spellEnd"/>
            <w:r w:rsidRPr="00336DD6">
              <w:rPr>
                <w:rFonts w:ascii="Times New Roman" w:eastAsia="Times New Roman" w:hAnsi="Times New Roman" w:cs="Times New Roman"/>
                <w:kern w:val="0"/>
                <w:sz w:val="22"/>
                <w:szCs w:val="22"/>
                <w14:ligatures w14:val="none"/>
              </w:rPr>
              <w:t xml:space="preserve"> (2021)</w:t>
            </w:r>
          </w:p>
        </w:tc>
        <w:tc>
          <w:tcPr>
            <w:tcW w:w="0" w:type="auto"/>
            <w:vAlign w:val="center"/>
            <w:hideMark/>
          </w:tcPr>
          <w:p w14:paraId="14924CAA"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Norway</w:t>
            </w:r>
          </w:p>
        </w:tc>
        <w:tc>
          <w:tcPr>
            <w:tcW w:w="0" w:type="auto"/>
            <w:vAlign w:val="center"/>
            <w:hideMark/>
          </w:tcPr>
          <w:p w14:paraId="4B93C004"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w:t>
            </w:r>
          </w:p>
        </w:tc>
        <w:tc>
          <w:tcPr>
            <w:tcW w:w="0" w:type="auto"/>
            <w:vAlign w:val="center"/>
            <w:hideMark/>
          </w:tcPr>
          <w:p w14:paraId="7E3A445F"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Semi-structured interviews</w:t>
            </w:r>
          </w:p>
        </w:tc>
        <w:tc>
          <w:tcPr>
            <w:tcW w:w="0" w:type="auto"/>
            <w:vAlign w:val="center"/>
            <w:hideMark/>
          </w:tcPr>
          <w:p w14:paraId="1C5DF86F"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Young adult women + families in multifamily therapy</w:t>
            </w:r>
          </w:p>
        </w:tc>
      </w:tr>
      <w:tr w:rsidR="008C6F4D" w:rsidRPr="00336DD6" w14:paraId="33B4E3D1" w14:textId="77777777" w:rsidTr="00832E7F">
        <w:trPr>
          <w:tblCellSpacing w:w="15" w:type="dxa"/>
        </w:trPr>
        <w:tc>
          <w:tcPr>
            <w:tcW w:w="0" w:type="auto"/>
            <w:vAlign w:val="center"/>
            <w:hideMark/>
          </w:tcPr>
          <w:p w14:paraId="0031020B"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Conti et al. (2017)</w:t>
            </w:r>
          </w:p>
        </w:tc>
        <w:tc>
          <w:tcPr>
            <w:tcW w:w="0" w:type="auto"/>
            <w:vAlign w:val="center"/>
            <w:hideMark/>
          </w:tcPr>
          <w:p w14:paraId="7327FFD6"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Australia</w:t>
            </w:r>
          </w:p>
        </w:tc>
        <w:tc>
          <w:tcPr>
            <w:tcW w:w="0" w:type="auto"/>
            <w:vAlign w:val="center"/>
            <w:hideMark/>
          </w:tcPr>
          <w:p w14:paraId="608EBC83"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w:t>
            </w:r>
          </w:p>
        </w:tc>
        <w:tc>
          <w:tcPr>
            <w:tcW w:w="0" w:type="auto"/>
            <w:vAlign w:val="center"/>
            <w:hideMark/>
          </w:tcPr>
          <w:p w14:paraId="5EE2DAE9"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In-depth interviews</w:t>
            </w:r>
          </w:p>
        </w:tc>
        <w:tc>
          <w:tcPr>
            <w:tcW w:w="0" w:type="auto"/>
            <w:vAlign w:val="center"/>
            <w:hideMark/>
          </w:tcPr>
          <w:p w14:paraId="3FF4F702"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Adolescents with AN receiving Maudsley/FBT</w:t>
            </w:r>
          </w:p>
        </w:tc>
      </w:tr>
      <w:tr w:rsidR="008C6F4D" w:rsidRPr="00336DD6" w14:paraId="5886640A" w14:textId="77777777" w:rsidTr="00832E7F">
        <w:trPr>
          <w:tblCellSpacing w:w="15" w:type="dxa"/>
        </w:trPr>
        <w:tc>
          <w:tcPr>
            <w:tcW w:w="0" w:type="auto"/>
            <w:vAlign w:val="center"/>
            <w:hideMark/>
          </w:tcPr>
          <w:p w14:paraId="3D948578"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Coopey &amp; Johnson (2022)</w:t>
            </w:r>
          </w:p>
        </w:tc>
        <w:tc>
          <w:tcPr>
            <w:tcW w:w="0" w:type="auto"/>
            <w:vAlign w:val="center"/>
            <w:hideMark/>
          </w:tcPr>
          <w:p w14:paraId="05D11D72"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UK</w:t>
            </w:r>
          </w:p>
        </w:tc>
        <w:tc>
          <w:tcPr>
            <w:tcW w:w="0" w:type="auto"/>
            <w:vAlign w:val="center"/>
            <w:hideMark/>
          </w:tcPr>
          <w:p w14:paraId="42635184"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w:t>
            </w:r>
          </w:p>
        </w:tc>
        <w:tc>
          <w:tcPr>
            <w:tcW w:w="0" w:type="auto"/>
            <w:vAlign w:val="center"/>
            <w:hideMark/>
          </w:tcPr>
          <w:p w14:paraId="773B0A25"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Interviews</w:t>
            </w:r>
          </w:p>
        </w:tc>
        <w:tc>
          <w:tcPr>
            <w:tcW w:w="0" w:type="auto"/>
            <w:vAlign w:val="center"/>
            <w:hideMark/>
          </w:tcPr>
          <w:p w14:paraId="2F011B70"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Young people in inpatient FT &amp; MFT</w:t>
            </w:r>
          </w:p>
        </w:tc>
      </w:tr>
      <w:tr w:rsidR="008C6F4D" w:rsidRPr="00336DD6" w14:paraId="11BDB2C8" w14:textId="77777777" w:rsidTr="00832E7F">
        <w:trPr>
          <w:tblCellSpacing w:w="15" w:type="dxa"/>
        </w:trPr>
        <w:tc>
          <w:tcPr>
            <w:tcW w:w="0" w:type="auto"/>
            <w:vAlign w:val="center"/>
            <w:hideMark/>
          </w:tcPr>
          <w:p w14:paraId="36B8B0FF"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Gao et al. (2025)</w:t>
            </w:r>
          </w:p>
        </w:tc>
        <w:tc>
          <w:tcPr>
            <w:tcW w:w="0" w:type="auto"/>
            <w:vAlign w:val="center"/>
            <w:hideMark/>
          </w:tcPr>
          <w:p w14:paraId="666AE68C"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USA</w:t>
            </w:r>
          </w:p>
        </w:tc>
        <w:tc>
          <w:tcPr>
            <w:tcW w:w="0" w:type="auto"/>
            <w:vAlign w:val="center"/>
            <w:hideMark/>
          </w:tcPr>
          <w:p w14:paraId="2E1B86BE"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 pilot study</w:t>
            </w:r>
          </w:p>
        </w:tc>
        <w:tc>
          <w:tcPr>
            <w:tcW w:w="0" w:type="auto"/>
            <w:vAlign w:val="center"/>
            <w:hideMark/>
          </w:tcPr>
          <w:p w14:paraId="710CE07E"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Semi-structured interviews</w:t>
            </w:r>
          </w:p>
        </w:tc>
        <w:tc>
          <w:tcPr>
            <w:tcW w:w="0" w:type="auto"/>
            <w:vAlign w:val="center"/>
            <w:hideMark/>
          </w:tcPr>
          <w:p w14:paraId="160D27D4"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Adolescents receiving FBT</w:t>
            </w:r>
          </w:p>
        </w:tc>
      </w:tr>
      <w:tr w:rsidR="008C6F4D" w:rsidRPr="00336DD6" w14:paraId="692D7F0F" w14:textId="77777777" w:rsidTr="00832E7F">
        <w:trPr>
          <w:tblCellSpacing w:w="15" w:type="dxa"/>
        </w:trPr>
        <w:tc>
          <w:tcPr>
            <w:tcW w:w="0" w:type="auto"/>
            <w:vAlign w:val="center"/>
            <w:hideMark/>
          </w:tcPr>
          <w:p w14:paraId="35805010"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Medway et al. (2019)</w:t>
            </w:r>
          </w:p>
        </w:tc>
        <w:tc>
          <w:tcPr>
            <w:tcW w:w="0" w:type="auto"/>
            <w:vAlign w:val="center"/>
            <w:hideMark/>
          </w:tcPr>
          <w:p w14:paraId="168C5280"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Australia</w:t>
            </w:r>
          </w:p>
        </w:tc>
        <w:tc>
          <w:tcPr>
            <w:tcW w:w="0" w:type="auto"/>
            <w:vAlign w:val="center"/>
            <w:hideMark/>
          </w:tcPr>
          <w:p w14:paraId="2045C66D"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 narrative study</w:t>
            </w:r>
          </w:p>
        </w:tc>
        <w:tc>
          <w:tcPr>
            <w:tcW w:w="0" w:type="auto"/>
            <w:vAlign w:val="center"/>
            <w:hideMark/>
          </w:tcPr>
          <w:p w14:paraId="2FDA19D7"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Interviews</w:t>
            </w:r>
          </w:p>
        </w:tc>
        <w:tc>
          <w:tcPr>
            <w:tcW w:w="0" w:type="auto"/>
            <w:vAlign w:val="center"/>
            <w:hideMark/>
          </w:tcPr>
          <w:p w14:paraId="5D1E2991"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Adolescents + parents in FBT</w:t>
            </w:r>
          </w:p>
        </w:tc>
      </w:tr>
      <w:tr w:rsidR="008C6F4D" w:rsidRPr="00336DD6" w14:paraId="4992B191" w14:textId="77777777" w:rsidTr="00832E7F">
        <w:trPr>
          <w:tblCellSpacing w:w="15" w:type="dxa"/>
        </w:trPr>
        <w:tc>
          <w:tcPr>
            <w:tcW w:w="0" w:type="auto"/>
            <w:vAlign w:val="center"/>
            <w:hideMark/>
          </w:tcPr>
          <w:p w14:paraId="1170450F"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Nilsen et al. (2021)</w:t>
            </w:r>
          </w:p>
        </w:tc>
        <w:tc>
          <w:tcPr>
            <w:tcW w:w="0" w:type="auto"/>
            <w:vAlign w:val="center"/>
            <w:hideMark/>
          </w:tcPr>
          <w:p w14:paraId="1B16056D"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Norway</w:t>
            </w:r>
          </w:p>
        </w:tc>
        <w:tc>
          <w:tcPr>
            <w:tcW w:w="0" w:type="auto"/>
            <w:vAlign w:val="center"/>
            <w:hideMark/>
          </w:tcPr>
          <w:p w14:paraId="36DAEA2F"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Qualitative thematic analysis</w:t>
            </w:r>
          </w:p>
        </w:tc>
        <w:tc>
          <w:tcPr>
            <w:tcW w:w="0" w:type="auto"/>
            <w:vAlign w:val="center"/>
            <w:hideMark/>
          </w:tcPr>
          <w:p w14:paraId="0756E0C6"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Family interviews / reflections</w:t>
            </w:r>
          </w:p>
        </w:tc>
        <w:tc>
          <w:tcPr>
            <w:tcW w:w="0" w:type="auto"/>
            <w:vAlign w:val="center"/>
            <w:hideMark/>
          </w:tcPr>
          <w:p w14:paraId="2AF9BB49" w14:textId="77777777" w:rsidR="008C6F4D" w:rsidRPr="00336DD6" w:rsidRDefault="008C6F4D" w:rsidP="00832E7F">
            <w:pPr>
              <w:spacing w:after="0" w:line="240" w:lineRule="auto"/>
              <w:rPr>
                <w:rFonts w:ascii="Times New Roman" w:eastAsia="Times New Roman" w:hAnsi="Times New Roman" w:cs="Times New Roman"/>
                <w:kern w:val="0"/>
                <w:sz w:val="22"/>
                <w:szCs w:val="22"/>
                <w14:ligatures w14:val="none"/>
              </w:rPr>
            </w:pPr>
            <w:r w:rsidRPr="00336DD6">
              <w:rPr>
                <w:rFonts w:ascii="Times New Roman" w:eastAsia="Times New Roman" w:hAnsi="Times New Roman" w:cs="Times New Roman"/>
                <w:kern w:val="0"/>
                <w:sz w:val="22"/>
                <w:szCs w:val="22"/>
                <w14:ligatures w14:val="none"/>
              </w:rPr>
              <w:t>Families in inpatient FBT programme</w:t>
            </w:r>
          </w:p>
        </w:tc>
      </w:tr>
    </w:tbl>
    <w:p w14:paraId="1BB2DD8C" w14:textId="77777777" w:rsidR="008C6F4D" w:rsidRDefault="008C6F4D" w:rsidP="008C6F4D">
      <w:pPr>
        <w:spacing w:after="0" w:line="240" w:lineRule="auto"/>
        <w:rPr>
          <w:rFonts w:ascii="Times New Roman" w:eastAsia="Times New Roman" w:hAnsi="Times New Roman" w:cs="Times New Roman"/>
          <w:kern w:val="0"/>
          <w:sz w:val="22"/>
          <w:szCs w:val="22"/>
          <w14:ligatures w14:val="none"/>
        </w:rPr>
      </w:pPr>
    </w:p>
    <w:p w14:paraId="37E9FD7B" w14:textId="77777777" w:rsidR="008C6F4D" w:rsidRDefault="008C6F4D" w:rsidP="008C6F4D">
      <w:pPr>
        <w:spacing w:after="0" w:line="240" w:lineRule="auto"/>
        <w:rPr>
          <w:rFonts w:ascii="Times New Roman" w:eastAsia="Times New Roman" w:hAnsi="Times New Roman" w:cs="Times New Roman"/>
          <w:kern w:val="0"/>
          <w:sz w:val="22"/>
          <w:szCs w:val="22"/>
          <w14:ligatures w14:val="none"/>
        </w:rPr>
      </w:pPr>
    </w:p>
    <w:p w14:paraId="502F6B78" w14:textId="77777777" w:rsidR="00685A46" w:rsidRDefault="00685A46" w:rsidP="008C6F4D">
      <w:pPr>
        <w:spacing w:after="0" w:line="360" w:lineRule="auto"/>
        <w:rPr>
          <w:rFonts w:ascii="Times New Roman" w:eastAsia="Times New Roman" w:hAnsi="Times New Roman" w:cs="Times New Roman"/>
          <w:kern w:val="0"/>
          <w:sz w:val="22"/>
          <w:szCs w:val="22"/>
          <w14:ligatures w14:val="none"/>
        </w:rPr>
      </w:pPr>
    </w:p>
    <w:p w14:paraId="57AF9AE6" w14:textId="77777777" w:rsidR="00685A46" w:rsidRDefault="00685A46" w:rsidP="008C6F4D">
      <w:pPr>
        <w:spacing w:after="0" w:line="360" w:lineRule="auto"/>
        <w:rPr>
          <w:rFonts w:ascii="Times New Roman" w:eastAsia="Times New Roman" w:hAnsi="Times New Roman" w:cs="Times New Roman"/>
          <w:kern w:val="0"/>
          <w:sz w:val="22"/>
          <w:szCs w:val="22"/>
          <w14:ligatures w14:val="none"/>
        </w:rPr>
      </w:pPr>
    </w:p>
    <w:p w14:paraId="63D8F764" w14:textId="77777777" w:rsidR="00685A46" w:rsidRDefault="00685A46" w:rsidP="008C6F4D">
      <w:pPr>
        <w:spacing w:after="0" w:line="360" w:lineRule="auto"/>
        <w:rPr>
          <w:rFonts w:ascii="Times New Roman" w:eastAsia="Times New Roman" w:hAnsi="Times New Roman" w:cs="Times New Roman"/>
          <w:kern w:val="0"/>
          <w:sz w:val="22"/>
          <w:szCs w:val="22"/>
          <w14:ligatures w14:val="none"/>
        </w:rPr>
      </w:pPr>
    </w:p>
    <w:p w14:paraId="728951B6" w14:textId="77777777" w:rsidR="00685A46" w:rsidRDefault="00685A46" w:rsidP="008C6F4D">
      <w:pPr>
        <w:spacing w:after="0" w:line="360" w:lineRule="auto"/>
        <w:rPr>
          <w:rFonts w:ascii="Times New Roman" w:eastAsia="Times New Roman" w:hAnsi="Times New Roman" w:cs="Times New Roman"/>
          <w:kern w:val="0"/>
          <w:sz w:val="22"/>
          <w:szCs w:val="22"/>
          <w14:ligatures w14:val="none"/>
        </w:rPr>
      </w:pPr>
    </w:p>
    <w:p w14:paraId="31B6375C" w14:textId="77777777" w:rsidR="00685A46" w:rsidRDefault="00685A46" w:rsidP="008C6F4D">
      <w:pPr>
        <w:spacing w:after="0" w:line="360" w:lineRule="auto"/>
        <w:rPr>
          <w:rFonts w:ascii="Times New Roman" w:eastAsia="Times New Roman" w:hAnsi="Times New Roman" w:cs="Times New Roman"/>
          <w:kern w:val="0"/>
          <w:sz w:val="22"/>
          <w:szCs w:val="22"/>
          <w14:ligatures w14:val="none"/>
        </w:rPr>
      </w:pPr>
    </w:p>
    <w:p w14:paraId="7FAAE19F" w14:textId="77777777" w:rsidR="00685A46" w:rsidRDefault="00685A46" w:rsidP="008C6F4D">
      <w:pPr>
        <w:spacing w:after="0" w:line="360" w:lineRule="auto"/>
        <w:rPr>
          <w:rFonts w:ascii="Times New Roman" w:eastAsia="Times New Roman" w:hAnsi="Times New Roman" w:cs="Times New Roman"/>
          <w:kern w:val="0"/>
          <w:sz w:val="22"/>
          <w:szCs w:val="22"/>
          <w14:ligatures w14:val="none"/>
        </w:rPr>
      </w:pPr>
    </w:p>
    <w:p w14:paraId="31409B85" w14:textId="77777777" w:rsidR="00685A46" w:rsidRDefault="00685A46" w:rsidP="008C6F4D">
      <w:pPr>
        <w:spacing w:after="0" w:line="360" w:lineRule="auto"/>
        <w:rPr>
          <w:rFonts w:ascii="Times New Roman" w:eastAsia="Times New Roman" w:hAnsi="Times New Roman" w:cs="Times New Roman"/>
          <w:kern w:val="0"/>
          <w:sz w:val="22"/>
          <w:szCs w:val="22"/>
          <w14:ligatures w14:val="none"/>
        </w:rPr>
      </w:pPr>
    </w:p>
    <w:p w14:paraId="26AE2550" w14:textId="599E8426" w:rsidR="008C6F4D" w:rsidRPr="003213C1" w:rsidRDefault="008C6F4D" w:rsidP="008C6F4D">
      <w:pPr>
        <w:spacing w:after="0" w:line="360" w:lineRule="auto"/>
        <w:rPr>
          <w:rFonts w:ascii="Times New Roman" w:eastAsia="Times New Roman" w:hAnsi="Times New Roman" w:cs="Times New Roman"/>
          <w:kern w:val="0"/>
          <w14:ligatures w14:val="none"/>
        </w:rPr>
      </w:pPr>
      <w:r w:rsidRPr="003213C1">
        <w:rPr>
          <w:rFonts w:ascii="Times New Roman" w:eastAsia="Times New Roman" w:hAnsi="Times New Roman" w:cs="Times New Roman"/>
          <w:kern w:val="0"/>
          <w14:ligatures w14:val="none"/>
        </w:rPr>
        <w:t xml:space="preserve">Two appraisal instruments were utilised: PRISMA-P (Moher et al., 2015) to guide transparent reporting of the search and selection process (Figure 1) and CASP Qualitative Checklist (2018) to assess methodological rigour, credibility, and relevance (Table 2).  </w:t>
      </w:r>
    </w:p>
    <w:p w14:paraId="01DA2870" w14:textId="77777777" w:rsidR="008C6F4D" w:rsidRPr="00336DD6" w:rsidRDefault="008C6F4D" w:rsidP="008C6F4D">
      <w:pPr>
        <w:spacing w:before="100" w:beforeAutospacing="1" w:after="100" w:afterAutospacing="1" w:line="240" w:lineRule="auto"/>
        <w:outlineLvl w:val="1"/>
        <w:rPr>
          <w:rFonts w:asciiTheme="majorBidi" w:eastAsia="Times New Roman" w:hAnsiTheme="majorBidi" w:cstheme="majorBidi"/>
          <w:b/>
          <w:bCs/>
          <w:kern w:val="0"/>
          <w:sz w:val="18"/>
          <w:szCs w:val="18"/>
          <w14:ligatures w14:val="none"/>
        </w:rPr>
      </w:pPr>
      <w:r>
        <w:rPr>
          <w:rFonts w:ascii="Times New Roman" w:eastAsia="Times New Roman" w:hAnsi="Times New Roman" w:cs="Times New Roman"/>
          <w:kern w:val="0"/>
          <w:sz w:val="22"/>
          <w:szCs w:val="22"/>
          <w14:ligatures w14:val="none"/>
        </w:rPr>
        <w:lastRenderedPageBreak/>
        <w:t xml:space="preserve">Table 2: </w:t>
      </w:r>
      <w:r w:rsidRPr="00D03F23">
        <w:rPr>
          <w:rFonts w:ascii="Times New Roman" w:eastAsia="Times New Roman" w:hAnsi="Times New Roman" w:cs="Times New Roman"/>
          <w:kern w:val="0"/>
          <w:sz w:val="22"/>
          <w:szCs w:val="22"/>
          <w14:ligatures w14:val="none"/>
        </w:rPr>
        <w:t xml:space="preserve">CASP Qualitative Appraisal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79"/>
        <w:gridCol w:w="494"/>
        <w:gridCol w:w="1080"/>
        <w:gridCol w:w="776"/>
        <w:gridCol w:w="1037"/>
        <w:gridCol w:w="844"/>
        <w:gridCol w:w="890"/>
        <w:gridCol w:w="616"/>
        <w:gridCol w:w="715"/>
        <w:gridCol w:w="736"/>
        <w:gridCol w:w="859"/>
      </w:tblGrid>
      <w:tr w:rsidR="008C6F4D" w:rsidRPr="00336DD6" w14:paraId="49293ED5" w14:textId="77777777" w:rsidTr="00832E7F">
        <w:trPr>
          <w:tblHeader/>
          <w:tblCellSpacing w:w="15" w:type="dxa"/>
        </w:trPr>
        <w:tc>
          <w:tcPr>
            <w:tcW w:w="0" w:type="auto"/>
            <w:vAlign w:val="center"/>
            <w:hideMark/>
          </w:tcPr>
          <w:p w14:paraId="294DF0E9" w14:textId="77777777" w:rsidR="008C6F4D" w:rsidRPr="00336DD6" w:rsidRDefault="008C6F4D" w:rsidP="00832E7F">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Study</w:t>
            </w:r>
          </w:p>
        </w:tc>
        <w:tc>
          <w:tcPr>
            <w:tcW w:w="0" w:type="auto"/>
            <w:vAlign w:val="center"/>
            <w:hideMark/>
          </w:tcPr>
          <w:p w14:paraId="2E1FD22C" w14:textId="77777777" w:rsidR="008C6F4D" w:rsidRPr="00336DD6" w:rsidRDefault="008C6F4D" w:rsidP="00832E7F">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Clear Aims</w:t>
            </w:r>
          </w:p>
        </w:tc>
        <w:tc>
          <w:tcPr>
            <w:tcW w:w="0" w:type="auto"/>
            <w:vAlign w:val="center"/>
            <w:hideMark/>
          </w:tcPr>
          <w:p w14:paraId="15CE9CF5" w14:textId="77777777" w:rsidR="008C6F4D" w:rsidRPr="00336DD6" w:rsidRDefault="008C6F4D" w:rsidP="00832E7F">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Appropriate Methodology</w:t>
            </w:r>
          </w:p>
        </w:tc>
        <w:tc>
          <w:tcPr>
            <w:tcW w:w="0" w:type="auto"/>
            <w:vAlign w:val="center"/>
            <w:hideMark/>
          </w:tcPr>
          <w:p w14:paraId="3268149C" w14:textId="77777777" w:rsidR="008C6F4D" w:rsidRPr="00336DD6" w:rsidRDefault="008C6F4D" w:rsidP="00832E7F">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Research Design</w:t>
            </w:r>
          </w:p>
        </w:tc>
        <w:tc>
          <w:tcPr>
            <w:tcW w:w="0" w:type="auto"/>
            <w:vAlign w:val="center"/>
            <w:hideMark/>
          </w:tcPr>
          <w:p w14:paraId="5DEB6196" w14:textId="77777777" w:rsidR="008C6F4D" w:rsidRPr="00336DD6" w:rsidRDefault="008C6F4D" w:rsidP="00832E7F">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Recruitment Strategy</w:t>
            </w:r>
          </w:p>
        </w:tc>
        <w:tc>
          <w:tcPr>
            <w:tcW w:w="0" w:type="auto"/>
            <w:vAlign w:val="center"/>
            <w:hideMark/>
          </w:tcPr>
          <w:p w14:paraId="2A0BAB2F" w14:textId="77777777" w:rsidR="008C6F4D" w:rsidRPr="00336DD6" w:rsidRDefault="008C6F4D" w:rsidP="00832E7F">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Data Collection</w:t>
            </w:r>
          </w:p>
        </w:tc>
        <w:tc>
          <w:tcPr>
            <w:tcW w:w="0" w:type="auto"/>
            <w:vAlign w:val="center"/>
            <w:hideMark/>
          </w:tcPr>
          <w:p w14:paraId="1CB2EEF0" w14:textId="77777777" w:rsidR="008C6F4D" w:rsidRPr="00336DD6" w:rsidRDefault="008C6F4D" w:rsidP="00832E7F">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Reflexivity</w:t>
            </w:r>
          </w:p>
        </w:tc>
        <w:tc>
          <w:tcPr>
            <w:tcW w:w="0" w:type="auto"/>
            <w:vAlign w:val="center"/>
            <w:hideMark/>
          </w:tcPr>
          <w:p w14:paraId="17851DE5" w14:textId="77777777" w:rsidR="008C6F4D" w:rsidRPr="00336DD6" w:rsidRDefault="008C6F4D" w:rsidP="00832E7F">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Ethical Issues</w:t>
            </w:r>
          </w:p>
        </w:tc>
        <w:tc>
          <w:tcPr>
            <w:tcW w:w="0" w:type="auto"/>
            <w:vAlign w:val="center"/>
            <w:hideMark/>
          </w:tcPr>
          <w:p w14:paraId="68D89036" w14:textId="77777777" w:rsidR="008C6F4D" w:rsidRPr="00336DD6" w:rsidRDefault="008C6F4D" w:rsidP="00832E7F">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Data Analysis</w:t>
            </w:r>
          </w:p>
        </w:tc>
        <w:tc>
          <w:tcPr>
            <w:tcW w:w="0" w:type="auto"/>
            <w:vAlign w:val="center"/>
            <w:hideMark/>
          </w:tcPr>
          <w:p w14:paraId="57216665" w14:textId="77777777" w:rsidR="008C6F4D" w:rsidRPr="00336DD6" w:rsidRDefault="008C6F4D" w:rsidP="00832E7F">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Findings Clear</w:t>
            </w:r>
          </w:p>
        </w:tc>
        <w:tc>
          <w:tcPr>
            <w:tcW w:w="0" w:type="auto"/>
            <w:vAlign w:val="center"/>
            <w:hideMark/>
          </w:tcPr>
          <w:p w14:paraId="3762176B" w14:textId="77777777" w:rsidR="008C6F4D" w:rsidRPr="00336DD6" w:rsidRDefault="008C6F4D" w:rsidP="00832E7F">
            <w:pPr>
              <w:spacing w:after="0" w:line="240" w:lineRule="auto"/>
              <w:jc w:val="center"/>
              <w:rPr>
                <w:rFonts w:asciiTheme="majorBidi" w:eastAsia="Times New Roman" w:hAnsiTheme="majorBidi" w:cstheme="majorBidi"/>
                <w:b/>
                <w:bCs/>
                <w:kern w:val="0"/>
                <w:sz w:val="18"/>
                <w:szCs w:val="18"/>
                <w14:ligatures w14:val="none"/>
              </w:rPr>
            </w:pPr>
            <w:r w:rsidRPr="00336DD6">
              <w:rPr>
                <w:rFonts w:asciiTheme="majorBidi" w:eastAsia="Times New Roman" w:hAnsiTheme="majorBidi" w:cstheme="majorBidi"/>
                <w:b/>
                <w:bCs/>
                <w:kern w:val="0"/>
                <w:sz w:val="18"/>
                <w:szCs w:val="18"/>
                <w14:ligatures w14:val="none"/>
              </w:rPr>
              <w:t>Value</w:t>
            </w:r>
          </w:p>
        </w:tc>
      </w:tr>
      <w:tr w:rsidR="008C6F4D" w:rsidRPr="00336DD6" w14:paraId="0DCCE3AC" w14:textId="77777777" w:rsidTr="00832E7F">
        <w:trPr>
          <w:tblCellSpacing w:w="15" w:type="dxa"/>
        </w:trPr>
        <w:tc>
          <w:tcPr>
            <w:tcW w:w="0" w:type="auto"/>
            <w:vAlign w:val="center"/>
            <w:hideMark/>
          </w:tcPr>
          <w:p w14:paraId="4E5C5ED9"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proofErr w:type="spellStart"/>
            <w:r w:rsidRPr="00336DD6">
              <w:rPr>
                <w:rFonts w:asciiTheme="majorBidi" w:eastAsia="Times New Roman" w:hAnsiTheme="majorBidi" w:cstheme="majorBidi"/>
                <w:kern w:val="0"/>
                <w:sz w:val="18"/>
                <w:szCs w:val="18"/>
                <w14:ligatures w14:val="none"/>
              </w:rPr>
              <w:t>Brinchmann</w:t>
            </w:r>
            <w:proofErr w:type="spellEnd"/>
            <w:r w:rsidRPr="00336DD6">
              <w:rPr>
                <w:rFonts w:asciiTheme="majorBidi" w:eastAsia="Times New Roman" w:hAnsiTheme="majorBidi" w:cstheme="majorBidi"/>
                <w:kern w:val="0"/>
                <w:sz w:val="18"/>
                <w:szCs w:val="18"/>
                <w14:ligatures w14:val="none"/>
              </w:rPr>
              <w:t xml:space="preserve"> &amp; </w:t>
            </w:r>
            <w:proofErr w:type="spellStart"/>
            <w:r w:rsidRPr="00336DD6">
              <w:rPr>
                <w:rFonts w:asciiTheme="majorBidi" w:eastAsia="Times New Roman" w:hAnsiTheme="majorBidi" w:cstheme="majorBidi"/>
                <w:kern w:val="0"/>
                <w:sz w:val="18"/>
                <w:szCs w:val="18"/>
                <w14:ligatures w14:val="none"/>
              </w:rPr>
              <w:t>Krvavac</w:t>
            </w:r>
            <w:proofErr w:type="spellEnd"/>
            <w:r w:rsidRPr="00336DD6">
              <w:rPr>
                <w:rFonts w:asciiTheme="majorBidi" w:eastAsia="Times New Roman" w:hAnsiTheme="majorBidi" w:cstheme="majorBidi"/>
                <w:kern w:val="0"/>
                <w:sz w:val="18"/>
                <w:szCs w:val="18"/>
                <w14:ligatures w14:val="none"/>
              </w:rPr>
              <w:t xml:space="preserve"> (2021)</w:t>
            </w:r>
          </w:p>
        </w:tc>
        <w:tc>
          <w:tcPr>
            <w:tcW w:w="0" w:type="auto"/>
            <w:vAlign w:val="center"/>
            <w:hideMark/>
          </w:tcPr>
          <w:p w14:paraId="48AF9322"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12AC5333"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80088D1"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78DAA18"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0C3316A"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B4B690D"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Partial</w:t>
            </w:r>
          </w:p>
        </w:tc>
        <w:tc>
          <w:tcPr>
            <w:tcW w:w="0" w:type="auto"/>
            <w:vAlign w:val="center"/>
            <w:hideMark/>
          </w:tcPr>
          <w:p w14:paraId="170A04BF"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664D1F3"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14D74AD2"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25E115D"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High</w:t>
            </w:r>
          </w:p>
        </w:tc>
      </w:tr>
      <w:tr w:rsidR="008C6F4D" w:rsidRPr="00336DD6" w14:paraId="618CC7FA" w14:textId="77777777" w:rsidTr="00832E7F">
        <w:trPr>
          <w:tblCellSpacing w:w="15" w:type="dxa"/>
        </w:trPr>
        <w:tc>
          <w:tcPr>
            <w:tcW w:w="0" w:type="auto"/>
            <w:vAlign w:val="center"/>
            <w:hideMark/>
          </w:tcPr>
          <w:p w14:paraId="0846EA85"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Conti et al. (2017)</w:t>
            </w:r>
          </w:p>
        </w:tc>
        <w:tc>
          <w:tcPr>
            <w:tcW w:w="0" w:type="auto"/>
            <w:vAlign w:val="center"/>
            <w:hideMark/>
          </w:tcPr>
          <w:p w14:paraId="239FAA2A"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3F4FC96D"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2EF2EF7"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5CE9A7CC"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AD736DF"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D60C2DA"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4202E18"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194FCCC"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BB31326"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FF26802"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High</w:t>
            </w:r>
          </w:p>
        </w:tc>
      </w:tr>
      <w:tr w:rsidR="008C6F4D" w:rsidRPr="00336DD6" w14:paraId="5EAD2FDD" w14:textId="77777777" w:rsidTr="00832E7F">
        <w:trPr>
          <w:tblCellSpacing w:w="15" w:type="dxa"/>
        </w:trPr>
        <w:tc>
          <w:tcPr>
            <w:tcW w:w="0" w:type="auto"/>
            <w:vAlign w:val="center"/>
            <w:hideMark/>
          </w:tcPr>
          <w:p w14:paraId="70E0A4F3"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Coopey &amp; Johnson (2022)</w:t>
            </w:r>
          </w:p>
        </w:tc>
        <w:tc>
          <w:tcPr>
            <w:tcW w:w="0" w:type="auto"/>
            <w:vAlign w:val="center"/>
            <w:hideMark/>
          </w:tcPr>
          <w:p w14:paraId="7524E407"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34CD429"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5573E6DC"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5A6C6814"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BE19F29"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9A39DD7"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Partial</w:t>
            </w:r>
          </w:p>
        </w:tc>
        <w:tc>
          <w:tcPr>
            <w:tcW w:w="0" w:type="auto"/>
            <w:vAlign w:val="center"/>
            <w:hideMark/>
          </w:tcPr>
          <w:p w14:paraId="44EB38EA"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EF353DC"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7E4D326"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10852370"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High</w:t>
            </w:r>
          </w:p>
        </w:tc>
      </w:tr>
      <w:tr w:rsidR="008C6F4D" w:rsidRPr="00336DD6" w14:paraId="050632C6" w14:textId="77777777" w:rsidTr="00832E7F">
        <w:trPr>
          <w:tblCellSpacing w:w="15" w:type="dxa"/>
        </w:trPr>
        <w:tc>
          <w:tcPr>
            <w:tcW w:w="0" w:type="auto"/>
            <w:vAlign w:val="center"/>
            <w:hideMark/>
          </w:tcPr>
          <w:p w14:paraId="3512299F"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Gao et al. (2025)</w:t>
            </w:r>
          </w:p>
        </w:tc>
        <w:tc>
          <w:tcPr>
            <w:tcW w:w="0" w:type="auto"/>
            <w:vAlign w:val="center"/>
            <w:hideMark/>
          </w:tcPr>
          <w:p w14:paraId="14D387AA"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12084280"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1EBF5C0"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343FAB01"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990208E"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93D9D3B"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Limited</w:t>
            </w:r>
          </w:p>
        </w:tc>
        <w:tc>
          <w:tcPr>
            <w:tcW w:w="0" w:type="auto"/>
            <w:vAlign w:val="center"/>
            <w:hideMark/>
          </w:tcPr>
          <w:p w14:paraId="4BC5E2BC"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1981B58"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35DB8AA"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D822659"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Moderate–High</w:t>
            </w:r>
          </w:p>
        </w:tc>
      </w:tr>
      <w:tr w:rsidR="008C6F4D" w:rsidRPr="00336DD6" w14:paraId="39E2DD43" w14:textId="77777777" w:rsidTr="00832E7F">
        <w:trPr>
          <w:tblCellSpacing w:w="15" w:type="dxa"/>
        </w:trPr>
        <w:tc>
          <w:tcPr>
            <w:tcW w:w="0" w:type="auto"/>
            <w:vAlign w:val="center"/>
            <w:hideMark/>
          </w:tcPr>
          <w:p w14:paraId="59D694F1"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Medway et al. (2019)</w:t>
            </w:r>
          </w:p>
        </w:tc>
        <w:tc>
          <w:tcPr>
            <w:tcW w:w="0" w:type="auto"/>
            <w:vAlign w:val="center"/>
            <w:hideMark/>
          </w:tcPr>
          <w:p w14:paraId="181CD88A"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25ABEAB2"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F5769DB"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784E36D"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015C9E0"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EEE8B31"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05E912B"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6F40B90"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B6C97B7"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6004F975"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High</w:t>
            </w:r>
          </w:p>
        </w:tc>
      </w:tr>
      <w:tr w:rsidR="008C6F4D" w:rsidRPr="00336DD6" w14:paraId="0605A136" w14:textId="77777777" w:rsidTr="00832E7F">
        <w:trPr>
          <w:tblCellSpacing w:w="15" w:type="dxa"/>
        </w:trPr>
        <w:tc>
          <w:tcPr>
            <w:tcW w:w="0" w:type="auto"/>
            <w:vAlign w:val="center"/>
            <w:hideMark/>
          </w:tcPr>
          <w:p w14:paraId="4F4F326C"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Nilsen et al. (2021)</w:t>
            </w:r>
          </w:p>
        </w:tc>
        <w:tc>
          <w:tcPr>
            <w:tcW w:w="0" w:type="auto"/>
            <w:vAlign w:val="center"/>
            <w:hideMark/>
          </w:tcPr>
          <w:p w14:paraId="2C4E4655"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51ECF056"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9CCFBB2"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17E09716"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1E10DC0B"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7D65C8E"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Partial</w:t>
            </w:r>
          </w:p>
        </w:tc>
        <w:tc>
          <w:tcPr>
            <w:tcW w:w="0" w:type="auto"/>
            <w:vAlign w:val="center"/>
            <w:hideMark/>
          </w:tcPr>
          <w:p w14:paraId="45A95CCC"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0D59D435"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4A2E9D6A"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Segoe UI Symbol" w:eastAsia="Times New Roman" w:hAnsi="Segoe UI Symbol" w:cs="Segoe UI Symbol"/>
                <w:kern w:val="0"/>
                <w:sz w:val="18"/>
                <w:szCs w:val="18"/>
                <w14:ligatures w14:val="none"/>
              </w:rPr>
              <w:t>✔</w:t>
            </w:r>
          </w:p>
        </w:tc>
        <w:tc>
          <w:tcPr>
            <w:tcW w:w="0" w:type="auto"/>
            <w:vAlign w:val="center"/>
            <w:hideMark/>
          </w:tcPr>
          <w:p w14:paraId="7959D321" w14:textId="77777777" w:rsidR="008C6F4D" w:rsidRPr="00336DD6" w:rsidRDefault="008C6F4D" w:rsidP="00832E7F">
            <w:pPr>
              <w:spacing w:after="0"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kern w:val="0"/>
                <w:sz w:val="18"/>
                <w:szCs w:val="18"/>
                <w14:ligatures w14:val="none"/>
              </w:rPr>
              <w:t>High</w:t>
            </w:r>
          </w:p>
        </w:tc>
      </w:tr>
    </w:tbl>
    <w:p w14:paraId="210650C9" w14:textId="77777777" w:rsidR="008C6F4D" w:rsidRPr="00336DD6" w:rsidRDefault="008C6F4D" w:rsidP="008C6F4D">
      <w:pPr>
        <w:spacing w:before="100" w:beforeAutospacing="1" w:after="100" w:afterAutospacing="1" w:line="240" w:lineRule="auto"/>
        <w:rPr>
          <w:rFonts w:asciiTheme="majorBidi" w:eastAsia="Times New Roman" w:hAnsiTheme="majorBidi" w:cstheme="majorBidi"/>
          <w:kern w:val="0"/>
          <w:sz w:val="18"/>
          <w:szCs w:val="18"/>
          <w14:ligatures w14:val="none"/>
        </w:rPr>
      </w:pPr>
      <w:r w:rsidRPr="00336DD6">
        <w:rPr>
          <w:rFonts w:asciiTheme="majorBidi" w:eastAsia="Times New Roman" w:hAnsiTheme="majorBidi" w:cstheme="majorBidi"/>
          <w:b/>
          <w:bCs/>
          <w:kern w:val="0"/>
          <w:sz w:val="18"/>
          <w:szCs w:val="18"/>
          <w14:ligatures w14:val="none"/>
        </w:rPr>
        <w:t>Key:</w:t>
      </w:r>
      <w:r w:rsidRPr="00336DD6">
        <w:rPr>
          <w:rFonts w:asciiTheme="majorBidi" w:eastAsia="Times New Roman" w:hAnsiTheme="majorBidi" w:cstheme="majorBidi"/>
          <w:kern w:val="0"/>
          <w:sz w:val="18"/>
          <w:szCs w:val="18"/>
          <w14:ligatures w14:val="none"/>
        </w:rPr>
        <w:t xml:space="preserve"> </w:t>
      </w:r>
      <w:r w:rsidRPr="00336DD6">
        <w:rPr>
          <w:rFonts w:ascii="Segoe UI Symbol" w:eastAsia="Times New Roman" w:hAnsi="Segoe UI Symbol" w:cs="Segoe UI Symbol"/>
          <w:kern w:val="0"/>
          <w:sz w:val="18"/>
          <w:szCs w:val="18"/>
          <w14:ligatures w14:val="none"/>
        </w:rPr>
        <w:t>✔</w:t>
      </w:r>
      <w:r w:rsidRPr="00336DD6">
        <w:rPr>
          <w:rFonts w:asciiTheme="majorBidi" w:eastAsia="Times New Roman" w:hAnsiTheme="majorBidi" w:cstheme="majorBidi"/>
          <w:kern w:val="0"/>
          <w:sz w:val="18"/>
          <w:szCs w:val="18"/>
          <w14:ligatures w14:val="none"/>
        </w:rPr>
        <w:t xml:space="preserve"> = Criterion met</w:t>
      </w:r>
    </w:p>
    <w:p w14:paraId="6349F0F7" w14:textId="2F8E8608" w:rsidR="008C6F4D" w:rsidRPr="003213C1" w:rsidRDefault="008C6F4D" w:rsidP="00685A46">
      <w:pPr>
        <w:spacing w:before="100" w:beforeAutospacing="1" w:after="100" w:afterAutospacing="1" w:line="240" w:lineRule="auto"/>
        <w:rPr>
          <w:rFonts w:asciiTheme="majorBidi" w:eastAsia="Times New Roman" w:hAnsiTheme="majorBidi" w:cstheme="majorBidi"/>
          <w:kern w:val="0"/>
          <w14:ligatures w14:val="none"/>
        </w:rPr>
      </w:pPr>
      <w:r w:rsidRPr="003213C1">
        <w:rPr>
          <w:rFonts w:asciiTheme="majorBidi" w:eastAsia="Times New Roman" w:hAnsiTheme="majorBidi" w:cstheme="majorBidi"/>
          <w:kern w:val="0"/>
          <w14:ligatures w14:val="none"/>
        </w:rPr>
        <w:t>Overall, all six studies were deemed methodologically robust, with minor limitations relating primarily to reflexivity reporting and sample size in pilot work.</w:t>
      </w:r>
    </w:p>
    <w:p w14:paraId="6DFBBB96" w14:textId="781303AB" w:rsidR="008C6F4D" w:rsidRPr="003213C1" w:rsidRDefault="008C6F4D" w:rsidP="008C6F4D">
      <w:pPr>
        <w:spacing w:after="0" w:line="360" w:lineRule="auto"/>
        <w:rPr>
          <w:rFonts w:ascii="Times New Roman" w:eastAsia="Times New Roman" w:hAnsi="Times New Roman" w:cs="Times New Roman"/>
          <w:kern w:val="0"/>
          <w14:ligatures w14:val="none"/>
        </w:rPr>
      </w:pPr>
      <w:r w:rsidRPr="003213C1">
        <w:rPr>
          <w:rFonts w:ascii="Times New Roman" w:eastAsia="Times New Roman" w:hAnsi="Times New Roman" w:cs="Times New Roman"/>
          <w:b/>
          <w:bCs/>
          <w:kern w:val="0"/>
          <w14:ligatures w14:val="none"/>
        </w:rPr>
        <w:t>Figure 1:</w:t>
      </w:r>
      <w:r w:rsidRPr="003213C1">
        <w:rPr>
          <w:rFonts w:ascii="Times New Roman" w:eastAsia="Times New Roman" w:hAnsi="Times New Roman" w:cs="Times New Roman"/>
          <w:kern w:val="0"/>
          <w14:ligatures w14:val="none"/>
        </w:rPr>
        <w:t xml:space="preserve"> </w:t>
      </w:r>
      <w:r w:rsidRPr="003213C1">
        <w:rPr>
          <w:rFonts w:ascii="Times New Roman" w:eastAsia="Times New Roman" w:hAnsi="Times New Roman" w:cs="Times New Roman"/>
          <w:kern w:val="0"/>
          <w:lang w:val="fr-FR"/>
          <w14:ligatures w14:val="none"/>
        </w:rPr>
        <w:t xml:space="preserve">PRISMA-P Flow chart      </w:t>
      </w:r>
    </w:p>
    <w:p w14:paraId="5E5C6495" w14:textId="5D9AC957" w:rsidR="002A2A17" w:rsidRPr="008C6F4D" w:rsidRDefault="002A2A17" w:rsidP="008C6F4D">
      <w:pPr>
        <w:ind w:firstLine="720"/>
        <w:rPr>
          <w:rFonts w:asciiTheme="majorBidi" w:hAnsiTheme="majorBidi" w:cstheme="majorBidi"/>
        </w:rPr>
      </w:pPr>
    </w:p>
    <w:p w14:paraId="2F84E262" w14:textId="49D5263F" w:rsidR="00763671" w:rsidRDefault="00074242" w:rsidP="002A2A17">
      <w:pPr>
        <w:rPr>
          <w:rFonts w:asciiTheme="majorBidi" w:hAnsiTheme="majorBidi" w:cstheme="majorBidi"/>
          <w:b/>
          <w:bCs/>
        </w:rPr>
      </w:pPr>
      <w:r>
        <w:rPr>
          <w:rFonts w:asciiTheme="majorBidi" w:hAnsiTheme="majorBidi" w:cstheme="majorBidi"/>
          <w:noProof/>
        </w:rPr>
        <w:drawing>
          <wp:inline distT="0" distB="0" distL="0" distR="0" wp14:anchorId="11290EFD" wp14:editId="0A1C1A2B">
            <wp:extent cx="2583180" cy="3298825"/>
            <wp:effectExtent l="0" t="0" r="7620" b="0"/>
            <wp:docPr id="1361965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8088" cy="3330634"/>
                    </a:xfrm>
                    <a:prstGeom prst="rect">
                      <a:avLst/>
                    </a:prstGeom>
                    <a:noFill/>
                  </pic:spPr>
                </pic:pic>
              </a:graphicData>
            </a:graphic>
          </wp:inline>
        </w:drawing>
      </w:r>
    </w:p>
    <w:p w14:paraId="4F4457D2" w14:textId="77777777" w:rsidR="00074242" w:rsidRDefault="00074242" w:rsidP="002A2A17">
      <w:pPr>
        <w:rPr>
          <w:rFonts w:asciiTheme="majorBidi" w:hAnsiTheme="majorBidi" w:cstheme="majorBidi"/>
          <w:b/>
          <w:bCs/>
        </w:rPr>
      </w:pPr>
    </w:p>
    <w:p w14:paraId="212DBE17" w14:textId="77777777" w:rsidR="00BF22A2" w:rsidRDefault="00BF22A2" w:rsidP="003213C1">
      <w:pPr>
        <w:spacing w:line="360" w:lineRule="auto"/>
        <w:rPr>
          <w:rFonts w:asciiTheme="majorBidi" w:hAnsiTheme="majorBidi" w:cstheme="majorBidi"/>
          <w:b/>
          <w:bCs/>
        </w:rPr>
      </w:pPr>
    </w:p>
    <w:p w14:paraId="5D2E4E0C" w14:textId="61374A64" w:rsidR="002A2A17" w:rsidRPr="003213C1" w:rsidRDefault="002A2A17" w:rsidP="003213C1">
      <w:pPr>
        <w:spacing w:line="360" w:lineRule="auto"/>
        <w:rPr>
          <w:rFonts w:asciiTheme="majorBidi" w:hAnsiTheme="majorBidi" w:cstheme="majorBidi"/>
          <w:b/>
          <w:bCs/>
        </w:rPr>
      </w:pPr>
      <w:r w:rsidRPr="003213C1">
        <w:rPr>
          <w:rFonts w:asciiTheme="majorBidi" w:hAnsiTheme="majorBidi" w:cstheme="majorBidi"/>
          <w:b/>
          <w:bCs/>
        </w:rPr>
        <w:lastRenderedPageBreak/>
        <w:t>Results</w:t>
      </w:r>
    </w:p>
    <w:p w14:paraId="1D163E71" w14:textId="5AC4E1DA" w:rsidR="002A2A17" w:rsidRPr="003213C1" w:rsidRDefault="002A2A17" w:rsidP="003213C1">
      <w:pPr>
        <w:spacing w:line="360" w:lineRule="auto"/>
        <w:ind w:firstLine="720"/>
        <w:rPr>
          <w:rFonts w:asciiTheme="majorBidi" w:hAnsiTheme="majorBidi" w:cstheme="majorBidi"/>
        </w:rPr>
      </w:pPr>
      <w:r w:rsidRPr="003213C1">
        <w:rPr>
          <w:rFonts w:asciiTheme="majorBidi" w:hAnsiTheme="majorBidi" w:cstheme="majorBidi"/>
        </w:rPr>
        <w:t>Six qualitative studies met inclusion criteria and were included within the final synthesis (</w:t>
      </w:r>
      <w:proofErr w:type="spellStart"/>
      <w:r w:rsidRPr="003213C1">
        <w:rPr>
          <w:rFonts w:asciiTheme="majorBidi" w:hAnsiTheme="majorBidi" w:cstheme="majorBidi"/>
        </w:rPr>
        <w:t>Brinchmann</w:t>
      </w:r>
      <w:proofErr w:type="spellEnd"/>
      <w:r w:rsidRPr="003213C1">
        <w:rPr>
          <w:rFonts w:asciiTheme="majorBidi" w:hAnsiTheme="majorBidi" w:cstheme="majorBidi"/>
        </w:rPr>
        <w:t xml:space="preserve"> &amp; </w:t>
      </w:r>
      <w:proofErr w:type="spellStart"/>
      <w:r w:rsidRPr="003213C1">
        <w:rPr>
          <w:rFonts w:asciiTheme="majorBidi" w:hAnsiTheme="majorBidi" w:cstheme="majorBidi"/>
        </w:rPr>
        <w:t>Krvavac</w:t>
      </w:r>
      <w:proofErr w:type="spellEnd"/>
      <w:r w:rsidRPr="003213C1">
        <w:rPr>
          <w:rFonts w:asciiTheme="majorBidi" w:hAnsiTheme="majorBidi" w:cstheme="majorBidi"/>
        </w:rPr>
        <w:t>, 2021; Conti et al., 2017; Coopey &amp; Johnson, 2022; Gao et al., 2025; Medway et al., 2019; Nilsen et al., 2021). Collectively, the studies explored experiences of family therapy interventions among adolescents and young people with eating disorders and their family members. Across studies, interventions included Family-Based Treatment (FBT), Maudsley Family Therapy, Multifamily Therapy (MFT), and family-based inpatient programmes.</w:t>
      </w:r>
    </w:p>
    <w:p w14:paraId="06273450" w14:textId="77777777" w:rsidR="00763671" w:rsidRPr="003213C1" w:rsidRDefault="00763671" w:rsidP="003213C1">
      <w:pPr>
        <w:spacing w:line="360" w:lineRule="auto"/>
        <w:rPr>
          <w:rFonts w:asciiTheme="majorBidi" w:hAnsiTheme="majorBidi" w:cstheme="majorBidi"/>
          <w:b/>
          <w:bCs/>
        </w:rPr>
      </w:pPr>
    </w:p>
    <w:p w14:paraId="276EFD07" w14:textId="27731CDE" w:rsidR="002A2A17" w:rsidRPr="003213C1" w:rsidRDefault="002A2A17" w:rsidP="003213C1">
      <w:pPr>
        <w:spacing w:line="360" w:lineRule="auto"/>
        <w:rPr>
          <w:rFonts w:asciiTheme="majorBidi" w:hAnsiTheme="majorBidi" w:cstheme="majorBidi"/>
          <w:b/>
          <w:bCs/>
        </w:rPr>
      </w:pPr>
      <w:r w:rsidRPr="003213C1">
        <w:rPr>
          <w:rFonts w:asciiTheme="majorBidi" w:hAnsiTheme="majorBidi" w:cstheme="majorBidi"/>
          <w:b/>
          <w:bCs/>
        </w:rPr>
        <w:t>Study characteristics</w:t>
      </w:r>
    </w:p>
    <w:p w14:paraId="67EDC38B" w14:textId="77777777" w:rsidR="002A2A17" w:rsidRPr="003213C1" w:rsidRDefault="002A2A17" w:rsidP="003213C1">
      <w:pPr>
        <w:spacing w:line="360" w:lineRule="auto"/>
        <w:ind w:firstLine="720"/>
        <w:rPr>
          <w:rFonts w:asciiTheme="majorBidi" w:hAnsiTheme="majorBidi" w:cstheme="majorBidi"/>
        </w:rPr>
      </w:pPr>
      <w:r w:rsidRPr="003213C1">
        <w:rPr>
          <w:rFonts w:asciiTheme="majorBidi" w:hAnsiTheme="majorBidi" w:cstheme="majorBidi"/>
        </w:rPr>
        <w:t>The studies were conducted across diverse geographical settings including Australia (Conti et al., 2017; Medway et al., 2019), Norway (</w:t>
      </w:r>
      <w:proofErr w:type="spellStart"/>
      <w:r w:rsidRPr="003213C1">
        <w:rPr>
          <w:rFonts w:asciiTheme="majorBidi" w:hAnsiTheme="majorBidi" w:cstheme="majorBidi"/>
        </w:rPr>
        <w:t>Brinchmann</w:t>
      </w:r>
      <w:proofErr w:type="spellEnd"/>
      <w:r w:rsidRPr="003213C1">
        <w:rPr>
          <w:rFonts w:asciiTheme="majorBidi" w:hAnsiTheme="majorBidi" w:cstheme="majorBidi"/>
        </w:rPr>
        <w:t xml:space="preserve"> &amp; </w:t>
      </w:r>
      <w:proofErr w:type="spellStart"/>
      <w:r w:rsidRPr="003213C1">
        <w:rPr>
          <w:rFonts w:asciiTheme="majorBidi" w:hAnsiTheme="majorBidi" w:cstheme="majorBidi"/>
        </w:rPr>
        <w:t>Krvavac</w:t>
      </w:r>
      <w:proofErr w:type="spellEnd"/>
      <w:r w:rsidRPr="003213C1">
        <w:rPr>
          <w:rFonts w:asciiTheme="majorBidi" w:hAnsiTheme="majorBidi" w:cstheme="majorBidi"/>
        </w:rPr>
        <w:t>, 2021; Nilsen et al., 2021), the United Kingdom (Coopey &amp; Johnson, 2022), and the United States (Gao et al., 2025). All employed qualitative methodologies, including thematic analysis, narrative inquiry, grounded theory and semi-structured interview approaches.</w:t>
      </w:r>
    </w:p>
    <w:p w14:paraId="277388B5" w14:textId="0EC58D6A" w:rsidR="002A2A17" w:rsidRPr="003213C1" w:rsidRDefault="002A2A17" w:rsidP="003213C1">
      <w:pPr>
        <w:spacing w:line="360" w:lineRule="auto"/>
        <w:ind w:firstLine="720"/>
        <w:rPr>
          <w:rFonts w:asciiTheme="majorBidi" w:hAnsiTheme="majorBidi" w:cstheme="majorBidi"/>
        </w:rPr>
      </w:pPr>
      <w:r w:rsidRPr="003213C1">
        <w:rPr>
          <w:rFonts w:asciiTheme="majorBidi" w:hAnsiTheme="majorBidi" w:cstheme="majorBidi"/>
        </w:rPr>
        <w:t xml:space="preserve">Data collection methods primarily consisted of semi-structured interviews conducted with adolescents, parents, siblings and family groups. Sample sizes were generally small, ranging from pilot work </w:t>
      </w:r>
      <w:r w:rsidR="00600D07" w:rsidRPr="003213C1">
        <w:rPr>
          <w:rFonts w:asciiTheme="majorBidi" w:hAnsiTheme="majorBidi" w:cstheme="majorBidi"/>
        </w:rPr>
        <w:t>involving</w:t>
      </w:r>
      <w:r w:rsidRPr="003213C1">
        <w:rPr>
          <w:rFonts w:asciiTheme="majorBidi" w:hAnsiTheme="majorBidi" w:cstheme="majorBidi"/>
        </w:rPr>
        <w:t xml:space="preserve"> ten participants (Gao et al., 2025) to larger family interview studies. This was consistent with qualitative research designs seeking rich and detailed accounts rather than broad generalisation.</w:t>
      </w:r>
    </w:p>
    <w:p w14:paraId="16506019" w14:textId="59871B90" w:rsidR="002A2A17" w:rsidRPr="003213C1" w:rsidRDefault="002A2A17" w:rsidP="003213C1">
      <w:pPr>
        <w:spacing w:line="360" w:lineRule="auto"/>
        <w:ind w:firstLine="720"/>
        <w:rPr>
          <w:rFonts w:asciiTheme="majorBidi" w:hAnsiTheme="majorBidi" w:cstheme="majorBidi"/>
        </w:rPr>
      </w:pPr>
      <w:r w:rsidRPr="003213C1">
        <w:rPr>
          <w:rFonts w:asciiTheme="majorBidi" w:hAnsiTheme="majorBidi" w:cstheme="majorBidi"/>
        </w:rPr>
        <w:t>Participants primarily included adolescents diagnosed with anorexia nervosa or atypical anorexia nervosa, although several studies additionally incorporated family members</w:t>
      </w:r>
      <w:r w:rsidR="00005FBF">
        <w:rPr>
          <w:rFonts w:asciiTheme="majorBidi" w:hAnsiTheme="majorBidi" w:cstheme="majorBidi"/>
        </w:rPr>
        <w:t>,</w:t>
      </w:r>
      <w:r w:rsidRPr="003213C1">
        <w:rPr>
          <w:rFonts w:asciiTheme="majorBidi" w:hAnsiTheme="majorBidi" w:cstheme="majorBidi"/>
        </w:rPr>
        <w:t xml:space="preserve"> including parents and siblings. </w:t>
      </w:r>
      <w:r w:rsidR="00476EC2" w:rsidRPr="003213C1">
        <w:rPr>
          <w:rFonts w:asciiTheme="majorBidi" w:hAnsiTheme="majorBidi" w:cstheme="majorBidi"/>
        </w:rPr>
        <w:t>Three studies focused mainly on outpatient FBT or Maudsley family therapy contexts (Conti et al., 2017; Gao et al., 2025; Medway et al., 2019), while the remaining studies examined multifamily therapy or inpatient family-based adaptations (</w:t>
      </w:r>
      <w:proofErr w:type="spellStart"/>
      <w:r w:rsidR="00476EC2" w:rsidRPr="003213C1">
        <w:rPr>
          <w:rFonts w:asciiTheme="majorBidi" w:hAnsiTheme="majorBidi" w:cstheme="majorBidi"/>
        </w:rPr>
        <w:t>Brinchmann</w:t>
      </w:r>
      <w:proofErr w:type="spellEnd"/>
      <w:r w:rsidR="00476EC2" w:rsidRPr="003213C1">
        <w:rPr>
          <w:rFonts w:asciiTheme="majorBidi" w:hAnsiTheme="majorBidi" w:cstheme="majorBidi"/>
        </w:rPr>
        <w:t xml:space="preserve"> &amp; </w:t>
      </w:r>
      <w:proofErr w:type="spellStart"/>
      <w:r w:rsidR="00476EC2" w:rsidRPr="003213C1">
        <w:rPr>
          <w:rFonts w:asciiTheme="majorBidi" w:hAnsiTheme="majorBidi" w:cstheme="majorBidi"/>
        </w:rPr>
        <w:t>Krvavac</w:t>
      </w:r>
      <w:proofErr w:type="spellEnd"/>
      <w:r w:rsidR="00476EC2" w:rsidRPr="003213C1">
        <w:rPr>
          <w:rFonts w:asciiTheme="majorBidi" w:hAnsiTheme="majorBidi" w:cstheme="majorBidi"/>
        </w:rPr>
        <w:t>, 2021; Coopey &amp; Johnson, 2022; Nilsen et al., 2021).</w:t>
      </w:r>
    </w:p>
    <w:p w14:paraId="243F3223" w14:textId="77777777" w:rsidR="00763671" w:rsidRDefault="00763671" w:rsidP="003213C1">
      <w:pPr>
        <w:spacing w:line="360" w:lineRule="auto"/>
        <w:rPr>
          <w:rFonts w:asciiTheme="majorBidi" w:hAnsiTheme="majorBidi" w:cstheme="majorBidi"/>
          <w:b/>
          <w:bCs/>
        </w:rPr>
      </w:pPr>
    </w:p>
    <w:p w14:paraId="4D134C4E" w14:textId="77777777" w:rsidR="00B26D3F" w:rsidRDefault="00B26D3F" w:rsidP="003213C1">
      <w:pPr>
        <w:spacing w:line="360" w:lineRule="auto"/>
        <w:rPr>
          <w:rFonts w:asciiTheme="majorBidi" w:hAnsiTheme="majorBidi" w:cstheme="majorBidi"/>
          <w:b/>
          <w:bCs/>
        </w:rPr>
      </w:pPr>
    </w:p>
    <w:p w14:paraId="0DB10A0D" w14:textId="77777777" w:rsidR="00B26D3F" w:rsidRPr="003213C1" w:rsidRDefault="00B26D3F" w:rsidP="003213C1">
      <w:pPr>
        <w:spacing w:line="360" w:lineRule="auto"/>
        <w:rPr>
          <w:rFonts w:asciiTheme="majorBidi" w:hAnsiTheme="majorBidi" w:cstheme="majorBidi"/>
          <w:b/>
          <w:bCs/>
        </w:rPr>
      </w:pPr>
    </w:p>
    <w:p w14:paraId="2483587B" w14:textId="63A74CEE" w:rsidR="002A2A17" w:rsidRPr="003213C1" w:rsidRDefault="002A2A17" w:rsidP="003213C1">
      <w:pPr>
        <w:spacing w:line="360" w:lineRule="auto"/>
        <w:rPr>
          <w:rFonts w:asciiTheme="majorBidi" w:hAnsiTheme="majorBidi" w:cstheme="majorBidi"/>
          <w:b/>
          <w:bCs/>
        </w:rPr>
      </w:pPr>
      <w:r w:rsidRPr="003213C1">
        <w:rPr>
          <w:rFonts w:asciiTheme="majorBidi" w:hAnsiTheme="majorBidi" w:cstheme="majorBidi"/>
          <w:b/>
          <w:bCs/>
        </w:rPr>
        <w:lastRenderedPageBreak/>
        <w:t>Sample characteristics</w:t>
      </w:r>
    </w:p>
    <w:p w14:paraId="5DE61F67" w14:textId="77777777" w:rsidR="002A2A17" w:rsidRPr="003213C1" w:rsidRDefault="002A2A17" w:rsidP="003213C1">
      <w:pPr>
        <w:spacing w:line="360" w:lineRule="auto"/>
        <w:ind w:firstLine="720"/>
        <w:rPr>
          <w:rFonts w:asciiTheme="majorBidi" w:hAnsiTheme="majorBidi" w:cstheme="majorBidi"/>
        </w:rPr>
      </w:pPr>
      <w:r w:rsidRPr="003213C1">
        <w:rPr>
          <w:rFonts w:asciiTheme="majorBidi" w:hAnsiTheme="majorBidi" w:cstheme="majorBidi"/>
        </w:rPr>
        <w:t>Participant populations across studies represented varying stages of treatment and recovery. Several studies recruited participants actively engaged in treatment, while others interviewed young people and families retrospectively after treatment completion.</w:t>
      </w:r>
    </w:p>
    <w:p w14:paraId="604F9F83" w14:textId="77777777" w:rsidR="002A2A17" w:rsidRPr="003213C1" w:rsidRDefault="002A2A17" w:rsidP="003213C1">
      <w:pPr>
        <w:spacing w:line="360" w:lineRule="auto"/>
        <w:ind w:firstLine="720"/>
        <w:rPr>
          <w:rFonts w:asciiTheme="majorBidi" w:hAnsiTheme="majorBidi" w:cstheme="majorBidi"/>
        </w:rPr>
      </w:pPr>
      <w:r w:rsidRPr="003213C1">
        <w:rPr>
          <w:rFonts w:asciiTheme="majorBidi" w:hAnsiTheme="majorBidi" w:cstheme="majorBidi"/>
        </w:rPr>
        <w:t>Across studies, adolescent samples were predominantly female, reflecting broader trends within eating disorder treatment literature. However, Gao et al. (2025) deliberately recruited more diverse participants, including transgender adolescents and young people from underrepresented ethnic backgrounds. Participant ages largely ranged from early adolescence to young adulthood.</w:t>
      </w:r>
    </w:p>
    <w:p w14:paraId="69A75069" w14:textId="77777777" w:rsidR="002A2A17" w:rsidRPr="003213C1" w:rsidRDefault="002A2A17" w:rsidP="003213C1">
      <w:pPr>
        <w:spacing w:line="360" w:lineRule="auto"/>
        <w:ind w:firstLine="720"/>
        <w:rPr>
          <w:rFonts w:asciiTheme="majorBidi" w:hAnsiTheme="majorBidi" w:cstheme="majorBidi"/>
        </w:rPr>
      </w:pPr>
      <w:r w:rsidRPr="003213C1">
        <w:rPr>
          <w:rFonts w:asciiTheme="majorBidi" w:hAnsiTheme="majorBidi" w:cstheme="majorBidi"/>
        </w:rPr>
        <w:t>Parents represented a substantial proportion of participants across studies. Nilsen et al. (2021) uniquely incorporated perspectives from young people, parents and siblings simultaneously, while Medway et al. (2019) included narratives from adolescents alongside parents to explore developmental experiences within treatment.</w:t>
      </w:r>
    </w:p>
    <w:p w14:paraId="7411A301" w14:textId="77777777" w:rsidR="00763671" w:rsidRPr="003213C1" w:rsidRDefault="00763671" w:rsidP="003213C1">
      <w:pPr>
        <w:spacing w:line="360" w:lineRule="auto"/>
        <w:rPr>
          <w:rFonts w:asciiTheme="majorBidi" w:hAnsiTheme="majorBidi" w:cstheme="majorBidi"/>
          <w:b/>
          <w:bCs/>
        </w:rPr>
      </w:pPr>
    </w:p>
    <w:p w14:paraId="52C4B498" w14:textId="0D864BAB" w:rsidR="002A2A17" w:rsidRPr="003213C1" w:rsidRDefault="002A2A17" w:rsidP="003213C1">
      <w:pPr>
        <w:spacing w:line="360" w:lineRule="auto"/>
        <w:rPr>
          <w:rFonts w:asciiTheme="majorBidi" w:hAnsiTheme="majorBidi" w:cstheme="majorBidi"/>
          <w:b/>
          <w:bCs/>
        </w:rPr>
      </w:pPr>
      <w:r w:rsidRPr="003213C1">
        <w:rPr>
          <w:rFonts w:asciiTheme="majorBidi" w:hAnsiTheme="majorBidi" w:cstheme="majorBidi"/>
          <w:b/>
          <w:bCs/>
        </w:rPr>
        <w:t>Quality assessment findings</w:t>
      </w:r>
    </w:p>
    <w:p w14:paraId="5F510D00" w14:textId="77777777" w:rsidR="002A2A17" w:rsidRPr="003213C1" w:rsidRDefault="002A2A17" w:rsidP="003213C1">
      <w:pPr>
        <w:spacing w:line="360" w:lineRule="auto"/>
        <w:ind w:firstLine="720"/>
        <w:rPr>
          <w:rFonts w:asciiTheme="majorBidi" w:hAnsiTheme="majorBidi" w:cstheme="majorBidi"/>
        </w:rPr>
      </w:pPr>
      <w:r w:rsidRPr="003213C1">
        <w:rPr>
          <w:rFonts w:asciiTheme="majorBidi" w:hAnsiTheme="majorBidi" w:cstheme="majorBidi"/>
        </w:rPr>
        <w:t>Methodological quality was assessed using the Critical Appraisal Skills Programme (CASP) qualitative checklist. Overall, all six studies demonstrated good methodological quality and were considered appropriate for inclusion.</w:t>
      </w:r>
    </w:p>
    <w:p w14:paraId="436C946A" w14:textId="77777777" w:rsidR="002A2A17" w:rsidRPr="003213C1" w:rsidRDefault="002A2A17" w:rsidP="003213C1">
      <w:pPr>
        <w:spacing w:line="360" w:lineRule="auto"/>
        <w:ind w:firstLine="720"/>
        <w:rPr>
          <w:rFonts w:asciiTheme="majorBidi" w:hAnsiTheme="majorBidi" w:cstheme="majorBidi"/>
        </w:rPr>
      </w:pPr>
      <w:r w:rsidRPr="003213C1">
        <w:rPr>
          <w:rFonts w:asciiTheme="majorBidi" w:hAnsiTheme="majorBidi" w:cstheme="majorBidi"/>
        </w:rPr>
        <w:t>All studies clearly stated research aims and utilised qualitative methodologies aligned with their research questions. Recruitment strategies and data collection procedures were generally well described, and ethical considerations were adequately addressed. Findings across studies were presented clearly and supported by participant quotations.</w:t>
      </w:r>
    </w:p>
    <w:p w14:paraId="37867110" w14:textId="77777777" w:rsidR="002A2A17" w:rsidRPr="003213C1" w:rsidRDefault="002A2A17" w:rsidP="003213C1">
      <w:pPr>
        <w:spacing w:line="360" w:lineRule="auto"/>
        <w:ind w:firstLine="720"/>
        <w:rPr>
          <w:rFonts w:asciiTheme="majorBidi" w:hAnsiTheme="majorBidi" w:cstheme="majorBidi"/>
        </w:rPr>
      </w:pPr>
      <w:r w:rsidRPr="003213C1">
        <w:rPr>
          <w:rFonts w:asciiTheme="majorBidi" w:hAnsiTheme="majorBidi" w:cstheme="majorBidi"/>
        </w:rPr>
        <w:t xml:space="preserve">Minor limitations were identified regarding researcher reflexivity. </w:t>
      </w:r>
      <w:proofErr w:type="spellStart"/>
      <w:r w:rsidRPr="003213C1">
        <w:rPr>
          <w:rFonts w:asciiTheme="majorBidi" w:hAnsiTheme="majorBidi" w:cstheme="majorBidi"/>
        </w:rPr>
        <w:t>Brinchmann</w:t>
      </w:r>
      <w:proofErr w:type="spellEnd"/>
      <w:r w:rsidRPr="003213C1">
        <w:rPr>
          <w:rFonts w:asciiTheme="majorBidi" w:hAnsiTheme="majorBidi" w:cstheme="majorBidi"/>
        </w:rPr>
        <w:t xml:space="preserve"> and </w:t>
      </w:r>
      <w:proofErr w:type="spellStart"/>
      <w:r w:rsidRPr="003213C1">
        <w:rPr>
          <w:rFonts w:asciiTheme="majorBidi" w:hAnsiTheme="majorBidi" w:cstheme="majorBidi"/>
        </w:rPr>
        <w:t>Krvavac</w:t>
      </w:r>
      <w:proofErr w:type="spellEnd"/>
      <w:r w:rsidRPr="003213C1">
        <w:rPr>
          <w:rFonts w:asciiTheme="majorBidi" w:hAnsiTheme="majorBidi" w:cstheme="majorBidi"/>
        </w:rPr>
        <w:t xml:space="preserve"> (2021), Coopey and Johnson (2022), and Nilsen et al. (2021) provided only partial discussion of researcher positioning and influence upon interpretation. Gao et al. (2025) offered more limited reflexive reporting, likely reflecting the exploratory pilot nature of the study. However, these limitations were not considered sufficiently substantial to compromise overall study quality.</w:t>
      </w:r>
    </w:p>
    <w:p w14:paraId="0C4464C2" w14:textId="56F3752C" w:rsidR="00763671" w:rsidRPr="00B23005" w:rsidRDefault="002A2A17" w:rsidP="00B23005">
      <w:pPr>
        <w:spacing w:line="360" w:lineRule="auto"/>
        <w:rPr>
          <w:rFonts w:asciiTheme="majorBidi" w:hAnsiTheme="majorBidi" w:cstheme="majorBidi"/>
        </w:rPr>
      </w:pPr>
      <w:r w:rsidRPr="003213C1">
        <w:rPr>
          <w:rFonts w:asciiTheme="majorBidi" w:hAnsiTheme="majorBidi" w:cstheme="majorBidi"/>
        </w:rPr>
        <w:t>Four overarching themes and several subthemes emerged through thematic synthesis.</w:t>
      </w:r>
    </w:p>
    <w:p w14:paraId="5A7BA60E" w14:textId="604D3057" w:rsidR="002A2A17" w:rsidRPr="003213C1" w:rsidRDefault="002A2A17" w:rsidP="003213C1">
      <w:pPr>
        <w:spacing w:line="360" w:lineRule="auto"/>
        <w:rPr>
          <w:rFonts w:asciiTheme="majorBidi" w:hAnsiTheme="majorBidi" w:cstheme="majorBidi"/>
          <w:b/>
          <w:bCs/>
        </w:rPr>
      </w:pPr>
      <w:r w:rsidRPr="003213C1">
        <w:rPr>
          <w:rFonts w:asciiTheme="majorBidi" w:hAnsiTheme="majorBidi" w:cstheme="majorBidi"/>
          <w:b/>
          <w:bCs/>
        </w:rPr>
        <w:lastRenderedPageBreak/>
        <w:t>Theme One: Family therapy experienced as both supportive and restrictive</w:t>
      </w:r>
    </w:p>
    <w:p w14:paraId="549E5BF9"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Across studies, participants described family therapy interventions as simultaneously beneficial and challenging. Experiences frequently reflected tension between appreciation of parental support and frustration regarding reduced independence.</w:t>
      </w:r>
    </w:p>
    <w:p w14:paraId="66ACC81F" w14:textId="77777777" w:rsidR="00763671" w:rsidRPr="003213C1" w:rsidRDefault="00763671" w:rsidP="003213C1">
      <w:pPr>
        <w:spacing w:line="360" w:lineRule="auto"/>
        <w:rPr>
          <w:rFonts w:asciiTheme="majorBidi" w:hAnsiTheme="majorBidi" w:cstheme="majorBidi"/>
          <w:b/>
          <w:bCs/>
        </w:rPr>
      </w:pPr>
    </w:p>
    <w:p w14:paraId="5A3B4715" w14:textId="36DA1036" w:rsidR="002A2A17" w:rsidRPr="006D3BB0" w:rsidRDefault="002A2A17" w:rsidP="003213C1">
      <w:pPr>
        <w:spacing w:line="360" w:lineRule="auto"/>
        <w:rPr>
          <w:rFonts w:asciiTheme="majorBidi" w:hAnsiTheme="majorBidi" w:cstheme="majorBidi"/>
          <w:b/>
          <w:bCs/>
          <w:i/>
          <w:iCs/>
        </w:rPr>
      </w:pPr>
      <w:r w:rsidRPr="006D3BB0">
        <w:rPr>
          <w:rFonts w:asciiTheme="majorBidi" w:hAnsiTheme="majorBidi" w:cstheme="majorBidi"/>
          <w:b/>
          <w:bCs/>
          <w:i/>
          <w:iCs/>
        </w:rPr>
        <w:t>Parental empowerment as supportive</w:t>
      </w:r>
    </w:p>
    <w:p w14:paraId="2F22D27D"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Participants frequently described parental involvement as necessary during early stages of illness. Several young people acknowledged that parental support enabled recovery despite initial resistance.</w:t>
      </w:r>
    </w:p>
    <w:p w14:paraId="65F1C16D"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Within Gao et al. (2025), one participant reflected:</w:t>
      </w:r>
    </w:p>
    <w:p w14:paraId="06965F66"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 xml:space="preserve">“The unwavering support of my parents… they were </w:t>
      </w:r>
      <w:proofErr w:type="spellStart"/>
      <w:r w:rsidRPr="003213C1">
        <w:rPr>
          <w:rFonts w:asciiTheme="majorBidi" w:hAnsiTheme="majorBidi" w:cstheme="majorBidi"/>
        </w:rPr>
        <w:t>gonna</w:t>
      </w:r>
      <w:proofErr w:type="spellEnd"/>
      <w:r w:rsidRPr="003213C1">
        <w:rPr>
          <w:rFonts w:asciiTheme="majorBidi" w:hAnsiTheme="majorBidi" w:cstheme="majorBidi"/>
        </w:rPr>
        <w:t xml:space="preserve"> feed me… I </w:t>
      </w:r>
      <w:proofErr w:type="gramStart"/>
      <w:r w:rsidRPr="003213C1">
        <w:rPr>
          <w:rFonts w:asciiTheme="majorBidi" w:hAnsiTheme="majorBidi" w:cstheme="majorBidi"/>
        </w:rPr>
        <w:t>definitely would</w:t>
      </w:r>
      <w:proofErr w:type="gramEnd"/>
      <w:r w:rsidRPr="003213C1">
        <w:rPr>
          <w:rFonts w:asciiTheme="majorBidi" w:hAnsiTheme="majorBidi" w:cstheme="majorBidi"/>
        </w:rPr>
        <w:t xml:space="preserve"> not ever have been able to do that without someone else.”</w:t>
      </w:r>
    </w:p>
    <w:p w14:paraId="51D675A4"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Similarly, parents within Nilsen et al. (2021) described feeling empowered by treatment structures and professional guidance, which increased confidence in supporting recovery.</w:t>
      </w:r>
    </w:p>
    <w:p w14:paraId="2B6BE727"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Family therapy also strengthened understanding between family members. Young people reported improved communication and increased awareness among parents regarding eating disorder experiences.</w:t>
      </w:r>
    </w:p>
    <w:p w14:paraId="39FAA416" w14:textId="77777777" w:rsidR="00763671" w:rsidRPr="003213C1" w:rsidRDefault="00763671" w:rsidP="003213C1">
      <w:pPr>
        <w:spacing w:line="360" w:lineRule="auto"/>
        <w:rPr>
          <w:rFonts w:asciiTheme="majorBidi" w:hAnsiTheme="majorBidi" w:cstheme="majorBidi"/>
          <w:b/>
          <w:bCs/>
        </w:rPr>
      </w:pPr>
    </w:p>
    <w:p w14:paraId="658F7D16" w14:textId="47F26ADE" w:rsidR="002A2A17" w:rsidRPr="006D3BB0" w:rsidRDefault="002A2A17" w:rsidP="003213C1">
      <w:pPr>
        <w:spacing w:line="360" w:lineRule="auto"/>
        <w:rPr>
          <w:rFonts w:asciiTheme="majorBidi" w:hAnsiTheme="majorBidi" w:cstheme="majorBidi"/>
          <w:b/>
          <w:bCs/>
          <w:i/>
          <w:iCs/>
        </w:rPr>
      </w:pPr>
      <w:r w:rsidRPr="006D3BB0">
        <w:rPr>
          <w:rFonts w:asciiTheme="majorBidi" w:hAnsiTheme="majorBidi" w:cstheme="majorBidi"/>
          <w:b/>
          <w:bCs/>
          <w:i/>
          <w:iCs/>
        </w:rPr>
        <w:t>Reduced autonomy and agency</w:t>
      </w:r>
    </w:p>
    <w:p w14:paraId="4CBE9E7E"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However, concerns regarding autonomy emerged consistently. Adolescents frequently described parental control during early treatment phases as restrictive.</w:t>
      </w:r>
    </w:p>
    <w:p w14:paraId="47D31806"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Participants within Gao et al. (2025) reported discomfort discussing sensitive issues in front of parents and described feeling unable to speak honestly during sessions.</w:t>
      </w:r>
    </w:p>
    <w:p w14:paraId="084D6644"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Conti et al. (2017) similarly found adolescents experienced treatment as following “somebody else’s roadmap,” reflecting feelings of diminished ownership over recovery processes.</w:t>
      </w:r>
    </w:p>
    <w:p w14:paraId="1C58E824"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lastRenderedPageBreak/>
        <w:t>Participants in Medway et al. (2019) described Phase One of FBT as creating developmental regression through increased dependence on parents.</w:t>
      </w:r>
    </w:p>
    <w:p w14:paraId="19CE71B7"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Young people frequently expressed ambivalence, recognising parental involvement as necessary while simultaneously experiencing frustration regarding reduced independence.</w:t>
      </w:r>
    </w:p>
    <w:p w14:paraId="3F8FB2C5" w14:textId="77777777" w:rsidR="00763671" w:rsidRPr="003213C1" w:rsidRDefault="00763671" w:rsidP="003213C1">
      <w:pPr>
        <w:spacing w:line="360" w:lineRule="auto"/>
        <w:rPr>
          <w:rFonts w:asciiTheme="majorBidi" w:hAnsiTheme="majorBidi" w:cstheme="majorBidi"/>
          <w:b/>
          <w:bCs/>
        </w:rPr>
      </w:pPr>
    </w:p>
    <w:p w14:paraId="1FED3BA5" w14:textId="5F75A6DF" w:rsidR="002A2A17" w:rsidRPr="003213C1" w:rsidRDefault="002A2A17" w:rsidP="003213C1">
      <w:pPr>
        <w:spacing w:line="360" w:lineRule="auto"/>
        <w:rPr>
          <w:rFonts w:asciiTheme="majorBidi" w:hAnsiTheme="majorBidi" w:cstheme="majorBidi"/>
          <w:b/>
          <w:bCs/>
        </w:rPr>
      </w:pPr>
      <w:r w:rsidRPr="003213C1">
        <w:rPr>
          <w:rFonts w:asciiTheme="majorBidi" w:hAnsiTheme="majorBidi" w:cstheme="majorBidi"/>
          <w:b/>
          <w:bCs/>
        </w:rPr>
        <w:t>Theme Two: Family relationships and communication changed through treatment</w:t>
      </w:r>
    </w:p>
    <w:p w14:paraId="6B15EB53"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Family therapy appeared to influence family relationships in both positive and negative ways.</w:t>
      </w:r>
    </w:p>
    <w:p w14:paraId="10CC0177" w14:textId="77777777" w:rsidR="00763671" w:rsidRPr="003213C1" w:rsidRDefault="00763671" w:rsidP="003213C1">
      <w:pPr>
        <w:spacing w:line="360" w:lineRule="auto"/>
        <w:rPr>
          <w:rFonts w:asciiTheme="majorBidi" w:hAnsiTheme="majorBidi" w:cstheme="majorBidi"/>
          <w:b/>
          <w:bCs/>
        </w:rPr>
      </w:pPr>
    </w:p>
    <w:p w14:paraId="42F1CCCF" w14:textId="06CA0FC7" w:rsidR="002A2A17" w:rsidRPr="006D3BB0" w:rsidRDefault="002A2A17" w:rsidP="003213C1">
      <w:pPr>
        <w:spacing w:line="360" w:lineRule="auto"/>
        <w:rPr>
          <w:rFonts w:asciiTheme="majorBidi" w:hAnsiTheme="majorBidi" w:cstheme="majorBidi"/>
          <w:b/>
          <w:bCs/>
          <w:i/>
          <w:iCs/>
        </w:rPr>
      </w:pPr>
      <w:r w:rsidRPr="006D3BB0">
        <w:rPr>
          <w:rFonts w:asciiTheme="majorBidi" w:hAnsiTheme="majorBidi" w:cstheme="majorBidi"/>
          <w:b/>
          <w:bCs/>
          <w:i/>
          <w:iCs/>
        </w:rPr>
        <w:t>Improved connection and understanding</w:t>
      </w:r>
    </w:p>
    <w:p w14:paraId="514AEC34"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Several studies identified enhanced communication and stronger family relationships following treatment.</w:t>
      </w:r>
    </w:p>
    <w:p w14:paraId="425459E9"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Nilsen et al. (2021) reported that families frequently perceived treatment as strengthening relationships and facilitating collaboration.</w:t>
      </w:r>
    </w:p>
    <w:p w14:paraId="390A2360"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Similarly, Gao et al. (2025) found participants viewed treatment as helping families better understand eating disorders and each other.</w:t>
      </w:r>
    </w:p>
    <w:p w14:paraId="54FBEAA6"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Parents within multifamily contexts additionally valued opportunities to learn from others experiencing similar difficulties.</w:t>
      </w:r>
    </w:p>
    <w:p w14:paraId="4B121F60" w14:textId="77777777" w:rsidR="00685A46" w:rsidRPr="003213C1" w:rsidRDefault="00685A46" w:rsidP="003213C1">
      <w:pPr>
        <w:spacing w:line="360" w:lineRule="auto"/>
        <w:rPr>
          <w:rFonts w:asciiTheme="majorBidi" w:hAnsiTheme="majorBidi" w:cstheme="majorBidi"/>
          <w:b/>
          <w:bCs/>
        </w:rPr>
      </w:pPr>
    </w:p>
    <w:p w14:paraId="5F65B4CD" w14:textId="453CDDB4" w:rsidR="002A2A17" w:rsidRPr="006D3BB0" w:rsidRDefault="002A2A17" w:rsidP="003213C1">
      <w:pPr>
        <w:spacing w:line="360" w:lineRule="auto"/>
        <w:rPr>
          <w:rFonts w:asciiTheme="majorBidi" w:hAnsiTheme="majorBidi" w:cstheme="majorBidi"/>
          <w:b/>
          <w:bCs/>
          <w:i/>
          <w:iCs/>
        </w:rPr>
      </w:pPr>
      <w:r w:rsidRPr="006D3BB0">
        <w:rPr>
          <w:rFonts w:asciiTheme="majorBidi" w:hAnsiTheme="majorBidi" w:cstheme="majorBidi"/>
          <w:b/>
          <w:bCs/>
          <w:i/>
          <w:iCs/>
        </w:rPr>
        <w:t>Increased conflict and strain</w:t>
      </w:r>
    </w:p>
    <w:p w14:paraId="5BD5F5C9"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Conversely, treatment also generated tension and conflict.</w:t>
      </w:r>
    </w:p>
    <w:p w14:paraId="3A430DA4"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Young people described feeling misunderstood or mistrusted by parents during treatment. Discussions within therapy sometimes contributed to arguments outside sessions.</w:t>
      </w:r>
    </w:p>
    <w:p w14:paraId="396F1C74"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One participant in Gao et al. (2025) reported:</w:t>
      </w:r>
    </w:p>
    <w:p w14:paraId="76A359BE"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“Whatever we talked about would get me all riled up… I’d leave feeling like shit.”</w:t>
      </w:r>
    </w:p>
    <w:p w14:paraId="73B6B26D"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Existing family difficulties occasionally appeared amplified during treatment participation.</w:t>
      </w:r>
    </w:p>
    <w:p w14:paraId="5BF62134" w14:textId="77777777" w:rsidR="00763671" w:rsidRPr="003213C1" w:rsidRDefault="00763671" w:rsidP="003213C1">
      <w:pPr>
        <w:spacing w:line="360" w:lineRule="auto"/>
        <w:rPr>
          <w:rFonts w:asciiTheme="majorBidi" w:hAnsiTheme="majorBidi" w:cstheme="majorBidi"/>
          <w:b/>
          <w:bCs/>
        </w:rPr>
      </w:pPr>
    </w:p>
    <w:p w14:paraId="42E7E8B9" w14:textId="4976570B" w:rsidR="002A2A17" w:rsidRPr="003213C1" w:rsidRDefault="002A2A17" w:rsidP="003213C1">
      <w:pPr>
        <w:spacing w:line="360" w:lineRule="auto"/>
        <w:rPr>
          <w:rFonts w:asciiTheme="majorBidi" w:hAnsiTheme="majorBidi" w:cstheme="majorBidi"/>
          <w:b/>
          <w:bCs/>
        </w:rPr>
      </w:pPr>
      <w:r w:rsidRPr="003213C1">
        <w:rPr>
          <w:rFonts w:asciiTheme="majorBidi" w:hAnsiTheme="majorBidi" w:cstheme="majorBidi"/>
          <w:b/>
          <w:bCs/>
        </w:rPr>
        <w:lastRenderedPageBreak/>
        <w:t>Theme Three: Recovery extended beyond weight restoration</w:t>
      </w:r>
    </w:p>
    <w:p w14:paraId="55D7D50D"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Participants across studies consistently conceptualised recovery more broadly than symptom reduction alone.</w:t>
      </w:r>
    </w:p>
    <w:p w14:paraId="0CEAC59B" w14:textId="77777777" w:rsidR="00763671" w:rsidRPr="003213C1" w:rsidRDefault="00763671" w:rsidP="003213C1">
      <w:pPr>
        <w:spacing w:line="360" w:lineRule="auto"/>
        <w:rPr>
          <w:rFonts w:asciiTheme="majorBidi" w:hAnsiTheme="majorBidi" w:cstheme="majorBidi"/>
          <w:b/>
          <w:bCs/>
        </w:rPr>
      </w:pPr>
    </w:p>
    <w:p w14:paraId="54153760" w14:textId="0C64AA6D" w:rsidR="002A2A17" w:rsidRPr="006D3BB0" w:rsidRDefault="002A2A17" w:rsidP="003213C1">
      <w:pPr>
        <w:spacing w:line="360" w:lineRule="auto"/>
        <w:rPr>
          <w:rFonts w:asciiTheme="majorBidi" w:hAnsiTheme="majorBidi" w:cstheme="majorBidi"/>
          <w:b/>
          <w:bCs/>
          <w:i/>
          <w:iCs/>
        </w:rPr>
      </w:pPr>
      <w:r w:rsidRPr="006D3BB0">
        <w:rPr>
          <w:rFonts w:asciiTheme="majorBidi" w:hAnsiTheme="majorBidi" w:cstheme="majorBidi"/>
          <w:b/>
          <w:bCs/>
          <w:i/>
          <w:iCs/>
        </w:rPr>
        <w:t>Emotional and psychological wellbeing</w:t>
      </w:r>
    </w:p>
    <w:p w14:paraId="4CFA4E0B"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Young people frequently prioritised emotional recovery over physical indicators.</w:t>
      </w:r>
    </w:p>
    <w:p w14:paraId="3990D29D"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Participants described recovery as involving reduced preoccupation with food, improved mood, and increased psychological freedom.</w:t>
      </w:r>
    </w:p>
    <w:p w14:paraId="03ECA9FB"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Several studies suggested participants viewed weight restoration as important but insufficient.</w:t>
      </w:r>
    </w:p>
    <w:p w14:paraId="4233D3C6" w14:textId="77777777" w:rsidR="00763671" w:rsidRPr="003213C1" w:rsidRDefault="00763671" w:rsidP="003213C1">
      <w:pPr>
        <w:spacing w:line="360" w:lineRule="auto"/>
        <w:rPr>
          <w:rFonts w:asciiTheme="majorBidi" w:hAnsiTheme="majorBidi" w:cstheme="majorBidi"/>
          <w:b/>
          <w:bCs/>
        </w:rPr>
      </w:pPr>
    </w:p>
    <w:p w14:paraId="2941A69A" w14:textId="25AB9304" w:rsidR="002A2A17" w:rsidRPr="006D3BB0" w:rsidRDefault="002A2A17" w:rsidP="003213C1">
      <w:pPr>
        <w:spacing w:line="360" w:lineRule="auto"/>
        <w:rPr>
          <w:rFonts w:asciiTheme="majorBidi" w:hAnsiTheme="majorBidi" w:cstheme="majorBidi"/>
          <w:b/>
          <w:bCs/>
          <w:i/>
          <w:iCs/>
        </w:rPr>
      </w:pPr>
      <w:r w:rsidRPr="006D3BB0">
        <w:rPr>
          <w:rFonts w:asciiTheme="majorBidi" w:hAnsiTheme="majorBidi" w:cstheme="majorBidi"/>
          <w:b/>
          <w:bCs/>
          <w:i/>
          <w:iCs/>
        </w:rPr>
        <w:t>Identity, development and autonomy</w:t>
      </w:r>
    </w:p>
    <w:p w14:paraId="56A1200F"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Developmental recovery emerged strongly within Medway et al. (2019).</w:t>
      </w:r>
    </w:p>
    <w:p w14:paraId="7E57CF8A"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Participants described eating disorders interrupting developmental processes including identity formation, social participation and independence.</w:t>
      </w:r>
    </w:p>
    <w:p w14:paraId="09C1D726"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Recovery involved reclaiming missed developmental experiences and reconnecting with broader life goals.</w:t>
      </w:r>
    </w:p>
    <w:p w14:paraId="568C9101" w14:textId="77777777" w:rsidR="008C6F4D" w:rsidRPr="003213C1" w:rsidRDefault="008C6F4D" w:rsidP="003213C1">
      <w:pPr>
        <w:spacing w:line="360" w:lineRule="auto"/>
        <w:rPr>
          <w:rFonts w:asciiTheme="majorBidi" w:hAnsiTheme="majorBidi" w:cstheme="majorBidi"/>
          <w:b/>
          <w:bCs/>
        </w:rPr>
      </w:pPr>
    </w:p>
    <w:p w14:paraId="6C678393" w14:textId="354C98BE" w:rsidR="002A2A17" w:rsidRPr="003213C1" w:rsidRDefault="002A2A17" w:rsidP="003213C1">
      <w:pPr>
        <w:spacing w:line="360" w:lineRule="auto"/>
        <w:rPr>
          <w:rFonts w:asciiTheme="majorBidi" w:hAnsiTheme="majorBidi" w:cstheme="majorBidi"/>
          <w:b/>
          <w:bCs/>
        </w:rPr>
      </w:pPr>
      <w:r w:rsidRPr="003213C1">
        <w:rPr>
          <w:rFonts w:asciiTheme="majorBidi" w:hAnsiTheme="majorBidi" w:cstheme="majorBidi"/>
          <w:b/>
          <w:bCs/>
        </w:rPr>
        <w:t>Theme Four: Social connection and peer support facilitated recovery</w:t>
      </w:r>
    </w:p>
    <w:p w14:paraId="5A2F9623"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Peer relationships were frequently identified as important influences.</w:t>
      </w:r>
    </w:p>
    <w:p w14:paraId="6E9FA0BE"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Participants often described eating disorders as socially isolating. Several studies found that contact with peers experiencing similar challenges reduced loneliness and increased hope.</w:t>
      </w:r>
    </w:p>
    <w:p w14:paraId="7CE685AB" w14:textId="77777777"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Gao et al. (2025) found peer support represented the most frequently identified external facilitator of recovery.</w:t>
      </w:r>
    </w:p>
    <w:p w14:paraId="32A2D9A6" w14:textId="68D650F1"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t xml:space="preserve">Similarly, </w:t>
      </w:r>
      <w:proofErr w:type="spellStart"/>
      <w:r w:rsidRPr="003213C1">
        <w:rPr>
          <w:rFonts w:asciiTheme="majorBidi" w:hAnsiTheme="majorBidi" w:cstheme="majorBidi"/>
        </w:rPr>
        <w:t>Brinchmann</w:t>
      </w:r>
      <w:proofErr w:type="spellEnd"/>
      <w:r w:rsidRPr="003213C1">
        <w:rPr>
          <w:rFonts w:asciiTheme="majorBidi" w:hAnsiTheme="majorBidi" w:cstheme="majorBidi"/>
        </w:rPr>
        <w:t xml:space="preserve"> and </w:t>
      </w:r>
      <w:proofErr w:type="spellStart"/>
      <w:r w:rsidRPr="003213C1">
        <w:rPr>
          <w:rFonts w:asciiTheme="majorBidi" w:hAnsiTheme="majorBidi" w:cstheme="majorBidi"/>
        </w:rPr>
        <w:t>Krvavac</w:t>
      </w:r>
      <w:proofErr w:type="spellEnd"/>
      <w:r w:rsidRPr="003213C1">
        <w:rPr>
          <w:rFonts w:asciiTheme="majorBidi" w:hAnsiTheme="majorBidi" w:cstheme="majorBidi"/>
        </w:rPr>
        <w:t xml:space="preserve"> (2021) found </w:t>
      </w:r>
      <w:r w:rsidR="00685A46" w:rsidRPr="003213C1">
        <w:rPr>
          <w:rFonts w:asciiTheme="majorBidi" w:hAnsiTheme="majorBidi" w:cstheme="majorBidi"/>
        </w:rPr>
        <w:t xml:space="preserve">that </w:t>
      </w:r>
      <w:r w:rsidRPr="003213C1">
        <w:rPr>
          <w:rFonts w:asciiTheme="majorBidi" w:hAnsiTheme="majorBidi" w:cstheme="majorBidi"/>
        </w:rPr>
        <w:t>multifamily environments enabled shared understanding and reduced isolation among both young people and families.</w:t>
      </w:r>
    </w:p>
    <w:p w14:paraId="2C8477C5" w14:textId="3814D850" w:rsidR="002A2A17" w:rsidRPr="003213C1" w:rsidRDefault="002A2A17" w:rsidP="003213C1">
      <w:pPr>
        <w:spacing w:line="360" w:lineRule="auto"/>
        <w:rPr>
          <w:rFonts w:asciiTheme="majorBidi" w:hAnsiTheme="majorBidi" w:cstheme="majorBidi"/>
        </w:rPr>
      </w:pPr>
      <w:r w:rsidRPr="003213C1">
        <w:rPr>
          <w:rFonts w:asciiTheme="majorBidi" w:hAnsiTheme="majorBidi" w:cstheme="majorBidi"/>
        </w:rPr>
        <w:lastRenderedPageBreak/>
        <w:t xml:space="preserve">Participants valued opportunities to connect with others who understood their experiences without </w:t>
      </w:r>
      <w:r w:rsidR="00685A46" w:rsidRPr="003213C1">
        <w:rPr>
          <w:rFonts w:asciiTheme="majorBidi" w:hAnsiTheme="majorBidi" w:cstheme="majorBidi"/>
        </w:rPr>
        <w:t>judgment</w:t>
      </w:r>
      <w:r w:rsidRPr="003213C1">
        <w:rPr>
          <w:rFonts w:asciiTheme="majorBidi" w:hAnsiTheme="majorBidi" w:cstheme="majorBidi"/>
        </w:rPr>
        <w:t>.</w:t>
      </w:r>
    </w:p>
    <w:p w14:paraId="35910E98" w14:textId="56C0F51A" w:rsidR="008C6F4D" w:rsidRPr="003213C1" w:rsidRDefault="002A2A17" w:rsidP="003213C1">
      <w:pPr>
        <w:spacing w:line="360" w:lineRule="auto"/>
        <w:rPr>
          <w:rFonts w:asciiTheme="majorBidi" w:hAnsiTheme="majorBidi" w:cstheme="majorBidi"/>
        </w:rPr>
      </w:pPr>
      <w:r w:rsidRPr="003213C1">
        <w:rPr>
          <w:rFonts w:asciiTheme="majorBidi" w:hAnsiTheme="majorBidi" w:cstheme="majorBidi"/>
        </w:rPr>
        <w:t xml:space="preserve">Collectively, findings suggested that experiences of family therapy were characterised by complexity and ambivalence. Participants recognised considerable benefits associated with family involvement while simultaneously describing challenges </w:t>
      </w:r>
      <w:r w:rsidR="00685A46" w:rsidRPr="003213C1">
        <w:rPr>
          <w:rFonts w:asciiTheme="majorBidi" w:hAnsiTheme="majorBidi" w:cstheme="majorBidi"/>
        </w:rPr>
        <w:t>related to autonomy, emotional needs,</w:t>
      </w:r>
      <w:r w:rsidRPr="003213C1">
        <w:rPr>
          <w:rFonts w:asciiTheme="majorBidi" w:hAnsiTheme="majorBidi" w:cstheme="majorBidi"/>
        </w:rPr>
        <w:t xml:space="preserve"> and broader understandings of recovery.</w:t>
      </w:r>
    </w:p>
    <w:p w14:paraId="63FCBDC3" w14:textId="77777777" w:rsidR="00BF1F77" w:rsidRPr="003213C1" w:rsidRDefault="00BF1F77" w:rsidP="003213C1">
      <w:pPr>
        <w:spacing w:line="360" w:lineRule="auto"/>
        <w:ind w:firstLine="720"/>
        <w:rPr>
          <w:rFonts w:asciiTheme="majorBidi" w:hAnsiTheme="majorBidi" w:cstheme="majorBidi"/>
        </w:rPr>
      </w:pPr>
      <w:r w:rsidRPr="003213C1">
        <w:rPr>
          <w:rFonts w:asciiTheme="majorBidi" w:hAnsiTheme="majorBidi" w:cstheme="majorBidi"/>
        </w:rPr>
        <w:t>Overall, the themes demonstrated substantial overlap across studies despite differences in treatment settings and populations. Experiences of family therapy were characterised by complexity rather than uniformly positive or negative evaluations. Young people and family members frequently described family-based interventions as beneficial for restoring physical health and strengthening support systems, while simultaneously identifying challenges relating to autonomy, emotional wellbeing, and broader understandings of recovery. These findings informed the interpretive discussion presented below.</w:t>
      </w:r>
    </w:p>
    <w:p w14:paraId="589F31F1" w14:textId="77777777" w:rsidR="008C6F4D" w:rsidRPr="003213C1" w:rsidRDefault="008C6F4D" w:rsidP="003213C1">
      <w:pPr>
        <w:spacing w:line="360" w:lineRule="auto"/>
        <w:rPr>
          <w:rFonts w:asciiTheme="majorBidi" w:hAnsiTheme="majorBidi" w:cstheme="majorBidi"/>
        </w:rPr>
      </w:pPr>
    </w:p>
    <w:p w14:paraId="6AB46DC4" w14:textId="77777777" w:rsidR="008C6F4D" w:rsidRPr="003213C1" w:rsidRDefault="008C6F4D" w:rsidP="003213C1">
      <w:pPr>
        <w:spacing w:line="360" w:lineRule="auto"/>
        <w:rPr>
          <w:rFonts w:asciiTheme="majorBidi" w:hAnsiTheme="majorBidi" w:cstheme="majorBidi"/>
        </w:rPr>
      </w:pPr>
    </w:p>
    <w:p w14:paraId="11648EFA" w14:textId="77777777" w:rsidR="008C6F4D" w:rsidRPr="003213C1" w:rsidRDefault="008C6F4D" w:rsidP="003213C1">
      <w:pPr>
        <w:spacing w:line="360" w:lineRule="auto"/>
        <w:rPr>
          <w:rFonts w:asciiTheme="majorBidi" w:hAnsiTheme="majorBidi" w:cstheme="majorBidi"/>
        </w:rPr>
      </w:pPr>
    </w:p>
    <w:p w14:paraId="44A4BD4D" w14:textId="77777777" w:rsidR="008C6F4D" w:rsidRPr="003213C1" w:rsidRDefault="008C6F4D" w:rsidP="003213C1">
      <w:pPr>
        <w:spacing w:line="360" w:lineRule="auto"/>
        <w:rPr>
          <w:rFonts w:asciiTheme="majorBidi" w:hAnsiTheme="majorBidi" w:cstheme="majorBidi"/>
        </w:rPr>
      </w:pPr>
    </w:p>
    <w:p w14:paraId="7DE92D31" w14:textId="77777777" w:rsidR="00BF1F77" w:rsidRPr="003213C1" w:rsidRDefault="00BF1F77" w:rsidP="003213C1">
      <w:pPr>
        <w:spacing w:line="360" w:lineRule="auto"/>
        <w:rPr>
          <w:rFonts w:asciiTheme="majorBidi" w:hAnsiTheme="majorBidi" w:cstheme="majorBidi"/>
          <w:b/>
          <w:bCs/>
        </w:rPr>
      </w:pPr>
    </w:p>
    <w:p w14:paraId="0C583EE8" w14:textId="77777777" w:rsidR="00BF1F77" w:rsidRPr="003213C1" w:rsidRDefault="00BF1F77" w:rsidP="003213C1">
      <w:pPr>
        <w:spacing w:line="360" w:lineRule="auto"/>
        <w:rPr>
          <w:rFonts w:asciiTheme="majorBidi" w:hAnsiTheme="majorBidi" w:cstheme="majorBidi"/>
          <w:b/>
          <w:bCs/>
        </w:rPr>
      </w:pPr>
    </w:p>
    <w:p w14:paraId="5B92051A" w14:textId="77777777" w:rsidR="00074242" w:rsidRDefault="00074242" w:rsidP="00600D07">
      <w:pPr>
        <w:rPr>
          <w:rFonts w:asciiTheme="majorBidi" w:hAnsiTheme="majorBidi" w:cstheme="majorBidi"/>
          <w:b/>
          <w:bCs/>
        </w:rPr>
      </w:pPr>
    </w:p>
    <w:p w14:paraId="5B230F16" w14:textId="77777777" w:rsidR="00074242" w:rsidRDefault="00074242" w:rsidP="00600D07">
      <w:pPr>
        <w:rPr>
          <w:rFonts w:asciiTheme="majorBidi" w:hAnsiTheme="majorBidi" w:cstheme="majorBidi"/>
          <w:b/>
          <w:bCs/>
        </w:rPr>
      </w:pPr>
    </w:p>
    <w:p w14:paraId="797D99E4" w14:textId="77777777" w:rsidR="00074242" w:rsidRDefault="00074242" w:rsidP="00600D07">
      <w:pPr>
        <w:rPr>
          <w:rFonts w:asciiTheme="majorBidi" w:hAnsiTheme="majorBidi" w:cstheme="majorBidi"/>
          <w:b/>
          <w:bCs/>
        </w:rPr>
      </w:pPr>
    </w:p>
    <w:p w14:paraId="3CDD6A6B" w14:textId="77777777" w:rsidR="00074242" w:rsidRDefault="00074242" w:rsidP="00600D07">
      <w:pPr>
        <w:rPr>
          <w:rFonts w:asciiTheme="majorBidi" w:hAnsiTheme="majorBidi" w:cstheme="majorBidi"/>
          <w:b/>
          <w:bCs/>
        </w:rPr>
      </w:pPr>
    </w:p>
    <w:p w14:paraId="12A32A71" w14:textId="77777777" w:rsidR="00074242" w:rsidRDefault="00074242" w:rsidP="00600D07">
      <w:pPr>
        <w:rPr>
          <w:rFonts w:asciiTheme="majorBidi" w:hAnsiTheme="majorBidi" w:cstheme="majorBidi"/>
          <w:b/>
          <w:bCs/>
        </w:rPr>
      </w:pPr>
    </w:p>
    <w:p w14:paraId="4BA12319" w14:textId="77777777" w:rsidR="00074242" w:rsidRDefault="00074242" w:rsidP="00600D07">
      <w:pPr>
        <w:rPr>
          <w:rFonts w:asciiTheme="majorBidi" w:hAnsiTheme="majorBidi" w:cstheme="majorBidi"/>
          <w:b/>
          <w:bCs/>
        </w:rPr>
      </w:pPr>
    </w:p>
    <w:p w14:paraId="5E5EE8AB" w14:textId="77777777" w:rsidR="00074242" w:rsidRDefault="00074242" w:rsidP="00600D07">
      <w:pPr>
        <w:rPr>
          <w:rFonts w:asciiTheme="majorBidi" w:hAnsiTheme="majorBidi" w:cstheme="majorBidi"/>
          <w:b/>
          <w:bCs/>
        </w:rPr>
      </w:pPr>
    </w:p>
    <w:p w14:paraId="7374636E" w14:textId="77777777" w:rsidR="00074242" w:rsidRDefault="00074242" w:rsidP="00600D07">
      <w:pPr>
        <w:rPr>
          <w:rFonts w:asciiTheme="majorBidi" w:hAnsiTheme="majorBidi" w:cstheme="majorBidi"/>
          <w:b/>
          <w:bCs/>
        </w:rPr>
      </w:pPr>
    </w:p>
    <w:p w14:paraId="4982F76E" w14:textId="77777777" w:rsidR="00074242" w:rsidRDefault="00074242" w:rsidP="00600D07">
      <w:pPr>
        <w:rPr>
          <w:rFonts w:asciiTheme="majorBidi" w:hAnsiTheme="majorBidi" w:cstheme="majorBidi"/>
          <w:b/>
          <w:bCs/>
        </w:rPr>
      </w:pPr>
    </w:p>
    <w:p w14:paraId="299219F7" w14:textId="23C439CD" w:rsidR="008C6F4D" w:rsidRPr="00E63BC0" w:rsidRDefault="00600D07" w:rsidP="00E63BC0">
      <w:pPr>
        <w:rPr>
          <w:rFonts w:asciiTheme="majorBidi" w:hAnsiTheme="majorBidi" w:cstheme="majorBidi"/>
        </w:rPr>
      </w:pPr>
      <w:r w:rsidRPr="00E63BC0">
        <w:rPr>
          <w:rFonts w:asciiTheme="majorBidi" w:hAnsiTheme="majorBidi" w:cstheme="majorBidi"/>
        </w:rPr>
        <w:lastRenderedPageBreak/>
        <w:t>Table 3</w:t>
      </w:r>
      <w:r w:rsidR="00E63BC0" w:rsidRPr="00E63BC0">
        <w:rPr>
          <w:rFonts w:asciiTheme="majorBidi" w:hAnsiTheme="majorBidi" w:cstheme="majorBidi"/>
        </w:rPr>
        <w:t xml:space="preserve">: </w:t>
      </w:r>
      <w:r w:rsidRPr="00E63BC0">
        <w:rPr>
          <w:rFonts w:asciiTheme="majorBidi" w:hAnsiTheme="majorBidi" w:cstheme="majorBidi"/>
        </w:rPr>
        <w:t>Illustrative participant quotations supporting thematic findings</w:t>
      </w:r>
    </w:p>
    <w:tbl>
      <w:tblPr>
        <w:tblpPr w:leftFromText="180" w:rightFromText="180" w:vertAnchor="page" w:horzAnchor="margin" w:tblpY="2726"/>
        <w:tblW w:w="0" w:type="auto"/>
        <w:tblCellSpacing w:w="15" w:type="dxa"/>
        <w:tblCellMar>
          <w:top w:w="15" w:type="dxa"/>
          <w:left w:w="15" w:type="dxa"/>
          <w:bottom w:w="15" w:type="dxa"/>
          <w:right w:w="15" w:type="dxa"/>
        </w:tblCellMar>
        <w:tblLook w:val="04A0" w:firstRow="1" w:lastRow="0" w:firstColumn="1" w:lastColumn="0" w:noHBand="0" w:noVBand="1"/>
      </w:tblPr>
      <w:tblGrid>
        <w:gridCol w:w="1967"/>
        <w:gridCol w:w="2136"/>
        <w:gridCol w:w="3314"/>
        <w:gridCol w:w="1609"/>
      </w:tblGrid>
      <w:tr w:rsidR="00E63BC0" w:rsidRPr="008C6F4D" w14:paraId="56847FB9" w14:textId="77777777" w:rsidTr="00E63BC0">
        <w:trPr>
          <w:tblHeader/>
          <w:tblCellSpacing w:w="15" w:type="dxa"/>
        </w:trPr>
        <w:tc>
          <w:tcPr>
            <w:tcW w:w="0" w:type="auto"/>
            <w:vAlign w:val="center"/>
            <w:hideMark/>
          </w:tcPr>
          <w:p w14:paraId="5C9573D3" w14:textId="77777777" w:rsidR="00E63BC0" w:rsidRPr="008C6F4D" w:rsidRDefault="00E63BC0" w:rsidP="00E63BC0">
            <w:pPr>
              <w:spacing w:after="0" w:line="240" w:lineRule="auto"/>
              <w:jc w:val="center"/>
              <w:rPr>
                <w:rFonts w:ascii="Times New Roman" w:eastAsia="Times New Roman" w:hAnsi="Times New Roman" w:cs="Times New Roman"/>
                <w:b/>
                <w:bCs/>
                <w:kern w:val="0"/>
                <w:lang w:eastAsia="en-GB"/>
                <w14:ligatures w14:val="none"/>
              </w:rPr>
            </w:pPr>
            <w:r w:rsidRPr="008C6F4D">
              <w:rPr>
                <w:rFonts w:ascii="Times New Roman" w:eastAsia="Times New Roman" w:hAnsi="Times New Roman" w:cs="Times New Roman"/>
                <w:b/>
                <w:bCs/>
                <w:kern w:val="0"/>
                <w:lang w:eastAsia="en-GB"/>
                <w14:ligatures w14:val="none"/>
              </w:rPr>
              <w:t>Theme</w:t>
            </w:r>
          </w:p>
        </w:tc>
        <w:tc>
          <w:tcPr>
            <w:tcW w:w="0" w:type="auto"/>
            <w:vAlign w:val="center"/>
            <w:hideMark/>
          </w:tcPr>
          <w:p w14:paraId="6C89493B" w14:textId="77777777" w:rsidR="00E63BC0" w:rsidRPr="008C6F4D" w:rsidRDefault="00E63BC0" w:rsidP="00E63BC0">
            <w:pPr>
              <w:spacing w:after="0" w:line="240" w:lineRule="auto"/>
              <w:jc w:val="right"/>
              <w:rPr>
                <w:rFonts w:ascii="Times New Roman" w:eastAsia="Times New Roman" w:hAnsi="Times New Roman" w:cs="Times New Roman"/>
                <w:b/>
                <w:bCs/>
                <w:kern w:val="0"/>
                <w:lang w:eastAsia="en-GB"/>
                <w14:ligatures w14:val="none"/>
              </w:rPr>
            </w:pPr>
            <w:r w:rsidRPr="008C6F4D">
              <w:rPr>
                <w:rFonts w:ascii="Times New Roman" w:eastAsia="Times New Roman" w:hAnsi="Times New Roman" w:cs="Times New Roman"/>
                <w:b/>
                <w:bCs/>
                <w:kern w:val="0"/>
                <w:lang w:eastAsia="en-GB"/>
                <w14:ligatures w14:val="none"/>
              </w:rPr>
              <w:t>Subtheme</w:t>
            </w:r>
          </w:p>
        </w:tc>
        <w:tc>
          <w:tcPr>
            <w:tcW w:w="0" w:type="auto"/>
            <w:vAlign w:val="center"/>
            <w:hideMark/>
          </w:tcPr>
          <w:p w14:paraId="69CB5CA2" w14:textId="77777777" w:rsidR="00E63BC0" w:rsidRPr="008C6F4D" w:rsidRDefault="00E63BC0" w:rsidP="00E63BC0">
            <w:pPr>
              <w:spacing w:after="0" w:line="240" w:lineRule="auto"/>
              <w:jc w:val="center"/>
              <w:rPr>
                <w:rFonts w:ascii="Times New Roman" w:eastAsia="Times New Roman" w:hAnsi="Times New Roman" w:cs="Times New Roman"/>
                <w:b/>
                <w:bCs/>
                <w:kern w:val="0"/>
                <w:lang w:eastAsia="en-GB"/>
                <w14:ligatures w14:val="none"/>
              </w:rPr>
            </w:pPr>
            <w:r w:rsidRPr="008C6F4D">
              <w:rPr>
                <w:rFonts w:ascii="Times New Roman" w:eastAsia="Times New Roman" w:hAnsi="Times New Roman" w:cs="Times New Roman"/>
                <w:b/>
                <w:bCs/>
                <w:kern w:val="0"/>
                <w:lang w:eastAsia="en-GB"/>
                <w14:ligatures w14:val="none"/>
              </w:rPr>
              <w:t>Illustrative quote</w:t>
            </w:r>
          </w:p>
        </w:tc>
        <w:tc>
          <w:tcPr>
            <w:tcW w:w="0" w:type="auto"/>
            <w:vAlign w:val="center"/>
            <w:hideMark/>
          </w:tcPr>
          <w:p w14:paraId="39ADAAF6" w14:textId="77777777" w:rsidR="00E63BC0" w:rsidRPr="008C6F4D" w:rsidRDefault="00E63BC0" w:rsidP="00E63BC0">
            <w:pPr>
              <w:spacing w:after="0" w:line="240" w:lineRule="auto"/>
              <w:jc w:val="center"/>
              <w:rPr>
                <w:rFonts w:ascii="Times New Roman" w:eastAsia="Times New Roman" w:hAnsi="Times New Roman" w:cs="Times New Roman"/>
                <w:b/>
                <w:bCs/>
                <w:kern w:val="0"/>
                <w:lang w:eastAsia="en-GB"/>
                <w14:ligatures w14:val="none"/>
              </w:rPr>
            </w:pPr>
            <w:r w:rsidRPr="008C6F4D">
              <w:rPr>
                <w:rFonts w:ascii="Times New Roman" w:eastAsia="Times New Roman" w:hAnsi="Times New Roman" w:cs="Times New Roman"/>
                <w:b/>
                <w:bCs/>
                <w:kern w:val="0"/>
                <w:lang w:eastAsia="en-GB"/>
                <w14:ligatures w14:val="none"/>
              </w:rPr>
              <w:t>Study</w:t>
            </w:r>
          </w:p>
        </w:tc>
      </w:tr>
      <w:tr w:rsidR="00E63BC0" w:rsidRPr="008C6F4D" w14:paraId="30C9EAED" w14:textId="77777777" w:rsidTr="00E63BC0">
        <w:trPr>
          <w:tblCellSpacing w:w="15" w:type="dxa"/>
        </w:trPr>
        <w:tc>
          <w:tcPr>
            <w:tcW w:w="0" w:type="auto"/>
            <w:vAlign w:val="center"/>
            <w:hideMark/>
          </w:tcPr>
          <w:p w14:paraId="3424CCAD"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Family therapy as both supportive and restrictive</w:t>
            </w:r>
          </w:p>
        </w:tc>
        <w:tc>
          <w:tcPr>
            <w:tcW w:w="0" w:type="auto"/>
            <w:vAlign w:val="center"/>
            <w:hideMark/>
          </w:tcPr>
          <w:p w14:paraId="02CCD4FB" w14:textId="77777777" w:rsidR="00E63BC0" w:rsidRPr="008C6F4D" w:rsidRDefault="00E63BC0" w:rsidP="00E63BC0">
            <w:pPr>
              <w:spacing w:after="0" w:line="240" w:lineRule="auto"/>
              <w:jc w:val="right"/>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Parental support as necessary for recovery</w:t>
            </w:r>
          </w:p>
        </w:tc>
        <w:tc>
          <w:tcPr>
            <w:tcW w:w="0" w:type="auto"/>
            <w:vAlign w:val="center"/>
            <w:hideMark/>
          </w:tcPr>
          <w:p w14:paraId="2531F810" w14:textId="77777777" w:rsidR="00005FBF" w:rsidRDefault="00005FBF" w:rsidP="00E63BC0">
            <w:pPr>
              <w:spacing w:after="0" w:line="240" w:lineRule="auto"/>
              <w:rPr>
                <w:rFonts w:ascii="Times New Roman" w:eastAsia="Times New Roman" w:hAnsi="Times New Roman" w:cs="Times New Roman"/>
                <w:i/>
                <w:iCs/>
                <w:kern w:val="0"/>
                <w:lang w:eastAsia="en-GB"/>
                <w14:ligatures w14:val="none"/>
              </w:rPr>
            </w:pPr>
          </w:p>
          <w:p w14:paraId="07134348" w14:textId="17B3E4AF"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i/>
                <w:iCs/>
                <w:kern w:val="0"/>
                <w:lang w:eastAsia="en-GB"/>
                <w14:ligatures w14:val="none"/>
              </w:rPr>
              <w:t xml:space="preserve">“The unwavering support of my parents… I </w:t>
            </w:r>
            <w:proofErr w:type="gramStart"/>
            <w:r w:rsidRPr="008C6F4D">
              <w:rPr>
                <w:rFonts w:ascii="Times New Roman" w:eastAsia="Times New Roman" w:hAnsi="Times New Roman" w:cs="Times New Roman"/>
                <w:i/>
                <w:iCs/>
                <w:kern w:val="0"/>
                <w:lang w:eastAsia="en-GB"/>
                <w14:ligatures w14:val="none"/>
              </w:rPr>
              <w:t>definitely would</w:t>
            </w:r>
            <w:proofErr w:type="gramEnd"/>
            <w:r w:rsidRPr="008C6F4D">
              <w:rPr>
                <w:rFonts w:ascii="Times New Roman" w:eastAsia="Times New Roman" w:hAnsi="Times New Roman" w:cs="Times New Roman"/>
                <w:i/>
                <w:iCs/>
                <w:kern w:val="0"/>
                <w:lang w:eastAsia="en-GB"/>
                <w14:ligatures w14:val="none"/>
              </w:rPr>
              <w:t xml:space="preserve"> not ever have been able to do that without someone else.”</w:t>
            </w:r>
          </w:p>
        </w:tc>
        <w:tc>
          <w:tcPr>
            <w:tcW w:w="0" w:type="auto"/>
            <w:vAlign w:val="center"/>
            <w:hideMark/>
          </w:tcPr>
          <w:p w14:paraId="0908C713"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Gao et al. (2025)</w:t>
            </w:r>
          </w:p>
        </w:tc>
      </w:tr>
      <w:tr w:rsidR="00E63BC0" w:rsidRPr="008C6F4D" w14:paraId="3EF08E0D" w14:textId="77777777" w:rsidTr="00E63BC0">
        <w:trPr>
          <w:tblCellSpacing w:w="15" w:type="dxa"/>
        </w:trPr>
        <w:tc>
          <w:tcPr>
            <w:tcW w:w="0" w:type="auto"/>
            <w:vAlign w:val="center"/>
            <w:hideMark/>
          </w:tcPr>
          <w:p w14:paraId="4D46582C"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Family therapy as both supportive and restrictive</w:t>
            </w:r>
          </w:p>
        </w:tc>
        <w:tc>
          <w:tcPr>
            <w:tcW w:w="0" w:type="auto"/>
            <w:vAlign w:val="center"/>
            <w:hideMark/>
          </w:tcPr>
          <w:p w14:paraId="1EB16D46" w14:textId="77777777" w:rsidR="00E63BC0" w:rsidRPr="008C6F4D" w:rsidRDefault="00E63BC0" w:rsidP="00E63BC0">
            <w:pPr>
              <w:spacing w:after="0" w:line="240" w:lineRule="auto"/>
              <w:jc w:val="right"/>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Reduced autonomy and loss of agency</w:t>
            </w:r>
          </w:p>
        </w:tc>
        <w:tc>
          <w:tcPr>
            <w:tcW w:w="0" w:type="auto"/>
            <w:vAlign w:val="center"/>
            <w:hideMark/>
          </w:tcPr>
          <w:p w14:paraId="5619B0DD" w14:textId="77777777" w:rsidR="00005FBF" w:rsidRDefault="00005FBF" w:rsidP="00E63BC0">
            <w:pPr>
              <w:spacing w:after="0" w:line="240" w:lineRule="auto"/>
              <w:rPr>
                <w:rFonts w:ascii="Times New Roman" w:eastAsia="Times New Roman" w:hAnsi="Times New Roman" w:cs="Times New Roman"/>
                <w:i/>
                <w:iCs/>
                <w:kern w:val="0"/>
                <w:lang w:eastAsia="en-GB"/>
                <w14:ligatures w14:val="none"/>
              </w:rPr>
            </w:pPr>
          </w:p>
          <w:p w14:paraId="17B9CF61" w14:textId="7BE3329D"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i/>
                <w:iCs/>
                <w:kern w:val="0"/>
                <w:lang w:eastAsia="en-GB"/>
                <w14:ligatures w14:val="none"/>
              </w:rPr>
              <w:t>“I didn't really have a choice… I didn't get to make that relationship with food.”</w:t>
            </w:r>
          </w:p>
        </w:tc>
        <w:tc>
          <w:tcPr>
            <w:tcW w:w="0" w:type="auto"/>
            <w:vAlign w:val="center"/>
            <w:hideMark/>
          </w:tcPr>
          <w:p w14:paraId="4E557183"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Gao et al. (2025)</w:t>
            </w:r>
          </w:p>
        </w:tc>
      </w:tr>
      <w:tr w:rsidR="00E63BC0" w:rsidRPr="008C6F4D" w14:paraId="24F4A4D3" w14:textId="77777777" w:rsidTr="00E63BC0">
        <w:trPr>
          <w:tblCellSpacing w:w="15" w:type="dxa"/>
        </w:trPr>
        <w:tc>
          <w:tcPr>
            <w:tcW w:w="0" w:type="auto"/>
            <w:vAlign w:val="center"/>
            <w:hideMark/>
          </w:tcPr>
          <w:p w14:paraId="2D864BEF"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Family therapy as both supportive and restrictive</w:t>
            </w:r>
          </w:p>
        </w:tc>
        <w:tc>
          <w:tcPr>
            <w:tcW w:w="0" w:type="auto"/>
            <w:vAlign w:val="center"/>
            <w:hideMark/>
          </w:tcPr>
          <w:p w14:paraId="141BE70B" w14:textId="77777777" w:rsidR="00E63BC0" w:rsidRPr="008C6F4D" w:rsidRDefault="00E63BC0" w:rsidP="00E63BC0">
            <w:pPr>
              <w:spacing w:after="0" w:line="240" w:lineRule="auto"/>
              <w:jc w:val="right"/>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Recovery following “someone else’s roadmap”</w:t>
            </w:r>
          </w:p>
        </w:tc>
        <w:tc>
          <w:tcPr>
            <w:tcW w:w="0" w:type="auto"/>
            <w:vAlign w:val="center"/>
            <w:hideMark/>
          </w:tcPr>
          <w:p w14:paraId="0D7B54F6" w14:textId="32A2E3A1"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i/>
                <w:iCs/>
                <w:kern w:val="0"/>
                <w:lang w:eastAsia="en-GB"/>
                <w14:ligatures w14:val="none"/>
              </w:rPr>
              <w:t>“Somebody else’s roadmap.”</w:t>
            </w:r>
          </w:p>
        </w:tc>
        <w:tc>
          <w:tcPr>
            <w:tcW w:w="0" w:type="auto"/>
            <w:vAlign w:val="center"/>
            <w:hideMark/>
          </w:tcPr>
          <w:p w14:paraId="4F770B2D"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Conti et al. (2017)</w:t>
            </w:r>
          </w:p>
        </w:tc>
      </w:tr>
      <w:tr w:rsidR="00E63BC0" w:rsidRPr="008C6F4D" w14:paraId="1E26BD6B" w14:textId="77777777" w:rsidTr="00E63BC0">
        <w:trPr>
          <w:tblCellSpacing w:w="15" w:type="dxa"/>
        </w:trPr>
        <w:tc>
          <w:tcPr>
            <w:tcW w:w="0" w:type="auto"/>
            <w:vAlign w:val="center"/>
            <w:hideMark/>
          </w:tcPr>
          <w:p w14:paraId="58640692"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Family relationships changed through treatment</w:t>
            </w:r>
          </w:p>
        </w:tc>
        <w:tc>
          <w:tcPr>
            <w:tcW w:w="0" w:type="auto"/>
            <w:vAlign w:val="center"/>
            <w:hideMark/>
          </w:tcPr>
          <w:p w14:paraId="113C7DEE" w14:textId="77777777" w:rsidR="00005FBF" w:rsidRDefault="00005FBF" w:rsidP="00E63BC0">
            <w:pPr>
              <w:spacing w:after="0" w:line="240" w:lineRule="auto"/>
              <w:jc w:val="right"/>
              <w:rPr>
                <w:rFonts w:ascii="Times New Roman" w:eastAsia="Times New Roman" w:hAnsi="Times New Roman" w:cs="Times New Roman"/>
                <w:kern w:val="0"/>
                <w:lang w:eastAsia="en-GB"/>
                <w14:ligatures w14:val="none"/>
              </w:rPr>
            </w:pPr>
          </w:p>
          <w:p w14:paraId="105CF9AA" w14:textId="561F7E48" w:rsidR="00E63BC0" w:rsidRPr="008C6F4D" w:rsidRDefault="00E63BC0" w:rsidP="00E63BC0">
            <w:pPr>
              <w:spacing w:after="0" w:line="240" w:lineRule="auto"/>
              <w:jc w:val="right"/>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Improved understanding and communication</w:t>
            </w:r>
          </w:p>
        </w:tc>
        <w:tc>
          <w:tcPr>
            <w:tcW w:w="0" w:type="auto"/>
            <w:vAlign w:val="center"/>
            <w:hideMark/>
          </w:tcPr>
          <w:p w14:paraId="59E2B471"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i/>
                <w:iCs/>
                <w:kern w:val="0"/>
                <w:lang w:eastAsia="en-GB"/>
                <w14:ligatures w14:val="none"/>
              </w:rPr>
              <w:t>“It helped because it felt like we were doing it together.”</w:t>
            </w:r>
          </w:p>
        </w:tc>
        <w:tc>
          <w:tcPr>
            <w:tcW w:w="0" w:type="auto"/>
            <w:vAlign w:val="center"/>
            <w:hideMark/>
          </w:tcPr>
          <w:p w14:paraId="69312A0A"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Gao et al. (2025)</w:t>
            </w:r>
          </w:p>
        </w:tc>
      </w:tr>
      <w:tr w:rsidR="00E63BC0" w:rsidRPr="008C6F4D" w14:paraId="23793BA6" w14:textId="77777777" w:rsidTr="00E63BC0">
        <w:trPr>
          <w:tblCellSpacing w:w="15" w:type="dxa"/>
        </w:trPr>
        <w:tc>
          <w:tcPr>
            <w:tcW w:w="0" w:type="auto"/>
            <w:vAlign w:val="center"/>
            <w:hideMark/>
          </w:tcPr>
          <w:p w14:paraId="4F3D680B"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Family relationships changed through treatment</w:t>
            </w:r>
          </w:p>
        </w:tc>
        <w:tc>
          <w:tcPr>
            <w:tcW w:w="0" w:type="auto"/>
            <w:vAlign w:val="center"/>
            <w:hideMark/>
          </w:tcPr>
          <w:p w14:paraId="01CD545A" w14:textId="77777777" w:rsidR="00E63BC0" w:rsidRPr="008C6F4D" w:rsidRDefault="00E63BC0" w:rsidP="00E63BC0">
            <w:pPr>
              <w:spacing w:after="0" w:line="240" w:lineRule="auto"/>
              <w:jc w:val="right"/>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Increased family conflict</w:t>
            </w:r>
          </w:p>
        </w:tc>
        <w:tc>
          <w:tcPr>
            <w:tcW w:w="0" w:type="auto"/>
            <w:vAlign w:val="center"/>
            <w:hideMark/>
          </w:tcPr>
          <w:p w14:paraId="3D29B8D1"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i/>
                <w:iCs/>
                <w:kern w:val="0"/>
                <w:lang w:eastAsia="en-GB"/>
                <w14:ligatures w14:val="none"/>
              </w:rPr>
              <w:t>“It made a lot more arguments.”</w:t>
            </w:r>
          </w:p>
        </w:tc>
        <w:tc>
          <w:tcPr>
            <w:tcW w:w="0" w:type="auto"/>
            <w:vAlign w:val="center"/>
            <w:hideMark/>
          </w:tcPr>
          <w:p w14:paraId="04A405A5"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Gao et al. (2025)</w:t>
            </w:r>
          </w:p>
        </w:tc>
      </w:tr>
      <w:tr w:rsidR="00E63BC0" w:rsidRPr="008C6F4D" w14:paraId="5F668665" w14:textId="77777777" w:rsidTr="00E63BC0">
        <w:trPr>
          <w:tblCellSpacing w:w="15" w:type="dxa"/>
        </w:trPr>
        <w:tc>
          <w:tcPr>
            <w:tcW w:w="0" w:type="auto"/>
            <w:vAlign w:val="center"/>
            <w:hideMark/>
          </w:tcPr>
          <w:p w14:paraId="7CF20553"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Recovery extended beyond weight restoration</w:t>
            </w:r>
          </w:p>
        </w:tc>
        <w:tc>
          <w:tcPr>
            <w:tcW w:w="0" w:type="auto"/>
            <w:vAlign w:val="center"/>
            <w:hideMark/>
          </w:tcPr>
          <w:p w14:paraId="6BC33FEE" w14:textId="77777777" w:rsidR="00E63BC0" w:rsidRPr="008C6F4D" w:rsidRDefault="00E63BC0" w:rsidP="00E63BC0">
            <w:pPr>
              <w:spacing w:after="0" w:line="240" w:lineRule="auto"/>
              <w:jc w:val="right"/>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Recovery as emotional freedom</w:t>
            </w:r>
          </w:p>
        </w:tc>
        <w:tc>
          <w:tcPr>
            <w:tcW w:w="0" w:type="auto"/>
            <w:vAlign w:val="center"/>
            <w:hideMark/>
          </w:tcPr>
          <w:p w14:paraId="3C787430"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i/>
                <w:iCs/>
                <w:kern w:val="0"/>
                <w:lang w:eastAsia="en-GB"/>
                <w14:ligatures w14:val="none"/>
              </w:rPr>
              <w:t>“Recovery is when you stop constantly thinking about food.”</w:t>
            </w:r>
          </w:p>
        </w:tc>
        <w:tc>
          <w:tcPr>
            <w:tcW w:w="0" w:type="auto"/>
            <w:vAlign w:val="center"/>
            <w:hideMark/>
          </w:tcPr>
          <w:p w14:paraId="740E3079"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Gao et al. (2025)</w:t>
            </w:r>
          </w:p>
        </w:tc>
      </w:tr>
      <w:tr w:rsidR="00E63BC0" w:rsidRPr="008C6F4D" w14:paraId="469CDB2B" w14:textId="77777777" w:rsidTr="00E63BC0">
        <w:trPr>
          <w:tblCellSpacing w:w="15" w:type="dxa"/>
        </w:trPr>
        <w:tc>
          <w:tcPr>
            <w:tcW w:w="0" w:type="auto"/>
            <w:vAlign w:val="center"/>
            <w:hideMark/>
          </w:tcPr>
          <w:p w14:paraId="7B3EB504"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Recovery extended beyond weight restoration</w:t>
            </w:r>
          </w:p>
        </w:tc>
        <w:tc>
          <w:tcPr>
            <w:tcW w:w="0" w:type="auto"/>
            <w:vAlign w:val="center"/>
            <w:hideMark/>
          </w:tcPr>
          <w:p w14:paraId="2FB362F9" w14:textId="77777777" w:rsidR="00E63BC0" w:rsidRPr="008C6F4D" w:rsidRDefault="00E63BC0" w:rsidP="00E63BC0">
            <w:pPr>
              <w:spacing w:after="0" w:line="240" w:lineRule="auto"/>
              <w:jc w:val="right"/>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Developmental recovery and identity</w:t>
            </w:r>
          </w:p>
        </w:tc>
        <w:tc>
          <w:tcPr>
            <w:tcW w:w="0" w:type="auto"/>
            <w:vAlign w:val="center"/>
            <w:hideMark/>
          </w:tcPr>
          <w:p w14:paraId="0FE8C280"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i/>
                <w:iCs/>
                <w:kern w:val="0"/>
                <w:lang w:eastAsia="en-GB"/>
                <w14:ligatures w14:val="none"/>
              </w:rPr>
              <w:t>“They continued to develop and I was still kind of stuck.”</w:t>
            </w:r>
          </w:p>
        </w:tc>
        <w:tc>
          <w:tcPr>
            <w:tcW w:w="0" w:type="auto"/>
            <w:vAlign w:val="center"/>
            <w:hideMark/>
          </w:tcPr>
          <w:p w14:paraId="6F7A6C62"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Medway et al. (2019)</w:t>
            </w:r>
          </w:p>
        </w:tc>
      </w:tr>
      <w:tr w:rsidR="00E63BC0" w:rsidRPr="008C6F4D" w14:paraId="4BC73CBA" w14:textId="77777777" w:rsidTr="00E63BC0">
        <w:trPr>
          <w:tblCellSpacing w:w="15" w:type="dxa"/>
        </w:trPr>
        <w:tc>
          <w:tcPr>
            <w:tcW w:w="0" w:type="auto"/>
            <w:vAlign w:val="center"/>
            <w:hideMark/>
          </w:tcPr>
          <w:p w14:paraId="0A90EC4C"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Social connection and peer support</w:t>
            </w:r>
          </w:p>
        </w:tc>
        <w:tc>
          <w:tcPr>
            <w:tcW w:w="0" w:type="auto"/>
            <w:vAlign w:val="center"/>
            <w:hideMark/>
          </w:tcPr>
          <w:p w14:paraId="74C5D3C2" w14:textId="77777777" w:rsidR="00E63BC0" w:rsidRPr="008C6F4D" w:rsidRDefault="00E63BC0" w:rsidP="00E63BC0">
            <w:pPr>
              <w:spacing w:after="0" w:line="240" w:lineRule="auto"/>
              <w:jc w:val="right"/>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Shared lived experience reduces isolation</w:t>
            </w:r>
          </w:p>
        </w:tc>
        <w:tc>
          <w:tcPr>
            <w:tcW w:w="0" w:type="auto"/>
            <w:vAlign w:val="center"/>
            <w:hideMark/>
          </w:tcPr>
          <w:p w14:paraId="6459A380"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i/>
                <w:iCs/>
                <w:kern w:val="0"/>
                <w:lang w:eastAsia="en-GB"/>
                <w14:ligatures w14:val="none"/>
              </w:rPr>
              <w:t>“Having a relationship with someone who's recovered would have been pretty cool.”</w:t>
            </w:r>
          </w:p>
        </w:tc>
        <w:tc>
          <w:tcPr>
            <w:tcW w:w="0" w:type="auto"/>
            <w:vAlign w:val="center"/>
            <w:hideMark/>
          </w:tcPr>
          <w:p w14:paraId="5DE2403D"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Gao et al. (2025)</w:t>
            </w:r>
          </w:p>
        </w:tc>
      </w:tr>
      <w:tr w:rsidR="00E63BC0" w:rsidRPr="008C6F4D" w14:paraId="2B8DE999" w14:textId="77777777" w:rsidTr="00E63BC0">
        <w:trPr>
          <w:tblCellSpacing w:w="15" w:type="dxa"/>
        </w:trPr>
        <w:tc>
          <w:tcPr>
            <w:tcW w:w="0" w:type="auto"/>
            <w:vAlign w:val="center"/>
            <w:hideMark/>
          </w:tcPr>
          <w:p w14:paraId="357179DF"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Social connection and peer support</w:t>
            </w:r>
          </w:p>
        </w:tc>
        <w:tc>
          <w:tcPr>
            <w:tcW w:w="0" w:type="auto"/>
            <w:vAlign w:val="center"/>
            <w:hideMark/>
          </w:tcPr>
          <w:p w14:paraId="5D5D32BB" w14:textId="77777777" w:rsidR="00E63BC0" w:rsidRPr="008C6F4D" w:rsidRDefault="00E63BC0" w:rsidP="00E63BC0">
            <w:pPr>
              <w:spacing w:after="0" w:line="240" w:lineRule="auto"/>
              <w:jc w:val="right"/>
              <w:rPr>
                <w:rFonts w:ascii="Times New Roman" w:eastAsia="Times New Roman" w:hAnsi="Times New Roman" w:cs="Times New Roman"/>
                <w:kern w:val="0"/>
                <w:lang w:eastAsia="en-GB"/>
                <w14:ligatures w14:val="none"/>
              </w:rPr>
            </w:pPr>
            <w:r w:rsidRPr="008C6F4D">
              <w:rPr>
                <w:rFonts w:ascii="Times New Roman" w:eastAsia="Times New Roman" w:hAnsi="Times New Roman" w:cs="Times New Roman"/>
                <w:kern w:val="0"/>
                <w:lang w:eastAsia="en-GB"/>
                <w14:ligatures w14:val="none"/>
              </w:rPr>
              <w:t>Multifamily connection and belonging</w:t>
            </w:r>
          </w:p>
        </w:tc>
        <w:tc>
          <w:tcPr>
            <w:tcW w:w="0" w:type="auto"/>
            <w:vAlign w:val="center"/>
            <w:hideMark/>
          </w:tcPr>
          <w:p w14:paraId="5B701E27"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proofErr w:type="gramStart"/>
            <w:r w:rsidRPr="008C6F4D">
              <w:rPr>
                <w:rFonts w:ascii="Times New Roman" w:eastAsia="Times New Roman" w:hAnsi="Times New Roman" w:cs="Times New Roman"/>
                <w:i/>
                <w:iCs/>
                <w:kern w:val="0"/>
                <w:lang w:eastAsia="en-GB"/>
                <w14:ligatures w14:val="none"/>
              </w:rPr>
              <w:t>“</w:t>
            </w:r>
            <w:r w:rsidRPr="004C3874">
              <w:t xml:space="preserve"> </w:t>
            </w:r>
            <w:r w:rsidRPr="004C3874">
              <w:rPr>
                <w:rFonts w:ascii="Times New Roman" w:eastAsia="Times New Roman" w:hAnsi="Times New Roman" w:cs="Times New Roman"/>
                <w:i/>
                <w:iCs/>
                <w:kern w:val="0"/>
                <w:lang w:eastAsia="en-GB"/>
                <w14:ligatures w14:val="none"/>
              </w:rPr>
              <w:t>It</w:t>
            </w:r>
            <w:proofErr w:type="gramEnd"/>
            <w:r w:rsidRPr="004C3874">
              <w:rPr>
                <w:rFonts w:ascii="Times New Roman" w:eastAsia="Times New Roman" w:hAnsi="Times New Roman" w:cs="Times New Roman"/>
                <w:i/>
                <w:iCs/>
                <w:kern w:val="0"/>
                <w:lang w:eastAsia="en-GB"/>
                <w14:ligatures w14:val="none"/>
              </w:rPr>
              <w:t xml:space="preserve"> was fantastic. It was moving. There were family histories. We became just like one big </w:t>
            </w:r>
            <w:proofErr w:type="gramStart"/>
            <w:r w:rsidRPr="004C3874">
              <w:rPr>
                <w:rFonts w:ascii="Times New Roman" w:eastAsia="Times New Roman" w:hAnsi="Times New Roman" w:cs="Times New Roman"/>
                <w:i/>
                <w:iCs/>
                <w:kern w:val="0"/>
                <w:lang w:eastAsia="en-GB"/>
                <w14:ligatures w14:val="none"/>
              </w:rPr>
              <w:t>family</w:t>
            </w:r>
            <w:proofErr w:type="gramEnd"/>
            <w:r w:rsidRPr="004C3874">
              <w:rPr>
                <w:rFonts w:ascii="Times New Roman" w:eastAsia="Times New Roman" w:hAnsi="Times New Roman" w:cs="Times New Roman"/>
                <w:i/>
                <w:iCs/>
                <w:kern w:val="0"/>
                <w:lang w:eastAsia="en-GB"/>
                <w14:ligatures w14:val="none"/>
              </w:rPr>
              <w:t xml:space="preserve"> and everyone </w:t>
            </w:r>
            <w:proofErr w:type="gramStart"/>
            <w:r w:rsidRPr="004C3874">
              <w:rPr>
                <w:rFonts w:ascii="Times New Roman" w:eastAsia="Times New Roman" w:hAnsi="Times New Roman" w:cs="Times New Roman"/>
                <w:i/>
                <w:iCs/>
                <w:kern w:val="0"/>
                <w:lang w:eastAsia="en-GB"/>
                <w14:ligatures w14:val="none"/>
              </w:rPr>
              <w:t>opened up</w:t>
            </w:r>
            <w:proofErr w:type="gramEnd"/>
            <w:r w:rsidRPr="008C6F4D">
              <w:rPr>
                <w:rFonts w:ascii="Times New Roman" w:eastAsia="Times New Roman" w:hAnsi="Times New Roman" w:cs="Times New Roman"/>
                <w:i/>
                <w:iCs/>
                <w:kern w:val="0"/>
                <w:lang w:eastAsia="en-GB"/>
                <w14:ligatures w14:val="none"/>
              </w:rPr>
              <w:t>.”</w:t>
            </w:r>
          </w:p>
        </w:tc>
        <w:tc>
          <w:tcPr>
            <w:tcW w:w="0" w:type="auto"/>
            <w:vAlign w:val="center"/>
            <w:hideMark/>
          </w:tcPr>
          <w:p w14:paraId="77419F6C" w14:textId="77777777" w:rsidR="00E63BC0" w:rsidRPr="008C6F4D" w:rsidRDefault="00E63BC0" w:rsidP="00E63BC0">
            <w:pPr>
              <w:spacing w:after="0" w:line="240" w:lineRule="auto"/>
              <w:rPr>
                <w:rFonts w:ascii="Times New Roman" w:eastAsia="Times New Roman" w:hAnsi="Times New Roman" w:cs="Times New Roman"/>
                <w:kern w:val="0"/>
                <w:lang w:eastAsia="en-GB"/>
                <w14:ligatures w14:val="none"/>
              </w:rPr>
            </w:pPr>
            <w:proofErr w:type="spellStart"/>
            <w:r w:rsidRPr="008C6F4D">
              <w:rPr>
                <w:rFonts w:ascii="Times New Roman" w:eastAsia="Times New Roman" w:hAnsi="Times New Roman" w:cs="Times New Roman"/>
                <w:kern w:val="0"/>
                <w:lang w:eastAsia="en-GB"/>
                <w14:ligatures w14:val="none"/>
              </w:rPr>
              <w:t>Brinchmann</w:t>
            </w:r>
            <w:proofErr w:type="spellEnd"/>
            <w:r w:rsidRPr="008C6F4D">
              <w:rPr>
                <w:rFonts w:ascii="Times New Roman" w:eastAsia="Times New Roman" w:hAnsi="Times New Roman" w:cs="Times New Roman"/>
                <w:kern w:val="0"/>
                <w:lang w:eastAsia="en-GB"/>
                <w14:ligatures w14:val="none"/>
              </w:rPr>
              <w:t xml:space="preserve"> &amp; </w:t>
            </w:r>
            <w:proofErr w:type="spellStart"/>
            <w:r w:rsidRPr="008C6F4D">
              <w:rPr>
                <w:rFonts w:ascii="Times New Roman" w:eastAsia="Times New Roman" w:hAnsi="Times New Roman" w:cs="Times New Roman"/>
                <w:kern w:val="0"/>
                <w:lang w:eastAsia="en-GB"/>
                <w14:ligatures w14:val="none"/>
              </w:rPr>
              <w:t>Krvavac</w:t>
            </w:r>
            <w:proofErr w:type="spellEnd"/>
            <w:r w:rsidRPr="008C6F4D">
              <w:rPr>
                <w:rFonts w:ascii="Times New Roman" w:eastAsia="Times New Roman" w:hAnsi="Times New Roman" w:cs="Times New Roman"/>
                <w:kern w:val="0"/>
                <w:lang w:eastAsia="en-GB"/>
                <w14:ligatures w14:val="none"/>
              </w:rPr>
              <w:t xml:space="preserve"> (2021)</w:t>
            </w:r>
          </w:p>
        </w:tc>
      </w:tr>
    </w:tbl>
    <w:p w14:paraId="26752AD5" w14:textId="77777777" w:rsidR="004C3874" w:rsidRPr="00E63BC0" w:rsidRDefault="004C3874" w:rsidP="008C6F4D">
      <w:pPr>
        <w:rPr>
          <w:rFonts w:asciiTheme="majorBidi" w:hAnsiTheme="majorBidi" w:cstheme="majorBidi"/>
          <w:b/>
          <w:bCs/>
        </w:rPr>
      </w:pPr>
    </w:p>
    <w:p w14:paraId="005F2873" w14:textId="77777777" w:rsidR="00BF1F77" w:rsidRDefault="00BF1F77" w:rsidP="00BF1F77">
      <w:pPr>
        <w:jc w:val="both"/>
        <w:rPr>
          <w:rFonts w:asciiTheme="majorBidi" w:hAnsiTheme="majorBidi" w:cstheme="majorBidi"/>
          <w:b/>
          <w:bCs/>
        </w:rPr>
      </w:pPr>
    </w:p>
    <w:p w14:paraId="10C6506C" w14:textId="77777777" w:rsidR="006557F2" w:rsidRDefault="006557F2" w:rsidP="003213C1">
      <w:pPr>
        <w:spacing w:line="360" w:lineRule="auto"/>
        <w:jc w:val="both"/>
        <w:rPr>
          <w:rFonts w:asciiTheme="majorBidi" w:hAnsiTheme="majorBidi" w:cstheme="majorBidi"/>
          <w:b/>
          <w:bCs/>
        </w:rPr>
      </w:pPr>
    </w:p>
    <w:p w14:paraId="04920F4D" w14:textId="77777777" w:rsidR="006557F2" w:rsidRDefault="006557F2" w:rsidP="003213C1">
      <w:pPr>
        <w:spacing w:line="360" w:lineRule="auto"/>
        <w:jc w:val="both"/>
        <w:rPr>
          <w:rFonts w:asciiTheme="majorBidi" w:hAnsiTheme="majorBidi" w:cstheme="majorBidi"/>
          <w:b/>
          <w:bCs/>
        </w:rPr>
      </w:pPr>
    </w:p>
    <w:p w14:paraId="1162A796" w14:textId="77777777" w:rsidR="00E63BC0" w:rsidRDefault="00E63BC0" w:rsidP="003213C1">
      <w:pPr>
        <w:spacing w:line="360" w:lineRule="auto"/>
        <w:jc w:val="both"/>
        <w:rPr>
          <w:rFonts w:asciiTheme="majorBidi" w:hAnsiTheme="majorBidi" w:cstheme="majorBidi"/>
          <w:b/>
          <w:bCs/>
        </w:rPr>
      </w:pPr>
    </w:p>
    <w:p w14:paraId="46EB56CC" w14:textId="77777777" w:rsidR="00E63BC0" w:rsidRDefault="00E63BC0" w:rsidP="003213C1">
      <w:pPr>
        <w:spacing w:line="360" w:lineRule="auto"/>
        <w:jc w:val="both"/>
        <w:rPr>
          <w:rFonts w:asciiTheme="majorBidi" w:hAnsiTheme="majorBidi" w:cstheme="majorBidi"/>
          <w:b/>
          <w:bCs/>
        </w:rPr>
      </w:pPr>
    </w:p>
    <w:p w14:paraId="02B065DE" w14:textId="77777777" w:rsidR="00E63BC0" w:rsidRDefault="00E63BC0" w:rsidP="003213C1">
      <w:pPr>
        <w:spacing w:line="360" w:lineRule="auto"/>
        <w:jc w:val="both"/>
        <w:rPr>
          <w:rFonts w:asciiTheme="majorBidi" w:hAnsiTheme="majorBidi" w:cstheme="majorBidi"/>
          <w:b/>
          <w:bCs/>
        </w:rPr>
      </w:pPr>
    </w:p>
    <w:p w14:paraId="285718EA" w14:textId="2307FD6D" w:rsidR="00BF1F77" w:rsidRPr="00BF1F77" w:rsidRDefault="00BF1F77" w:rsidP="003213C1">
      <w:pPr>
        <w:spacing w:line="360" w:lineRule="auto"/>
        <w:jc w:val="both"/>
        <w:rPr>
          <w:rFonts w:asciiTheme="majorBidi" w:hAnsiTheme="majorBidi" w:cstheme="majorBidi"/>
          <w:b/>
          <w:bCs/>
        </w:rPr>
      </w:pPr>
      <w:r>
        <w:rPr>
          <w:rFonts w:asciiTheme="majorBidi" w:hAnsiTheme="majorBidi" w:cstheme="majorBidi"/>
          <w:b/>
          <w:bCs/>
        </w:rPr>
        <w:t>Discussion</w:t>
      </w:r>
    </w:p>
    <w:p w14:paraId="0A1A50A7" w14:textId="49A65C04"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The present systematic literature review aimed to explore the experiences and perceived impacts of family therapy interventions for eating disorders among young people and their families. Across six qualitative studies, findings suggested that experiences of family therapy were complex and often characterised by ambivalence. Although participants frequently described family-based interventions as valuable in supporting weight restoration, strengthening family involvement, and facilitating recovery, they also identified challenges relating to autonomy, emotional well</w:t>
      </w:r>
      <w:r w:rsidR="00005FBF">
        <w:rPr>
          <w:rFonts w:asciiTheme="majorBidi" w:hAnsiTheme="majorBidi" w:cstheme="majorBidi"/>
        </w:rPr>
        <w:t>-</w:t>
      </w:r>
      <w:r w:rsidRPr="008C6F4D">
        <w:rPr>
          <w:rFonts w:asciiTheme="majorBidi" w:hAnsiTheme="majorBidi" w:cstheme="majorBidi"/>
        </w:rPr>
        <w:t>being, developmental needs, and family relationships. Four overarching themes emerged: family therapy as both supportive and restrictive; changes in family relationships and communication; recovery extending beyond weight restoration; and the importance of social connection and peer support. Collectively, these findings suggest that family therapy experiences cannot be understood solely through treatment outcomes such as symptom reduction but instead require consideration of broader psychosocial and relational experiences.</w:t>
      </w:r>
    </w:p>
    <w:p w14:paraId="2E94C32D" w14:textId="2415DC7F"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The first theme highlighted the tension between parental involvement and adolescent autonomy. Across studies, family therapy was frequently viewed as essential in enabling early behavioural recovery, particularly where young people felt unable </w:t>
      </w:r>
      <w:r w:rsidR="004C3874">
        <w:rPr>
          <w:rFonts w:asciiTheme="majorBidi" w:hAnsiTheme="majorBidi" w:cstheme="majorBidi"/>
        </w:rPr>
        <w:t>to challenge eating disorder behaviours independently</w:t>
      </w:r>
      <w:r w:rsidRPr="008C6F4D">
        <w:rPr>
          <w:rFonts w:asciiTheme="majorBidi" w:hAnsiTheme="majorBidi" w:cstheme="majorBidi"/>
        </w:rPr>
        <w:t>. Participants acknowledged that parental support and supervision often represented a necessary aspect of treatment, particularly during severe illness. This finding aligns with the theoretical foundation of Family-Based Treatment (FBT), which positions parents as key agents of change during early intervention (Lock &amp; Le Grange, 201</w:t>
      </w:r>
      <w:r w:rsidR="00685A46">
        <w:rPr>
          <w:rFonts w:asciiTheme="majorBidi" w:hAnsiTheme="majorBidi" w:cstheme="majorBidi"/>
        </w:rPr>
        <w:t>3</w:t>
      </w:r>
      <w:r w:rsidRPr="008C6F4D">
        <w:rPr>
          <w:rFonts w:asciiTheme="majorBidi" w:hAnsiTheme="majorBidi" w:cstheme="majorBidi"/>
        </w:rPr>
        <w:t>).</w:t>
      </w:r>
    </w:p>
    <w:p w14:paraId="1C106B25" w14:textId="59F50CF5"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However, participants also described parental empowerment as restrictive and, at times, developmentally challenging. Young people frequently reported feeling unheard or lacking ownership over treatment decisions. Findings from </w:t>
      </w:r>
      <w:r w:rsidR="008F3E28" w:rsidRPr="008C6F4D">
        <w:rPr>
          <w:rFonts w:asciiTheme="majorBidi" w:hAnsiTheme="majorBidi" w:cstheme="majorBidi"/>
        </w:rPr>
        <w:t xml:space="preserve">Conti et al. (2017), </w:t>
      </w:r>
      <w:r w:rsidRPr="008C6F4D">
        <w:rPr>
          <w:rFonts w:asciiTheme="majorBidi" w:hAnsiTheme="majorBidi" w:cstheme="majorBidi"/>
        </w:rPr>
        <w:t xml:space="preserve">Gao et al. (2025), and Medway et al. (2019) suggested that treatment could create feelings of developmental regression, with adolescents perceiving a reduction in independence and agency. These findings support previous concerns that although parental involvement may initially facilitate physical recovery, it may simultaneously conflict with adolescents’ developmental need for increasing autonomy. Adolescence represents a period characterised </w:t>
      </w:r>
      <w:r w:rsidRPr="008C6F4D">
        <w:rPr>
          <w:rFonts w:asciiTheme="majorBidi" w:hAnsiTheme="majorBidi" w:cstheme="majorBidi"/>
        </w:rPr>
        <w:lastRenderedPageBreak/>
        <w:t>by identity development, growing independence, and social exploration; therefore, treatment approaches that temporarily reduce autonomy may create psychological tensions for some young people</w:t>
      </w:r>
      <w:r w:rsidR="005C04B4">
        <w:rPr>
          <w:rFonts w:asciiTheme="majorBidi" w:hAnsiTheme="majorBidi" w:cstheme="majorBidi"/>
        </w:rPr>
        <w:t xml:space="preserve"> </w:t>
      </w:r>
      <w:r w:rsidR="005C04B4" w:rsidRPr="005C04B4">
        <w:rPr>
          <w:rFonts w:asciiTheme="majorBidi" w:hAnsiTheme="majorBidi" w:cstheme="majorBidi"/>
        </w:rPr>
        <w:t>(Medway et al., 2019)</w:t>
      </w:r>
      <w:r w:rsidR="005C04B4">
        <w:rPr>
          <w:rFonts w:asciiTheme="majorBidi" w:hAnsiTheme="majorBidi" w:cstheme="majorBidi"/>
        </w:rPr>
        <w:t>.</w:t>
      </w:r>
    </w:p>
    <w:p w14:paraId="3CEB1D18" w14:textId="66A8270F"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Importantly, </w:t>
      </w:r>
      <w:r w:rsidR="00BF1F77">
        <w:rPr>
          <w:rFonts w:asciiTheme="majorBidi" w:hAnsiTheme="majorBidi" w:cstheme="majorBidi"/>
        </w:rPr>
        <w:t>these</w:t>
      </w:r>
      <w:r w:rsidRPr="008C6F4D">
        <w:rPr>
          <w:rFonts w:asciiTheme="majorBidi" w:hAnsiTheme="majorBidi" w:cstheme="majorBidi"/>
        </w:rPr>
        <w:t xml:space="preserve"> findings did not suggest that family therapy itself was fundamentally problematic. Rather, participants often expressed ambivalence. Young people simultaneously recognised the necessity of parental support while feeling frustrated by the loss of control associated with treatment. This suggests that treatment experiences may be more accurately understood as dynamic and relational rather than simply positive or negative. Family therapy may therefore require greater flexibility in balancing behavioural goals with opportunities for adolescent collaboration and participation.</w:t>
      </w:r>
    </w:p>
    <w:p w14:paraId="22C7F378" w14:textId="3ACA4D10"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The second theme highlighted the impact of family therapy on relationships and communication within</w:t>
      </w:r>
      <w:r w:rsidR="00005FBF">
        <w:rPr>
          <w:rFonts w:asciiTheme="majorBidi" w:hAnsiTheme="majorBidi" w:cstheme="majorBidi"/>
        </w:rPr>
        <w:t xml:space="preserve"> </w:t>
      </w:r>
      <w:r w:rsidRPr="008C6F4D">
        <w:rPr>
          <w:rFonts w:asciiTheme="majorBidi" w:hAnsiTheme="majorBidi" w:cstheme="majorBidi"/>
        </w:rPr>
        <w:t>families. Across studies, treatment frequently strengthened understanding between family members and facilitated greater collaboration. Parents often described feeling more confident in supporting recovery, while young people reported increased awareness and understanding within family systems. These findings support the core assumptions underlying family-based interventions, which conceptualise families as resources rather than contributors to illness.</w:t>
      </w:r>
    </w:p>
    <w:p w14:paraId="6BD3FC96" w14:textId="77ACA47F"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Nevertheless, treatment also generated tension and conflict for some families. Participants described arguments, feelings of misunderstanding, and emotional strain both within and outside treatment sessions. Existing family difficulties occasionally appeared amplified through treatment participation. </w:t>
      </w:r>
      <w:proofErr w:type="gramStart"/>
      <w:r w:rsidRPr="008C6F4D">
        <w:rPr>
          <w:rFonts w:asciiTheme="majorBidi" w:hAnsiTheme="majorBidi" w:cstheme="majorBidi"/>
        </w:rPr>
        <w:t>In particular, young</w:t>
      </w:r>
      <w:proofErr w:type="gramEnd"/>
      <w:r w:rsidRPr="008C6F4D">
        <w:rPr>
          <w:rFonts w:asciiTheme="majorBidi" w:hAnsiTheme="majorBidi" w:cstheme="majorBidi"/>
        </w:rPr>
        <w:t xml:space="preserve"> people who described poorer pre-existing family relationships or greater conflict often reported more negative treatment experiences. Findings from Medway et al. (2019) suggested that family dynamics </w:t>
      </w:r>
      <w:r w:rsidR="00005FBF">
        <w:rPr>
          <w:rFonts w:asciiTheme="majorBidi" w:hAnsiTheme="majorBidi" w:cstheme="majorBidi"/>
        </w:rPr>
        <w:t>before</w:t>
      </w:r>
      <w:r w:rsidRPr="008C6F4D">
        <w:rPr>
          <w:rFonts w:asciiTheme="majorBidi" w:hAnsiTheme="majorBidi" w:cstheme="majorBidi"/>
        </w:rPr>
        <w:t xml:space="preserve"> illness may influence treatment engagement and developmental outcomes. Similarly, Gao et al. (2025) found that participants experiencing substantial family conflict expressed stronger dissatisfaction with family-based approaches.</w:t>
      </w:r>
    </w:p>
    <w:p w14:paraId="3E8DF6F6" w14:textId="3EAA6133"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These </w:t>
      </w:r>
      <w:r w:rsidR="00BF1F77" w:rsidRPr="008C6F4D">
        <w:rPr>
          <w:rFonts w:asciiTheme="majorBidi" w:hAnsiTheme="majorBidi" w:cstheme="majorBidi"/>
        </w:rPr>
        <w:t>results</w:t>
      </w:r>
      <w:r w:rsidRPr="008C6F4D">
        <w:rPr>
          <w:rFonts w:asciiTheme="majorBidi" w:hAnsiTheme="majorBidi" w:cstheme="majorBidi"/>
        </w:rPr>
        <w:t xml:space="preserve"> </w:t>
      </w:r>
      <w:r w:rsidR="00600D07" w:rsidRPr="00600D07">
        <w:rPr>
          <w:rFonts w:asciiTheme="majorBidi" w:hAnsiTheme="majorBidi" w:cstheme="majorBidi"/>
        </w:rPr>
        <w:t>indicated</w:t>
      </w:r>
      <w:r w:rsidRPr="008C6F4D">
        <w:rPr>
          <w:rFonts w:asciiTheme="majorBidi" w:hAnsiTheme="majorBidi" w:cstheme="majorBidi"/>
        </w:rPr>
        <w:t xml:space="preserve"> that family interventions may not function identically across all families and that treatment effectiveness may be influenced by broader relational contexts. </w:t>
      </w:r>
      <w:r w:rsidR="00600D07" w:rsidRPr="00600D07">
        <w:rPr>
          <w:rFonts w:asciiTheme="majorBidi" w:hAnsiTheme="majorBidi" w:cstheme="majorBidi"/>
        </w:rPr>
        <w:t>These findings challenge assumptions within family-based approaches that caregivers can uniformly function as therapeutic resources. Existing family difficulties may shape treatment engagement and indicate a need for greater flexibility when implementing family</w:t>
      </w:r>
      <w:r w:rsidR="00600D07">
        <w:rPr>
          <w:rFonts w:asciiTheme="majorBidi" w:hAnsiTheme="majorBidi" w:cstheme="majorBidi"/>
        </w:rPr>
        <w:t xml:space="preserve"> </w:t>
      </w:r>
      <w:r w:rsidR="00600D07" w:rsidRPr="00600D07">
        <w:rPr>
          <w:rFonts w:asciiTheme="majorBidi" w:hAnsiTheme="majorBidi" w:cstheme="majorBidi"/>
        </w:rPr>
        <w:lastRenderedPageBreak/>
        <w:t>interventions</w:t>
      </w:r>
      <w:r w:rsidR="00600D07">
        <w:rPr>
          <w:rFonts w:asciiTheme="majorBidi" w:hAnsiTheme="majorBidi" w:cstheme="majorBidi"/>
        </w:rPr>
        <w:t xml:space="preserve">. </w:t>
      </w:r>
      <w:r w:rsidRPr="008C6F4D">
        <w:rPr>
          <w:rFonts w:asciiTheme="majorBidi" w:hAnsiTheme="majorBidi" w:cstheme="majorBidi"/>
        </w:rPr>
        <w:t>While family therapy models frequently assume caregivers can function as therapeutic resources, this assumption may require adaptation for families experiencing significant pre-existing difficulties. Greater assessment of family functioning early in treatment may therefore help identify families requiring additional support.</w:t>
      </w:r>
    </w:p>
    <w:p w14:paraId="67480791" w14:textId="1E7FE8D7"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The third theme indicated that participants conceptualised recovery as extending beyond physical restoration and symptom reduction. Young people consistently described recovery in emotional, psychological, and developmental terms. Recovery was frequently associated with reduced cognitive preoccupation with food, improved quality of life, emotional </w:t>
      </w:r>
      <w:r w:rsidR="00600D07">
        <w:rPr>
          <w:rFonts w:asciiTheme="majorBidi" w:hAnsiTheme="majorBidi" w:cstheme="majorBidi"/>
        </w:rPr>
        <w:t>well-being</w:t>
      </w:r>
      <w:r w:rsidRPr="008C6F4D">
        <w:rPr>
          <w:rFonts w:asciiTheme="majorBidi" w:hAnsiTheme="majorBidi" w:cstheme="majorBidi"/>
        </w:rPr>
        <w:t>, and reconnection with valued life experiences. Several participants viewed eating disorder thoughts as potentially persistent and instead conceptualised recovery as resilience against ongoing difficulties.</w:t>
      </w:r>
    </w:p>
    <w:p w14:paraId="51573B76" w14:textId="72477832" w:rsid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These findings challenge historically narrow definitions of eating disorder recovery based primarily upon weight restoration and behavioural outcomes. Although weight restoration remains clinically important, participants across studies repeatedly suggested that physical recovery alone did not necessarily equate to psychological recovery. </w:t>
      </w:r>
      <w:r w:rsidR="00DF4B0C" w:rsidRPr="00DF4B0C">
        <w:rPr>
          <w:rFonts w:asciiTheme="majorBidi" w:hAnsiTheme="majorBidi" w:cstheme="majorBidi"/>
        </w:rPr>
        <w:t>This finding is particularly important given evidence indicating that psychological difficulties and eating disorder cognitions may persist following physical improvement (</w:t>
      </w:r>
      <w:proofErr w:type="spellStart"/>
      <w:r w:rsidR="00DF4B0C" w:rsidRPr="00DF4B0C">
        <w:rPr>
          <w:rFonts w:asciiTheme="majorBidi" w:hAnsiTheme="majorBidi" w:cstheme="majorBidi"/>
        </w:rPr>
        <w:t>Bardone</w:t>
      </w:r>
      <w:proofErr w:type="spellEnd"/>
      <w:r w:rsidR="00DF4B0C" w:rsidRPr="00DF4B0C">
        <w:rPr>
          <w:rFonts w:asciiTheme="majorBidi" w:hAnsiTheme="majorBidi" w:cstheme="majorBidi"/>
        </w:rPr>
        <w:t>-Cone et al., 2010; Gao et al., 2025).</w:t>
      </w:r>
    </w:p>
    <w:p w14:paraId="2AC7C29F" w14:textId="3E78BC95" w:rsidR="00E24636" w:rsidRPr="008C6F4D" w:rsidRDefault="00E24636" w:rsidP="003213C1">
      <w:pPr>
        <w:spacing w:line="360" w:lineRule="auto"/>
        <w:ind w:firstLine="720"/>
        <w:rPr>
          <w:rFonts w:asciiTheme="majorBidi" w:hAnsiTheme="majorBidi" w:cstheme="majorBidi"/>
        </w:rPr>
      </w:pPr>
      <w:r w:rsidRPr="00E24636">
        <w:rPr>
          <w:rFonts w:asciiTheme="majorBidi" w:hAnsiTheme="majorBidi" w:cstheme="majorBidi"/>
        </w:rPr>
        <w:t>These findings align with broader conceptualisations of recovery in eating disorder literature, which increasingly recognise recovery as multidimensional and extending beyond behavioural symptom remission</w:t>
      </w:r>
      <w:r w:rsidR="008C3478">
        <w:rPr>
          <w:rFonts w:asciiTheme="majorBidi" w:hAnsiTheme="majorBidi" w:cstheme="majorBidi"/>
        </w:rPr>
        <w:t xml:space="preserve"> </w:t>
      </w:r>
      <w:r w:rsidR="008C3478" w:rsidRPr="008C3478">
        <w:rPr>
          <w:rFonts w:asciiTheme="majorBidi" w:hAnsiTheme="majorBidi" w:cstheme="majorBidi"/>
        </w:rPr>
        <w:t>(</w:t>
      </w:r>
      <w:proofErr w:type="spellStart"/>
      <w:r w:rsidR="008C3478" w:rsidRPr="008C3478">
        <w:rPr>
          <w:rFonts w:asciiTheme="majorBidi" w:hAnsiTheme="majorBidi" w:cstheme="majorBidi"/>
        </w:rPr>
        <w:t>Bardone</w:t>
      </w:r>
      <w:proofErr w:type="spellEnd"/>
      <w:r w:rsidR="008C3478" w:rsidRPr="008C3478">
        <w:rPr>
          <w:rFonts w:asciiTheme="majorBidi" w:hAnsiTheme="majorBidi" w:cstheme="majorBidi"/>
        </w:rPr>
        <w:t>-Cone et al., 2010; Gao et al., 2025)</w:t>
      </w:r>
      <w:r w:rsidR="008C3478">
        <w:rPr>
          <w:rFonts w:asciiTheme="majorBidi" w:hAnsiTheme="majorBidi" w:cstheme="majorBidi"/>
        </w:rPr>
        <w:t>.</w:t>
      </w:r>
      <w:r w:rsidRPr="00E24636">
        <w:rPr>
          <w:rFonts w:asciiTheme="majorBidi" w:hAnsiTheme="majorBidi" w:cstheme="majorBidi"/>
        </w:rPr>
        <w:t xml:space="preserve"> Previous research suggests individuals frequently prioritise psychological wellbeing, social functioning and identity reconstruction when defining recovery, highlighting differences between clinical and lived experience perspectives.</w:t>
      </w:r>
    </w:p>
    <w:p w14:paraId="1A910C64" w14:textId="47ABCFCB" w:rsid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Medway et al. (2019) further highlighted developmental dimensions of recovery, with participants describing eating disorders as disrupting social development, identity formation, and independence. </w:t>
      </w:r>
      <w:r w:rsidR="00074242" w:rsidRPr="008C6F4D">
        <w:rPr>
          <w:rFonts w:asciiTheme="majorBidi" w:hAnsiTheme="majorBidi" w:cstheme="majorBidi"/>
        </w:rPr>
        <w:t>Recovery,</w:t>
      </w:r>
      <w:r w:rsidRPr="008C6F4D">
        <w:rPr>
          <w:rFonts w:asciiTheme="majorBidi" w:hAnsiTheme="majorBidi" w:cstheme="majorBidi"/>
        </w:rPr>
        <w:t xml:space="preserve"> therefore</w:t>
      </w:r>
      <w:r w:rsidR="00BF1F77">
        <w:rPr>
          <w:rFonts w:asciiTheme="majorBidi" w:hAnsiTheme="majorBidi" w:cstheme="majorBidi"/>
        </w:rPr>
        <w:t>,</w:t>
      </w:r>
      <w:r w:rsidRPr="008C6F4D">
        <w:rPr>
          <w:rFonts w:asciiTheme="majorBidi" w:hAnsiTheme="majorBidi" w:cstheme="majorBidi"/>
        </w:rPr>
        <w:t xml:space="preserve"> involved not only symptom reduction but reclaiming developmental experiences and rebuilding aspects of adolescence interrupted by illness. </w:t>
      </w:r>
      <w:r w:rsidR="00600D07">
        <w:rPr>
          <w:rFonts w:asciiTheme="majorBidi" w:hAnsiTheme="majorBidi" w:cstheme="majorBidi"/>
        </w:rPr>
        <w:t>S</w:t>
      </w:r>
      <w:r w:rsidR="00600D07" w:rsidRPr="00600D07">
        <w:rPr>
          <w:rFonts w:asciiTheme="majorBidi" w:hAnsiTheme="majorBidi" w:cstheme="majorBidi"/>
        </w:rPr>
        <w:t>tudies highlighted</w:t>
      </w:r>
      <w:r w:rsidR="00600D07">
        <w:rPr>
          <w:rFonts w:asciiTheme="majorBidi" w:hAnsiTheme="majorBidi" w:cstheme="majorBidi"/>
        </w:rPr>
        <w:t xml:space="preserve"> </w:t>
      </w:r>
      <w:r w:rsidRPr="008C6F4D">
        <w:rPr>
          <w:rFonts w:asciiTheme="majorBidi" w:hAnsiTheme="majorBidi" w:cstheme="majorBidi"/>
        </w:rPr>
        <w:t>that treatment evaluations based solely upon symptom change may overlook aspects of recovery most meaningful to young people themselves.</w:t>
      </w:r>
    </w:p>
    <w:p w14:paraId="278B304F" w14:textId="167F7F97" w:rsidR="008F3834" w:rsidRPr="008C6F4D" w:rsidRDefault="008F3834" w:rsidP="003213C1">
      <w:pPr>
        <w:spacing w:line="360" w:lineRule="auto"/>
        <w:ind w:firstLine="720"/>
        <w:rPr>
          <w:rFonts w:asciiTheme="majorBidi" w:hAnsiTheme="majorBidi" w:cstheme="majorBidi"/>
        </w:rPr>
      </w:pPr>
      <w:r w:rsidRPr="008F3834">
        <w:rPr>
          <w:rFonts w:asciiTheme="majorBidi" w:hAnsiTheme="majorBidi" w:cstheme="majorBidi"/>
        </w:rPr>
        <w:lastRenderedPageBreak/>
        <w:t>Findings from this review additionally suggest that experiences of family therapy are influenced by developmental context. Adolescence is characterised by increasing autonomy, identity formation, and changing peer relationships; therefore, interventions that alter family roles may have unintended psychological consequences despite supporting behavioural recovery</w:t>
      </w:r>
      <w:r w:rsidR="00005FBF" w:rsidRPr="00005FBF">
        <w:t xml:space="preserve"> </w:t>
      </w:r>
      <w:r w:rsidR="00005FBF">
        <w:t>(</w:t>
      </w:r>
      <w:r w:rsidR="00005FBF" w:rsidRPr="00005FBF">
        <w:rPr>
          <w:rFonts w:asciiTheme="majorBidi" w:hAnsiTheme="majorBidi" w:cstheme="majorBidi"/>
        </w:rPr>
        <w:t>Medway et al.2019)</w:t>
      </w:r>
      <w:r w:rsidRPr="008F3834">
        <w:rPr>
          <w:rFonts w:asciiTheme="majorBidi" w:hAnsiTheme="majorBidi" w:cstheme="majorBidi"/>
        </w:rPr>
        <w:t xml:space="preserve">. Medway et al. (2019) </w:t>
      </w:r>
      <w:r w:rsidR="00005FBF">
        <w:rPr>
          <w:rFonts w:asciiTheme="majorBidi" w:hAnsiTheme="majorBidi" w:cstheme="majorBidi"/>
        </w:rPr>
        <w:t xml:space="preserve">also </w:t>
      </w:r>
      <w:r w:rsidRPr="008F3834">
        <w:rPr>
          <w:rFonts w:asciiTheme="majorBidi" w:hAnsiTheme="majorBidi" w:cstheme="majorBidi"/>
        </w:rPr>
        <w:t>demonstrated that family-based treatment could temporarily intensify dependence on parents, creating feelings of developmental disruption during early treatment phases. Although many participants later viewed this process as necessary, others described difficulties reconnecting with age-appropriate developmental experiences. These findings suggest that family therapy may require a more individualised approach that considers developmental readiness and psychosocial needs alongside symptom severity. Greater flexibility within treatment could potentially allow clinicians to preserve the benefits of parental involvement whilst simultaneously promoting adolescent agency and collaboration.</w:t>
      </w:r>
    </w:p>
    <w:p w14:paraId="499508BB" w14:textId="5CE0A8AC"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The final theme highlighted the importance of peer relationships and social </w:t>
      </w:r>
      <w:r w:rsidR="00600D07">
        <w:rPr>
          <w:rFonts w:asciiTheme="majorBidi" w:hAnsiTheme="majorBidi" w:cstheme="majorBidi"/>
        </w:rPr>
        <w:t>connections</w:t>
      </w:r>
      <w:r w:rsidRPr="008C6F4D">
        <w:rPr>
          <w:rFonts w:asciiTheme="majorBidi" w:hAnsiTheme="majorBidi" w:cstheme="majorBidi"/>
        </w:rPr>
        <w:t xml:space="preserve"> in supporting recovery. Across studies, participants frequently described eating disorders as isolating experiences associated with withdrawal from social relationships and diminished belonging. Conversely, opportunities to connect with peers with shared experiences were frequently viewed positively.</w:t>
      </w:r>
    </w:p>
    <w:p w14:paraId="757CD4CF" w14:textId="51A66036"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Peer support emerged as a particularly valued facilitator of change. Participants described connections with recovered individuals or peers experiencing similar difficulties as sources of hope, understanding, and validation. Multifamily environments similarly appeared to reduce isolation through shared experience. These findings support emerging evidence suggesting that social connectedness may play an important role in recovery processes</w:t>
      </w:r>
      <w:r w:rsidR="005C04B4">
        <w:rPr>
          <w:rFonts w:asciiTheme="majorBidi" w:hAnsiTheme="majorBidi" w:cstheme="majorBidi"/>
        </w:rPr>
        <w:t xml:space="preserve"> </w:t>
      </w:r>
      <w:r w:rsidR="005C04B4" w:rsidRPr="005C04B4">
        <w:rPr>
          <w:rFonts w:asciiTheme="majorBidi" w:hAnsiTheme="majorBidi" w:cstheme="majorBidi"/>
        </w:rPr>
        <w:t>(</w:t>
      </w:r>
      <w:proofErr w:type="spellStart"/>
      <w:r w:rsidR="005C04B4" w:rsidRPr="005C04B4">
        <w:rPr>
          <w:rFonts w:asciiTheme="majorBidi" w:hAnsiTheme="majorBidi" w:cstheme="majorBidi"/>
        </w:rPr>
        <w:t>Brinchmann</w:t>
      </w:r>
      <w:proofErr w:type="spellEnd"/>
      <w:r w:rsidR="005C04B4" w:rsidRPr="005C04B4">
        <w:rPr>
          <w:rFonts w:asciiTheme="majorBidi" w:hAnsiTheme="majorBidi" w:cstheme="majorBidi"/>
        </w:rPr>
        <w:t xml:space="preserve"> &amp; </w:t>
      </w:r>
      <w:proofErr w:type="spellStart"/>
      <w:r w:rsidR="005C04B4" w:rsidRPr="005C04B4">
        <w:rPr>
          <w:rFonts w:asciiTheme="majorBidi" w:hAnsiTheme="majorBidi" w:cstheme="majorBidi"/>
        </w:rPr>
        <w:t>Krvavac</w:t>
      </w:r>
      <w:proofErr w:type="spellEnd"/>
      <w:r w:rsidR="005C04B4" w:rsidRPr="005C04B4">
        <w:rPr>
          <w:rFonts w:asciiTheme="majorBidi" w:hAnsiTheme="majorBidi" w:cstheme="majorBidi"/>
        </w:rPr>
        <w:t xml:space="preserve">, 2021; </w:t>
      </w:r>
      <w:r w:rsidR="00DC2F51" w:rsidRPr="005C04B4">
        <w:rPr>
          <w:rFonts w:asciiTheme="majorBidi" w:hAnsiTheme="majorBidi" w:cstheme="majorBidi"/>
        </w:rPr>
        <w:t>Coopey &amp; Johnson, 2022</w:t>
      </w:r>
      <w:r w:rsidR="00DC2F51">
        <w:rPr>
          <w:rFonts w:asciiTheme="majorBidi" w:hAnsiTheme="majorBidi" w:cstheme="majorBidi"/>
        </w:rPr>
        <w:t xml:space="preserve">; </w:t>
      </w:r>
      <w:r w:rsidR="005C04B4" w:rsidRPr="005C04B4">
        <w:rPr>
          <w:rFonts w:asciiTheme="majorBidi" w:hAnsiTheme="majorBidi" w:cstheme="majorBidi"/>
        </w:rPr>
        <w:t>Gao et al., 2025)</w:t>
      </w:r>
      <w:r w:rsidR="005C04B4">
        <w:rPr>
          <w:rFonts w:asciiTheme="majorBidi" w:hAnsiTheme="majorBidi" w:cstheme="majorBidi"/>
        </w:rPr>
        <w:t>.</w:t>
      </w:r>
    </w:p>
    <w:p w14:paraId="50FCF219" w14:textId="0A8F4277" w:rsid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Although peer support may provide important benefits, studies also acknowledged potential risks associated with contact among individuals experiencing eating disorders, including social comparison or reinforcement of disordered </w:t>
      </w:r>
      <w:r w:rsidR="008C3478" w:rsidRPr="008C6F4D">
        <w:rPr>
          <w:rFonts w:asciiTheme="majorBidi" w:hAnsiTheme="majorBidi" w:cstheme="majorBidi"/>
        </w:rPr>
        <w:t>behaviours</w:t>
      </w:r>
      <w:r w:rsidR="008C3478" w:rsidRPr="008C3478">
        <w:rPr>
          <w:rFonts w:asciiTheme="majorBidi" w:hAnsiTheme="majorBidi" w:cstheme="majorBidi"/>
        </w:rPr>
        <w:t xml:space="preserve"> (</w:t>
      </w:r>
      <w:r w:rsidR="00DC2F51" w:rsidRPr="008C3478">
        <w:rPr>
          <w:rFonts w:asciiTheme="majorBidi" w:hAnsiTheme="majorBidi" w:cstheme="majorBidi"/>
        </w:rPr>
        <w:t>Gao et al., 2025</w:t>
      </w:r>
      <w:r w:rsidR="00DC2F51">
        <w:rPr>
          <w:rFonts w:asciiTheme="majorBidi" w:hAnsiTheme="majorBidi" w:cstheme="majorBidi"/>
        </w:rPr>
        <w:t xml:space="preserve">; </w:t>
      </w:r>
      <w:r w:rsidR="008C3478" w:rsidRPr="008C3478">
        <w:rPr>
          <w:rFonts w:asciiTheme="majorBidi" w:hAnsiTheme="majorBidi" w:cstheme="majorBidi"/>
        </w:rPr>
        <w:t>Nilsen et al., 2021)</w:t>
      </w:r>
      <w:r w:rsidR="008C3478">
        <w:rPr>
          <w:rFonts w:asciiTheme="majorBidi" w:hAnsiTheme="majorBidi" w:cstheme="majorBidi"/>
        </w:rPr>
        <w:t>.</w:t>
      </w:r>
      <w:r w:rsidRPr="008C6F4D">
        <w:rPr>
          <w:rFonts w:asciiTheme="majorBidi" w:hAnsiTheme="majorBidi" w:cstheme="majorBidi"/>
        </w:rPr>
        <w:t xml:space="preserve"> Consequently, structured and professionally supported peer interventions may represent an important area for future development.</w:t>
      </w:r>
    </w:p>
    <w:p w14:paraId="6835DA0F" w14:textId="669E81D9" w:rsidR="008F3834" w:rsidRPr="008C6F4D" w:rsidRDefault="008F3834" w:rsidP="003213C1">
      <w:pPr>
        <w:spacing w:line="360" w:lineRule="auto"/>
        <w:ind w:firstLine="720"/>
        <w:rPr>
          <w:rFonts w:asciiTheme="majorBidi" w:hAnsiTheme="majorBidi" w:cstheme="majorBidi"/>
        </w:rPr>
      </w:pPr>
      <w:r w:rsidRPr="008F3834">
        <w:rPr>
          <w:rFonts w:asciiTheme="majorBidi" w:hAnsiTheme="majorBidi" w:cstheme="majorBidi"/>
        </w:rPr>
        <w:t xml:space="preserve">The present findings also indicate that social experiences may function as important mechanisms within recovery processes. Eating disorders frequently resulted in social </w:t>
      </w:r>
      <w:r w:rsidRPr="008F3834">
        <w:rPr>
          <w:rFonts w:asciiTheme="majorBidi" w:hAnsiTheme="majorBidi" w:cstheme="majorBidi"/>
        </w:rPr>
        <w:lastRenderedPageBreak/>
        <w:t>withdrawal, isolation</w:t>
      </w:r>
      <w:r w:rsidR="005C04B4">
        <w:rPr>
          <w:rFonts w:asciiTheme="majorBidi" w:hAnsiTheme="majorBidi" w:cstheme="majorBidi"/>
        </w:rPr>
        <w:t>,</w:t>
      </w:r>
      <w:r w:rsidRPr="008F3834">
        <w:rPr>
          <w:rFonts w:asciiTheme="majorBidi" w:hAnsiTheme="majorBidi" w:cstheme="majorBidi"/>
        </w:rPr>
        <w:t xml:space="preserve"> and disrupted peer relationships across studies. Consequently, interventions incorporating opportunities for social connection may contribute to recovery in ways extending beyond symptom management. Multifamily approaches appeared particularly beneficial because they allowed families and young people to recognise shared experiences and reduce feelings of isolation. Although peer support interventions require careful monitoring due to risks surrounding comparison and reinforcement of eating disorder behaviours, findings suggest that structured opportunities for social connection may represent a valuable adjunct to family-based interventions.</w:t>
      </w:r>
      <w:r w:rsidR="008E6A00">
        <w:rPr>
          <w:rFonts w:asciiTheme="majorBidi" w:hAnsiTheme="majorBidi" w:cstheme="majorBidi"/>
        </w:rPr>
        <w:t xml:space="preserve"> </w:t>
      </w:r>
      <w:r w:rsidR="008E6A00" w:rsidRPr="008E6A00">
        <w:rPr>
          <w:rFonts w:asciiTheme="majorBidi" w:hAnsiTheme="majorBidi" w:cstheme="majorBidi"/>
        </w:rPr>
        <w:t>In relation to the review question, the findings suggest that young people and families experienced family therapy as both practically supportive and emotionally complex, with perceived impacts extending across behavioural recovery, family relationships, autonomy, identity and social connection.</w:t>
      </w:r>
    </w:p>
    <w:p w14:paraId="12E08E50" w14:textId="7752466E"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Several limitations should be considered when interpreting findings from this review. First, all included studies employed qualitative methodologies and relatively small samples, limiting generalisability. Although qualitative methods provide </w:t>
      </w:r>
      <w:r w:rsidR="008E6A00">
        <w:rPr>
          <w:rFonts w:asciiTheme="majorBidi" w:hAnsiTheme="majorBidi" w:cstheme="majorBidi"/>
        </w:rPr>
        <w:t xml:space="preserve">a </w:t>
      </w:r>
      <w:r w:rsidRPr="008C6F4D">
        <w:rPr>
          <w:rFonts w:asciiTheme="majorBidi" w:hAnsiTheme="majorBidi" w:cstheme="majorBidi"/>
        </w:rPr>
        <w:t>detailed understanding of lived experiences, findings cannot be assumed to represent all young people or families receiving family therapy interventions.</w:t>
      </w:r>
      <w:r w:rsidR="00E24636">
        <w:rPr>
          <w:rFonts w:asciiTheme="majorBidi" w:hAnsiTheme="majorBidi" w:cstheme="majorBidi"/>
        </w:rPr>
        <w:t xml:space="preserve"> </w:t>
      </w:r>
      <w:r w:rsidR="00E24636" w:rsidRPr="00E24636">
        <w:rPr>
          <w:rFonts w:asciiTheme="majorBidi" w:hAnsiTheme="majorBidi" w:cstheme="majorBidi"/>
        </w:rPr>
        <w:t>Publication bias may also have influenced findings because grey literature and unpublished studies were excluded</w:t>
      </w:r>
      <w:r w:rsidR="00E24636">
        <w:rPr>
          <w:rFonts w:asciiTheme="majorBidi" w:hAnsiTheme="majorBidi" w:cstheme="majorBidi"/>
        </w:rPr>
        <w:t>.</w:t>
      </w:r>
    </w:p>
    <w:p w14:paraId="4BC055C0" w14:textId="77777777"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Second, most samples primarily involved female participants diagnosed with anorexia nervosa. Consequently, experiences of males, individuals from ethnically diverse backgrounds, and young people with other eating disorder diagnoses remain comparatively underrepresented. Although Gao et al. (2025) intentionally recruited more diverse participants, broader representation remains necessary.</w:t>
      </w:r>
    </w:p>
    <w:p w14:paraId="189720D4" w14:textId="1C6E4781" w:rsidR="00763671"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Third, retrospective interviews were commonly used across studies. Participants often reflected upon experiences occurring several years earlier, creating potential recall bias. Retrospective narratives may also be shaped by current </w:t>
      </w:r>
      <w:r w:rsidR="008E6A00">
        <w:rPr>
          <w:rFonts w:asciiTheme="majorBidi" w:hAnsiTheme="majorBidi" w:cstheme="majorBidi"/>
        </w:rPr>
        <w:t>well-being</w:t>
      </w:r>
      <w:r w:rsidRPr="008C6F4D">
        <w:rPr>
          <w:rFonts w:asciiTheme="majorBidi" w:hAnsiTheme="majorBidi" w:cstheme="majorBidi"/>
        </w:rPr>
        <w:t xml:space="preserve"> or later treatment experiences.</w:t>
      </w:r>
    </w:p>
    <w:p w14:paraId="08ABC909" w14:textId="55682D1A"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Finally, included studies examined several forms of family intervention, including outpatient FBT, multifamily therapy, and inpatient family programmes. Although thematic similarities emerged across interventions, differences between treatment models may have influenced findings.</w:t>
      </w:r>
    </w:p>
    <w:p w14:paraId="74703F90" w14:textId="03B4AC81" w:rsidR="00074242" w:rsidRDefault="008C6F4D" w:rsidP="005A40E3">
      <w:pPr>
        <w:spacing w:line="360" w:lineRule="auto"/>
        <w:ind w:firstLine="720"/>
        <w:rPr>
          <w:rFonts w:asciiTheme="majorBidi" w:hAnsiTheme="majorBidi" w:cstheme="majorBidi"/>
        </w:rPr>
      </w:pPr>
      <w:r w:rsidRPr="008C6F4D">
        <w:rPr>
          <w:rFonts w:asciiTheme="majorBidi" w:hAnsiTheme="majorBidi" w:cstheme="majorBidi"/>
        </w:rPr>
        <w:lastRenderedPageBreak/>
        <w:t xml:space="preserve">Future research should examine experiences of family therapy across larger and more diverse populations. Greater representation of underrepresented groups, including males, LGBTQ+ young people, culturally diverse families, and individuals with diagnoses beyond anorexia nervosa, remains particularly important. Research should also continue exploring how family interventions can better address emotional </w:t>
      </w:r>
      <w:r w:rsidR="008E6A00">
        <w:rPr>
          <w:rFonts w:asciiTheme="majorBidi" w:hAnsiTheme="majorBidi" w:cstheme="majorBidi"/>
        </w:rPr>
        <w:t>well-being</w:t>
      </w:r>
      <w:r w:rsidRPr="008C6F4D">
        <w:rPr>
          <w:rFonts w:asciiTheme="majorBidi" w:hAnsiTheme="majorBidi" w:cstheme="majorBidi"/>
        </w:rPr>
        <w:t>, autonomy, and developmental needs alongside symptom reduction.</w:t>
      </w:r>
    </w:p>
    <w:p w14:paraId="1C7A3345" w14:textId="1EB8743B"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 xml:space="preserve">Longitudinal qualitative studies may additionally help clarify how treatment experiences evolve across recovery trajectories and identify which aspects of treatment remain meaningful over time. Future investigations incorporating adolescent, parent, sibling, and clinician perspectives simultaneously may provide a more comprehensive understanding of family therapy experiences and facilitate </w:t>
      </w:r>
      <w:r w:rsidR="008E6A00">
        <w:rPr>
          <w:rFonts w:asciiTheme="majorBidi" w:hAnsiTheme="majorBidi" w:cstheme="majorBidi"/>
        </w:rPr>
        <w:t xml:space="preserve">the </w:t>
      </w:r>
      <w:r w:rsidRPr="008C6F4D">
        <w:rPr>
          <w:rFonts w:asciiTheme="majorBidi" w:hAnsiTheme="majorBidi" w:cstheme="majorBidi"/>
        </w:rPr>
        <w:t>development of interventions that better reflect the needs of all participants.</w:t>
      </w:r>
    </w:p>
    <w:p w14:paraId="170DA8C6" w14:textId="04B45D78" w:rsidR="008C6F4D" w:rsidRPr="008C6F4D" w:rsidRDefault="008C6F4D" w:rsidP="003213C1">
      <w:pPr>
        <w:spacing w:line="360" w:lineRule="auto"/>
        <w:ind w:firstLine="720"/>
        <w:rPr>
          <w:rFonts w:asciiTheme="majorBidi" w:hAnsiTheme="majorBidi" w:cstheme="majorBidi"/>
        </w:rPr>
      </w:pPr>
      <w:r w:rsidRPr="008C6F4D">
        <w:rPr>
          <w:rFonts w:asciiTheme="majorBidi" w:hAnsiTheme="majorBidi" w:cstheme="majorBidi"/>
        </w:rPr>
        <w:t>Overall, findings suggest that family therapy remains a valuable intervention for young people with eating disorders</w:t>
      </w:r>
      <w:r w:rsidR="008E6A00">
        <w:rPr>
          <w:rFonts w:asciiTheme="majorBidi" w:hAnsiTheme="majorBidi" w:cstheme="majorBidi"/>
        </w:rPr>
        <w:t>,</w:t>
      </w:r>
      <w:r w:rsidRPr="008C6F4D">
        <w:rPr>
          <w:rFonts w:asciiTheme="majorBidi" w:hAnsiTheme="majorBidi" w:cstheme="majorBidi"/>
        </w:rPr>
        <w:t xml:space="preserve"> but that experiences are highly nuanced. Optimising treatment may require balancing behavioural recovery goals with broader attention to developmental, emotional, and relational needs.</w:t>
      </w:r>
    </w:p>
    <w:p w14:paraId="63842E94" w14:textId="77777777" w:rsidR="00763671" w:rsidRDefault="00763671" w:rsidP="003213C1">
      <w:pPr>
        <w:spacing w:line="360" w:lineRule="auto"/>
        <w:rPr>
          <w:rFonts w:asciiTheme="majorBidi" w:hAnsiTheme="majorBidi" w:cstheme="majorBidi"/>
          <w:b/>
          <w:bCs/>
        </w:rPr>
      </w:pPr>
    </w:p>
    <w:p w14:paraId="563BA60C" w14:textId="2E7898A1" w:rsidR="008C6F4D" w:rsidRDefault="00763671" w:rsidP="003213C1">
      <w:pPr>
        <w:spacing w:line="360" w:lineRule="auto"/>
        <w:rPr>
          <w:rFonts w:asciiTheme="majorBidi" w:hAnsiTheme="majorBidi" w:cstheme="majorBidi"/>
          <w:b/>
          <w:bCs/>
        </w:rPr>
      </w:pPr>
      <w:r>
        <w:rPr>
          <w:rFonts w:asciiTheme="majorBidi" w:hAnsiTheme="majorBidi" w:cstheme="majorBidi"/>
          <w:b/>
          <w:bCs/>
        </w:rPr>
        <w:t>Conclusion</w:t>
      </w:r>
    </w:p>
    <w:p w14:paraId="7BF16863" w14:textId="40397594" w:rsidR="00763671" w:rsidRPr="00763671" w:rsidRDefault="00763671" w:rsidP="003213C1">
      <w:pPr>
        <w:spacing w:line="360" w:lineRule="auto"/>
        <w:ind w:firstLine="720"/>
        <w:rPr>
          <w:rFonts w:asciiTheme="majorBidi" w:hAnsiTheme="majorBidi" w:cstheme="majorBidi"/>
        </w:rPr>
      </w:pPr>
      <w:r w:rsidRPr="00763671">
        <w:rPr>
          <w:rFonts w:asciiTheme="majorBidi" w:hAnsiTheme="majorBidi" w:cstheme="majorBidi"/>
        </w:rPr>
        <w:t xml:space="preserve">This review demonstrated that experiences of family therapy for eating disorders are multifaceted and extend beyond symptom reduction alone. While family interventions were often perceived as supportive and necessary, participants also identified challenges relating to autonomy, emotional </w:t>
      </w:r>
      <w:r w:rsidR="00005FBF">
        <w:rPr>
          <w:rFonts w:asciiTheme="majorBidi" w:hAnsiTheme="majorBidi" w:cstheme="majorBidi"/>
        </w:rPr>
        <w:t>well-being</w:t>
      </w:r>
      <w:r w:rsidRPr="00763671">
        <w:rPr>
          <w:rFonts w:asciiTheme="majorBidi" w:hAnsiTheme="majorBidi" w:cstheme="majorBidi"/>
        </w:rPr>
        <w:t>, and relationships. Future treatment development should incorporate broader psychosocial and developmental perspectives.</w:t>
      </w:r>
    </w:p>
    <w:p w14:paraId="37FA7155" w14:textId="77777777" w:rsidR="008C6F4D" w:rsidRDefault="008C6F4D" w:rsidP="003213C1">
      <w:pPr>
        <w:spacing w:line="360" w:lineRule="auto"/>
        <w:rPr>
          <w:rFonts w:asciiTheme="majorBidi" w:hAnsiTheme="majorBidi" w:cstheme="majorBidi"/>
        </w:rPr>
      </w:pPr>
    </w:p>
    <w:p w14:paraId="7A4A33F4" w14:textId="77777777" w:rsidR="00E24636" w:rsidRDefault="00E24636" w:rsidP="003213C1">
      <w:pPr>
        <w:spacing w:line="360" w:lineRule="auto"/>
        <w:rPr>
          <w:rFonts w:asciiTheme="majorBidi" w:hAnsiTheme="majorBidi" w:cstheme="majorBidi"/>
        </w:rPr>
      </w:pPr>
    </w:p>
    <w:p w14:paraId="310744C0" w14:textId="77777777" w:rsidR="00E24636" w:rsidRDefault="00E24636" w:rsidP="003213C1">
      <w:pPr>
        <w:spacing w:line="360" w:lineRule="auto"/>
        <w:rPr>
          <w:rFonts w:asciiTheme="majorBidi" w:hAnsiTheme="majorBidi" w:cstheme="majorBidi"/>
        </w:rPr>
      </w:pPr>
    </w:p>
    <w:p w14:paraId="3D9C86D9" w14:textId="77777777" w:rsidR="00E24636" w:rsidRDefault="00E24636" w:rsidP="003213C1">
      <w:pPr>
        <w:spacing w:line="360" w:lineRule="auto"/>
        <w:rPr>
          <w:rFonts w:asciiTheme="majorBidi" w:hAnsiTheme="majorBidi" w:cstheme="majorBidi"/>
        </w:rPr>
      </w:pPr>
    </w:p>
    <w:p w14:paraId="1723519F" w14:textId="77777777" w:rsidR="00E24636" w:rsidRDefault="00E24636" w:rsidP="003213C1">
      <w:pPr>
        <w:spacing w:line="360" w:lineRule="auto"/>
        <w:rPr>
          <w:rFonts w:asciiTheme="majorBidi" w:hAnsiTheme="majorBidi" w:cstheme="majorBidi"/>
        </w:rPr>
      </w:pPr>
    </w:p>
    <w:p w14:paraId="0586E628" w14:textId="50079B75" w:rsidR="00880C01" w:rsidRDefault="00E24636" w:rsidP="00685A46">
      <w:pPr>
        <w:rPr>
          <w:rFonts w:asciiTheme="majorBidi" w:hAnsiTheme="majorBidi" w:cstheme="majorBidi"/>
          <w:b/>
          <w:bCs/>
        </w:rPr>
      </w:pPr>
      <w:r w:rsidRPr="00E24636">
        <w:rPr>
          <w:rFonts w:asciiTheme="majorBidi" w:hAnsiTheme="majorBidi" w:cstheme="majorBidi"/>
          <w:b/>
          <w:bCs/>
        </w:rPr>
        <w:lastRenderedPageBreak/>
        <w:t xml:space="preserve">References </w:t>
      </w:r>
    </w:p>
    <w:p w14:paraId="2CAB5B1C" w14:textId="34C06FF5" w:rsidR="00934A69" w:rsidRPr="00005FBF" w:rsidRDefault="00BF1F77" w:rsidP="00934A69">
      <w:pPr>
        <w:spacing w:before="100" w:beforeAutospacing="1" w:after="100" w:afterAutospacing="1" w:line="240" w:lineRule="auto"/>
        <w:ind w:left="720" w:hanging="720"/>
        <w:rPr>
          <w:rFonts w:ascii="Times New Roman" w:eastAsia="Times New Roman" w:hAnsi="Times New Roman" w:cs="Times New Roman"/>
          <w:color w:val="000000" w:themeColor="text1"/>
          <w:kern w:val="0"/>
          <w14:ligatures w14:val="none"/>
        </w:rPr>
      </w:pPr>
      <w:proofErr w:type="spellStart"/>
      <w:r w:rsidRPr="00005FBF">
        <w:rPr>
          <w:rFonts w:ascii="Times New Roman" w:eastAsia="Times New Roman" w:hAnsi="Times New Roman" w:cs="Times New Roman"/>
          <w:color w:val="000000" w:themeColor="text1"/>
          <w:kern w:val="0"/>
          <w14:ligatures w14:val="none"/>
        </w:rPr>
        <w:t>Bardone</w:t>
      </w:r>
      <w:proofErr w:type="spellEnd"/>
      <w:r w:rsidRPr="00005FBF">
        <w:rPr>
          <w:rFonts w:ascii="Times New Roman" w:eastAsia="Times New Roman" w:hAnsi="Times New Roman" w:cs="Times New Roman"/>
          <w:color w:val="000000" w:themeColor="text1"/>
          <w:kern w:val="0"/>
          <w14:ligatures w14:val="none"/>
        </w:rPr>
        <w:t xml:space="preserve">-Cone, A. M., Harney, M. B., Maldonado, C. R., Lawson, M. A., Robinson, D. P., Smith, R., &amp; Tosh, A. (2010). Defining recovery from an eating disorder: Conceptualization, validation, and examination of psychosocial functioning and psychiatric comorbidity. </w:t>
      </w:r>
      <w:r w:rsidRPr="00005FBF">
        <w:rPr>
          <w:rFonts w:ascii="Times New Roman" w:eastAsia="Times New Roman" w:hAnsi="Times New Roman" w:cs="Times New Roman"/>
          <w:i/>
          <w:iCs/>
          <w:color w:val="000000" w:themeColor="text1"/>
          <w:kern w:val="0"/>
          <w14:ligatures w14:val="none"/>
        </w:rPr>
        <w:t>Behaviour Research and Therapy, 48</w:t>
      </w:r>
      <w:r w:rsidRPr="00005FBF">
        <w:rPr>
          <w:rFonts w:ascii="Times New Roman" w:eastAsia="Times New Roman" w:hAnsi="Times New Roman" w:cs="Times New Roman"/>
          <w:color w:val="000000" w:themeColor="text1"/>
          <w:kern w:val="0"/>
          <w14:ligatures w14:val="none"/>
        </w:rPr>
        <w:t xml:space="preserve">(3), 194–202. </w:t>
      </w:r>
      <w:hyperlink r:id="rId11" w:history="1">
        <w:r w:rsidR="00934A69" w:rsidRPr="00005FBF">
          <w:rPr>
            <w:rStyle w:val="Hyperlink"/>
            <w:rFonts w:ascii="Times New Roman" w:eastAsia="Times New Roman" w:hAnsi="Times New Roman" w:cs="Times New Roman"/>
            <w:color w:val="auto"/>
            <w:kern w:val="0"/>
            <w:u w:val="none"/>
            <w14:ligatures w14:val="none"/>
          </w:rPr>
          <w:t>https://doi.org/10.1016/j.brat.2009.11.001</w:t>
        </w:r>
      </w:hyperlink>
    </w:p>
    <w:p w14:paraId="7952BF4F" w14:textId="44B9B84B" w:rsidR="003235CB" w:rsidRPr="00005FBF" w:rsidRDefault="00BF1F77" w:rsidP="00934A69">
      <w:pPr>
        <w:spacing w:before="100" w:beforeAutospacing="1" w:after="100" w:afterAutospacing="1" w:line="240" w:lineRule="auto"/>
        <w:rPr>
          <w:rFonts w:ascii="Times New Roman" w:eastAsia="Times New Roman" w:hAnsi="Times New Roman" w:cs="Times New Roman"/>
          <w:color w:val="000000" w:themeColor="text1"/>
          <w:kern w:val="0"/>
          <w14:ligatures w14:val="none"/>
        </w:rPr>
      </w:pPr>
      <w:r w:rsidRPr="003235CB">
        <w:rPr>
          <w:rFonts w:ascii="Times New Roman" w:eastAsia="Times New Roman" w:hAnsi="Times New Roman" w:cs="Times New Roman"/>
          <w:color w:val="000000" w:themeColor="text1"/>
          <w:kern w:val="0"/>
          <w:lang w:val="de-DE"/>
          <w14:ligatures w14:val="none"/>
        </w:rPr>
        <w:t xml:space="preserve">Brinchmann, B. S., &amp; Krvavac, S. (2021). </w:t>
      </w:r>
      <w:r w:rsidRPr="003235CB">
        <w:rPr>
          <w:rFonts w:ascii="Times New Roman" w:eastAsia="Times New Roman" w:hAnsi="Times New Roman" w:cs="Times New Roman"/>
          <w:color w:val="000000" w:themeColor="text1"/>
          <w:kern w:val="0"/>
          <w14:ligatures w14:val="none"/>
        </w:rPr>
        <w:t>“Breaking down the wall”</w:t>
      </w:r>
      <w:r w:rsidR="00005FBF">
        <w:rPr>
          <w:rFonts w:ascii="Times New Roman" w:eastAsia="Times New Roman" w:hAnsi="Times New Roman" w:cs="Times New Roman"/>
          <w:color w:val="000000" w:themeColor="text1"/>
          <w:kern w:val="0"/>
          <w14:ligatures w14:val="none"/>
        </w:rPr>
        <w:t>:</w:t>
      </w:r>
      <w:r w:rsidRPr="003235CB">
        <w:rPr>
          <w:rFonts w:ascii="Times New Roman" w:eastAsia="Times New Roman" w:hAnsi="Times New Roman" w:cs="Times New Roman"/>
          <w:color w:val="000000" w:themeColor="text1"/>
          <w:kern w:val="0"/>
          <w14:ligatures w14:val="none"/>
        </w:rPr>
        <w:t xml:space="preserve"> patients` and families` experience of multi</w:t>
      </w:r>
      <w:r w:rsidRPr="00005FBF">
        <w:rPr>
          <w:rFonts w:ascii="Times New Roman" w:eastAsia="Times New Roman" w:hAnsi="Times New Roman" w:cs="Times New Roman"/>
          <w:color w:val="000000" w:themeColor="text1"/>
          <w:kern w:val="0"/>
          <w14:ligatures w14:val="none"/>
        </w:rPr>
        <w:t xml:space="preserve">family therapy for young adult women with severe eating disorders. </w:t>
      </w:r>
      <w:r w:rsidRPr="00005FBF">
        <w:rPr>
          <w:rFonts w:ascii="Times New Roman" w:eastAsia="Times New Roman" w:hAnsi="Times New Roman" w:cs="Times New Roman"/>
          <w:i/>
          <w:iCs/>
          <w:color w:val="000000" w:themeColor="text1"/>
          <w:kern w:val="0"/>
          <w14:ligatures w14:val="none"/>
        </w:rPr>
        <w:t>Journal of Eating Disorders</w:t>
      </w:r>
      <w:r w:rsidRPr="00005FBF">
        <w:rPr>
          <w:rFonts w:ascii="Times New Roman" w:eastAsia="Times New Roman" w:hAnsi="Times New Roman" w:cs="Times New Roman"/>
          <w:color w:val="000000" w:themeColor="text1"/>
          <w:kern w:val="0"/>
          <w14:ligatures w14:val="none"/>
        </w:rPr>
        <w:t>, 9(1), 56.</w:t>
      </w:r>
      <w:r w:rsidR="003235CB" w:rsidRPr="00005FBF">
        <w:rPr>
          <w:rFonts w:ascii="Times New Roman" w:eastAsia="Times New Roman" w:hAnsi="Times New Roman" w:cs="Times New Roman"/>
          <w:color w:val="000000" w:themeColor="text1"/>
          <w:kern w:val="0"/>
          <w14:ligatures w14:val="none"/>
        </w:rPr>
        <w:t xml:space="preserve"> </w:t>
      </w:r>
      <w:hyperlink r:id="rId12" w:history="1">
        <w:r w:rsidR="003235CB" w:rsidRPr="00005FBF">
          <w:rPr>
            <w:rStyle w:val="Hyperlink"/>
            <w:rFonts w:ascii="Times New Roman" w:eastAsia="Times New Roman" w:hAnsi="Times New Roman" w:cs="Times New Roman"/>
            <w:color w:val="000000" w:themeColor="text1"/>
            <w:kern w:val="0"/>
            <w:u w:val="none"/>
            <w14:ligatures w14:val="none"/>
          </w:rPr>
          <w:t>https://pmc.ncbi.nlm.nih.gov/articles/PMC8077824/</w:t>
        </w:r>
      </w:hyperlink>
    </w:p>
    <w:p w14:paraId="32E21A28" w14:textId="77777777" w:rsidR="00BF1F77" w:rsidRPr="00005FBF" w:rsidRDefault="00BF1F77" w:rsidP="00685A46">
      <w:pPr>
        <w:spacing w:before="100" w:beforeAutospacing="1" w:after="100" w:afterAutospacing="1" w:line="240" w:lineRule="auto"/>
        <w:ind w:left="720" w:hanging="720"/>
        <w:rPr>
          <w:rFonts w:ascii="Times New Roman" w:eastAsia="Times New Roman" w:hAnsi="Times New Roman" w:cs="Times New Roman"/>
          <w:color w:val="000000" w:themeColor="text1"/>
          <w:kern w:val="0"/>
          <w14:ligatures w14:val="none"/>
        </w:rPr>
      </w:pPr>
      <w:r w:rsidRPr="00005FBF">
        <w:rPr>
          <w:rFonts w:ascii="Times New Roman" w:eastAsia="Times New Roman" w:hAnsi="Times New Roman" w:cs="Times New Roman"/>
          <w:color w:val="000000" w:themeColor="text1"/>
          <w:kern w:val="0"/>
          <w14:ligatures w14:val="none"/>
        </w:rPr>
        <w:t xml:space="preserve">Conti, J., Calder, J., </w:t>
      </w:r>
      <w:proofErr w:type="spellStart"/>
      <w:r w:rsidRPr="00005FBF">
        <w:rPr>
          <w:rFonts w:ascii="Times New Roman" w:eastAsia="Times New Roman" w:hAnsi="Times New Roman" w:cs="Times New Roman"/>
          <w:color w:val="000000" w:themeColor="text1"/>
          <w:kern w:val="0"/>
          <w14:ligatures w14:val="none"/>
        </w:rPr>
        <w:t>Cibralic</w:t>
      </w:r>
      <w:proofErr w:type="spellEnd"/>
      <w:r w:rsidRPr="00005FBF">
        <w:rPr>
          <w:rFonts w:ascii="Times New Roman" w:eastAsia="Times New Roman" w:hAnsi="Times New Roman" w:cs="Times New Roman"/>
          <w:color w:val="000000" w:themeColor="text1"/>
          <w:kern w:val="0"/>
          <w14:ligatures w14:val="none"/>
        </w:rPr>
        <w:t xml:space="preserve">, S., Rhodes, P., Meade, T., &amp; Hewson, D. (2017). ‘Somebody else's roadmap’: Lived experience of Maudsley and family‐based therapy for adolescent anorexia nervosa. </w:t>
      </w:r>
      <w:r w:rsidRPr="00005FBF">
        <w:rPr>
          <w:rFonts w:ascii="Times New Roman" w:eastAsia="Times New Roman" w:hAnsi="Times New Roman" w:cs="Times New Roman"/>
          <w:i/>
          <w:iCs/>
          <w:color w:val="000000" w:themeColor="text1"/>
          <w:kern w:val="0"/>
          <w14:ligatures w14:val="none"/>
        </w:rPr>
        <w:t>Australian and New Zealand Journal of Family Therapy, 38</w:t>
      </w:r>
      <w:r w:rsidRPr="00005FBF">
        <w:rPr>
          <w:rFonts w:ascii="Times New Roman" w:eastAsia="Times New Roman" w:hAnsi="Times New Roman" w:cs="Times New Roman"/>
          <w:color w:val="000000" w:themeColor="text1"/>
          <w:kern w:val="0"/>
          <w14:ligatures w14:val="none"/>
        </w:rPr>
        <w:t>(3), 405-429.</w:t>
      </w:r>
    </w:p>
    <w:p w14:paraId="27124E91" w14:textId="09783016" w:rsidR="00BF1F77" w:rsidRPr="00005FBF" w:rsidRDefault="00BF1F77" w:rsidP="00685A46">
      <w:pPr>
        <w:spacing w:before="100" w:beforeAutospacing="1" w:after="100" w:afterAutospacing="1" w:line="240" w:lineRule="auto"/>
        <w:ind w:left="720" w:hanging="720"/>
        <w:rPr>
          <w:rFonts w:ascii="Times New Roman" w:eastAsia="Times New Roman" w:hAnsi="Times New Roman" w:cs="Times New Roman"/>
          <w:color w:val="000000" w:themeColor="text1"/>
          <w:kern w:val="0"/>
          <w14:ligatures w14:val="none"/>
        </w:rPr>
      </w:pPr>
      <w:r w:rsidRPr="00005FBF">
        <w:rPr>
          <w:rFonts w:ascii="Times New Roman" w:eastAsia="Times New Roman" w:hAnsi="Times New Roman" w:cs="Times New Roman"/>
          <w:color w:val="000000" w:themeColor="text1"/>
          <w:kern w:val="0"/>
          <w14:ligatures w14:val="none"/>
        </w:rPr>
        <w:t xml:space="preserve">Coopey, E., &amp; Johnson, G. (2022). Exploring the experience of young people receiving treatment for an eating disorder: family therapy for anorexia nervosa and multi-family therapy in an inpatient setting. </w:t>
      </w:r>
      <w:r w:rsidRPr="00005FBF">
        <w:rPr>
          <w:rFonts w:ascii="Times New Roman" w:eastAsia="Times New Roman" w:hAnsi="Times New Roman" w:cs="Times New Roman"/>
          <w:i/>
          <w:iCs/>
          <w:color w:val="000000" w:themeColor="text1"/>
          <w:kern w:val="0"/>
          <w14:ligatures w14:val="none"/>
        </w:rPr>
        <w:t>Journal of Eating Disorders, 10</w:t>
      </w:r>
      <w:r w:rsidRPr="00005FBF">
        <w:rPr>
          <w:rFonts w:ascii="Times New Roman" w:eastAsia="Times New Roman" w:hAnsi="Times New Roman" w:cs="Times New Roman"/>
          <w:color w:val="000000" w:themeColor="text1"/>
          <w:kern w:val="0"/>
          <w14:ligatures w14:val="none"/>
        </w:rPr>
        <w:t xml:space="preserve">(1), 101. </w:t>
      </w:r>
      <w:hyperlink r:id="rId13" w:history="1">
        <w:r w:rsidR="00CB30D3" w:rsidRPr="00005FBF">
          <w:rPr>
            <w:rStyle w:val="Hyperlink"/>
            <w:rFonts w:ascii="Times New Roman" w:eastAsia="Times New Roman" w:hAnsi="Times New Roman" w:cs="Times New Roman"/>
            <w:color w:val="000000" w:themeColor="text1"/>
            <w:kern w:val="0"/>
            <w:u w:val="none"/>
            <w14:ligatures w14:val="none"/>
          </w:rPr>
          <w:t>https://link.springer.com/article/10.1186/s40337-022-00609-7</w:t>
        </w:r>
      </w:hyperlink>
    </w:p>
    <w:p w14:paraId="045CE8F2" w14:textId="77777777" w:rsidR="00BF1F77" w:rsidRPr="00D76785" w:rsidRDefault="00BF1F77" w:rsidP="00685A46">
      <w:pPr>
        <w:spacing w:before="100" w:beforeAutospacing="1" w:after="100" w:afterAutospacing="1" w:line="240" w:lineRule="auto"/>
        <w:ind w:left="720" w:hanging="720"/>
        <w:rPr>
          <w:rFonts w:ascii="Times New Roman" w:eastAsia="Times New Roman" w:hAnsi="Times New Roman" w:cs="Times New Roman"/>
          <w:color w:val="000000" w:themeColor="text1"/>
          <w:kern w:val="0"/>
          <w14:ligatures w14:val="none"/>
        </w:rPr>
      </w:pPr>
      <w:r w:rsidRPr="00D76785">
        <w:rPr>
          <w:rFonts w:ascii="Times New Roman" w:eastAsia="Times New Roman" w:hAnsi="Times New Roman" w:cs="Times New Roman"/>
          <w:color w:val="000000" w:themeColor="text1"/>
          <w:kern w:val="0"/>
          <w14:ligatures w14:val="none"/>
        </w:rPr>
        <w:t xml:space="preserve">Critical Appraisal Skills Programme (CASP). (2018). </w:t>
      </w:r>
      <w:r w:rsidRPr="00D76785">
        <w:rPr>
          <w:rFonts w:ascii="Times New Roman" w:eastAsia="Times New Roman" w:hAnsi="Times New Roman" w:cs="Times New Roman"/>
          <w:i/>
          <w:iCs/>
          <w:color w:val="000000" w:themeColor="text1"/>
          <w:kern w:val="0"/>
          <w14:ligatures w14:val="none"/>
        </w:rPr>
        <w:t>CASP qualitative checklist</w:t>
      </w:r>
      <w:r w:rsidRPr="00D76785">
        <w:rPr>
          <w:rFonts w:ascii="Times New Roman" w:eastAsia="Times New Roman" w:hAnsi="Times New Roman" w:cs="Times New Roman"/>
          <w:color w:val="000000" w:themeColor="text1"/>
          <w:kern w:val="0"/>
          <w14:ligatures w14:val="none"/>
        </w:rPr>
        <w:t xml:space="preserve">. </w:t>
      </w:r>
      <w:hyperlink r:id="rId14" w:tgtFrame="_new" w:history="1">
        <w:r w:rsidRPr="00D76785">
          <w:rPr>
            <w:rFonts w:ascii="Times New Roman" w:eastAsia="Times New Roman" w:hAnsi="Times New Roman" w:cs="Times New Roman"/>
            <w:color w:val="000000" w:themeColor="text1"/>
            <w:kern w:val="0"/>
            <w14:ligatures w14:val="none"/>
          </w:rPr>
          <w:t>https://casp-uk.net/casp-tools-checklists/</w:t>
        </w:r>
      </w:hyperlink>
    </w:p>
    <w:p w14:paraId="7B613E56" w14:textId="77777777" w:rsidR="00BF1F77" w:rsidRPr="00005FBF" w:rsidRDefault="00BF1F77" w:rsidP="00685A46">
      <w:pPr>
        <w:spacing w:before="100" w:beforeAutospacing="1" w:after="100" w:afterAutospacing="1" w:line="240" w:lineRule="auto"/>
        <w:ind w:left="720" w:hanging="720"/>
        <w:rPr>
          <w:rFonts w:ascii="Times New Roman" w:eastAsia="Times New Roman" w:hAnsi="Times New Roman" w:cs="Times New Roman"/>
          <w:color w:val="000000" w:themeColor="text1"/>
          <w:kern w:val="0"/>
          <w14:ligatures w14:val="none"/>
        </w:rPr>
      </w:pPr>
      <w:r w:rsidRPr="00005FBF">
        <w:rPr>
          <w:rFonts w:ascii="Times New Roman" w:eastAsia="Times New Roman" w:hAnsi="Times New Roman" w:cs="Times New Roman"/>
          <w:color w:val="000000" w:themeColor="text1"/>
          <w:kern w:val="0"/>
          <w14:ligatures w14:val="none"/>
        </w:rPr>
        <w:t xml:space="preserve">Gao, C., Drury, C. R., Singh, S., Le Grange, D., &amp; Gorrell, S. (2025). Adolescent Patient Perspectives on Family‐Based Treatment: A Pilot Study. </w:t>
      </w:r>
      <w:r w:rsidRPr="00005FBF">
        <w:rPr>
          <w:rFonts w:ascii="Times New Roman" w:eastAsia="Times New Roman" w:hAnsi="Times New Roman" w:cs="Times New Roman"/>
          <w:i/>
          <w:iCs/>
          <w:color w:val="000000" w:themeColor="text1"/>
          <w:kern w:val="0"/>
          <w14:ligatures w14:val="none"/>
        </w:rPr>
        <w:t>International Journal of Eating Disorders, 58</w:t>
      </w:r>
      <w:r w:rsidRPr="00005FBF">
        <w:rPr>
          <w:rFonts w:ascii="Times New Roman" w:eastAsia="Times New Roman" w:hAnsi="Times New Roman" w:cs="Times New Roman"/>
          <w:color w:val="000000" w:themeColor="text1"/>
          <w:kern w:val="0"/>
          <w14:ligatures w14:val="none"/>
        </w:rPr>
        <w:t>(5), 890-902.</w:t>
      </w:r>
    </w:p>
    <w:p w14:paraId="5CA172CF" w14:textId="77777777" w:rsidR="00BF1F77" w:rsidRPr="00005FBF" w:rsidRDefault="00BF1F77" w:rsidP="00685A46">
      <w:pPr>
        <w:spacing w:before="100" w:beforeAutospacing="1" w:after="100" w:afterAutospacing="1" w:line="240" w:lineRule="auto"/>
        <w:ind w:left="720" w:hanging="720"/>
        <w:rPr>
          <w:rFonts w:ascii="Times New Roman" w:eastAsia="Times New Roman" w:hAnsi="Times New Roman" w:cs="Times New Roman"/>
          <w:color w:val="000000" w:themeColor="text1"/>
          <w:kern w:val="0"/>
          <w14:ligatures w14:val="none"/>
        </w:rPr>
      </w:pPr>
      <w:r w:rsidRPr="00005FBF">
        <w:rPr>
          <w:rFonts w:ascii="Times New Roman" w:eastAsia="Times New Roman" w:hAnsi="Times New Roman" w:cs="Times New Roman"/>
          <w:color w:val="000000" w:themeColor="text1"/>
          <w:kern w:val="0"/>
          <w14:ligatures w14:val="none"/>
        </w:rPr>
        <w:t xml:space="preserve">Lock, J., &amp; Le Grange, D. (2013). </w:t>
      </w:r>
      <w:r w:rsidRPr="00005FBF">
        <w:rPr>
          <w:rFonts w:ascii="Times New Roman" w:eastAsia="Times New Roman" w:hAnsi="Times New Roman" w:cs="Times New Roman"/>
          <w:i/>
          <w:iCs/>
          <w:color w:val="000000" w:themeColor="text1"/>
          <w:kern w:val="0"/>
          <w14:ligatures w14:val="none"/>
        </w:rPr>
        <w:t>Treatment manual for anorexia nervosa: A family-based approach</w:t>
      </w:r>
      <w:r w:rsidRPr="00005FBF">
        <w:rPr>
          <w:rFonts w:ascii="Times New Roman" w:eastAsia="Times New Roman" w:hAnsi="Times New Roman" w:cs="Times New Roman"/>
          <w:color w:val="000000" w:themeColor="text1"/>
          <w:kern w:val="0"/>
          <w14:ligatures w14:val="none"/>
        </w:rPr>
        <w:t xml:space="preserve"> (2nd ed.). Guilford Press.</w:t>
      </w:r>
    </w:p>
    <w:p w14:paraId="38BE5BEC" w14:textId="77777777" w:rsidR="00BF1F77" w:rsidRPr="00005FBF" w:rsidRDefault="00BF1F77" w:rsidP="00685A46">
      <w:pPr>
        <w:spacing w:before="100" w:beforeAutospacing="1" w:after="100" w:afterAutospacing="1" w:line="240" w:lineRule="auto"/>
        <w:ind w:left="720" w:hanging="720"/>
        <w:rPr>
          <w:rFonts w:ascii="Times New Roman" w:eastAsia="Times New Roman" w:hAnsi="Times New Roman" w:cs="Times New Roman"/>
          <w:color w:val="000000" w:themeColor="text1"/>
          <w:kern w:val="0"/>
          <w14:ligatures w14:val="none"/>
        </w:rPr>
      </w:pPr>
      <w:r w:rsidRPr="00005FBF">
        <w:rPr>
          <w:rFonts w:ascii="Times New Roman" w:eastAsia="Times New Roman" w:hAnsi="Times New Roman" w:cs="Times New Roman"/>
          <w:color w:val="000000" w:themeColor="text1"/>
          <w:kern w:val="0"/>
          <w14:ligatures w14:val="none"/>
        </w:rPr>
        <w:t xml:space="preserve">Medway, M., Rhodes, P., Dawson, L., Miskovic-Wheatley, J., Wallis, A., &amp; Madden, S. (2019). Adolescent development in family-based treatment for anorexia nervosa: Patients’ and parents’ narratives. </w:t>
      </w:r>
      <w:r w:rsidRPr="00005FBF">
        <w:rPr>
          <w:rFonts w:ascii="Times New Roman" w:eastAsia="Times New Roman" w:hAnsi="Times New Roman" w:cs="Times New Roman"/>
          <w:i/>
          <w:iCs/>
          <w:color w:val="000000" w:themeColor="text1"/>
          <w:kern w:val="0"/>
          <w14:ligatures w14:val="none"/>
        </w:rPr>
        <w:t>Clinical child psychology and psychiatry</w:t>
      </w:r>
      <w:r w:rsidRPr="00005FBF">
        <w:rPr>
          <w:rFonts w:ascii="Times New Roman" w:eastAsia="Times New Roman" w:hAnsi="Times New Roman" w:cs="Times New Roman"/>
          <w:color w:val="000000" w:themeColor="text1"/>
          <w:kern w:val="0"/>
          <w14:ligatures w14:val="none"/>
        </w:rPr>
        <w:t>, 24(1), 129-143.</w:t>
      </w:r>
    </w:p>
    <w:p w14:paraId="79D935B6" w14:textId="77777777" w:rsidR="00BF1F77" w:rsidRPr="00D8651C" w:rsidRDefault="00BF1F77" w:rsidP="00685A46">
      <w:pPr>
        <w:spacing w:before="100" w:beforeAutospacing="1" w:after="100" w:afterAutospacing="1" w:line="240" w:lineRule="auto"/>
        <w:ind w:left="720" w:hanging="720"/>
        <w:rPr>
          <w:rFonts w:ascii="Times New Roman" w:eastAsia="Times New Roman" w:hAnsi="Times New Roman" w:cs="Times New Roman"/>
          <w:color w:val="000000" w:themeColor="text1"/>
          <w:kern w:val="0"/>
          <w14:ligatures w14:val="none"/>
        </w:rPr>
      </w:pPr>
      <w:r w:rsidRPr="00D8651C">
        <w:rPr>
          <w:rFonts w:ascii="Times New Roman" w:eastAsia="Times New Roman" w:hAnsi="Times New Roman" w:cs="Times New Roman"/>
          <w:color w:val="000000" w:themeColor="text1"/>
          <w:kern w:val="0"/>
          <w14:ligatures w14:val="none"/>
        </w:rPr>
        <w:t xml:space="preserve">Moher, D., </w:t>
      </w:r>
      <w:proofErr w:type="spellStart"/>
      <w:r w:rsidRPr="00D8651C">
        <w:rPr>
          <w:rFonts w:ascii="Times New Roman" w:eastAsia="Times New Roman" w:hAnsi="Times New Roman" w:cs="Times New Roman"/>
          <w:color w:val="000000" w:themeColor="text1"/>
          <w:kern w:val="0"/>
          <w14:ligatures w14:val="none"/>
        </w:rPr>
        <w:t>Shamseer</w:t>
      </w:r>
      <w:proofErr w:type="spellEnd"/>
      <w:r w:rsidRPr="00D8651C">
        <w:rPr>
          <w:rFonts w:ascii="Times New Roman" w:eastAsia="Times New Roman" w:hAnsi="Times New Roman" w:cs="Times New Roman"/>
          <w:color w:val="000000" w:themeColor="text1"/>
          <w:kern w:val="0"/>
          <w14:ligatures w14:val="none"/>
        </w:rPr>
        <w:t xml:space="preserve">, L., Clarke, M., Ghersi, D., Liberati, A., Petticrew, M., </w:t>
      </w:r>
      <w:proofErr w:type="spellStart"/>
      <w:r w:rsidRPr="00D8651C">
        <w:rPr>
          <w:rFonts w:ascii="Times New Roman" w:eastAsia="Times New Roman" w:hAnsi="Times New Roman" w:cs="Times New Roman"/>
          <w:color w:val="000000" w:themeColor="text1"/>
          <w:kern w:val="0"/>
          <w14:ligatures w14:val="none"/>
        </w:rPr>
        <w:t>Shekelle</w:t>
      </w:r>
      <w:proofErr w:type="spellEnd"/>
      <w:r w:rsidRPr="00D8651C">
        <w:rPr>
          <w:rFonts w:ascii="Times New Roman" w:eastAsia="Times New Roman" w:hAnsi="Times New Roman" w:cs="Times New Roman"/>
          <w:color w:val="000000" w:themeColor="text1"/>
          <w:kern w:val="0"/>
          <w14:ligatures w14:val="none"/>
        </w:rPr>
        <w:t xml:space="preserve">, P., Stewart, L. A., &amp; PRISMA-P Group. (2015). Preferred reporting items for systematic review and meta-analysis protocols (PRISMA-P) 2015 statement. </w:t>
      </w:r>
      <w:r w:rsidRPr="00D8651C">
        <w:rPr>
          <w:rFonts w:ascii="Times New Roman" w:eastAsia="Times New Roman" w:hAnsi="Times New Roman" w:cs="Times New Roman"/>
          <w:i/>
          <w:iCs/>
          <w:color w:val="000000" w:themeColor="text1"/>
          <w:kern w:val="0"/>
          <w14:ligatures w14:val="none"/>
        </w:rPr>
        <w:t>Systematic Reviews, 4</w:t>
      </w:r>
      <w:r w:rsidRPr="00D8651C">
        <w:rPr>
          <w:rFonts w:ascii="Times New Roman" w:eastAsia="Times New Roman" w:hAnsi="Times New Roman" w:cs="Times New Roman"/>
          <w:color w:val="000000" w:themeColor="text1"/>
          <w:kern w:val="0"/>
          <w14:ligatures w14:val="none"/>
        </w:rPr>
        <w:t xml:space="preserve">(1), Article 1. </w:t>
      </w:r>
      <w:hyperlink r:id="rId15" w:tgtFrame="_new" w:history="1">
        <w:r w:rsidRPr="00D8651C">
          <w:rPr>
            <w:rFonts w:ascii="Times New Roman" w:eastAsia="Times New Roman" w:hAnsi="Times New Roman" w:cs="Times New Roman"/>
            <w:color w:val="000000" w:themeColor="text1"/>
            <w:kern w:val="0"/>
            <w14:ligatures w14:val="none"/>
          </w:rPr>
          <w:t>https://doi.org/10.1186/2046-4053-4-1</w:t>
        </w:r>
      </w:hyperlink>
    </w:p>
    <w:p w14:paraId="1CEE842D" w14:textId="77777777" w:rsidR="00BF1F77" w:rsidRPr="00685A46" w:rsidRDefault="00BF1F77" w:rsidP="00685A46">
      <w:pPr>
        <w:spacing w:before="100" w:beforeAutospacing="1" w:after="100" w:afterAutospacing="1" w:line="240" w:lineRule="auto"/>
        <w:ind w:left="720" w:hanging="720"/>
        <w:rPr>
          <w:rFonts w:ascii="Times New Roman" w:eastAsia="Times New Roman" w:hAnsi="Times New Roman" w:cs="Times New Roman"/>
          <w:color w:val="000000" w:themeColor="text1"/>
          <w:kern w:val="0"/>
          <w14:ligatures w14:val="none"/>
        </w:rPr>
      </w:pPr>
      <w:r w:rsidRPr="00005FBF">
        <w:rPr>
          <w:rFonts w:ascii="Times New Roman" w:eastAsia="Times New Roman" w:hAnsi="Times New Roman" w:cs="Times New Roman"/>
          <w:color w:val="000000" w:themeColor="text1"/>
          <w:kern w:val="0"/>
          <w:lang w:val="nb-NO"/>
          <w14:ligatures w14:val="none"/>
        </w:rPr>
        <w:t>Nilsen, J.-V., Rø, Ø., Halvorsen, I., Oddli, H. W., &amp; Hage, T. W. (2021).</w:t>
      </w:r>
      <w:r w:rsidRPr="00005FBF">
        <w:rPr>
          <w:rFonts w:ascii="Times New Roman" w:eastAsia="Times New Roman" w:hAnsi="Times New Roman" w:cs="Times New Roman"/>
          <w:color w:val="000000" w:themeColor="text1"/>
          <w:kern w:val="0"/>
          <w:lang w:val="nb-NO"/>
          <w14:ligatures w14:val="none"/>
        </w:rPr>
        <w:br/>
      </w:r>
      <w:r w:rsidRPr="00005FBF">
        <w:rPr>
          <w:rFonts w:ascii="Times New Roman" w:eastAsia="Times New Roman" w:hAnsi="Times New Roman" w:cs="Times New Roman"/>
          <w:color w:val="000000" w:themeColor="text1"/>
          <w:kern w:val="0"/>
          <w14:ligatures w14:val="none"/>
        </w:rPr>
        <w:t xml:space="preserve">Family members’ reflections upon a family-based inpatient treatment program for adolescent anorexia nervosa: A thematic analysis. </w:t>
      </w:r>
      <w:r w:rsidRPr="00005FBF">
        <w:rPr>
          <w:rFonts w:ascii="Times New Roman" w:eastAsiaTheme="majorEastAsia" w:hAnsi="Times New Roman" w:cs="Times New Roman"/>
          <w:i/>
          <w:iCs/>
          <w:color w:val="000000" w:themeColor="text1"/>
          <w:kern w:val="0"/>
          <w14:ligatures w14:val="none"/>
        </w:rPr>
        <w:t>Journal of Eating Disorders, 9</w:t>
      </w:r>
      <w:r w:rsidRPr="00005FBF">
        <w:rPr>
          <w:rFonts w:ascii="Times New Roman" w:eastAsia="Times New Roman" w:hAnsi="Times New Roman" w:cs="Times New Roman"/>
          <w:color w:val="000000" w:themeColor="text1"/>
          <w:kern w:val="0"/>
          <w14:ligatures w14:val="none"/>
        </w:rPr>
        <w:t>, 7.</w:t>
      </w:r>
      <w:r w:rsidRPr="00685A46">
        <w:rPr>
          <w:rFonts w:ascii="Times New Roman" w:eastAsia="Times New Roman" w:hAnsi="Times New Roman" w:cs="Times New Roman"/>
          <w:color w:val="000000" w:themeColor="text1"/>
          <w:kern w:val="0"/>
          <w14:ligatures w14:val="none"/>
        </w:rPr>
        <w:t xml:space="preserve"> </w:t>
      </w:r>
    </w:p>
    <w:p w14:paraId="11C67B3F" w14:textId="77777777" w:rsidR="00685A46" w:rsidRPr="00685A46" w:rsidRDefault="00685A46" w:rsidP="00685A46">
      <w:pPr>
        <w:rPr>
          <w:rFonts w:asciiTheme="majorBidi" w:hAnsiTheme="majorBidi" w:cstheme="majorBidi"/>
          <w:b/>
          <w:bCs/>
        </w:rPr>
      </w:pPr>
    </w:p>
    <w:sectPr w:rsidR="00685A46" w:rsidRPr="00685A4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3686B6" w14:textId="77777777" w:rsidR="00450313" w:rsidRDefault="00450313" w:rsidP="00E018A7">
      <w:pPr>
        <w:spacing w:after="0" w:line="240" w:lineRule="auto"/>
      </w:pPr>
      <w:r>
        <w:separator/>
      </w:r>
    </w:p>
  </w:endnote>
  <w:endnote w:type="continuationSeparator" w:id="0">
    <w:p w14:paraId="4A8224BE" w14:textId="77777777" w:rsidR="00450313" w:rsidRDefault="00450313" w:rsidP="00E01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C795B" w14:textId="77777777" w:rsidR="00450313" w:rsidRDefault="00450313" w:rsidP="00E018A7">
      <w:pPr>
        <w:spacing w:after="0" w:line="240" w:lineRule="auto"/>
      </w:pPr>
      <w:r>
        <w:separator/>
      </w:r>
    </w:p>
  </w:footnote>
  <w:footnote w:type="continuationSeparator" w:id="0">
    <w:p w14:paraId="5EC1BCF3" w14:textId="77777777" w:rsidR="00450313" w:rsidRDefault="00450313" w:rsidP="00E018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455B86" w14:textId="2D9B7042" w:rsidR="00E018A7" w:rsidRDefault="00E018A7">
    <w:pPr>
      <w:pStyle w:val="Header"/>
    </w:pPr>
    <w:r>
      <w:t>Elisha Boniwell</w:t>
    </w:r>
  </w:p>
  <w:p w14:paraId="704C69B9" w14:textId="202A3975" w:rsidR="00E018A7" w:rsidRDefault="00E018A7">
    <w:pPr>
      <w:pStyle w:val="Header"/>
    </w:pPr>
    <w:r>
      <w:t>2113032</w:t>
    </w:r>
  </w:p>
  <w:p w14:paraId="68C680DA" w14:textId="7A47DCF6" w:rsidR="00E018A7" w:rsidRDefault="00805D3E">
    <w:pPr>
      <w:pStyle w:val="Header"/>
    </w:pPr>
    <w:r>
      <w:t>4000</w:t>
    </w:r>
    <w:r w:rsidR="00E018A7">
      <w:t xml:space="preserve"> Words</w:t>
    </w:r>
  </w:p>
  <w:p w14:paraId="2DB79B5F" w14:textId="77777777" w:rsidR="002E7D29" w:rsidRDefault="002E7D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B011F"/>
    <w:multiLevelType w:val="multilevel"/>
    <w:tmpl w:val="5AACF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21472"/>
    <w:multiLevelType w:val="multilevel"/>
    <w:tmpl w:val="04D841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0B66C8"/>
    <w:multiLevelType w:val="multilevel"/>
    <w:tmpl w:val="83B09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C35242"/>
    <w:multiLevelType w:val="multilevel"/>
    <w:tmpl w:val="FD60D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F92D5C"/>
    <w:multiLevelType w:val="multilevel"/>
    <w:tmpl w:val="BCB4D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5F47A1"/>
    <w:multiLevelType w:val="hybridMultilevel"/>
    <w:tmpl w:val="3E5A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AA45AF"/>
    <w:multiLevelType w:val="multilevel"/>
    <w:tmpl w:val="F6F4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6040C8"/>
    <w:multiLevelType w:val="multilevel"/>
    <w:tmpl w:val="F5A6A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0478E1"/>
    <w:multiLevelType w:val="multilevel"/>
    <w:tmpl w:val="49CEE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2A5653"/>
    <w:multiLevelType w:val="multilevel"/>
    <w:tmpl w:val="F0545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B456A0"/>
    <w:multiLevelType w:val="multilevel"/>
    <w:tmpl w:val="EBD6F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745640">
    <w:abstractNumId w:val="2"/>
  </w:num>
  <w:num w:numId="2" w16cid:durableId="2031955249">
    <w:abstractNumId w:val="13"/>
  </w:num>
  <w:num w:numId="3" w16cid:durableId="44526779">
    <w:abstractNumId w:val="3"/>
  </w:num>
  <w:num w:numId="4" w16cid:durableId="477109328">
    <w:abstractNumId w:val="7"/>
  </w:num>
  <w:num w:numId="5" w16cid:durableId="832530438">
    <w:abstractNumId w:val="5"/>
  </w:num>
  <w:num w:numId="6" w16cid:durableId="1414741669">
    <w:abstractNumId w:val="0"/>
  </w:num>
  <w:num w:numId="7" w16cid:durableId="1259868706">
    <w:abstractNumId w:val="11"/>
  </w:num>
  <w:num w:numId="8" w16cid:durableId="853223505">
    <w:abstractNumId w:val="9"/>
  </w:num>
  <w:num w:numId="9" w16cid:durableId="828251968">
    <w:abstractNumId w:val="8"/>
  </w:num>
  <w:num w:numId="10" w16cid:durableId="886837231">
    <w:abstractNumId w:val="4"/>
  </w:num>
  <w:num w:numId="11" w16cid:durableId="352070688">
    <w:abstractNumId w:val="10"/>
  </w:num>
  <w:num w:numId="12" w16cid:durableId="1835950132">
    <w:abstractNumId w:val="1"/>
  </w:num>
  <w:num w:numId="13" w16cid:durableId="272516634">
    <w:abstractNumId w:val="12"/>
  </w:num>
  <w:num w:numId="14" w16cid:durableId="15779367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U3MrOwNDE2NDQxtjBR0lEKTi0uzszPAykwrAUA8o0GziwAAAA="/>
  </w:docVars>
  <w:rsids>
    <w:rsidRoot w:val="008A5538"/>
    <w:rsid w:val="00005FBF"/>
    <w:rsid w:val="00056520"/>
    <w:rsid w:val="000656BA"/>
    <w:rsid w:val="00074242"/>
    <w:rsid w:val="00086664"/>
    <w:rsid w:val="00091986"/>
    <w:rsid w:val="000B13CB"/>
    <w:rsid w:val="000E5ABC"/>
    <w:rsid w:val="00104A14"/>
    <w:rsid w:val="001F7970"/>
    <w:rsid w:val="00221A39"/>
    <w:rsid w:val="00271DE9"/>
    <w:rsid w:val="00292354"/>
    <w:rsid w:val="002A2A17"/>
    <w:rsid w:val="002E7D29"/>
    <w:rsid w:val="003213C1"/>
    <w:rsid w:val="003235CB"/>
    <w:rsid w:val="0033153E"/>
    <w:rsid w:val="00336DD6"/>
    <w:rsid w:val="003867F5"/>
    <w:rsid w:val="003B3E30"/>
    <w:rsid w:val="00442333"/>
    <w:rsid w:val="00450313"/>
    <w:rsid w:val="00467C14"/>
    <w:rsid w:val="00476EC2"/>
    <w:rsid w:val="004C3874"/>
    <w:rsid w:val="004D0E2B"/>
    <w:rsid w:val="00530AAE"/>
    <w:rsid w:val="0056045B"/>
    <w:rsid w:val="005A40E3"/>
    <w:rsid w:val="005C04B4"/>
    <w:rsid w:val="005E4FCF"/>
    <w:rsid w:val="00600D07"/>
    <w:rsid w:val="00650DE7"/>
    <w:rsid w:val="006557F2"/>
    <w:rsid w:val="00656405"/>
    <w:rsid w:val="00685A46"/>
    <w:rsid w:val="006B4E4E"/>
    <w:rsid w:val="006D3BB0"/>
    <w:rsid w:val="006E2C3B"/>
    <w:rsid w:val="006F0DCE"/>
    <w:rsid w:val="006F1DF5"/>
    <w:rsid w:val="0071312F"/>
    <w:rsid w:val="00742B1F"/>
    <w:rsid w:val="00763671"/>
    <w:rsid w:val="00781618"/>
    <w:rsid w:val="007B42F7"/>
    <w:rsid w:val="00805D3E"/>
    <w:rsid w:val="0081381B"/>
    <w:rsid w:val="00880C01"/>
    <w:rsid w:val="008A1F4F"/>
    <w:rsid w:val="008A5538"/>
    <w:rsid w:val="008A59C3"/>
    <w:rsid w:val="008C3478"/>
    <w:rsid w:val="008C6F4D"/>
    <w:rsid w:val="008E6A00"/>
    <w:rsid w:val="008F3834"/>
    <w:rsid w:val="008F3E28"/>
    <w:rsid w:val="00934A69"/>
    <w:rsid w:val="00960A15"/>
    <w:rsid w:val="0099460F"/>
    <w:rsid w:val="009A2490"/>
    <w:rsid w:val="009B257A"/>
    <w:rsid w:val="00A17FBD"/>
    <w:rsid w:val="00A558A4"/>
    <w:rsid w:val="00A6010E"/>
    <w:rsid w:val="00AC6DEE"/>
    <w:rsid w:val="00AD0C27"/>
    <w:rsid w:val="00B13D63"/>
    <w:rsid w:val="00B23005"/>
    <w:rsid w:val="00B26D3F"/>
    <w:rsid w:val="00B40214"/>
    <w:rsid w:val="00B90A5D"/>
    <w:rsid w:val="00B938EC"/>
    <w:rsid w:val="00BC2AFA"/>
    <w:rsid w:val="00BF1F77"/>
    <w:rsid w:val="00BF22A2"/>
    <w:rsid w:val="00C034C7"/>
    <w:rsid w:val="00C22F12"/>
    <w:rsid w:val="00CB30D3"/>
    <w:rsid w:val="00D02851"/>
    <w:rsid w:val="00D03F23"/>
    <w:rsid w:val="00D20A16"/>
    <w:rsid w:val="00D50E9B"/>
    <w:rsid w:val="00D65654"/>
    <w:rsid w:val="00D76785"/>
    <w:rsid w:val="00D8651C"/>
    <w:rsid w:val="00DB0E66"/>
    <w:rsid w:val="00DC2F51"/>
    <w:rsid w:val="00DF4B0C"/>
    <w:rsid w:val="00E018A7"/>
    <w:rsid w:val="00E04005"/>
    <w:rsid w:val="00E24636"/>
    <w:rsid w:val="00E63BC0"/>
    <w:rsid w:val="00F331BD"/>
    <w:rsid w:val="00FE4071"/>
    <w:rsid w:val="00FF1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CA8BC"/>
  <w15:chartTrackingRefBased/>
  <w15:docId w15:val="{12BFB5A9-A978-4A29-824C-65DAD2049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53E"/>
  </w:style>
  <w:style w:type="paragraph" w:styleId="Heading1">
    <w:name w:val="heading 1"/>
    <w:basedOn w:val="Normal"/>
    <w:next w:val="Normal"/>
    <w:link w:val="Heading1Char"/>
    <w:uiPriority w:val="9"/>
    <w:qFormat/>
    <w:rsid w:val="008A55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55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55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5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5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5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5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5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5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5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55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55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55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5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5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5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5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538"/>
    <w:rPr>
      <w:rFonts w:eastAsiaTheme="majorEastAsia" w:cstheme="majorBidi"/>
      <w:color w:val="272727" w:themeColor="text1" w:themeTint="D8"/>
    </w:rPr>
  </w:style>
  <w:style w:type="paragraph" w:styleId="Title">
    <w:name w:val="Title"/>
    <w:basedOn w:val="Normal"/>
    <w:next w:val="Normal"/>
    <w:link w:val="TitleChar"/>
    <w:uiPriority w:val="10"/>
    <w:qFormat/>
    <w:rsid w:val="008A55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5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5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5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538"/>
    <w:pPr>
      <w:spacing w:before="160"/>
      <w:jc w:val="center"/>
    </w:pPr>
    <w:rPr>
      <w:i/>
      <w:iCs/>
      <w:color w:val="404040" w:themeColor="text1" w:themeTint="BF"/>
    </w:rPr>
  </w:style>
  <w:style w:type="character" w:customStyle="1" w:styleId="QuoteChar">
    <w:name w:val="Quote Char"/>
    <w:basedOn w:val="DefaultParagraphFont"/>
    <w:link w:val="Quote"/>
    <w:uiPriority w:val="29"/>
    <w:rsid w:val="008A5538"/>
    <w:rPr>
      <w:i/>
      <w:iCs/>
      <w:color w:val="404040" w:themeColor="text1" w:themeTint="BF"/>
    </w:rPr>
  </w:style>
  <w:style w:type="paragraph" w:styleId="ListParagraph">
    <w:name w:val="List Paragraph"/>
    <w:basedOn w:val="Normal"/>
    <w:uiPriority w:val="34"/>
    <w:qFormat/>
    <w:rsid w:val="008A5538"/>
    <w:pPr>
      <w:ind w:left="720"/>
      <w:contextualSpacing/>
    </w:pPr>
  </w:style>
  <w:style w:type="character" w:styleId="IntenseEmphasis">
    <w:name w:val="Intense Emphasis"/>
    <w:basedOn w:val="DefaultParagraphFont"/>
    <w:uiPriority w:val="21"/>
    <w:qFormat/>
    <w:rsid w:val="008A5538"/>
    <w:rPr>
      <w:i/>
      <w:iCs/>
      <w:color w:val="0F4761" w:themeColor="accent1" w:themeShade="BF"/>
    </w:rPr>
  </w:style>
  <w:style w:type="paragraph" w:styleId="IntenseQuote">
    <w:name w:val="Intense Quote"/>
    <w:basedOn w:val="Normal"/>
    <w:next w:val="Normal"/>
    <w:link w:val="IntenseQuoteChar"/>
    <w:uiPriority w:val="30"/>
    <w:qFormat/>
    <w:rsid w:val="008A55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538"/>
    <w:rPr>
      <w:i/>
      <w:iCs/>
      <w:color w:val="0F4761" w:themeColor="accent1" w:themeShade="BF"/>
    </w:rPr>
  </w:style>
  <w:style w:type="character" w:styleId="IntenseReference">
    <w:name w:val="Intense Reference"/>
    <w:basedOn w:val="DefaultParagraphFont"/>
    <w:uiPriority w:val="32"/>
    <w:qFormat/>
    <w:rsid w:val="008A5538"/>
    <w:rPr>
      <w:b/>
      <w:bCs/>
      <w:smallCaps/>
      <w:color w:val="0F4761" w:themeColor="accent1" w:themeShade="BF"/>
      <w:spacing w:val="5"/>
    </w:rPr>
  </w:style>
  <w:style w:type="character" w:styleId="Strong">
    <w:name w:val="Strong"/>
    <w:basedOn w:val="DefaultParagraphFont"/>
    <w:uiPriority w:val="22"/>
    <w:qFormat/>
    <w:rsid w:val="008A5538"/>
    <w:rPr>
      <w:b/>
      <w:bCs/>
    </w:rPr>
  </w:style>
  <w:style w:type="paragraph" w:styleId="NormalWeb">
    <w:name w:val="Normal (Web)"/>
    <w:basedOn w:val="Normal"/>
    <w:uiPriority w:val="99"/>
    <w:semiHidden/>
    <w:unhideWhenUsed/>
    <w:rsid w:val="00336DD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336DD6"/>
    <w:rPr>
      <w:i/>
      <w:iCs/>
    </w:rPr>
  </w:style>
  <w:style w:type="paragraph" w:styleId="Header">
    <w:name w:val="header"/>
    <w:basedOn w:val="Normal"/>
    <w:link w:val="HeaderChar"/>
    <w:uiPriority w:val="99"/>
    <w:unhideWhenUsed/>
    <w:rsid w:val="00E018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8A7"/>
  </w:style>
  <w:style w:type="paragraph" w:styleId="Footer">
    <w:name w:val="footer"/>
    <w:basedOn w:val="Normal"/>
    <w:link w:val="FooterChar"/>
    <w:uiPriority w:val="99"/>
    <w:unhideWhenUsed/>
    <w:rsid w:val="00E01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8A7"/>
  </w:style>
  <w:style w:type="character" w:styleId="Hyperlink">
    <w:name w:val="Hyperlink"/>
    <w:basedOn w:val="DefaultParagraphFont"/>
    <w:uiPriority w:val="99"/>
    <w:unhideWhenUsed/>
    <w:rsid w:val="00E24636"/>
    <w:rPr>
      <w:color w:val="0000FF"/>
      <w:u w:val="single"/>
    </w:rPr>
  </w:style>
  <w:style w:type="character" w:styleId="UnresolvedMention">
    <w:name w:val="Unresolved Mention"/>
    <w:basedOn w:val="DefaultParagraphFont"/>
    <w:uiPriority w:val="99"/>
    <w:semiHidden/>
    <w:unhideWhenUsed/>
    <w:rsid w:val="008C3478"/>
    <w:rPr>
      <w:color w:val="605E5C"/>
      <w:shd w:val="clear" w:color="auto" w:fill="E1DFDD"/>
    </w:rPr>
  </w:style>
  <w:style w:type="character" w:styleId="FollowedHyperlink">
    <w:name w:val="FollowedHyperlink"/>
    <w:basedOn w:val="DefaultParagraphFont"/>
    <w:uiPriority w:val="99"/>
    <w:semiHidden/>
    <w:unhideWhenUsed/>
    <w:rsid w:val="008C34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nk.springer.com/article/10.1186/s40337-022-00609-7"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mc.ncbi.nlm.nih.gov/articles/PMC8077824/"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brat.2009.11.001" TargetMode="External"/><Relationship Id="rId5" Type="http://schemas.openxmlformats.org/officeDocument/2006/relationships/styles" Target="styles.xml"/><Relationship Id="rId15" Type="http://schemas.openxmlformats.org/officeDocument/2006/relationships/hyperlink" Target="https://doi.org/10.1186/2046-4053-4-1"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asp-uk.net/casp-tools-checkli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be86fae739d373a6a51ffe2b936acfb0">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eccbd429c542fb673cf188fa72dff7a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descriptio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D4C036-E918-49C5-B93B-B04FBE8DD196}">
  <ds:schemaRefs>
    <ds:schemaRef ds:uri="http://schemas.microsoft.com/sharepoint/v3/contenttype/forms"/>
  </ds:schemaRefs>
</ds:datastoreItem>
</file>

<file path=customXml/itemProps2.xml><?xml version="1.0" encoding="utf-8"?>
<ds:datastoreItem xmlns:ds="http://schemas.openxmlformats.org/officeDocument/2006/customXml" ds:itemID="{8ED4A2DF-31D7-4CF6-ACDA-EF959840A120}">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D39C8629-CD34-4CB4-AEA9-AE24A238AA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21</Pages>
  <Words>6096</Words>
  <Characters>34750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Elisha Boniwell (2113032)</cp:lastModifiedBy>
  <cp:revision>2</cp:revision>
  <dcterms:created xsi:type="dcterms:W3CDTF">2026-05-19T16:34:00Z</dcterms:created>
  <dcterms:modified xsi:type="dcterms:W3CDTF">2026-05-19T16:34:00Z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633cec11-e99d-4e4a-9224-7bfeb7d43977</vt:lpwstr>
  </property>
  <property fmtid="{D5CDD505-2E9C-101B-9397-08002B2CF9AE}" pid="3" name="ContentTypeId">
    <vt:lpwstr>0x0101002F3C2EEDB3FECD489FE6CB8E237B85C0</vt:lpwstr>
  </property>
</Properties>
</file>