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Normal (Web)"/>
        <w:spacing w:before="0" w:after="0" w:line="480" w:lineRule="auto"/>
        <w:rPr>
          <w:outline w:val="0"/>
          <w:color w:val="0e101a"/>
          <w:u w:color="0e101a"/>
          <w14:textFill>
            <w14:solidFill>
              <w14:srgbClr w14:val="0E101A"/>
            </w14:solidFill>
          </w14:textFill>
        </w:rPr>
      </w:pPr>
      <w:r>
        <w:rPr>
          <w:outline w:val="0"/>
          <w:color w:val="0e101a"/>
          <w:u w:color="0e101a"/>
          <w14:textFill>
            <w14:solidFill>
              <w14:srgbClr w14:val="0E101A"/>
            </w14:solidFill>
          </w14:textFill>
        </w:rPr>
        <w:drawing xmlns:a="http://schemas.openxmlformats.org/drawingml/2006/main">
          <wp:anchor distT="152400" distB="152400" distL="152400" distR="152400" simplePos="0" relativeHeight="251659264" behindDoc="0" locked="0" layoutInCell="1" allowOverlap="1">
            <wp:simplePos x="0" y="0"/>
            <wp:positionH relativeFrom="margin">
              <wp:posOffset>-549284</wp:posOffset>
            </wp:positionH>
            <wp:positionV relativeFrom="line">
              <wp:posOffset>-152400</wp:posOffset>
            </wp:positionV>
            <wp:extent cx="2975344" cy="984154"/>
            <wp:effectExtent l="0" t="0" r="0" b="0"/>
            <wp:wrapThrough wrapText="bothSides" distL="152400" distR="152400">
              <wp:wrapPolygon edited="1">
                <wp:start x="0" y="0"/>
                <wp:lineTo x="21600" y="0"/>
                <wp:lineTo x="21600" y="21600"/>
                <wp:lineTo x="0" y="21600"/>
                <wp:lineTo x="0" y="0"/>
              </wp:wrapPolygon>
            </wp:wrapThrough>
            <wp:docPr id="1073741825" name="officeArt object" descr="Unknown.png"/>
            <wp:cNvGraphicFramePr/>
            <a:graphic xmlns:a="http://schemas.openxmlformats.org/drawingml/2006/main">
              <a:graphicData uri="http://schemas.openxmlformats.org/drawingml/2006/picture">
                <pic:pic xmlns:pic="http://schemas.openxmlformats.org/drawingml/2006/picture">
                  <pic:nvPicPr>
                    <pic:cNvPr id="1073741825" name="Unknown.png" descr="Unknown.png"/>
                    <pic:cNvPicPr>
                      <a:picLocks noChangeAspect="1"/>
                    </pic:cNvPicPr>
                  </pic:nvPicPr>
                  <pic:blipFill>
                    <a:blip r:embed="rId4">
                      <a:extLst/>
                    </a:blip>
                    <a:stretch>
                      <a:fillRect/>
                    </a:stretch>
                  </pic:blipFill>
                  <pic:spPr>
                    <a:xfrm>
                      <a:off x="0" y="0"/>
                      <a:ext cx="2975344" cy="984154"/>
                    </a:xfrm>
                    <a:prstGeom prst="rect">
                      <a:avLst/>
                    </a:prstGeom>
                    <a:ln w="12700" cap="flat">
                      <a:noFill/>
                      <a:miter lim="400000"/>
                    </a:ln>
                    <a:effectLst/>
                  </pic:spPr>
                </pic:pic>
              </a:graphicData>
            </a:graphic>
          </wp:anchor>
        </w:drawing>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pStyle w:val="Subtitle"/>
        <w:bidi w:val="0"/>
        <w:ind w:left="0" w:right="0" w:firstLine="0"/>
        <w:jc w:val="center"/>
        <w:rPr>
          <w:u w:color="000000"/>
          <w:rtl w:val="0"/>
          <w:lang w:val="en-US"/>
          <w14:textOutline w14:w="12700" w14:cap="flat">
            <w14:noFill/>
            <w14:miter w14:lim="400000"/>
          </w14:textOutline>
        </w:rPr>
      </w:pPr>
      <w:r>
        <w:rPr>
          <w:u w:color="000000"/>
          <w:rtl w:val="0"/>
          <w:lang w:val="en-US"/>
          <w14:textOutline w14:w="12700" w14:cap="flat">
            <w14:noFill/>
            <w14:miter w14:lim="400000"/>
          </w14:textOutline>
        </w:rPr>
        <w:t>Community Engagement</w:t>
      </w:r>
      <w:r>
        <w:rPr>
          <w:u w:color="000000"/>
          <w:rtl w:val="0"/>
          <w:lang w:val="en-US"/>
          <w14:textOutline w14:w="12700" w14:cap="flat">
            <w14:noFill/>
            <w14:miter w14:lim="400000"/>
          </w14:textOutline>
        </w:rPr>
        <w:t xml:space="preserve"> (LCBB400</w:t>
      </w:r>
      <w:r>
        <w:rPr>
          <w:u w:color="000000"/>
          <w:rtl w:val="0"/>
          <w:lang w:val="en-US"/>
          <w14:textOutline w14:w="12700" w14:cap="flat">
            <w14:noFill/>
            <w14:miter w14:lim="400000"/>
          </w14:textOutline>
        </w:rPr>
        <w:t>2</w:t>
      </w:r>
      <w:r>
        <w:rPr>
          <w:u w:color="000000"/>
          <w:rtl w:val="0"/>
          <w:lang w:val="en-US"/>
          <w14:textOutline w14:w="12700" w14:cap="flat">
            <w14:noFill/>
            <w14:miter w14:lim="400000"/>
          </w14:textOutline>
        </w:rPr>
        <w:t>)</w:t>
      </w:r>
    </w:p>
    <w:p>
      <w:pPr>
        <w:pStyle w:val="Subtitle"/>
        <w:bidi w:val="0"/>
        <w:ind w:left="0" w:right="0" w:firstLine="0"/>
        <w:jc w:val="center"/>
        <w:rPr>
          <w:u w:color="000000"/>
          <w:rtl w:val="0"/>
          <w:lang w:val="en-US"/>
          <w14:textOutline w14:w="12700" w14:cap="flat">
            <w14:noFill/>
            <w14:miter w14:lim="400000"/>
          </w14:textOutline>
        </w:rPr>
      </w:pPr>
      <w:r>
        <w:rPr>
          <w:u w:color="000000"/>
          <w:rtl w:val="0"/>
          <w:lang w:val="en-US"/>
          <w14:textOutline w14:w="12700" w14:cap="flat">
            <w14:noFill/>
            <w14:miter w14:lim="400000"/>
          </w14:textOutline>
        </w:rPr>
        <w:t>Lectures Names:</w:t>
      </w:r>
      <w:r>
        <w:rPr>
          <w:u w:color="000000"/>
          <w:rtl w:val="0"/>
          <w:lang w:val="en-US"/>
          <w14:textOutline w14:w="12700" w14:cap="flat">
            <w14:noFill/>
            <w14:miter w14:lim="400000"/>
          </w14:textOutline>
        </w:rPr>
        <w:t xml:space="preserve"> Dr Gregory Cowan</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38"/>
          <w:szCs w:val="38"/>
          <w:u w:val="none" w:color="000000"/>
          <w:shd w:val="nil" w:color="auto" w:fill="auto"/>
          <w:vertAlign w:val="baseline"/>
          <w:rtl w:val="0"/>
          <w14:textOutline w14:w="12700" w14:cap="flat">
            <w14:noFill/>
            <w14:miter w14:lim="400000"/>
          </w14:textOutline>
          <w14:textFill>
            <w14:solidFill>
              <w14:srgbClr w14:val="000000"/>
            </w14:solidFill>
          </w14:textFill>
        </w:rPr>
      </w:pPr>
    </w:p>
    <w:p>
      <w:pPr>
        <w:pStyle w:val="Title"/>
        <w:bidi w:val="0"/>
        <w:ind w:left="0" w:right="0" w:firstLine="0"/>
        <w:jc w:val="center"/>
        <w:rPr>
          <w:sz w:val="38"/>
          <w:szCs w:val="38"/>
          <w:u w:color="000000"/>
          <w:rtl w:val="0"/>
          <w:lang w:val="en-US"/>
          <w14:textOutline w14:w="12700" w14:cap="flat">
            <w14:noFill/>
            <w14:miter w14:lim="400000"/>
          </w14:textOutline>
        </w:rPr>
      </w:pPr>
      <w:r>
        <w:rPr>
          <w:sz w:val="38"/>
          <w:szCs w:val="38"/>
          <w:u w:color="000000"/>
          <w:rtl w:val="0"/>
          <w:lang w:val="en-US"/>
          <w14:textOutline w14:w="12700" w14:cap="flat">
            <w14:noFill/>
            <w14:miter w14:lim="400000"/>
          </w14:textOutline>
        </w:rPr>
        <w:t xml:space="preserve">Assessment 1 </w:t>
      </w:r>
    </w:p>
    <w:p>
      <w:pPr>
        <w:pStyle w:val="Title"/>
        <w:jc w:val="center"/>
        <w:rPr>
          <w:rFonts w:ascii="Arial" w:cs="Arial" w:hAnsi="Arial" w:eastAsia="Arial"/>
          <w:sz w:val="48"/>
          <w:szCs w:val="48"/>
        </w:rPr>
      </w:pPr>
      <w:r>
        <w:rPr>
          <w:rFonts w:ascii="Times New Roman" w:hAnsi="Times New Roman"/>
          <w:outline w:val="0"/>
          <w:color w:val="0e101a"/>
          <w:sz w:val="48"/>
          <w:szCs w:val="48"/>
          <w:u w:color="0e101a"/>
          <w:rtl w:val="0"/>
          <w:lang w:val="en-US"/>
          <w14:textFill>
            <w14:solidFill>
              <w14:srgbClr w14:val="0E101A"/>
            </w14:solidFill>
          </w14:textFill>
        </w:rPr>
        <w:t>Community Engagement Practice at Changing Futures Project, Lancashire</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lang w:val="en-US"/>
          <w14:textOutline w14:w="12700" w14:cap="flat">
            <w14:noFill/>
            <w14:miter w14:lim="400000"/>
          </w14:textOutline>
          <w14:textFill>
            <w14:solidFill>
              <w14:srgbClr w14:val="000000"/>
            </w14:solidFill>
          </w14:textFill>
        </w:rPr>
        <w:t>Student Names: Manuela Manolova</w:t>
      </w:r>
    </w:p>
    <w:p>
      <w:pPr>
        <w:keepNext w:val="0"/>
        <w:keepLines w:val="0"/>
        <w:pageBreakBefore w:val="0"/>
        <w:widowControl w:val="1"/>
        <w:shd w:val="clear" w:color="auto" w:fill="auto"/>
        <w:suppressAutoHyphens w:val="0"/>
        <w:bidi w:val="0"/>
        <w:spacing w:before="0" w:after="0" w:line="240" w:lineRule="auto"/>
        <w:ind w:left="0" w:right="0" w:firstLine="0"/>
        <w:jc w:val="left"/>
        <w:outlineLvl w:val="9"/>
        <w:rPr>
          <w:rFonts w:ascii="Arial" w:cs="Arial" w:hAnsi="Arial" w:eastAsia="Arial"/>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14:textOutline w14:w="12700" w14:cap="flat">
            <w14:noFill/>
            <w14:miter w14:lim="400000"/>
          </w14:textOutline>
          <w14:textFill>
            <w14:solidFill>
              <w14:srgbClr w14:val="000000"/>
            </w14:solidFill>
          </w14:textFill>
        </w:rPr>
      </w:pPr>
      <w:r>
        <w:rPr>
          <w:rFonts w:ascii="Arial" w:cs="Arial Unicode MS" w:hAnsi="Arial" w:eastAsia="Arial Unicode MS"/>
          <w:b w:val="0"/>
          <w:bCs w:val="0"/>
          <w:i w:val="0"/>
          <w:iCs w:val="0"/>
          <w:caps w:val="0"/>
          <w:smallCaps w:val="0"/>
          <w:strike w:val="0"/>
          <w:dstrike w:val="0"/>
          <w:outline w:val="0"/>
          <w:color w:val="000000"/>
          <w:spacing w:val="0"/>
          <w:kern w:val="0"/>
          <w:position w:val="0"/>
          <w:sz w:val="40"/>
          <w:szCs w:val="40"/>
          <w:u w:val="none" w:color="000000"/>
          <w:shd w:val="nil" w:color="auto" w:fill="auto"/>
          <w:vertAlign w:val="baseline"/>
          <w:rtl w:val="0"/>
          <w:lang w:val="en-US"/>
          <w14:textOutline w14:w="12700" w14:cap="flat">
            <w14:noFill/>
            <w14:miter w14:lim="400000"/>
          </w14:textOutline>
          <w14:textFill>
            <w14:solidFill>
              <w14:srgbClr w14:val="000000"/>
            </w14:solidFill>
          </w14:textFill>
        </w:rPr>
        <w:t>Student ID: 2018271</w:t>
      </w:r>
    </w:p>
    <w:p>
      <w:pPr>
        <w:pStyle w:val="Normal (Web)"/>
        <w:spacing w:before="0" w:after="0" w:line="480" w:lineRule="auto"/>
        <w:jc w:val="center"/>
        <w:rPr>
          <w:rFonts w:ascii="Arial" w:cs="Arial" w:hAnsi="Arial" w:eastAsia="Arial"/>
          <w:outline w:val="0"/>
          <w:color w:val="0e101a"/>
          <w:sz w:val="40"/>
          <w:szCs w:val="40"/>
          <w:u w:color="0e101a"/>
          <w14:textFill>
            <w14:solidFill>
              <w14:srgbClr w14:val="0E101A"/>
            </w14:solidFill>
          </w14:textFill>
        </w:rPr>
      </w:pPr>
    </w:p>
    <w:p>
      <w:pPr>
        <w:pStyle w:val="Normal (Web)"/>
        <w:spacing w:before="0" w:after="0" w:line="480" w:lineRule="auto"/>
        <w:rPr>
          <w:rFonts w:ascii="Arial" w:cs="Arial" w:hAnsi="Arial" w:eastAsia="Arial"/>
          <w:b w:val="1"/>
          <w:bCs w:val="1"/>
          <w:outline w:val="0"/>
          <w:color w:val="0e101a"/>
          <w:sz w:val="40"/>
          <w:szCs w:val="40"/>
          <w:u w:color="0e101a"/>
          <w14:textFill>
            <w14:solidFill>
              <w14:srgbClr w14:val="0E101A"/>
            </w14:solidFill>
          </w14:textFill>
        </w:rPr>
      </w:pPr>
      <w:r>
        <w:rPr>
          <w:rFonts w:ascii="Arial" w:hAnsi="Arial"/>
          <w:b w:val="1"/>
          <w:bCs w:val="1"/>
          <w:outline w:val="0"/>
          <w:color w:val="0e101a"/>
          <w:sz w:val="40"/>
          <w:szCs w:val="40"/>
          <w:u w:color="0e101a"/>
          <w:rtl w:val="0"/>
          <w:lang w:val="en-US"/>
          <w14:textFill>
            <w14:solidFill>
              <w14:srgbClr w14:val="0E101A"/>
            </w14:solidFill>
          </w14:textFill>
        </w:rPr>
        <w:t xml:space="preserve">Contain: </w:t>
      </w:r>
    </w:p>
    <w:p>
      <w:pPr>
        <w:pStyle w:val="Normal (Web)"/>
        <w:spacing w:before="0" w:after="0" w:line="480" w:lineRule="auto"/>
        <w:rPr>
          <w:rFonts w:ascii="Arial" w:cs="Arial" w:hAnsi="Arial" w:eastAsia="Arial"/>
          <w:outline w:val="0"/>
          <w:color w:val="0e101a"/>
          <w:sz w:val="40"/>
          <w:szCs w:val="40"/>
          <w:u w:color="0e101a"/>
          <w14:textFill>
            <w14:solidFill>
              <w14:srgbClr w14:val="0E101A"/>
            </w14:solidFill>
          </w14:textFill>
        </w:rPr>
      </w:pPr>
      <w:r>
        <w:rPr>
          <w:rFonts w:ascii="Arial" w:hAnsi="Arial"/>
          <w:outline w:val="0"/>
          <w:color w:val="0e101a"/>
          <w:sz w:val="40"/>
          <w:szCs w:val="40"/>
          <w:u w:color="0e101a"/>
          <w:rtl w:val="0"/>
          <w:lang w:val="en-US"/>
          <w14:textFill>
            <w14:solidFill>
              <w14:srgbClr w14:val="0E101A"/>
            </w14:solidFill>
          </w14:textFill>
        </w:rPr>
        <w:t>Introduction</w:t>
      </w:r>
      <w:r>
        <w:rPr>
          <w:rFonts w:ascii="Arial" w:hAnsi="Arial" w:hint="default"/>
          <w:outline w:val="0"/>
          <w:color w:val="0e101a"/>
          <w:sz w:val="40"/>
          <w:szCs w:val="40"/>
          <w:u w:color="0e101a"/>
          <w:rtl w:val="0"/>
          <w:lang w:val="en-US"/>
          <w14:textFill>
            <w14:solidFill>
              <w14:srgbClr w14:val="0E101A"/>
            </w14:solidFill>
          </w14:textFill>
        </w:rPr>
        <w:t>…………………………………………</w:t>
      </w:r>
      <w:r>
        <w:rPr>
          <w:rFonts w:ascii="Arial" w:hAnsi="Arial"/>
          <w:outline w:val="0"/>
          <w:color w:val="0e101a"/>
          <w:sz w:val="40"/>
          <w:szCs w:val="40"/>
          <w:u w:color="0e101a"/>
          <w:rtl w:val="0"/>
          <w:lang w:val="en-US"/>
          <w14:textFill>
            <w14:solidFill>
              <w14:srgbClr w14:val="0E101A"/>
            </w14:solidFill>
          </w14:textFill>
        </w:rPr>
        <w:t>..3</w:t>
      </w:r>
    </w:p>
    <w:p>
      <w:pPr>
        <w:pStyle w:val="Normal (Web)"/>
        <w:spacing w:before="0" w:after="0" w:line="480" w:lineRule="auto"/>
        <w:rPr>
          <w:rFonts w:ascii="Arial" w:cs="Arial" w:hAnsi="Arial" w:eastAsia="Arial"/>
          <w:outline w:val="0"/>
          <w:color w:val="0e101a"/>
          <w:sz w:val="40"/>
          <w:szCs w:val="40"/>
          <w:u w:color="0e101a"/>
          <w14:textFill>
            <w14:solidFill>
              <w14:srgbClr w14:val="0E101A"/>
            </w14:solidFill>
          </w14:textFill>
        </w:rPr>
      </w:pPr>
      <w:r>
        <w:rPr>
          <w:rFonts w:ascii="Arial" w:hAnsi="Arial"/>
          <w:outline w:val="0"/>
          <w:color w:val="0e101a"/>
          <w:sz w:val="40"/>
          <w:szCs w:val="40"/>
          <w:u w:color="0e101a"/>
          <w:rtl w:val="0"/>
          <w:lang w:val="en-US"/>
          <w14:textFill>
            <w14:solidFill>
              <w14:srgbClr w14:val="0E101A"/>
            </w14:solidFill>
          </w14:textFill>
        </w:rPr>
        <w:t>Overview of the project</w:t>
      </w:r>
      <w:r>
        <w:rPr>
          <w:rFonts w:ascii="Arial" w:hAnsi="Arial" w:hint="default"/>
          <w:outline w:val="0"/>
          <w:color w:val="0e101a"/>
          <w:sz w:val="40"/>
          <w:szCs w:val="40"/>
          <w:u w:color="0e101a"/>
          <w:rtl w:val="0"/>
          <w:lang w:val="en-US"/>
          <w14:textFill>
            <w14:solidFill>
              <w14:srgbClr w14:val="0E101A"/>
            </w14:solidFill>
          </w14:textFill>
        </w:rPr>
        <w:t>……………………………</w:t>
      </w:r>
      <w:r>
        <w:rPr>
          <w:rFonts w:ascii="Arial" w:hAnsi="Arial"/>
          <w:outline w:val="0"/>
          <w:color w:val="0e101a"/>
          <w:sz w:val="40"/>
          <w:szCs w:val="40"/>
          <w:u w:color="0e101a"/>
          <w:rtl w:val="0"/>
          <w:lang w:val="en-US"/>
          <w14:textFill>
            <w14:solidFill>
              <w14:srgbClr w14:val="0E101A"/>
            </w14:solidFill>
          </w14:textFill>
        </w:rPr>
        <w:t>..3</w:t>
      </w:r>
    </w:p>
    <w:p>
      <w:pPr>
        <w:pStyle w:val="Normal (Web)"/>
        <w:spacing w:before="0" w:after="0" w:line="480" w:lineRule="auto"/>
        <w:rPr>
          <w:rFonts w:ascii="Arial" w:cs="Arial" w:hAnsi="Arial" w:eastAsia="Arial"/>
          <w:outline w:val="0"/>
          <w:color w:val="0e101a"/>
          <w:sz w:val="40"/>
          <w:szCs w:val="40"/>
          <w:u w:color="0e101a"/>
          <w14:textFill>
            <w14:solidFill>
              <w14:srgbClr w14:val="0E101A"/>
            </w14:solidFill>
          </w14:textFill>
        </w:rPr>
      </w:pPr>
      <w:r>
        <w:rPr>
          <w:rFonts w:ascii="Arial" w:hAnsi="Arial"/>
          <w:outline w:val="0"/>
          <w:color w:val="0e101a"/>
          <w:sz w:val="40"/>
          <w:szCs w:val="40"/>
          <w:u w:color="0e101a"/>
          <w:rtl w:val="0"/>
          <w:lang w:val="en-US"/>
          <w14:textFill>
            <w14:solidFill>
              <w14:srgbClr w14:val="0E101A"/>
            </w14:solidFill>
          </w14:textFill>
        </w:rPr>
        <w:t>Community engagement</w:t>
      </w:r>
      <w:r>
        <w:rPr>
          <w:rFonts w:ascii="Arial" w:hAnsi="Arial" w:hint="default"/>
          <w:outline w:val="0"/>
          <w:color w:val="0e101a"/>
          <w:sz w:val="40"/>
          <w:szCs w:val="40"/>
          <w:u w:color="0e101a"/>
          <w:rtl w:val="0"/>
          <w:lang w:val="en-US"/>
          <w14:textFill>
            <w14:solidFill>
              <w14:srgbClr w14:val="0E101A"/>
            </w14:solidFill>
          </w14:textFill>
        </w:rPr>
        <w:t>……………………………</w:t>
      </w:r>
      <w:r>
        <w:rPr>
          <w:rFonts w:ascii="Arial" w:hAnsi="Arial"/>
          <w:outline w:val="0"/>
          <w:color w:val="0e101a"/>
          <w:sz w:val="40"/>
          <w:szCs w:val="40"/>
          <w:u w:color="0e101a"/>
          <w:rtl w:val="0"/>
          <w:lang w:val="en-US"/>
          <w14:textFill>
            <w14:solidFill>
              <w14:srgbClr w14:val="0E101A"/>
            </w14:solidFill>
          </w14:textFill>
        </w:rPr>
        <w:t>4</w:t>
      </w:r>
    </w:p>
    <w:p>
      <w:pPr>
        <w:pStyle w:val="Normal (Web)"/>
        <w:spacing w:before="0" w:after="0" w:line="480" w:lineRule="auto"/>
        <w:rPr>
          <w:rFonts w:ascii="Arial" w:cs="Arial" w:hAnsi="Arial" w:eastAsia="Arial"/>
          <w:outline w:val="0"/>
          <w:color w:val="0e101a"/>
          <w:sz w:val="40"/>
          <w:szCs w:val="40"/>
          <w:u w:color="0e101a"/>
          <w14:textFill>
            <w14:solidFill>
              <w14:srgbClr w14:val="0E101A"/>
            </w14:solidFill>
          </w14:textFill>
        </w:rPr>
      </w:pPr>
      <w:r>
        <w:rPr>
          <w:rFonts w:ascii="Arial" w:hAnsi="Arial"/>
          <w:outline w:val="0"/>
          <w:color w:val="0e101a"/>
          <w:sz w:val="40"/>
          <w:szCs w:val="40"/>
          <w:u w:color="0e101a"/>
          <w:rtl w:val="0"/>
          <w:lang w:val="en-US"/>
          <w14:textFill>
            <w14:solidFill>
              <w14:srgbClr w14:val="0E101A"/>
            </w14:solidFill>
          </w14:textFill>
        </w:rPr>
        <w:t>Understanding of community</w:t>
      </w:r>
      <w:r>
        <w:rPr>
          <w:rFonts w:ascii="Arial" w:hAnsi="Arial" w:hint="default"/>
          <w:outline w:val="0"/>
          <w:color w:val="0e101a"/>
          <w:sz w:val="40"/>
          <w:szCs w:val="40"/>
          <w:u w:color="0e101a"/>
          <w:rtl w:val="0"/>
          <w:lang w:val="en-US"/>
          <w14:textFill>
            <w14:solidFill>
              <w14:srgbClr w14:val="0E101A"/>
            </w14:solidFill>
          </w14:textFill>
        </w:rPr>
        <w:t>………………………</w:t>
      </w:r>
      <w:r>
        <w:rPr>
          <w:rFonts w:ascii="Arial" w:hAnsi="Arial"/>
          <w:outline w:val="0"/>
          <w:color w:val="0e101a"/>
          <w:sz w:val="40"/>
          <w:szCs w:val="40"/>
          <w:u w:color="0e101a"/>
          <w:rtl w:val="0"/>
          <w:lang w:val="en-US"/>
          <w14:textFill>
            <w14:solidFill>
              <w14:srgbClr w14:val="0E101A"/>
            </w14:solidFill>
          </w14:textFill>
        </w:rPr>
        <w:t>5</w:t>
      </w:r>
    </w:p>
    <w:p>
      <w:pPr>
        <w:pStyle w:val="Normal (Web)"/>
        <w:spacing w:before="0" w:after="0" w:line="480" w:lineRule="auto"/>
        <w:rPr>
          <w:rFonts w:ascii="Arial" w:cs="Arial" w:hAnsi="Arial" w:eastAsia="Arial"/>
          <w:outline w:val="0"/>
          <w:color w:val="0e101a"/>
          <w:sz w:val="40"/>
          <w:szCs w:val="40"/>
          <w:u w:color="0e101a"/>
          <w14:textFill>
            <w14:solidFill>
              <w14:srgbClr w14:val="0E101A"/>
            </w14:solidFill>
          </w14:textFill>
        </w:rPr>
      </w:pPr>
      <w:r>
        <w:rPr>
          <w:rFonts w:ascii="Arial" w:hAnsi="Arial"/>
          <w:outline w:val="0"/>
          <w:color w:val="0e101a"/>
          <w:sz w:val="40"/>
          <w:szCs w:val="40"/>
          <w:u w:color="0e101a"/>
          <w:rtl w:val="0"/>
          <w:lang w:val="en-US"/>
          <w14:textFill>
            <w14:solidFill>
              <w14:srgbClr w14:val="0E101A"/>
            </w14:solidFill>
          </w14:textFill>
        </w:rPr>
        <w:t>Engagement of stakeholders</w:t>
      </w:r>
      <w:r>
        <w:rPr>
          <w:rFonts w:ascii="Arial" w:hAnsi="Arial" w:hint="default"/>
          <w:outline w:val="0"/>
          <w:color w:val="0e101a"/>
          <w:sz w:val="40"/>
          <w:szCs w:val="40"/>
          <w:u w:color="0e101a"/>
          <w:rtl w:val="0"/>
          <w:lang w:val="en-US"/>
          <w14:textFill>
            <w14:solidFill>
              <w14:srgbClr w14:val="0E101A"/>
            </w14:solidFill>
          </w14:textFill>
        </w:rPr>
        <w:t>………………………</w:t>
      </w:r>
      <w:r>
        <w:rPr>
          <w:rFonts w:ascii="Arial" w:hAnsi="Arial"/>
          <w:outline w:val="0"/>
          <w:color w:val="0e101a"/>
          <w:sz w:val="40"/>
          <w:szCs w:val="40"/>
          <w:u w:color="0e101a"/>
          <w:rtl w:val="0"/>
          <w:lang w:val="en-US"/>
          <w14:textFill>
            <w14:solidFill>
              <w14:srgbClr w14:val="0E101A"/>
            </w14:solidFill>
          </w14:textFill>
        </w:rPr>
        <w:t>6</w:t>
      </w:r>
    </w:p>
    <w:p>
      <w:pPr>
        <w:pStyle w:val="Normal (Web)"/>
        <w:spacing w:before="0" w:after="0" w:line="480" w:lineRule="auto"/>
        <w:rPr>
          <w:rFonts w:ascii="Arial" w:cs="Arial" w:hAnsi="Arial" w:eastAsia="Arial"/>
          <w:outline w:val="0"/>
          <w:color w:val="0e101a"/>
          <w:sz w:val="40"/>
          <w:szCs w:val="40"/>
          <w:u w:color="0e101a"/>
          <w14:textFill>
            <w14:solidFill>
              <w14:srgbClr w14:val="0E101A"/>
            </w14:solidFill>
          </w14:textFill>
        </w:rPr>
      </w:pPr>
      <w:r>
        <w:rPr>
          <w:rFonts w:ascii="Arial" w:hAnsi="Arial"/>
          <w:outline w:val="0"/>
          <w:color w:val="0e101a"/>
          <w:sz w:val="40"/>
          <w:szCs w:val="40"/>
          <w:u w:color="0e101a"/>
          <w:rtl w:val="0"/>
          <w:lang w:val="en-US"/>
          <w14:textFill>
            <w14:solidFill>
              <w14:srgbClr w14:val="0E101A"/>
            </w14:solidFill>
          </w14:textFill>
        </w:rPr>
        <w:t>Relationship building</w:t>
      </w:r>
      <w:r>
        <w:rPr>
          <w:rFonts w:ascii="Arial" w:hAnsi="Arial" w:hint="default"/>
          <w:outline w:val="0"/>
          <w:color w:val="0e101a"/>
          <w:sz w:val="40"/>
          <w:szCs w:val="40"/>
          <w:u w:color="0e101a"/>
          <w:rtl w:val="0"/>
          <w:lang w:val="en-US"/>
          <w14:textFill>
            <w14:solidFill>
              <w14:srgbClr w14:val="0E101A"/>
            </w14:solidFill>
          </w14:textFill>
        </w:rPr>
        <w:t>………………………………</w:t>
      </w:r>
      <w:r>
        <w:rPr>
          <w:rFonts w:ascii="Arial" w:hAnsi="Arial"/>
          <w:outline w:val="0"/>
          <w:color w:val="0e101a"/>
          <w:sz w:val="40"/>
          <w:szCs w:val="40"/>
          <w:u w:color="0e101a"/>
          <w:rtl w:val="0"/>
          <w:lang w:val="en-US"/>
          <w14:textFill>
            <w14:solidFill>
              <w14:srgbClr w14:val="0E101A"/>
            </w14:solidFill>
          </w14:textFill>
        </w:rPr>
        <w:t>..7</w:t>
      </w:r>
    </w:p>
    <w:p>
      <w:pPr>
        <w:pStyle w:val="Normal (Web)"/>
        <w:spacing w:before="0" w:after="0" w:line="480" w:lineRule="auto"/>
        <w:rPr>
          <w:rFonts w:ascii="Arial" w:cs="Arial" w:hAnsi="Arial" w:eastAsia="Arial"/>
          <w:outline w:val="0"/>
          <w:color w:val="0e101a"/>
          <w:sz w:val="40"/>
          <w:szCs w:val="40"/>
          <w:u w:color="0e101a"/>
          <w14:textFill>
            <w14:solidFill>
              <w14:srgbClr w14:val="0E101A"/>
            </w14:solidFill>
          </w14:textFill>
        </w:rPr>
      </w:pPr>
      <w:r>
        <w:rPr>
          <w:rFonts w:ascii="Arial" w:hAnsi="Arial"/>
          <w:outline w:val="0"/>
          <w:color w:val="0e101a"/>
          <w:sz w:val="40"/>
          <w:szCs w:val="40"/>
          <w:u w:color="0e101a"/>
          <w:rtl w:val="0"/>
          <w:lang w:val="en-US"/>
          <w14:textFill>
            <w14:solidFill>
              <w14:srgbClr w14:val="0E101A"/>
            </w14:solidFill>
          </w14:textFill>
        </w:rPr>
        <w:t>Connecting with the community</w:t>
      </w:r>
      <w:r>
        <w:rPr>
          <w:rFonts w:ascii="Arial" w:hAnsi="Arial" w:hint="default"/>
          <w:outline w:val="0"/>
          <w:color w:val="0e101a"/>
          <w:sz w:val="40"/>
          <w:szCs w:val="40"/>
          <w:u w:color="0e101a"/>
          <w:rtl w:val="0"/>
          <w:lang w:val="en-US"/>
          <w14:textFill>
            <w14:solidFill>
              <w14:srgbClr w14:val="0E101A"/>
            </w14:solidFill>
          </w14:textFill>
        </w:rPr>
        <w:t>’</w:t>
      </w:r>
      <w:r>
        <w:rPr>
          <w:rFonts w:ascii="Arial" w:hAnsi="Arial"/>
          <w:outline w:val="0"/>
          <w:color w:val="0e101a"/>
          <w:sz w:val="40"/>
          <w:szCs w:val="40"/>
          <w:u w:color="0e101a"/>
          <w:rtl w:val="0"/>
          <w:lang w:val="en-US"/>
          <w14:textFill>
            <w14:solidFill>
              <w14:srgbClr w14:val="0E101A"/>
            </w14:solidFill>
          </w14:textFill>
        </w:rPr>
        <w:t>s diversity</w:t>
      </w:r>
      <w:r>
        <w:rPr>
          <w:rFonts w:ascii="Arial" w:hAnsi="Arial" w:hint="default"/>
          <w:outline w:val="0"/>
          <w:color w:val="0e101a"/>
          <w:sz w:val="40"/>
          <w:szCs w:val="40"/>
          <w:u w:color="0e101a"/>
          <w:rtl w:val="0"/>
          <w:lang w:val="en-US"/>
          <w14:textFill>
            <w14:solidFill>
              <w14:srgbClr w14:val="0E101A"/>
            </w14:solidFill>
          </w14:textFill>
        </w:rPr>
        <w:t>………</w:t>
      </w:r>
      <w:r>
        <w:rPr>
          <w:rFonts w:ascii="Arial" w:hAnsi="Arial"/>
          <w:outline w:val="0"/>
          <w:color w:val="0e101a"/>
          <w:sz w:val="40"/>
          <w:szCs w:val="40"/>
          <w:u w:color="0e101a"/>
          <w:rtl w:val="0"/>
          <w:lang w:val="en-US"/>
          <w14:textFill>
            <w14:solidFill>
              <w14:srgbClr w14:val="0E101A"/>
            </w14:solidFill>
          </w14:textFill>
        </w:rPr>
        <w:t>.8</w:t>
      </w:r>
    </w:p>
    <w:p>
      <w:pPr>
        <w:pStyle w:val="Normal (Web)"/>
        <w:spacing w:before="0" w:after="0" w:line="480" w:lineRule="auto"/>
        <w:rPr>
          <w:rFonts w:ascii="Arial" w:cs="Arial" w:hAnsi="Arial" w:eastAsia="Arial"/>
          <w:outline w:val="0"/>
          <w:color w:val="0e101a"/>
          <w:sz w:val="40"/>
          <w:szCs w:val="40"/>
          <w:u w:color="0e101a"/>
          <w14:textFill>
            <w14:solidFill>
              <w14:srgbClr w14:val="0E101A"/>
            </w14:solidFill>
          </w14:textFill>
        </w:rPr>
      </w:pPr>
      <w:r>
        <w:rPr>
          <w:rFonts w:ascii="Arial" w:hAnsi="Arial"/>
          <w:outline w:val="0"/>
          <w:color w:val="0e101a"/>
          <w:sz w:val="40"/>
          <w:szCs w:val="40"/>
          <w:u w:color="0e101a"/>
          <w:rtl w:val="0"/>
          <w:lang w:val="en-US"/>
          <w14:textFill>
            <w14:solidFill>
              <w14:srgbClr w14:val="0E101A"/>
            </w14:solidFill>
          </w14:textFill>
        </w:rPr>
        <w:t>Mobilisation of community assets</w:t>
      </w:r>
      <w:r>
        <w:rPr>
          <w:rFonts w:ascii="Arial" w:hAnsi="Arial" w:hint="default"/>
          <w:outline w:val="0"/>
          <w:color w:val="0e101a"/>
          <w:sz w:val="40"/>
          <w:szCs w:val="40"/>
          <w:u w:color="0e101a"/>
          <w:rtl w:val="0"/>
          <w:lang w:val="en-US"/>
          <w14:textFill>
            <w14:solidFill>
              <w14:srgbClr w14:val="0E101A"/>
            </w14:solidFill>
          </w14:textFill>
        </w:rPr>
        <w:t>…………………</w:t>
      </w:r>
      <w:r>
        <w:rPr>
          <w:rFonts w:ascii="Arial" w:hAnsi="Arial"/>
          <w:outline w:val="0"/>
          <w:color w:val="0e101a"/>
          <w:sz w:val="40"/>
          <w:szCs w:val="40"/>
          <w:u w:color="0e101a"/>
          <w:rtl w:val="0"/>
          <w:lang w:val="en-US"/>
          <w14:textFill>
            <w14:solidFill>
              <w14:srgbClr w14:val="0E101A"/>
            </w14:solidFill>
          </w14:textFill>
        </w:rPr>
        <w:t>.8</w:t>
      </w:r>
    </w:p>
    <w:p>
      <w:pPr>
        <w:pStyle w:val="Normal (Web)"/>
        <w:spacing w:before="0" w:after="0" w:line="480" w:lineRule="auto"/>
        <w:rPr>
          <w:rFonts w:ascii="Arial" w:cs="Arial" w:hAnsi="Arial" w:eastAsia="Arial"/>
          <w:outline w:val="0"/>
          <w:color w:val="0e101a"/>
          <w:sz w:val="40"/>
          <w:szCs w:val="40"/>
          <w:u w:color="0e101a"/>
          <w14:textFill>
            <w14:solidFill>
              <w14:srgbClr w14:val="0E101A"/>
            </w14:solidFill>
          </w14:textFill>
        </w:rPr>
      </w:pPr>
      <w:r>
        <w:rPr>
          <w:rFonts w:ascii="Arial" w:hAnsi="Arial"/>
          <w:outline w:val="0"/>
          <w:color w:val="0e101a"/>
          <w:sz w:val="40"/>
          <w:szCs w:val="40"/>
          <w:u w:color="0e101a"/>
          <w:rtl w:val="0"/>
          <w:lang w:val="en-US"/>
          <w14:textFill>
            <w14:solidFill>
              <w14:srgbClr w14:val="0E101A"/>
            </w14:solidFill>
          </w14:textFill>
        </w:rPr>
        <w:t>Conclusion</w:t>
      </w:r>
      <w:r>
        <w:rPr>
          <w:rFonts w:ascii="Arial" w:hAnsi="Arial" w:hint="default"/>
          <w:outline w:val="0"/>
          <w:color w:val="0e101a"/>
          <w:sz w:val="40"/>
          <w:szCs w:val="40"/>
          <w:u w:color="0e101a"/>
          <w:rtl w:val="0"/>
          <w:lang w:val="en-US"/>
          <w14:textFill>
            <w14:solidFill>
              <w14:srgbClr w14:val="0E101A"/>
            </w14:solidFill>
          </w14:textFill>
        </w:rPr>
        <w:t>……………………………………………</w:t>
      </w:r>
      <w:r>
        <w:rPr>
          <w:rFonts w:ascii="Arial" w:hAnsi="Arial"/>
          <w:outline w:val="0"/>
          <w:color w:val="0e101a"/>
          <w:sz w:val="40"/>
          <w:szCs w:val="40"/>
          <w:u w:color="0e101a"/>
          <w:rtl w:val="0"/>
          <w:lang w:val="en-US"/>
          <w14:textFill>
            <w14:solidFill>
              <w14:srgbClr w14:val="0E101A"/>
            </w14:solidFill>
          </w14:textFill>
        </w:rPr>
        <w:t>9</w:t>
      </w:r>
    </w:p>
    <w:p>
      <w:pPr>
        <w:pStyle w:val="Normal (Web)"/>
        <w:spacing w:before="0" w:after="0" w:line="480" w:lineRule="auto"/>
        <w:rPr>
          <w:rFonts w:ascii="Arial" w:cs="Arial" w:hAnsi="Arial" w:eastAsia="Arial"/>
          <w:outline w:val="0"/>
          <w:color w:val="0e101a"/>
          <w:sz w:val="40"/>
          <w:szCs w:val="40"/>
          <w:u w:color="0e101a"/>
          <w14:textFill>
            <w14:solidFill>
              <w14:srgbClr w14:val="0E101A"/>
            </w14:solidFill>
          </w14:textFill>
        </w:rPr>
      </w:pPr>
      <w:r>
        <w:rPr>
          <w:rFonts w:ascii="Arial" w:hAnsi="Arial"/>
          <w:outline w:val="0"/>
          <w:color w:val="0e101a"/>
          <w:sz w:val="40"/>
          <w:szCs w:val="40"/>
          <w:u w:color="0e101a"/>
          <w:rtl w:val="0"/>
          <w:lang w:val="en-US"/>
          <w14:textFill>
            <w14:solidFill>
              <w14:srgbClr w14:val="0E101A"/>
            </w14:solidFill>
          </w14:textFill>
        </w:rPr>
        <w:t>Reference</w:t>
      </w:r>
      <w:r>
        <w:rPr>
          <w:rFonts w:ascii="Arial" w:hAnsi="Arial" w:hint="default"/>
          <w:outline w:val="0"/>
          <w:color w:val="0e101a"/>
          <w:sz w:val="40"/>
          <w:szCs w:val="40"/>
          <w:u w:color="0e101a"/>
          <w:rtl w:val="0"/>
          <w:lang w:val="en-US"/>
          <w14:textFill>
            <w14:solidFill>
              <w14:srgbClr w14:val="0E101A"/>
            </w14:solidFill>
          </w14:textFill>
        </w:rPr>
        <w:t>……</w:t>
      </w:r>
      <w:r>
        <w:rPr>
          <w:rFonts w:ascii="Arial" w:hAnsi="Arial"/>
          <w:outline w:val="0"/>
          <w:color w:val="0e101a"/>
          <w:sz w:val="40"/>
          <w:szCs w:val="40"/>
          <w:u w:color="0e101a"/>
          <w:rtl w:val="0"/>
          <w:lang w:val="en-US"/>
          <w14:textFill>
            <w14:solidFill>
              <w14:srgbClr w14:val="0E101A"/>
            </w14:solidFill>
          </w14:textFill>
        </w:rPr>
        <w:t>..</w:t>
      </w:r>
      <w:r>
        <w:rPr>
          <w:rFonts w:ascii="Arial" w:hAnsi="Arial" w:hint="default"/>
          <w:outline w:val="0"/>
          <w:color w:val="0e101a"/>
          <w:sz w:val="40"/>
          <w:szCs w:val="40"/>
          <w:u w:color="0e101a"/>
          <w:rtl w:val="0"/>
          <w:lang w:val="en-US"/>
          <w14:textFill>
            <w14:solidFill>
              <w14:srgbClr w14:val="0E101A"/>
            </w14:solidFill>
          </w14:textFill>
        </w:rPr>
        <w:t>……………………………………</w:t>
      </w:r>
      <w:r>
        <w:rPr>
          <w:rFonts w:ascii="Arial" w:hAnsi="Arial"/>
          <w:outline w:val="0"/>
          <w:color w:val="0e101a"/>
          <w:sz w:val="40"/>
          <w:szCs w:val="40"/>
          <w:u w:color="0e101a"/>
          <w:rtl w:val="0"/>
          <w:lang w:val="en-US"/>
          <w14:textFill>
            <w14:solidFill>
              <w14:srgbClr w14:val="0E101A"/>
            </w14:solidFill>
          </w14:textFill>
        </w:rPr>
        <w:t>.11</w:t>
      </w:r>
    </w:p>
    <w:p>
      <w:pPr>
        <w:pStyle w:val="Normal (Web)"/>
        <w:spacing w:before="0" w:after="0" w:line="480" w:lineRule="auto"/>
        <w:rPr>
          <w:rFonts w:ascii="Arial" w:cs="Arial" w:hAnsi="Arial" w:eastAsia="Arial"/>
          <w:outline w:val="0"/>
          <w:color w:val="0e101a"/>
          <w:sz w:val="40"/>
          <w:szCs w:val="40"/>
          <w:u w:color="0e101a"/>
          <w14:textFill>
            <w14:solidFill>
              <w14:srgbClr w14:val="0E101A"/>
            </w14:solidFill>
          </w14:textFill>
        </w:rPr>
      </w:pPr>
    </w:p>
    <w:p>
      <w:pPr>
        <w:pStyle w:val="Normal (Web)"/>
        <w:spacing w:before="0" w:after="0" w:line="480" w:lineRule="auto"/>
        <w:rPr>
          <w:rFonts w:ascii="Arial" w:cs="Arial" w:hAnsi="Arial" w:eastAsia="Arial"/>
          <w:outline w:val="0"/>
          <w:color w:val="0e101a"/>
          <w:sz w:val="40"/>
          <w:szCs w:val="40"/>
          <w:u w:color="0e101a"/>
          <w14:textFill>
            <w14:solidFill>
              <w14:srgbClr w14:val="0E101A"/>
            </w14:solidFill>
          </w14:textFill>
        </w:rPr>
      </w:pPr>
    </w:p>
    <w:p>
      <w:pPr>
        <w:pStyle w:val="Normal (Web)"/>
        <w:spacing w:before="0" w:after="0" w:line="480" w:lineRule="auto"/>
        <w:rPr>
          <w:rFonts w:ascii="Arial" w:cs="Arial" w:hAnsi="Arial" w:eastAsia="Arial"/>
          <w:outline w:val="0"/>
          <w:color w:val="0e101a"/>
          <w:sz w:val="40"/>
          <w:szCs w:val="40"/>
          <w:u w:color="0e101a"/>
          <w14:textFill>
            <w14:solidFill>
              <w14:srgbClr w14:val="0E101A"/>
            </w14:solidFill>
          </w14:textFill>
        </w:rPr>
      </w:pPr>
    </w:p>
    <w:p>
      <w:pPr>
        <w:pStyle w:val="Normal (Web)"/>
        <w:spacing w:before="0" w:after="0" w:line="480" w:lineRule="auto"/>
        <w:jc w:val="center"/>
        <w:rPr>
          <w:outline w:val="0"/>
          <w:color w:val="0e101a"/>
          <w:u w:color="0e101a"/>
          <w14:textFill>
            <w14:solidFill>
              <w14:srgbClr w14:val="0E101A"/>
            </w14:solidFill>
          </w14:textFill>
        </w:rPr>
      </w:pPr>
    </w:p>
    <w:p>
      <w:pPr>
        <w:pStyle w:val="Normal (Web)"/>
        <w:spacing w:before="0" w:after="0" w:line="480" w:lineRule="auto"/>
        <w:jc w:val="center"/>
      </w:pPr>
    </w:p>
    <w:p>
      <w:pPr>
        <w:pStyle w:val="Normal (Web)"/>
        <w:spacing w:before="0" w:after="0" w:line="480" w:lineRule="auto"/>
        <w:jc w:val="center"/>
        <w:rPr>
          <w:outline w:val="0"/>
          <w:color w:val="0e101a"/>
          <w:u w:color="0e101a"/>
          <w14:textFill>
            <w14:solidFill>
              <w14:srgbClr w14:val="0E101A"/>
            </w14:solidFill>
          </w14:textFill>
        </w:rPr>
      </w:pPr>
      <w:r>
        <w:rPr>
          <w:rFonts w:ascii="Calibri" w:hAnsi="Calibri"/>
          <w:b w:val="1"/>
          <w:bCs w:val="1"/>
          <w:outline w:val="0"/>
          <w:color w:val="0e101a"/>
          <w:u w:color="0e101a"/>
          <w:rtl w:val="0"/>
          <w:lang w:val="en-US"/>
          <w14:textFill>
            <w14:solidFill>
              <w14:srgbClr w14:val="0E101A"/>
            </w14:solidFill>
          </w14:textFill>
        </w:rPr>
        <w:t>Introduction</w:t>
      </w:r>
    </w:p>
    <w:p>
      <w:pPr>
        <w:pStyle w:val="Normal (Web)"/>
        <w:spacing w:before="0" w:after="0" w:line="480" w:lineRule="auto"/>
        <w:ind w:firstLine="720"/>
        <w:jc w:val="both"/>
        <w:rPr>
          <w:outline w:val="0"/>
          <w:color w:val="0e101a"/>
          <w:u w:color="0e101a"/>
          <w14:textFill>
            <w14:solidFill>
              <w14:srgbClr w14:val="0E101A"/>
            </w14:solidFill>
          </w14:textFill>
        </w:rPr>
      </w:pPr>
      <w:r>
        <w:rPr>
          <w:outline w:val="0"/>
          <w:color w:val="0e101a"/>
          <w:u w:color="0e101a"/>
          <w:rtl w:val="0"/>
          <w:lang w:val="en-US"/>
          <w14:textFill>
            <w14:solidFill>
              <w14:srgbClr w14:val="0E101A"/>
            </w14:solidFill>
          </w14:textFill>
        </w:rPr>
        <w:t>Every community has several issues that require special attention to address. The problems range from illicit drug use, neighbourhood insecurity to environmental concerns. This shows that every community issue is unique, and thus, each requires a different approach from the rest. Moreover, most community projects and programmes are not-for-profit initiatives that focus on making a positive difference in the target community or population. What is common about all programmes and projects aimed to address community issues is that there should be strong engagement with the core stakeholders to be successful</w:t>
      </w:r>
      <w:r>
        <w:rPr>
          <w:rtl w:val="0"/>
          <w:lang w:val="en-US"/>
        </w:rPr>
        <w:t xml:space="preserve"> (</w:t>
      </w:r>
      <w:r>
        <w:rPr>
          <w:outline w:val="0"/>
          <w:color w:val="0e101a"/>
          <w:u w:color="0e101a"/>
          <w:rtl w:val="0"/>
          <w:lang w:val="en-US"/>
          <w14:textFill>
            <w14:solidFill>
              <w14:srgbClr w14:val="0E101A"/>
            </w14:solidFill>
          </w14:textFill>
        </w:rPr>
        <w:t>Atsdr.cdc.gov. 2020). Moreover, when the target community is involved in all programme steps from problem identification to project implementation, they get a feeling of ownership, and the programme will have a long-lasting impact. Regarding this topic, this report presents a community engagement practice at Lancaster Changing Futures Project. Furthermore the report will discuss aspects of the project such as community interaction and building a long-lasting relationship as well as identification of the key stakeholders of the project.</w:t>
      </w:r>
    </w:p>
    <w:p>
      <w:pPr>
        <w:pStyle w:val="Normal (Web)"/>
        <w:spacing w:before="0" w:after="0" w:line="480" w:lineRule="auto"/>
        <w:rPr>
          <w:rFonts w:ascii="Calibri" w:cs="Calibri" w:hAnsi="Calibri" w:eastAsia="Calibri"/>
          <w:b w:val="1"/>
          <w:bCs w:val="1"/>
          <w:outline w:val="0"/>
          <w:color w:val="0e101a"/>
          <w:u w:color="0e101a"/>
          <w14:textFill>
            <w14:solidFill>
              <w14:srgbClr w14:val="0E101A"/>
            </w14:solidFill>
          </w14:textFill>
        </w:rPr>
      </w:pPr>
    </w:p>
    <w:p>
      <w:pPr>
        <w:pStyle w:val="Normal (Web)"/>
        <w:spacing w:before="0" w:after="0" w:line="480" w:lineRule="auto"/>
        <w:jc w:val="center"/>
        <w:rPr>
          <w:outline w:val="0"/>
          <w:color w:val="0e101a"/>
          <w:u w:color="0e101a"/>
          <w14:textFill>
            <w14:solidFill>
              <w14:srgbClr w14:val="0E101A"/>
            </w14:solidFill>
          </w14:textFill>
        </w:rPr>
      </w:pPr>
      <w:r>
        <w:rPr>
          <w:rFonts w:ascii="Calibri" w:hAnsi="Calibri"/>
          <w:b w:val="1"/>
          <w:bCs w:val="1"/>
          <w:outline w:val="0"/>
          <w:color w:val="0e101a"/>
          <w:u w:color="0e101a"/>
          <w:rtl w:val="0"/>
          <w:lang w:val="en-US"/>
          <w14:textFill>
            <w14:solidFill>
              <w14:srgbClr w14:val="0E101A"/>
            </w14:solidFill>
          </w14:textFill>
        </w:rPr>
        <w:t>Overview of the Project</w:t>
      </w:r>
    </w:p>
    <w:p>
      <w:pPr>
        <w:pStyle w:val="Normal (Web)"/>
        <w:spacing w:before="0" w:after="0" w:line="480" w:lineRule="auto"/>
        <w:ind w:firstLine="720"/>
        <w:jc w:val="both"/>
        <w:rPr>
          <w:outline w:val="0"/>
          <w:color w:val="0e101a"/>
          <w:u w:color="0e101a"/>
          <w14:textFill>
            <w14:solidFill>
              <w14:srgbClr w14:val="0E101A"/>
            </w14:solidFill>
          </w14:textFill>
        </w:rPr>
      </w:pPr>
      <w:r>
        <w:rPr>
          <w:outline w:val="0"/>
          <w:color w:val="0e101a"/>
          <w:u w:color="0e101a"/>
          <w:rtl w:val="0"/>
          <w:lang w:val="en-US"/>
          <w14:textFill>
            <w14:solidFill>
              <w14:srgbClr w14:val="0E101A"/>
            </w14:solidFill>
          </w14:textFill>
        </w:rPr>
        <w:t>Lancaster Changing Futures Project is part of the UK</w:t>
      </w:r>
      <w:r>
        <w:rPr>
          <w:outline w:val="0"/>
          <w:color w:val="0e101a"/>
          <w:u w:color="0e101a"/>
          <w:rtl w:val="0"/>
          <w:lang w:val="en-US"/>
          <w14:textFill>
            <w14:solidFill>
              <w14:srgbClr w14:val="0E101A"/>
            </w14:solidFill>
          </w14:textFill>
        </w:rPr>
        <w:t>’</w:t>
      </w:r>
      <w:r>
        <w:rPr>
          <w:outline w:val="0"/>
          <w:color w:val="0e101a"/>
          <w:u w:color="0e101a"/>
          <w:rtl w:val="0"/>
          <w:lang w:val="en-US"/>
          <w14:textFill>
            <w14:solidFill>
              <w14:srgbClr w14:val="0E101A"/>
            </w14:solidFill>
          </w14:textFill>
        </w:rPr>
        <w:t>s Changing Futures Programme. The Changing Futures Programme was established to strengthen the work of local services and systems in supporting adults going through multiple disadvantages</w:t>
      </w:r>
      <w:r>
        <w:rPr>
          <w:rFonts w:ascii="Arial" w:hAnsi="Arial"/>
          <w:outline w:val="0"/>
          <w:color w:val="000000"/>
          <w:sz w:val="20"/>
          <w:szCs w:val="20"/>
          <w:u w:color="000000"/>
          <w:shd w:val="clear" w:color="auto" w:fill="ffffff"/>
          <w:rtl w:val="0"/>
          <w:lang w:val="en-US"/>
          <w14:textFill>
            <w14:solidFill>
              <w14:srgbClr w14:val="000000"/>
            </w14:solidFill>
          </w14:textFill>
        </w:rPr>
        <w:t xml:space="preserve"> </w:t>
      </w:r>
      <w:r>
        <w:rPr>
          <w:outline w:val="0"/>
          <w:color w:val="0e101a"/>
          <w:u w:color="0e101a"/>
          <w:rtl w:val="0"/>
          <w:lang w:val="en-US"/>
          <w14:textFill>
            <w14:solidFill>
              <w14:srgbClr w14:val="0E101A"/>
            </w14:solidFill>
          </w14:textFill>
        </w:rPr>
        <w:t>(GOV.UK, 2021). It is a programme that focuses on utilising localised projects to make long-term and sustainable transformations on people with various disadvantages. As part of this program, the Lancaster Changing Futures project is focused on positively impacting the lives of the most disadvantaged and excluded persons across Lancashire.</w:t>
      </w:r>
      <w:r>
        <w:rPr>
          <w:outline w:val="0"/>
          <w:color w:val="0e101a"/>
          <w:u w:color="0e101a"/>
          <w:rtl w:val="0"/>
          <w:lang w:val="en-US"/>
          <w14:textFill>
            <w14:solidFill>
              <w14:srgbClr w14:val="0E101A"/>
            </w14:solidFill>
          </w14:textFill>
        </w:rPr>
        <w:t> </w:t>
      </w:r>
    </w:p>
    <w:p>
      <w:pPr>
        <w:pStyle w:val="Normal (Web)"/>
        <w:spacing w:before="0" w:after="0" w:line="480" w:lineRule="auto"/>
        <w:ind w:firstLine="720"/>
        <w:jc w:val="both"/>
        <w:rPr>
          <w:outline w:val="0"/>
          <w:color w:val="0e101a"/>
          <w:u w:color="0e101a"/>
          <w14:textFill>
            <w14:solidFill>
              <w14:srgbClr w14:val="0E101A"/>
            </w14:solidFill>
          </w14:textFill>
        </w:rPr>
      </w:pPr>
      <w:r>
        <w:rPr>
          <w:outline w:val="0"/>
          <w:color w:val="0e101a"/>
          <w:u w:color="0e101a"/>
          <w14:textFill>
            <w14:solidFill>
              <w14:srgbClr w14:val="0E101A"/>
            </w14:solidFill>
          </w14:textFill>
        </w:rPr>
        <w:drawing xmlns:a="http://schemas.openxmlformats.org/drawingml/2006/main">
          <wp:inline distT="0" distB="0" distL="0" distR="0">
            <wp:extent cx="4876800" cy="933450"/>
            <wp:effectExtent l="0" t="0" r="0" b="0"/>
            <wp:docPr id="1073741826" name="officeArt object" descr="project.png"/>
            <wp:cNvGraphicFramePr/>
            <a:graphic xmlns:a="http://schemas.openxmlformats.org/drawingml/2006/main">
              <a:graphicData uri="http://schemas.openxmlformats.org/drawingml/2006/picture">
                <pic:pic xmlns:pic="http://schemas.openxmlformats.org/drawingml/2006/picture">
                  <pic:nvPicPr>
                    <pic:cNvPr id="1073741826" name="project.png" descr="project.png"/>
                    <pic:cNvPicPr>
                      <a:picLocks noChangeAspect="1"/>
                    </pic:cNvPicPr>
                  </pic:nvPicPr>
                  <pic:blipFill>
                    <a:blip r:embed="rId5">
                      <a:extLst/>
                    </a:blip>
                    <a:stretch>
                      <a:fillRect/>
                    </a:stretch>
                  </pic:blipFill>
                  <pic:spPr>
                    <a:xfrm>
                      <a:off x="0" y="0"/>
                      <a:ext cx="4876800" cy="933450"/>
                    </a:xfrm>
                    <a:prstGeom prst="rect">
                      <a:avLst/>
                    </a:prstGeom>
                    <a:ln w="12700" cap="flat">
                      <a:noFill/>
                      <a:miter lim="400000"/>
                    </a:ln>
                    <a:effectLst/>
                  </pic:spPr>
                </pic:pic>
              </a:graphicData>
            </a:graphic>
          </wp:inline>
        </w:drawing>
      </w:r>
    </w:p>
    <w:p>
      <w:pPr>
        <w:pStyle w:val="Normal (Web)"/>
        <w:spacing w:before="0" w:after="0" w:line="480" w:lineRule="auto"/>
        <w:ind w:firstLine="720"/>
        <w:jc w:val="both"/>
        <w:rPr>
          <w:outline w:val="0"/>
          <w:color w:val="0e101a"/>
          <w:u w:color="0e101a"/>
          <w14:textFill>
            <w14:solidFill>
              <w14:srgbClr w14:val="0E101A"/>
            </w14:solidFill>
          </w14:textFill>
        </w:rPr>
      </w:pPr>
      <w:r>
        <w:rPr>
          <w:outline w:val="0"/>
          <w:color w:val="0e101a"/>
          <w:u w:color="0e101a"/>
          <w:rtl w:val="0"/>
          <w:lang w:val="en-US"/>
          <w14:textFill>
            <w14:solidFill>
              <w14:srgbClr w14:val="0E101A"/>
            </w14:solidFill>
          </w14:textFill>
        </w:rPr>
        <w:t>The target population are individuals who face various and complex hurdles to employment. This means that the participants are economically inactive as they are not employed due to the high social exclusion risk. They include persons with different health problems, learning problems, Black, Asian, and minority ethnic (BAME), and those facing social challenges such as domestic instability and chronic homelessness</w:t>
      </w:r>
      <w:r>
        <w:rPr>
          <w:rFonts w:ascii="Arial" w:hAnsi="Arial"/>
          <w:outline w:val="0"/>
          <w:color w:val="000000"/>
          <w:sz w:val="20"/>
          <w:szCs w:val="20"/>
          <w:u w:color="000000"/>
          <w:shd w:val="clear" w:color="auto" w:fill="ffffff"/>
          <w:rtl w:val="0"/>
          <w:lang w:val="en-US"/>
          <w14:textFill>
            <w14:solidFill>
              <w14:srgbClr w14:val="000000"/>
            </w14:solidFill>
          </w14:textFill>
        </w:rPr>
        <w:t xml:space="preserve"> </w:t>
      </w:r>
      <w:r>
        <w:rPr>
          <w:outline w:val="0"/>
          <w:color w:val="0e101a"/>
          <w:u w:color="0e101a"/>
          <w:rtl w:val="0"/>
          <w:lang w:val="en-US"/>
          <w14:textFill>
            <w14:solidFill>
              <w14:srgbClr w14:val="0E101A"/>
            </w14:solidFill>
          </w14:textFill>
        </w:rPr>
        <w:t>(GOV.UK, 2021). The project involves transformational coaches who help the beneficiaries understand how they can utilise their skills and abilities to overcome the various barriers to employment</w:t>
      </w:r>
      <w:r>
        <w:rPr>
          <w:rFonts w:ascii="Arial" w:hAnsi="Arial"/>
          <w:outline w:val="0"/>
          <w:color w:val="000000"/>
          <w:sz w:val="20"/>
          <w:szCs w:val="20"/>
          <w:u w:color="000000"/>
          <w:shd w:val="clear" w:color="auto" w:fill="ffffff"/>
          <w:rtl w:val="0"/>
          <w:lang w:val="en-US"/>
          <w14:textFill>
            <w14:solidFill>
              <w14:srgbClr w14:val="000000"/>
            </w14:solidFill>
          </w14:textFill>
        </w:rPr>
        <w:t xml:space="preserve"> </w:t>
      </w:r>
      <w:r>
        <w:rPr>
          <w:outline w:val="0"/>
          <w:color w:val="0e101a"/>
          <w:u w:color="0e101a"/>
          <w:rtl w:val="0"/>
          <w:lang w:val="en-US"/>
          <w14:textFill>
            <w14:solidFill>
              <w14:srgbClr w14:val="0E101A"/>
            </w14:solidFill>
          </w14:textFill>
        </w:rPr>
        <w:t>(Selnet, 2021). Moreover, the project is executed through partnerships with different community organisations and individuals. The project has two 2-years periods (2021/22 to 2022/23), but it is subject to extension depending on the performance</w:t>
      </w:r>
      <w:r>
        <w:rPr>
          <w:rFonts w:ascii="Arial" w:hAnsi="Arial"/>
          <w:outline w:val="0"/>
          <w:color w:val="000000"/>
          <w:sz w:val="20"/>
          <w:szCs w:val="20"/>
          <w:u w:color="000000"/>
          <w:shd w:val="clear" w:color="auto" w:fill="ffffff"/>
          <w:rtl w:val="0"/>
          <w:lang w:val="en-US"/>
          <w14:textFill>
            <w14:solidFill>
              <w14:srgbClr w14:val="000000"/>
            </w14:solidFill>
          </w14:textFill>
        </w:rPr>
        <w:t xml:space="preserve"> </w:t>
      </w:r>
      <w:r>
        <w:rPr>
          <w:outline w:val="0"/>
          <w:color w:val="0e101a"/>
          <w:u w:color="0e101a"/>
          <w:rtl w:val="0"/>
          <w:lang w:val="en-US"/>
          <w14:textFill>
            <w14:solidFill>
              <w14:srgbClr w14:val="0E101A"/>
            </w14:solidFill>
          </w14:textFill>
        </w:rPr>
        <w:t>(GOV.UK, 2021).</w:t>
      </w:r>
      <w:r>
        <w:rPr>
          <w:outline w:val="0"/>
          <w:color w:val="0e101a"/>
          <w:u w:color="0e101a"/>
          <w:rtl w:val="0"/>
          <w:lang w:val="en-US"/>
          <w14:textFill>
            <w14:solidFill>
              <w14:srgbClr w14:val="0E101A"/>
            </w14:solidFill>
          </w14:textFill>
        </w:rPr>
        <w:t> </w:t>
      </w:r>
    </w:p>
    <w:p>
      <w:pPr>
        <w:pStyle w:val="Normal (Web)"/>
        <w:spacing w:before="0" w:after="0" w:line="480" w:lineRule="auto"/>
        <w:jc w:val="center"/>
        <w:rPr>
          <w:outline w:val="0"/>
          <w:color w:val="0e101a"/>
          <w:u w:color="0e101a"/>
          <w14:textFill>
            <w14:solidFill>
              <w14:srgbClr w14:val="0E101A"/>
            </w14:solidFill>
          </w14:textFill>
        </w:rPr>
      </w:pPr>
      <w:r>
        <w:rPr>
          <w:rFonts w:ascii="Calibri" w:hAnsi="Calibri"/>
          <w:b w:val="1"/>
          <w:bCs w:val="1"/>
          <w:outline w:val="0"/>
          <w:color w:val="0e101a"/>
          <w:u w:color="0e101a"/>
          <w:rtl w:val="0"/>
          <w:lang w:val="en-US"/>
          <w14:textFill>
            <w14:solidFill>
              <w14:srgbClr w14:val="0E101A"/>
            </w14:solidFill>
          </w14:textFill>
        </w:rPr>
        <w:t>Community engagement</w:t>
      </w:r>
    </w:p>
    <w:p>
      <w:pPr>
        <w:pStyle w:val="Normal (Web)"/>
        <w:spacing w:before="0" w:after="0" w:line="480" w:lineRule="auto"/>
        <w:ind w:firstLine="720"/>
        <w:jc w:val="both"/>
        <w:rPr>
          <w:outline w:val="0"/>
          <w:color w:val="0e101a"/>
          <w:u w:color="0e101a"/>
          <w14:textFill>
            <w14:solidFill>
              <w14:srgbClr w14:val="0E101A"/>
            </w14:solidFill>
          </w14:textFill>
        </w:rPr>
      </w:pPr>
      <w:r>
        <w:rPr>
          <w:outline w:val="0"/>
          <w:color w:val="0e101a"/>
          <w:u w:color="0e101a"/>
          <w:rtl w:val="0"/>
          <w:lang w:val="en-US"/>
          <w14:textFill>
            <w14:solidFill>
              <w14:srgbClr w14:val="0E101A"/>
            </w14:solidFill>
          </w14:textFill>
        </w:rPr>
        <w:t>The first step in community engagement is to have a clear goal for engaging with the community (Atsdr.cdc.gov. 2020). In this project, the community being engaged with includes unemployed persons due to multiple disadvantages. The identification of persons with multiple disadvantages is done through community mapping in partnership with the target community and other related organisations. Therefore, the Lancaster Changing Futures Project identifies potential beneficiaries by listening to the views of the Lancaster people about the major causes of unemployment in the area. Then, it investigates unemployed, disadvantaged people in the area who have no access to any support system. The goal is to positively change the lives of unemployed persons with multiple disadvantages in the area. Specific objectives are set according to individuals conditions. For example, during my practice at the project, I encountered one person who had a chronic drinking problem, had lost a partner through cancer, and was facing eviction from his rented house. The specific objectives of this person</w:t>
      </w:r>
      <w:r>
        <w:rPr>
          <w:outline w:val="0"/>
          <w:color w:val="0e101a"/>
          <w:u w:color="0e101a"/>
          <w:rtl w:val="0"/>
          <w:lang w:val="en-US"/>
          <w14:textFill>
            <w14:solidFill>
              <w14:srgbClr w14:val="0E101A"/>
            </w14:solidFill>
          </w14:textFill>
        </w:rPr>
        <w:t>’</w:t>
      </w:r>
      <w:r>
        <w:rPr>
          <w:outline w:val="0"/>
          <w:color w:val="0e101a"/>
          <w:u w:color="0e101a"/>
          <w:rtl w:val="0"/>
          <w:lang w:val="en-US"/>
          <w14:textFill>
            <w14:solidFill>
              <w14:srgbClr w14:val="0E101A"/>
            </w14:solidFill>
          </w14:textFill>
        </w:rPr>
        <w:t xml:space="preserve">s problem were different from that of a homeless person with poor physical health. However, the </w:t>
      </w:r>
      <w:r>
        <w:rPr>
          <w:outline w:val="0"/>
          <w:color w:val="0e101a"/>
          <w:u w:color="0e101a"/>
          <w:rtl w:val="0"/>
          <w:lang w:val="en-US"/>
          <w14:textFill>
            <w14:solidFill>
              <w14:srgbClr w14:val="0E101A"/>
            </w14:solidFill>
          </w14:textFill>
        </w:rPr>
        <w:t>“</w:t>
      </w:r>
      <w:r>
        <w:rPr>
          <w:outline w:val="0"/>
          <w:color w:val="0e101a"/>
          <w:u w:color="0e101a"/>
          <w:rtl w:val="0"/>
          <w:lang w:val="en-US"/>
          <w14:textFill>
            <w14:solidFill>
              <w14:srgbClr w14:val="0E101A"/>
            </w14:solidFill>
          </w14:textFill>
        </w:rPr>
        <w:t>general</w:t>
      </w:r>
      <w:r>
        <w:rPr>
          <w:outline w:val="0"/>
          <w:color w:val="0e101a"/>
          <w:u w:color="0e101a"/>
          <w:rtl w:val="0"/>
          <w:lang w:val="en-US"/>
          <w14:textFill>
            <w14:solidFill>
              <w14:srgbClr w14:val="0E101A"/>
            </w14:solidFill>
          </w14:textFill>
        </w:rPr>
        <w:t xml:space="preserve">” </w:t>
      </w:r>
      <w:r>
        <w:rPr>
          <w:outline w:val="0"/>
          <w:color w:val="0e101a"/>
          <w:u w:color="0e101a"/>
          <w:rtl w:val="0"/>
          <w:lang w:val="en-US"/>
          <w14:textFill>
            <w14:solidFill>
              <w14:srgbClr w14:val="0E101A"/>
            </w14:solidFill>
          </w14:textFill>
        </w:rPr>
        <w:t>specific objectives of the project to get the most disadvantaged persons in Lancashire back to economically active lives by the end of the project. Specifically, the project target 2160 by the end of the programme in 2023</w:t>
      </w:r>
      <w:r>
        <w:rPr>
          <w:rFonts w:ascii="Arial" w:hAnsi="Arial"/>
          <w:outline w:val="0"/>
          <w:color w:val="000000"/>
          <w:sz w:val="20"/>
          <w:szCs w:val="20"/>
          <w:u w:color="000000"/>
          <w:shd w:val="clear" w:color="auto" w:fill="ffffff"/>
          <w:rtl w:val="0"/>
          <w:lang w:val="en-US"/>
          <w14:textFill>
            <w14:solidFill>
              <w14:srgbClr w14:val="000000"/>
            </w14:solidFill>
          </w14:textFill>
        </w:rPr>
        <w:t xml:space="preserve"> </w:t>
      </w:r>
      <w:r>
        <w:rPr>
          <w:outline w:val="0"/>
          <w:color w:val="0e101a"/>
          <w:u w:color="0e101a"/>
          <w:rtl w:val="0"/>
          <w:lang w:val="en-US"/>
          <w14:textFill>
            <w14:solidFill>
              <w14:srgbClr w14:val="0E101A"/>
            </w14:solidFill>
          </w14:textFill>
        </w:rPr>
        <w:t>(GOV.UK, 2021).</w:t>
      </w:r>
      <w:r>
        <w:rPr>
          <w:outline w:val="0"/>
          <w:color w:val="0e101a"/>
          <w:u w:color="0e101a"/>
          <w:rtl w:val="0"/>
          <w:lang w:val="en-US"/>
          <w14:textFill>
            <w14:solidFill>
              <w14:srgbClr w14:val="0E101A"/>
            </w14:solidFill>
          </w14:textFill>
        </w:rPr>
        <w:t> </w:t>
      </w:r>
    </w:p>
    <w:p>
      <w:pPr>
        <w:pStyle w:val="Normal (Web)"/>
        <w:spacing w:before="0" w:after="0" w:line="480" w:lineRule="auto"/>
        <w:jc w:val="center"/>
        <w:rPr>
          <w:outline w:val="0"/>
          <w:color w:val="0e101a"/>
          <w:u w:color="0e101a"/>
          <w14:textFill>
            <w14:solidFill>
              <w14:srgbClr w14:val="0E101A"/>
            </w14:solidFill>
          </w14:textFill>
        </w:rPr>
      </w:pPr>
      <w:r>
        <w:rPr>
          <w:rFonts w:ascii="Calibri" w:hAnsi="Calibri"/>
          <w:b w:val="1"/>
          <w:bCs w:val="1"/>
          <w:outline w:val="0"/>
          <w:color w:val="0e101a"/>
          <w:u w:color="0e101a"/>
          <w:rtl w:val="0"/>
          <w:lang w:val="en-US"/>
          <w14:textFill>
            <w14:solidFill>
              <w14:srgbClr w14:val="0E101A"/>
            </w14:solidFill>
          </w14:textFill>
        </w:rPr>
        <w:t>Understanding the community</w:t>
      </w:r>
    </w:p>
    <w:p>
      <w:pPr>
        <w:pStyle w:val="Normal (Web)"/>
        <w:spacing w:before="0" w:after="0" w:line="480" w:lineRule="auto"/>
        <w:ind w:firstLine="720"/>
        <w:jc w:val="both"/>
        <w:rPr>
          <w:outline w:val="0"/>
          <w:color w:val="0e101a"/>
          <w:u w:color="0e101a"/>
          <w14:textFill>
            <w14:solidFill>
              <w14:srgbClr w14:val="0E101A"/>
            </w14:solidFill>
          </w14:textFill>
        </w:rPr>
      </w:pPr>
      <w:r>
        <w:rPr>
          <w:outline w:val="0"/>
          <w:color w:val="0e101a"/>
          <w:u w:color="0e101a"/>
          <w:rtl w:val="0"/>
          <w:lang w:val="en-US"/>
          <w14:textFill>
            <w14:solidFill>
              <w14:srgbClr w14:val="0E101A"/>
            </w14:solidFill>
          </w14:textFill>
        </w:rPr>
        <w:t>When establishing a project in a community, it is crucial to be well-versed with the community</w:t>
      </w:r>
      <w:r>
        <w:rPr>
          <w:outline w:val="0"/>
          <w:color w:val="0e101a"/>
          <w:u w:color="0e101a"/>
          <w:rtl w:val="0"/>
          <w:lang w:val="en-US"/>
          <w14:textFill>
            <w14:solidFill>
              <w14:srgbClr w14:val="0E101A"/>
            </w14:solidFill>
          </w14:textFill>
        </w:rPr>
        <w:t>’</w:t>
      </w:r>
      <w:r>
        <w:rPr>
          <w:outline w:val="0"/>
          <w:color w:val="0e101a"/>
          <w:u w:color="0e101a"/>
          <w:rtl w:val="0"/>
          <w:lang w:val="en-US"/>
          <w14:textFill>
            <w14:solidFill>
              <w14:srgbClr w14:val="0E101A"/>
            </w14:solidFill>
          </w14:textFill>
        </w:rPr>
        <w:t>s cultural and social values and practices. In addition, the history and social networks of the community should be considered</w:t>
      </w:r>
      <w:r>
        <w:rPr>
          <w:rtl w:val="0"/>
          <w:lang w:val="en-US"/>
        </w:rPr>
        <w:t xml:space="preserve"> (</w:t>
      </w:r>
      <w:r>
        <w:rPr>
          <w:outline w:val="0"/>
          <w:color w:val="0e101a"/>
          <w:u w:color="0e101a"/>
          <w:rtl w:val="0"/>
          <w:lang w:val="en-US"/>
          <w14:textFill>
            <w14:solidFill>
              <w14:srgbClr w14:val="0E101A"/>
            </w14:solidFill>
          </w14:textFill>
        </w:rPr>
        <w:t>McCabe, Keast. and Brown, 2006). In the Changing Futures Project, the first thing is to assess the history of unemployment in the area and then evaluate who is most affected by the situation. It is the community that comes up with the suggestions of the most affected. On that note, it was revealed that the mentally disturbed, racial and ethnic minorities and the homeless are the most likely to be unemployed. Again, the project identifies those who are not connected with the available social networks. In this case, immigrants were found to be the most disconnected due to fear of being deported or discriminated against because of their nationality. It is understood that the UK and particularly, the Lancaster values are connected with traditional British values, including tolerance of differing opinions, law and order, individual liberty, and participation in local community activities. Therefore, the current Changing Future Project is based on these values held by the Lancashire community to ensure that no one is left behind in enjoying them.</w:t>
      </w:r>
      <w:r>
        <w:rPr>
          <w:outline w:val="0"/>
          <w:color w:val="0e101a"/>
          <w:u w:color="0e101a"/>
          <w:rtl w:val="0"/>
          <w:lang w:val="en-US"/>
          <w14:textFill>
            <w14:solidFill>
              <w14:srgbClr w14:val="0E101A"/>
            </w14:solidFill>
          </w14:textFill>
        </w:rPr>
        <w:t> </w:t>
      </w:r>
    </w:p>
    <w:p>
      <w:pPr>
        <w:pStyle w:val="Normal (Web)"/>
        <w:spacing w:before="0" w:after="0" w:line="480" w:lineRule="auto"/>
        <w:ind w:firstLine="720"/>
        <w:jc w:val="both"/>
        <w:rPr>
          <w:outline w:val="0"/>
          <w:color w:val="0e101a"/>
          <w:u w:color="0e101a"/>
          <w14:textFill>
            <w14:solidFill>
              <w14:srgbClr w14:val="0E101A"/>
            </w14:solidFill>
          </w14:textFill>
        </w:rPr>
      </w:pPr>
    </w:p>
    <w:p>
      <w:pPr>
        <w:pStyle w:val="Normal (Web)"/>
        <w:spacing w:before="0" w:after="0" w:line="480" w:lineRule="auto"/>
        <w:jc w:val="center"/>
        <w:rPr>
          <w:outline w:val="0"/>
          <w:color w:val="0e101a"/>
          <w:u w:color="0e101a"/>
          <w14:textFill>
            <w14:solidFill>
              <w14:srgbClr w14:val="0E101A"/>
            </w14:solidFill>
          </w14:textFill>
        </w:rPr>
      </w:pPr>
      <w:r>
        <w:rPr>
          <w:rFonts w:ascii="Calibri" w:hAnsi="Calibri"/>
          <w:b w:val="1"/>
          <w:bCs w:val="1"/>
          <w:outline w:val="0"/>
          <w:color w:val="0e101a"/>
          <w:u w:color="0e101a"/>
          <w:rtl w:val="0"/>
          <w:lang w:val="en-US"/>
          <w14:textFill>
            <w14:solidFill>
              <w14:srgbClr w14:val="0E101A"/>
            </w14:solidFill>
          </w14:textFill>
        </w:rPr>
        <w:t>Engagement with stakeholders</w:t>
      </w:r>
    </w:p>
    <w:p>
      <w:pPr>
        <w:pStyle w:val="Normal (Web)"/>
        <w:spacing w:before="0" w:after="0" w:line="480" w:lineRule="auto"/>
        <w:ind w:firstLine="720"/>
        <w:jc w:val="both"/>
        <w:rPr>
          <w:outline w:val="0"/>
          <w:color w:val="0e101a"/>
          <w:u w:color="0e101a"/>
          <w14:textFill>
            <w14:solidFill>
              <w14:srgbClr w14:val="0E101A"/>
            </w14:solidFill>
          </w14:textFill>
        </w:rPr>
      </w:pPr>
      <w:r>
        <w:rPr>
          <w:outline w:val="0"/>
          <w:color w:val="0e101a"/>
          <w:u w:color="0e101a"/>
          <w:rtl w:val="0"/>
          <w:lang w:val="en-US"/>
          <w14:textFill>
            <w14:solidFill>
              <w14:srgbClr w14:val="0E101A"/>
            </w14:solidFill>
          </w14:textFill>
        </w:rPr>
        <w:t>Programme activities must be in line with the community's social trends and support positive development. The Changing Future Project is established with strong consideration of community partnership. Projects are more likely to achieve their objectives if they are interconnected with the target community and the existing community organisations. As noted in the preceding section, the local Lancashire community is involved in identifying the candidates for the project; however, the project is also built in partnership with different governmental and non-government entities.</w:t>
      </w:r>
    </w:p>
    <w:p>
      <w:pPr>
        <w:pStyle w:val="Normal (Web)"/>
        <w:spacing w:before="0" w:after="0" w:line="480" w:lineRule="auto"/>
        <w:ind w:firstLine="720"/>
        <w:jc w:val="both"/>
        <w:rPr>
          <w:outline w:val="0"/>
          <w:color w:val="0e101a"/>
          <w:u w:color="0e101a"/>
          <w14:textFill>
            <w14:solidFill>
              <w14:srgbClr w14:val="0E101A"/>
            </w14:solidFill>
          </w14:textFill>
        </w:rPr>
      </w:pPr>
      <w:r>
        <w:rPr>
          <w:outline w:val="0"/>
          <w:color w:val="0e101a"/>
          <w:u w:color="0e101a"/>
          <w:rtl w:val="0"/>
          <w:lang w:val="en-US"/>
          <w14:textFill>
            <w14:solidFill>
              <w14:srgbClr w14:val="0E101A"/>
            </w14:solidFill>
          </w14:textFill>
        </w:rPr>
        <w:t>Although the project beneficiaries are the central stakeholders in a project, the funding and implementation stakeholders play a critical role. In a not-for-profit programme, the stakeholders are categorised using the constituency model. This is a circular model where the inner circles represent stakeholders with a strong connection with the project, and those with loose connections are in the out circles</w:t>
      </w:r>
      <w:r>
        <w:rPr>
          <w:rtl w:val="0"/>
          <w:lang w:val="en-US"/>
        </w:rPr>
        <w:t xml:space="preserve"> (</w:t>
      </w:r>
      <w:r>
        <w:rPr>
          <w:outline w:val="0"/>
          <w:color w:val="0e101a"/>
          <w:u w:color="0e101a"/>
          <w:rtl w:val="0"/>
          <w:lang w:val="en-US"/>
          <w14:textFill>
            <w14:solidFill>
              <w14:srgbClr w14:val="0E101A"/>
            </w14:solidFill>
          </w14:textFill>
        </w:rPr>
        <w:t>Seiler, 2011). All the stakeholders are essential, but those at the centre play the most critical role in funding and technical support. In the Changing Futures Project in Lancashire, the stakeholders at the centre include Her Majesty government, Social Enterprise Lancashire Network (Telnet) and the project management team. HM government is the key financier of the programme. Telnet is the lead partner tasked with coordinating the activities of all partners and ensuring that they are all aligned with the overall programme goals and objectives. Other stakeholders include local authorities associated with social care services, housing support and public health, police or the local criminal justice system, NHS partners, and the local social services partners. Volunteers who work as transformational coaches are also critical stakeholders in the project.</w:t>
      </w:r>
    </w:p>
    <w:p>
      <w:pPr>
        <w:pStyle w:val="Normal (Web)"/>
        <w:spacing w:before="0" w:after="0" w:line="480" w:lineRule="auto"/>
        <w:ind w:firstLine="720"/>
        <w:jc w:val="both"/>
        <w:rPr>
          <w:outline w:val="0"/>
          <w:color w:val="0e101a"/>
          <w:u w:color="0e101a"/>
          <w14:textFill>
            <w14:solidFill>
              <w14:srgbClr w14:val="0E101A"/>
            </w14:solidFill>
          </w14:textFill>
        </w:rPr>
      </w:pPr>
      <w:r>
        <w:rPr>
          <w:outline w:val="0"/>
          <w:color w:val="0e101a"/>
          <w:u w:color="0e101a"/>
          <w:rtl w:val="0"/>
          <w:lang w:val="en-US"/>
          <w14:textFill>
            <w14:solidFill>
              <w14:srgbClr w14:val="0E101A"/>
            </w14:solidFill>
          </w14:textFill>
        </w:rPr>
        <w:t>As noted, every stakeholder has an essential role in the project. However, stakeholders need to be convinced to contribute. To achieve this, the project planners must increase the awareness of the project</w:t>
      </w:r>
      <w:r>
        <w:rPr>
          <w:outline w:val="0"/>
          <w:color w:val="0e101a"/>
          <w:u w:color="0e101a"/>
          <w:rtl w:val="0"/>
          <w:lang w:val="en-US"/>
          <w14:textFill>
            <w14:solidFill>
              <w14:srgbClr w14:val="0E101A"/>
            </w14:solidFill>
          </w14:textFill>
        </w:rPr>
        <w:t>’</w:t>
      </w:r>
      <w:r>
        <w:rPr>
          <w:outline w:val="0"/>
          <w:color w:val="0e101a"/>
          <w:u w:color="0e101a"/>
          <w:rtl w:val="0"/>
          <w:lang w:val="en-US"/>
          <w14:textFill>
            <w14:solidFill>
              <w14:srgbClr w14:val="0E101A"/>
            </w14:solidFill>
          </w14:textFill>
        </w:rPr>
        <w:t>s mission, goals and objectives (Seiler, 2011). Most likely, the key stakeholders are already aware of the programme</w:t>
      </w:r>
      <w:r>
        <w:rPr>
          <w:outline w:val="0"/>
          <w:color w:val="0e101a"/>
          <w:u w:color="0e101a"/>
          <w:rtl w:val="0"/>
          <w:lang w:val="en-US"/>
          <w14:textFill>
            <w14:solidFill>
              <w14:srgbClr w14:val="0E101A"/>
            </w14:solidFill>
          </w14:textFill>
        </w:rPr>
        <w:t>’</w:t>
      </w:r>
      <w:r>
        <w:rPr>
          <w:outline w:val="0"/>
          <w:color w:val="0e101a"/>
          <w:u w:color="0e101a"/>
          <w:rtl w:val="0"/>
          <w:lang w:val="en-US"/>
          <w14:textFill>
            <w14:solidFill>
              <w14:srgbClr w14:val="0E101A"/>
            </w14:solidFill>
          </w14:textFill>
        </w:rPr>
        <w:t>s mission and goals; but they must be convinced about the project's specific objectives. This is done by writing proposals and sending them via email or presenting the objectives at conferences. Awareness campaigns and connections are used to reach out to the other stakeholders</w:t>
      </w:r>
      <w:r>
        <w:rPr>
          <w:rtl w:val="0"/>
          <w:lang w:val="en-US"/>
        </w:rPr>
        <w:t xml:space="preserve"> (</w:t>
      </w:r>
      <w:r>
        <w:rPr>
          <w:outline w:val="0"/>
          <w:color w:val="0e101a"/>
          <w:u w:color="0e101a"/>
          <w:rtl w:val="0"/>
          <w:lang w:val="en-US"/>
          <w14:textFill>
            <w14:solidFill>
              <w14:srgbClr w14:val="0E101A"/>
            </w14:solidFill>
          </w14:textFill>
        </w:rPr>
        <w:t>Tempel and Seiler, 2016). In this, social media platforms are used in awareness campaigns. For instance, Changing Futures Project has a YouTube channel showing testimonials from individuals who have benefited from the project. However, the project needs to have an active Facebook page, Instagram, and Twitter account to reach young persons to participate as volunteers. Besides, the social media platforms will help reach out to many people in Lancashire who may know someone unemployed and has multiple disadvantages.</w:t>
      </w:r>
    </w:p>
    <w:p>
      <w:pPr>
        <w:pStyle w:val="Normal (Web)"/>
        <w:spacing w:before="0" w:after="0" w:line="480" w:lineRule="auto"/>
        <w:jc w:val="center"/>
        <w:rPr>
          <w:outline w:val="0"/>
          <w:color w:val="0e101a"/>
          <w:u w:color="0e101a"/>
          <w14:textFill>
            <w14:solidFill>
              <w14:srgbClr w14:val="0E101A"/>
            </w14:solidFill>
          </w14:textFill>
        </w:rPr>
      </w:pPr>
      <w:r>
        <w:rPr>
          <w:rFonts w:ascii="Calibri" w:hAnsi="Calibri"/>
          <w:b w:val="1"/>
          <w:bCs w:val="1"/>
          <w:outline w:val="0"/>
          <w:color w:val="0e101a"/>
          <w:u w:color="0e101a"/>
          <w:rtl w:val="0"/>
          <w:lang w:val="en-US"/>
          <w14:textFill>
            <w14:solidFill>
              <w14:srgbClr w14:val="0E101A"/>
            </w14:solidFill>
          </w14:textFill>
        </w:rPr>
        <w:t>Relationship building</w:t>
      </w:r>
    </w:p>
    <w:p>
      <w:pPr>
        <w:pStyle w:val="Normal (Web)"/>
        <w:spacing w:before="0" w:after="0" w:line="480" w:lineRule="auto"/>
        <w:ind w:firstLine="720"/>
        <w:jc w:val="both"/>
        <w:rPr>
          <w:outline w:val="0"/>
          <w:color w:val="0e101a"/>
          <w:u w:color="0e101a"/>
          <w14:textFill>
            <w14:solidFill>
              <w14:srgbClr w14:val="0E101A"/>
            </w14:solidFill>
          </w14:textFill>
        </w:rPr>
      </w:pPr>
      <w:r>
        <w:rPr>
          <w:outline w:val="0"/>
          <w:color w:val="0e101a"/>
          <w:u w:color="0e101a"/>
          <w:rtl w:val="0"/>
          <w:lang w:val="en-US"/>
          <w14:textFill>
            <w14:solidFill>
              <w14:srgbClr w14:val="0E101A"/>
            </w14:solidFill>
          </w14:textFill>
        </w:rPr>
        <w:t>A successful community project is premised on how it has established a relationship with the community. As found in a project in Ethiopia, the project team not assume that the target community have no capacity to contribute (VEMURU and TESFAYE, 2018). The Changing Future Project is a continuation of the Building Better Opportunities initiative that was started in 2018</w:t>
      </w:r>
      <w:r>
        <w:rPr>
          <w:rFonts w:ascii="Arial" w:hAnsi="Arial"/>
          <w:outline w:val="0"/>
          <w:color w:val="000000"/>
          <w:sz w:val="20"/>
          <w:szCs w:val="20"/>
          <w:u w:color="000000"/>
          <w:shd w:val="clear" w:color="auto" w:fill="ffffff"/>
          <w:rtl w:val="0"/>
          <w:lang w:val="en-US"/>
          <w14:textFill>
            <w14:solidFill>
              <w14:srgbClr w14:val="000000"/>
            </w14:solidFill>
          </w14:textFill>
        </w:rPr>
        <w:t xml:space="preserve"> </w:t>
      </w:r>
      <w:r>
        <w:rPr>
          <w:outline w:val="0"/>
          <w:color w:val="0e101a"/>
          <w:u w:color="0e101a"/>
          <w:rtl w:val="0"/>
          <w:lang w:val="en-US"/>
          <w14:textFill>
            <w14:solidFill>
              <w14:srgbClr w14:val="0E101A"/>
            </w14:solidFill>
          </w14:textFill>
        </w:rPr>
        <w:t>(Selnet, 2021). The programme has already become part of the Lancaster community, and the residents welcome any initiative that tries to move the programme to the next level. The general community understands that unemployment is a serious problem to some residents and has to be addressed to ensure that everyone feels like part of the community. Moreover, when the community is actively involved in identifying the problem and coming up with the solution, it is less likely to resist the project</w:t>
      </w:r>
      <w:r>
        <w:rPr>
          <w:rFonts w:ascii="Arial" w:hAnsi="Arial"/>
          <w:outline w:val="0"/>
          <w:color w:val="000000"/>
          <w:sz w:val="20"/>
          <w:szCs w:val="20"/>
          <w:u w:color="000000"/>
          <w:shd w:val="clear" w:color="auto" w:fill="ffffff"/>
          <w:rtl w:val="0"/>
          <w:lang w:val="en-US"/>
          <w14:textFill>
            <w14:solidFill>
              <w14:srgbClr w14:val="000000"/>
            </w14:solidFill>
          </w14:textFill>
        </w:rPr>
        <w:t xml:space="preserve"> </w:t>
      </w:r>
      <w:r>
        <w:rPr>
          <w:outline w:val="0"/>
          <w:color w:val="0e101a"/>
          <w:u w:color="0e101a"/>
          <w:rtl w:val="0"/>
          <w:lang w:val="en-US"/>
          <w14:textFill>
            <w14:solidFill>
              <w14:srgbClr w14:val="0E101A"/>
            </w14:solidFill>
          </w14:textFill>
        </w:rPr>
        <w:t>(VEMURU and TESFAYE, 2018). Therefore, the Changing Futures programme partners with the Lancashire community to identify the problems related to unemployed adults in the area and how the disadvantaged status escalates the situation. Furthermore, the project includes the voice of the potential beneficiaries to show that they understand their issues and what is needed to address them.</w:t>
      </w:r>
      <w:r>
        <w:rPr>
          <w:outline w:val="0"/>
          <w:color w:val="0e101a"/>
          <w:u w:color="0e101a"/>
          <w:rtl w:val="0"/>
          <w:lang w:val="en-US"/>
          <w14:textFill>
            <w14:solidFill>
              <w14:srgbClr w14:val="0E101A"/>
            </w14:solidFill>
          </w14:textFill>
        </w:rPr>
        <w:t> </w:t>
      </w:r>
    </w:p>
    <w:p>
      <w:pPr>
        <w:pStyle w:val="Normal (Web)"/>
        <w:spacing w:before="0" w:after="0" w:line="480" w:lineRule="auto"/>
        <w:jc w:val="center"/>
        <w:rPr>
          <w:outline w:val="0"/>
          <w:color w:val="0e101a"/>
          <w:u w:color="0e101a"/>
          <w14:textFill>
            <w14:solidFill>
              <w14:srgbClr w14:val="0E101A"/>
            </w14:solidFill>
          </w14:textFill>
        </w:rPr>
      </w:pPr>
      <w:r>
        <w:rPr>
          <w:rFonts w:ascii="Calibri" w:hAnsi="Calibri"/>
          <w:b w:val="1"/>
          <w:bCs w:val="1"/>
          <w:outline w:val="0"/>
          <w:color w:val="0e101a"/>
          <w:u w:color="0e101a"/>
          <w:rtl w:val="0"/>
          <w:lang w:val="en-US"/>
          <w14:textFill>
            <w14:solidFill>
              <w14:srgbClr w14:val="0E101A"/>
            </w14:solidFill>
          </w14:textFill>
        </w:rPr>
        <w:t>Connecting with the community</w:t>
      </w:r>
      <w:r>
        <w:rPr>
          <w:rFonts w:ascii="Calibri" w:hAnsi="Calibri" w:hint="default"/>
          <w:b w:val="1"/>
          <w:bCs w:val="1"/>
          <w:outline w:val="0"/>
          <w:color w:val="0e101a"/>
          <w:u w:color="0e101a"/>
          <w:rtl w:val="0"/>
          <w:lang w:val="en-US"/>
          <w14:textFill>
            <w14:solidFill>
              <w14:srgbClr w14:val="0E101A"/>
            </w14:solidFill>
          </w14:textFill>
        </w:rPr>
        <w:t>’</w:t>
      </w:r>
      <w:r>
        <w:rPr>
          <w:rFonts w:ascii="Calibri" w:hAnsi="Calibri"/>
          <w:b w:val="1"/>
          <w:bCs w:val="1"/>
          <w:outline w:val="0"/>
          <w:color w:val="0e101a"/>
          <w:u w:color="0e101a"/>
          <w:rtl w:val="0"/>
          <w:lang w:val="en-US"/>
          <w14:textFill>
            <w14:solidFill>
              <w14:srgbClr w14:val="0E101A"/>
            </w14:solidFill>
          </w14:textFill>
        </w:rPr>
        <w:t>s diversity</w:t>
      </w:r>
    </w:p>
    <w:p>
      <w:pPr>
        <w:pStyle w:val="Normal (Web)"/>
        <w:spacing w:before="0" w:after="0" w:line="480" w:lineRule="auto"/>
        <w:ind w:firstLine="720"/>
        <w:jc w:val="both"/>
        <w:rPr>
          <w:outline w:val="0"/>
          <w:color w:val="0e101a"/>
          <w:u w:color="0e101a"/>
          <w14:textFill>
            <w14:solidFill>
              <w14:srgbClr w14:val="0E101A"/>
            </w14:solidFill>
          </w14:textFill>
        </w:rPr>
      </w:pPr>
      <w:r>
        <w:rPr>
          <w:outline w:val="0"/>
          <w:color w:val="0e101a"/>
          <w:u w:color="0e101a"/>
          <w:rtl w:val="0"/>
          <w:lang w:val="en-US"/>
          <w14:textFill>
            <w14:solidFill>
              <w14:srgbClr w14:val="0E101A"/>
            </w14:solidFill>
          </w14:textFill>
        </w:rPr>
        <w:t>A community project is built on the considerations of the diversity of the community. No one should feel left out in a community project. Moreover, it is not uncommon for a population to keep off a project when they feel that it does not address their unique issues or opinions</w:t>
      </w:r>
      <w:r>
        <w:rPr>
          <w:rtl w:val="0"/>
          <w:lang w:val="en-US"/>
        </w:rPr>
        <w:t xml:space="preserve"> (</w:t>
      </w:r>
      <w:r>
        <w:rPr>
          <w:outline w:val="0"/>
          <w:color w:val="0e101a"/>
          <w:u w:color="0e101a"/>
          <w:rtl w:val="0"/>
          <w:lang w:val="en-US"/>
          <w14:textFill>
            <w14:solidFill>
              <w14:srgbClr w14:val="0E101A"/>
            </w14:solidFill>
          </w14:textFill>
        </w:rPr>
        <w:t>Broom, Casey, and Ritchey, 2000). For example, it is unrealistic to introduce a project targeting homeless people without including them in decision-making to understand their challenges and what led to their homelessness status. The Changing Futures Project recognises that racial and ethnic minorities have been more at risk of unemployment; thus, it includes their views about the problem. In addition, it acknowledges the diversity of abilities in the community. For instance, the persons are employed according to their abilities, and thus some may be experiencing unemployment because of their lack of the relevant abilities. The Lancashire community is composed of BAME and abilities diverse community who face unemployment challenges requiring intensive interventions. The project has been trying to ensure that no one feels excluded because of their background or physical and mental difference. The project</w:t>
      </w:r>
      <w:r>
        <w:rPr>
          <w:outline w:val="0"/>
          <w:color w:val="0e101a"/>
          <w:u w:color="0e101a"/>
          <w:rtl w:val="0"/>
          <w:lang w:val="en-US"/>
          <w14:textFill>
            <w14:solidFill>
              <w14:srgbClr w14:val="0E101A"/>
            </w14:solidFill>
          </w14:textFill>
        </w:rPr>
        <w:t>’</w:t>
      </w:r>
      <w:r>
        <w:rPr>
          <w:outline w:val="0"/>
          <w:color w:val="0e101a"/>
          <w:u w:color="0e101a"/>
          <w:rtl w:val="0"/>
          <w:lang w:val="en-US"/>
          <w14:textFill>
            <w14:solidFill>
              <w14:srgbClr w14:val="0E101A"/>
            </w14:solidFill>
          </w14:textFill>
        </w:rPr>
        <w:t>s first focus is on the minorities and physically or mentally challenged because they are the most likely to be experiencing unemployment due to their social deprivation status.</w:t>
      </w:r>
      <w:r>
        <w:rPr>
          <w:outline w:val="0"/>
          <w:color w:val="0e101a"/>
          <w:u w:color="0e101a"/>
          <w:rtl w:val="0"/>
          <w:lang w:val="en-US"/>
          <w14:textFill>
            <w14:solidFill>
              <w14:srgbClr w14:val="0E101A"/>
            </w14:solidFill>
          </w14:textFill>
        </w:rPr>
        <w:t> </w:t>
      </w:r>
    </w:p>
    <w:p>
      <w:pPr>
        <w:pStyle w:val="Normal (Web)"/>
        <w:spacing w:before="0" w:after="0" w:line="480" w:lineRule="auto"/>
        <w:jc w:val="center"/>
        <w:rPr>
          <w:outline w:val="0"/>
          <w:color w:val="0e101a"/>
          <w:u w:color="0e101a"/>
          <w14:textFill>
            <w14:solidFill>
              <w14:srgbClr w14:val="0E101A"/>
            </w14:solidFill>
          </w14:textFill>
        </w:rPr>
      </w:pPr>
      <w:r>
        <w:rPr>
          <w:rFonts w:ascii="Calibri" w:hAnsi="Calibri"/>
          <w:b w:val="1"/>
          <w:bCs w:val="1"/>
          <w:outline w:val="0"/>
          <w:color w:val="0e101a"/>
          <w:u w:color="0e101a"/>
          <w:rtl w:val="0"/>
          <w:lang w:val="en-US"/>
          <w14:textFill>
            <w14:solidFill>
              <w14:srgbClr w14:val="0E101A"/>
            </w14:solidFill>
          </w14:textFill>
        </w:rPr>
        <w:t>Mobilisation of community assets</w:t>
      </w:r>
    </w:p>
    <w:p>
      <w:pPr>
        <w:pStyle w:val="Normal (Web)"/>
        <w:spacing w:before="0" w:after="0" w:line="480" w:lineRule="auto"/>
        <w:ind w:firstLine="720"/>
        <w:jc w:val="both"/>
        <w:rPr>
          <w:outline w:val="0"/>
          <w:color w:val="0e101a"/>
          <w:u w:color="0e101a"/>
          <w14:textFill>
            <w14:solidFill>
              <w14:srgbClr w14:val="0E101A"/>
            </w14:solidFill>
          </w14:textFill>
        </w:rPr>
      </w:pPr>
      <w:r>
        <w:rPr>
          <w:outline w:val="0"/>
          <w:color w:val="0e101a"/>
          <w:u w:color="0e101a"/>
          <w:rtl w:val="0"/>
          <w:lang w:val="en-US"/>
          <w14:textFill>
            <w14:solidFill>
              <w14:srgbClr w14:val="0E101A"/>
            </w14:solidFill>
          </w14:textFill>
        </w:rPr>
        <w:t>A project must use the available capabilities in the community and strengthen them rather than bring in entirely new elements that the community is unfamiliar with. This includes identifying the skills and capabilities within the community and making use of them for the benefit of the community</w:t>
      </w:r>
      <w:r>
        <w:rPr>
          <w:rtl w:val="0"/>
          <w:lang w:val="en-US"/>
        </w:rPr>
        <w:t xml:space="preserve"> (</w:t>
      </w:r>
      <w:r>
        <w:rPr>
          <w:outline w:val="0"/>
          <w:color w:val="0e101a"/>
          <w:u w:color="0e101a"/>
          <w:rtl w:val="0"/>
          <w:lang w:val="en-US"/>
          <w14:textFill>
            <w14:solidFill>
              <w14:srgbClr w14:val="0E101A"/>
            </w14:solidFill>
          </w14:textFill>
        </w:rPr>
        <w:t>Atsdr.cdc.gov. 2020). This is what has been happening at Lancaster Changing Futures Project. The project involves identifying the beneficiaries' skills, abilities, and interests to improve them when reintroducing them into economically active lives. In addition, transformational coaches are sourced from the community. Participation as transformational coaches or assistants is voluntary, which gives the participants a sense of giving back to the community.</w:t>
      </w:r>
      <w:r>
        <w:rPr>
          <w:outline w:val="0"/>
          <w:color w:val="0e101a"/>
          <w:u w:color="0e101a"/>
          <w:rtl w:val="0"/>
          <w:lang w:val="en-US"/>
          <w14:textFill>
            <w14:solidFill>
              <w14:srgbClr w14:val="0E101A"/>
            </w14:solidFill>
          </w14:textFill>
        </w:rPr>
        <w:t> </w:t>
      </w:r>
    </w:p>
    <w:p>
      <w:pPr>
        <w:pStyle w:val="Normal (Web)"/>
        <w:spacing w:before="0" w:after="0" w:line="480" w:lineRule="auto"/>
        <w:jc w:val="center"/>
        <w:rPr>
          <w:outline w:val="0"/>
          <w:color w:val="0e101a"/>
          <w:u w:color="0e101a"/>
          <w14:textFill>
            <w14:solidFill>
              <w14:srgbClr w14:val="0E101A"/>
            </w14:solidFill>
          </w14:textFill>
        </w:rPr>
      </w:pPr>
      <w:r>
        <w:rPr>
          <w:rFonts w:ascii="Calibri" w:hAnsi="Calibri"/>
          <w:b w:val="1"/>
          <w:bCs w:val="1"/>
          <w:outline w:val="0"/>
          <w:color w:val="0e101a"/>
          <w:u w:color="0e101a"/>
          <w:rtl w:val="0"/>
          <w:lang w:val="en-US"/>
          <w14:textFill>
            <w14:solidFill>
              <w14:srgbClr w14:val="0E101A"/>
            </w14:solidFill>
          </w14:textFill>
        </w:rPr>
        <w:t>Conclusion</w:t>
      </w:r>
    </w:p>
    <w:p>
      <w:pPr>
        <w:pStyle w:val="Normal (Web)"/>
        <w:spacing w:before="0" w:after="0" w:line="480" w:lineRule="auto"/>
        <w:ind w:firstLine="720"/>
        <w:jc w:val="both"/>
        <w:rPr>
          <w:outline w:val="0"/>
          <w:color w:val="0e101a"/>
          <w:u w:color="0e101a"/>
          <w14:textFill>
            <w14:solidFill>
              <w14:srgbClr w14:val="0E101A"/>
            </w14:solidFill>
          </w14:textFill>
        </w:rPr>
      </w:pPr>
      <w:r>
        <w:rPr>
          <w:outline w:val="0"/>
          <w:color w:val="0e101a"/>
          <w:u w:color="0e101a"/>
          <w:rtl w:val="0"/>
          <w:lang w:val="en-US"/>
          <w14:textFill>
            <w14:solidFill>
              <w14:srgbClr w14:val="0E101A"/>
            </w14:solidFill>
          </w14:textFill>
        </w:rPr>
        <w:t>Although I did not get involved directly in planning and coordinating the Changing Lives project, the community project practice allowed me to engage with the target community and other stakeholders. I found out that people are more interested in participating in the project when involved in problem identification and decision-making. This includes both the beneficiaries and non-financing stakeholders such as volunteers and community leaders. Moreover, the project's success is influenced by the relationship it has with the community and core stakeholders. In this case, the Changing Futures project at Lancaster has been a success because it is related to the community</w:t>
      </w:r>
      <w:r>
        <w:rPr>
          <w:outline w:val="0"/>
          <w:color w:val="0e101a"/>
          <w:u w:color="0e101a"/>
          <w:rtl w:val="0"/>
          <w:lang w:val="en-US"/>
          <w14:textFill>
            <w14:solidFill>
              <w14:srgbClr w14:val="0E101A"/>
            </w14:solidFill>
          </w14:textFill>
        </w:rPr>
        <w:t>’</w:t>
      </w:r>
      <w:r>
        <w:rPr>
          <w:outline w:val="0"/>
          <w:color w:val="0e101a"/>
          <w:u w:color="0e101a"/>
          <w:rtl w:val="0"/>
          <w:lang w:val="en-US"/>
          <w14:textFill>
            <w14:solidFill>
              <w14:srgbClr w14:val="0E101A"/>
            </w14:solidFill>
          </w14:textFill>
        </w:rPr>
        <w:t>s unemployment problem. It not only focuses on getting the participants back to economically active lives but also looks at and addresses the underlying factors regarding their unemployment.</w:t>
      </w:r>
    </w:p>
    <w:p>
      <w:pPr>
        <w:pStyle w:val="Normal (Web)"/>
        <w:spacing w:before="0" w:after="0" w:line="480" w:lineRule="auto"/>
        <w:ind w:firstLine="720"/>
        <w:jc w:val="both"/>
        <w:rPr>
          <w:outline w:val="0"/>
          <w:color w:val="0e101a"/>
          <w:u w:color="0e101a"/>
          <w14:textFill>
            <w14:solidFill>
              <w14:srgbClr w14:val="0E101A"/>
            </w14:solidFill>
          </w14:textFill>
        </w:rPr>
      </w:pPr>
      <w:r>
        <w:rPr>
          <w:outline w:val="0"/>
          <w:color w:val="0e101a"/>
          <w:u w:color="0e101a"/>
          <w:rtl w:val="0"/>
          <w:lang w:val="en-US"/>
          <w14:textFill>
            <w14:solidFill>
              <w14:srgbClr w14:val="0E101A"/>
            </w14:solidFill>
          </w14:textFill>
        </w:rPr>
        <w:t>Nevertheless, there is always room for improvement. The Changing Lives project does not have a robust social media presence, and it uses a very formal approach, which is not attractive to young people who might want to volunteer as coaches and assistants. The recommendation is that the project management team create a communications team dedicated to coming up with outreach messages and using different media platforms to reach out to the most people in the community. In addition, there should be continuous followed up and feedback from the beneficiaries to understand how the project has improved their lives.</w:t>
      </w:r>
      <w:r>
        <w:rPr>
          <w:outline w:val="0"/>
          <w:color w:val="0e101a"/>
          <w:u w:color="0e101a"/>
          <w:rtl w:val="0"/>
          <w:lang w:val="en-US"/>
          <w14:textFill>
            <w14:solidFill>
              <w14:srgbClr w14:val="0E101A"/>
            </w14:solidFill>
          </w14:textFill>
        </w:rPr>
        <w:t> </w:t>
      </w:r>
    </w:p>
    <w:p>
      <w:pPr>
        <w:pStyle w:val="Normal (Web)"/>
        <w:spacing w:before="0" w:after="0" w:line="480" w:lineRule="auto"/>
        <w:ind w:firstLine="720"/>
        <w:jc w:val="center"/>
        <w:rPr>
          <w:sz w:val="24"/>
          <w:szCs w:val="24"/>
        </w:rPr>
      </w:pPr>
      <w:r>
        <w:rPr>
          <w:sz w:val="24"/>
          <w:szCs w:val="24"/>
          <w:rtl w:val="0"/>
          <w:lang w:val="en-US"/>
        </w:rPr>
        <w:t>References</w:t>
      </w:r>
    </w:p>
    <w:p>
      <w:pPr>
        <w:pStyle w:val="Body.0"/>
        <w:spacing w:line="480" w:lineRule="auto"/>
        <w:rPr>
          <w:rFonts w:ascii="Times New Roman" w:cs="Times New Roman" w:hAnsi="Times New Roman" w:eastAsia="Times New Roman"/>
          <w:sz w:val="24"/>
          <w:szCs w:val="24"/>
        </w:rPr>
      </w:pPr>
      <w:r>
        <w:rPr>
          <w:rFonts w:ascii="Times New Roman" w:hAnsi="Times New Roman"/>
          <w:sz w:val="24"/>
          <w:szCs w:val="24"/>
          <w:rtl w:val="0"/>
        </w:rPr>
        <w:t>Atsdr.cdc.gov. 2020.</w:t>
      </w:r>
      <w:r>
        <w:rPr>
          <w:rFonts w:ascii="Times New Roman" w:hAnsi="Times New Roman" w:hint="default"/>
          <w:sz w:val="24"/>
          <w:szCs w:val="24"/>
          <w:rtl w:val="0"/>
          <w:lang w:val="en-US"/>
        </w:rPr>
        <w:t> </w:t>
      </w:r>
      <w:r>
        <w:rPr>
          <w:rFonts w:ascii="Times New Roman" w:hAnsi="Times New Roman"/>
          <w:i w:val="1"/>
          <w:iCs w:val="1"/>
          <w:sz w:val="24"/>
          <w:szCs w:val="24"/>
          <w:rtl w:val="0"/>
        </w:rPr>
        <w:t>Home | Principles Of Community Engagement | ATSDR</w:t>
      </w:r>
      <w:r>
        <w:rPr>
          <w:rFonts w:ascii="Times New Roman" w:hAnsi="Times New Roman"/>
          <w:sz w:val="24"/>
          <w:szCs w:val="24"/>
          <w:rtl w:val="0"/>
          <w:lang w:val="pt-PT"/>
        </w:rPr>
        <w:t>. [online]</w:t>
      </w:r>
    </w:p>
    <w:p>
      <w:pPr>
        <w:pStyle w:val="Body.0"/>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 xml:space="preserve">Available at: &lt;https://www.atsdr.cdc.gov/communityengagement/index.html  </w:t>
      </w:r>
    </w:p>
    <w:p>
      <w:pPr>
        <w:pStyle w:val="Body.0"/>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Broom, G., Casey, S., and Ritchey, J. 2000. Concept and theory of organization public</w:t>
      </w:r>
    </w:p>
    <w:p>
      <w:pPr>
        <w:pStyle w:val="Body.0"/>
        <w:spacing w:line="480" w:lineRule="auto"/>
        <w:ind w:left="720" w:firstLine="0"/>
        <w:rPr>
          <w:rFonts w:ascii="Times New Roman" w:cs="Times New Roman" w:hAnsi="Times New Roman" w:eastAsia="Times New Roman"/>
          <w:sz w:val="24"/>
          <w:szCs w:val="24"/>
        </w:rPr>
      </w:pPr>
      <w:r>
        <w:rPr>
          <w:rFonts w:ascii="Times New Roman" w:hAnsi="Times New Roman"/>
          <w:sz w:val="24"/>
          <w:szCs w:val="24"/>
          <w:rtl w:val="0"/>
          <w:lang w:val="en-US"/>
        </w:rPr>
        <w:t>relationships. In J. A. Ledingham &amp; S. D. Bruning (Eds.), Public relations as relationship management (pp. 3-22). Mahwah, NJ: Lawrence Erlbaum Associates.</w:t>
      </w:r>
    </w:p>
    <w:p>
      <w:pPr>
        <w:pStyle w:val="Body.0"/>
        <w:spacing w:line="480" w:lineRule="auto"/>
        <w:rPr>
          <w:rFonts w:ascii="Times New Roman" w:cs="Times New Roman" w:hAnsi="Times New Roman" w:eastAsia="Times New Roman"/>
          <w:sz w:val="24"/>
          <w:szCs w:val="24"/>
        </w:rPr>
      </w:pPr>
      <w:r>
        <w:rPr>
          <w:rFonts w:ascii="Times New Roman" w:hAnsi="Times New Roman"/>
          <w:sz w:val="24"/>
          <w:szCs w:val="24"/>
          <w:rtl w:val="0"/>
        </w:rPr>
        <w:t>GOV.UK, 2021.</w:t>
      </w:r>
      <w:r>
        <w:rPr>
          <w:rFonts w:ascii="Times New Roman" w:hAnsi="Times New Roman" w:hint="default"/>
          <w:sz w:val="24"/>
          <w:szCs w:val="24"/>
          <w:rtl w:val="0"/>
          <w:lang w:val="en-US"/>
        </w:rPr>
        <w:t> </w:t>
      </w:r>
      <w:r>
        <w:rPr>
          <w:rFonts w:ascii="Times New Roman" w:hAnsi="Times New Roman"/>
          <w:i w:val="1"/>
          <w:iCs w:val="1"/>
          <w:sz w:val="24"/>
          <w:szCs w:val="24"/>
          <w:rtl w:val="0"/>
          <w:lang w:val="en-US"/>
        </w:rPr>
        <w:t>Changing Futures: prospectus</w:t>
      </w:r>
      <w:r>
        <w:rPr>
          <w:rFonts w:ascii="Times New Roman" w:hAnsi="Times New Roman"/>
          <w:sz w:val="24"/>
          <w:szCs w:val="24"/>
          <w:rtl w:val="0"/>
          <w:lang w:val="en-US"/>
        </w:rPr>
        <w:t>. [online] GOV.UK. Available at:</w:t>
      </w:r>
    </w:p>
    <w:p>
      <w:pPr>
        <w:pStyle w:val="Body.0"/>
        <w:spacing w:line="480" w:lineRule="auto"/>
        <w:ind w:left="720" w:firstLine="0"/>
        <w:rPr>
          <w:rFonts w:ascii="Times New Roman" w:cs="Times New Roman" w:hAnsi="Times New Roman" w:eastAsia="Times New Roman"/>
          <w:sz w:val="24"/>
          <w:szCs w:val="24"/>
        </w:rPr>
      </w:pPr>
      <w:r>
        <w:rPr>
          <w:rFonts w:ascii="Times New Roman" w:hAnsi="Times New Roman"/>
          <w:sz w:val="24"/>
          <w:szCs w:val="24"/>
          <w:rtl w:val="0"/>
          <w:lang w:val="en-US"/>
        </w:rPr>
        <w:t>&lt;https://www.gov.uk/government/publications/changing-futures-changing-systems-for-adults-experiencing-multiple-disadvantage/changing-futures-changing-systems-to-support-adults-experiencing-multiple-disadvantage&gt; [Accessed 25 August 2021].</w:t>
      </w:r>
    </w:p>
    <w:p>
      <w:pPr>
        <w:pStyle w:val="Body.0"/>
        <w:spacing w:line="480" w:lineRule="auto"/>
        <w:rPr>
          <w:rFonts w:ascii="Times New Roman" w:cs="Times New Roman" w:hAnsi="Times New Roman" w:eastAsia="Times New Roman"/>
          <w:sz w:val="24"/>
          <w:szCs w:val="24"/>
        </w:rPr>
      </w:pPr>
      <w:r>
        <w:rPr>
          <w:rFonts w:ascii="Times New Roman" w:hAnsi="Times New Roman"/>
          <w:sz w:val="24"/>
          <w:szCs w:val="24"/>
          <w:rtl w:val="0"/>
          <w:lang w:val="en-US"/>
        </w:rPr>
        <w:t>McCabe, A., Keast, R. and Brown, K., 2006. Community engagement: Towards community</w:t>
      </w:r>
    </w:p>
    <w:p>
      <w:pPr>
        <w:pStyle w:val="Body.0"/>
        <w:spacing w:line="480" w:lineRule="auto"/>
        <w:ind w:left="720" w:firstLine="0"/>
        <w:rPr>
          <w:rFonts w:ascii="Times New Roman" w:cs="Times New Roman" w:hAnsi="Times New Roman" w:eastAsia="Times New Roman"/>
          <w:sz w:val="24"/>
          <w:szCs w:val="24"/>
        </w:rPr>
      </w:pPr>
      <w:r>
        <w:rPr>
          <w:rFonts w:ascii="Times New Roman" w:hAnsi="Times New Roman"/>
          <w:sz w:val="24"/>
          <w:szCs w:val="24"/>
          <w:rtl w:val="0"/>
          <w:lang w:val="pt-PT"/>
        </w:rPr>
        <w:t>as governance. In</w:t>
      </w:r>
      <w:r>
        <w:rPr>
          <w:rFonts w:ascii="Times New Roman" w:hAnsi="Times New Roman" w:hint="default"/>
          <w:sz w:val="24"/>
          <w:szCs w:val="24"/>
          <w:rtl w:val="0"/>
          <w:lang w:val="en-US"/>
        </w:rPr>
        <w:t> </w:t>
      </w:r>
      <w:r>
        <w:rPr>
          <w:rFonts w:ascii="Times New Roman" w:hAnsi="Times New Roman"/>
          <w:i w:val="1"/>
          <w:iCs w:val="1"/>
          <w:sz w:val="24"/>
          <w:szCs w:val="24"/>
          <w:rtl w:val="0"/>
          <w:lang w:val="en-US"/>
        </w:rPr>
        <w:t>Proceedings of the Governments &amp; Communities in Partnership Conference: From Theory to Practice</w:t>
      </w:r>
      <w:r>
        <w:rPr>
          <w:rFonts w:ascii="Times New Roman" w:hAnsi="Times New Roman" w:hint="default"/>
          <w:sz w:val="24"/>
          <w:szCs w:val="24"/>
          <w:rtl w:val="0"/>
          <w:lang w:val="en-US"/>
        </w:rPr>
        <w:t> </w:t>
      </w:r>
      <w:r>
        <w:rPr>
          <w:rFonts w:ascii="Times New Roman" w:hAnsi="Times New Roman"/>
          <w:sz w:val="24"/>
          <w:szCs w:val="24"/>
          <w:rtl w:val="0"/>
          <w:lang w:val="en-US"/>
        </w:rPr>
        <w:t>(pp. 1-21). University of Melbourne.</w:t>
      </w:r>
    </w:p>
    <w:p>
      <w:pPr>
        <w:pStyle w:val="Body.0"/>
        <w:spacing w:line="480" w:lineRule="auto"/>
        <w:rPr>
          <w:rFonts w:ascii="Times New Roman" w:cs="Times New Roman" w:hAnsi="Times New Roman" w:eastAsia="Times New Roman"/>
          <w:sz w:val="24"/>
          <w:szCs w:val="24"/>
        </w:rPr>
      </w:pPr>
      <w:r>
        <w:rPr>
          <w:rFonts w:ascii="Times New Roman" w:hAnsi="Times New Roman"/>
          <w:sz w:val="24"/>
          <w:szCs w:val="24"/>
          <w:rtl w:val="0"/>
        </w:rPr>
        <w:t>Selnet, 2021.</w:t>
      </w:r>
      <w:r>
        <w:rPr>
          <w:rFonts w:ascii="Times New Roman" w:hAnsi="Times New Roman" w:hint="default"/>
          <w:sz w:val="24"/>
          <w:szCs w:val="24"/>
          <w:rtl w:val="0"/>
          <w:lang w:val="en-US"/>
        </w:rPr>
        <w:t> </w:t>
      </w:r>
      <w:r>
        <w:rPr>
          <w:rFonts w:ascii="Times New Roman" w:hAnsi="Times New Roman"/>
          <w:i w:val="1"/>
          <w:iCs w:val="1"/>
          <w:sz w:val="24"/>
          <w:szCs w:val="24"/>
          <w:rtl w:val="0"/>
          <w:lang w:val="en-US"/>
        </w:rPr>
        <w:t>Changing Futures - BBO Lancashire Project 3</w:t>
      </w:r>
      <w:r>
        <w:rPr>
          <w:rFonts w:ascii="Times New Roman" w:hAnsi="Times New Roman"/>
          <w:sz w:val="24"/>
          <w:szCs w:val="24"/>
          <w:rtl w:val="0"/>
          <w:lang w:val="en-US"/>
        </w:rPr>
        <w:t>. [online] Welcome to Selnet.</w:t>
      </w:r>
    </w:p>
    <w:p>
      <w:pPr>
        <w:pStyle w:val="Body.0"/>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en-US"/>
        </w:rPr>
        <w:t>Available at: &lt;https://selnet-uk.com/changing-futures/&gt; [Accessed 25 August 2021].</w:t>
      </w:r>
    </w:p>
    <w:p>
      <w:pPr>
        <w:pStyle w:val="Body.0"/>
        <w:spacing w:line="480" w:lineRule="auto"/>
        <w:rPr>
          <w:rFonts w:ascii="Times New Roman" w:cs="Times New Roman" w:hAnsi="Times New Roman" w:eastAsia="Times New Roman"/>
          <w:i w:val="1"/>
          <w:iCs w:val="1"/>
          <w:sz w:val="24"/>
          <w:szCs w:val="24"/>
        </w:rPr>
      </w:pPr>
      <w:r>
        <w:rPr>
          <w:rFonts w:ascii="Times New Roman" w:hAnsi="Times New Roman"/>
          <w:sz w:val="24"/>
          <w:szCs w:val="24"/>
          <w:rtl w:val="0"/>
        </w:rPr>
        <w:t xml:space="preserve">Seiler, T. 2011. </w:t>
      </w:r>
      <w:r>
        <w:rPr>
          <w:rFonts w:ascii="Times New Roman" w:hAnsi="Times New Roman" w:hint="default"/>
          <w:sz w:val="24"/>
          <w:szCs w:val="24"/>
          <w:rtl w:val="0"/>
          <w:lang w:val="en-US"/>
        </w:rPr>
        <w:t>“</w:t>
      </w:r>
      <w:r>
        <w:rPr>
          <w:rFonts w:ascii="Times New Roman" w:hAnsi="Times New Roman"/>
          <w:sz w:val="24"/>
          <w:szCs w:val="24"/>
          <w:rtl w:val="0"/>
          <w:lang w:val="en-US"/>
        </w:rPr>
        <w:t>Chapter 3: Developing a Constituency for Funding.</w:t>
      </w:r>
      <w:r>
        <w:rPr>
          <w:rFonts w:ascii="Times New Roman" w:hAnsi="Times New Roman" w:hint="default"/>
          <w:sz w:val="24"/>
          <w:szCs w:val="24"/>
          <w:rtl w:val="0"/>
          <w:lang w:val="en-US"/>
        </w:rPr>
        <w:t>” </w:t>
      </w:r>
      <w:r>
        <w:rPr>
          <w:rFonts w:ascii="Times New Roman" w:hAnsi="Times New Roman"/>
          <w:i w:val="1"/>
          <w:iCs w:val="1"/>
          <w:sz w:val="24"/>
          <w:szCs w:val="24"/>
          <w:rtl w:val="0"/>
          <w:lang w:val="en-US"/>
        </w:rPr>
        <w:t>Achieving Excellence</w:t>
      </w:r>
    </w:p>
    <w:p>
      <w:pPr>
        <w:pStyle w:val="Body.0"/>
        <w:spacing w:line="480" w:lineRule="auto"/>
        <w:ind w:left="720" w:firstLine="0"/>
        <w:rPr>
          <w:rFonts w:ascii="Times New Roman" w:cs="Times New Roman" w:hAnsi="Times New Roman" w:eastAsia="Times New Roman"/>
          <w:sz w:val="24"/>
          <w:szCs w:val="24"/>
        </w:rPr>
      </w:pPr>
      <w:r>
        <w:rPr>
          <w:rFonts w:ascii="Times New Roman" w:hAnsi="Times New Roman"/>
          <w:i w:val="1"/>
          <w:iCs w:val="1"/>
          <w:sz w:val="24"/>
          <w:szCs w:val="24"/>
          <w:rtl w:val="0"/>
          <w:lang w:val="en-US"/>
        </w:rPr>
        <w:t>in Fundraising.</w:t>
      </w:r>
      <w:r>
        <w:rPr>
          <w:rFonts w:ascii="Times New Roman" w:hAnsi="Times New Roman" w:hint="default"/>
          <w:sz w:val="24"/>
          <w:szCs w:val="24"/>
          <w:rtl w:val="0"/>
          <w:lang w:val="en-US"/>
        </w:rPr>
        <w:t> </w:t>
      </w:r>
      <w:r>
        <w:rPr>
          <w:rFonts w:ascii="Times New Roman" w:hAnsi="Times New Roman"/>
          <w:sz w:val="24"/>
          <w:szCs w:val="24"/>
          <w:rtl w:val="0"/>
          <w:lang w:val="de-DE"/>
        </w:rPr>
        <w:t>eds. Eugene R. Tempel, Timothy L. Seiler and Eva E. Alrich. San Francisco: Jossey-Bass</w:t>
      </w:r>
    </w:p>
    <w:p>
      <w:pPr>
        <w:pStyle w:val="Body.0"/>
        <w:spacing w:line="480" w:lineRule="auto"/>
        <w:rPr>
          <w:rFonts w:ascii="Times New Roman" w:cs="Times New Roman" w:hAnsi="Times New Roman" w:eastAsia="Times New Roman"/>
          <w:sz w:val="24"/>
          <w:szCs w:val="24"/>
        </w:rPr>
      </w:pPr>
      <w:r>
        <w:rPr>
          <w:rFonts w:ascii="Times New Roman" w:hAnsi="Times New Roman"/>
          <w:sz w:val="24"/>
          <w:szCs w:val="24"/>
          <w:rtl w:val="0"/>
          <w:lang w:val="de-DE"/>
        </w:rPr>
        <w:t>Tempel, E., and Seiler, T. 2016.</w:t>
      </w:r>
      <w:r>
        <w:rPr>
          <w:rFonts w:ascii="Times New Roman" w:hAnsi="Times New Roman" w:hint="default"/>
          <w:sz w:val="24"/>
          <w:szCs w:val="24"/>
          <w:rtl w:val="0"/>
          <w:lang w:val="en-US"/>
        </w:rPr>
        <w:t> </w:t>
      </w:r>
      <w:r>
        <w:rPr>
          <w:rFonts w:ascii="Times New Roman" w:hAnsi="Times New Roman"/>
          <w:i w:val="1"/>
          <w:iCs w:val="1"/>
          <w:sz w:val="24"/>
          <w:szCs w:val="24"/>
          <w:rtl w:val="0"/>
          <w:lang w:val="en-US"/>
        </w:rPr>
        <w:t>Achieving Excellence in Fundraising, 4th Edition</w:t>
      </w:r>
      <w:r>
        <w:rPr>
          <w:rFonts w:ascii="Times New Roman" w:hAnsi="Times New Roman" w:hint="default"/>
          <w:sz w:val="24"/>
          <w:szCs w:val="24"/>
          <w:rtl w:val="0"/>
          <w:lang w:val="en-US"/>
        </w:rPr>
        <w:t> </w:t>
      </w:r>
      <w:r>
        <w:rPr>
          <w:rFonts w:ascii="Times New Roman" w:hAnsi="Times New Roman"/>
          <w:sz w:val="24"/>
          <w:szCs w:val="24"/>
          <w:rtl w:val="0"/>
          <w:lang w:val="en-US"/>
        </w:rPr>
        <w:t>(4th ed.).</w:t>
      </w:r>
    </w:p>
    <w:p>
      <w:pPr>
        <w:pStyle w:val="Body.0"/>
        <w:spacing w:line="480" w:lineRule="auto"/>
        <w:ind w:firstLine="720"/>
        <w:rPr>
          <w:rFonts w:ascii="Times New Roman" w:cs="Times New Roman" w:hAnsi="Times New Roman" w:eastAsia="Times New Roman"/>
          <w:sz w:val="24"/>
          <w:szCs w:val="24"/>
        </w:rPr>
      </w:pPr>
      <w:r>
        <w:rPr>
          <w:rFonts w:ascii="Times New Roman" w:hAnsi="Times New Roman"/>
          <w:sz w:val="24"/>
          <w:szCs w:val="24"/>
          <w:rtl w:val="0"/>
          <w:lang w:val="it-IT"/>
        </w:rPr>
        <w:t>John Wiley &amp; Sons.</w:t>
      </w:r>
    </w:p>
    <w:p>
      <w:pPr>
        <w:pStyle w:val="Body.0"/>
        <w:spacing w:line="480" w:lineRule="auto"/>
        <w:jc w:val="both"/>
        <w:rPr>
          <w:rFonts w:ascii="Times New Roman" w:cs="Times New Roman" w:hAnsi="Times New Roman" w:eastAsia="Times New Roman"/>
          <w:i w:val="1"/>
          <w:iCs w:val="1"/>
          <w:sz w:val="24"/>
          <w:szCs w:val="24"/>
        </w:rPr>
      </w:pPr>
      <w:r>
        <w:rPr>
          <w:rFonts w:ascii="Times New Roman" w:hAnsi="Times New Roman"/>
          <w:sz w:val="24"/>
          <w:szCs w:val="24"/>
          <w:rtl w:val="0"/>
          <w:lang w:val="en-US"/>
        </w:rPr>
        <w:t>VEMURU, V. and TESFAYE, T., 2018.</w:t>
      </w:r>
      <w:r>
        <w:rPr>
          <w:rFonts w:ascii="Times New Roman" w:hAnsi="Times New Roman" w:hint="default"/>
          <w:sz w:val="24"/>
          <w:szCs w:val="24"/>
          <w:rtl w:val="0"/>
          <w:lang w:val="en-US"/>
        </w:rPr>
        <w:t> </w:t>
      </w:r>
      <w:r>
        <w:rPr>
          <w:rFonts w:ascii="Times New Roman" w:hAnsi="Times New Roman"/>
          <w:i w:val="1"/>
          <w:iCs w:val="1"/>
          <w:sz w:val="24"/>
          <w:szCs w:val="24"/>
          <w:rtl w:val="0"/>
          <w:lang w:val="en-US"/>
        </w:rPr>
        <w:t>Why community contribution is important in projects</w:t>
      </w:r>
    </w:p>
    <w:p>
      <w:pPr>
        <w:pStyle w:val="Body.0"/>
        <w:spacing w:line="480" w:lineRule="auto"/>
        <w:ind w:left="720" w:firstLine="0"/>
        <w:jc w:val="both"/>
      </w:pPr>
      <w:r>
        <w:rPr>
          <w:rFonts w:ascii="Times New Roman" w:hAnsi="Times New Roman"/>
          <w:i w:val="1"/>
          <w:iCs w:val="1"/>
          <w:sz w:val="24"/>
          <w:szCs w:val="24"/>
          <w:rtl w:val="0"/>
          <w:lang w:val="en-US"/>
        </w:rPr>
        <w:t xml:space="preserve">and how it is facilitated </w:t>
      </w:r>
      <w:r>
        <w:rPr>
          <w:rFonts w:ascii="Times New Roman" w:hAnsi="Times New Roman" w:hint="default"/>
          <w:i w:val="1"/>
          <w:iCs w:val="1"/>
          <w:sz w:val="24"/>
          <w:szCs w:val="24"/>
          <w:rtl w:val="0"/>
          <w:lang w:val="en-US"/>
        </w:rPr>
        <w:t xml:space="preserve">– </w:t>
      </w:r>
      <w:r>
        <w:rPr>
          <w:rFonts w:ascii="Times New Roman" w:hAnsi="Times New Roman"/>
          <w:i w:val="1"/>
          <w:iCs w:val="1"/>
          <w:sz w:val="24"/>
          <w:szCs w:val="24"/>
          <w:rtl w:val="0"/>
          <w:lang w:val="en-US"/>
        </w:rPr>
        <w:t>the DRDIP Ethiopia Story</w:t>
      </w:r>
      <w:r>
        <w:rPr>
          <w:rFonts w:ascii="Times New Roman" w:hAnsi="Times New Roman"/>
          <w:sz w:val="24"/>
          <w:szCs w:val="24"/>
          <w:rtl w:val="0"/>
          <w:lang w:val="en-US"/>
        </w:rPr>
        <w:t xml:space="preserve">. [online] World Bank Blogs. Available at: </w:t>
      </w:r>
      <w:r>
        <w:rPr>
          <w:rStyle w:val="Hyperlink.0"/>
        </w:rPr>
        <w:fldChar w:fldCharType="begin" w:fldLock="0"/>
      </w:r>
      <w:r>
        <w:rPr>
          <w:rStyle w:val="Hyperlink.0"/>
        </w:rPr>
        <w:instrText xml:space="preserve"> HYPERLINK "https://blogs.worldbank.org/nasikiliza/why-community-contribution-is-important-in-projects-and-how-it-is-facilitated-the-drdip-ethiopia"</w:instrText>
      </w:r>
      <w:r>
        <w:rPr>
          <w:rStyle w:val="Hyperlink.0"/>
        </w:rPr>
        <w:fldChar w:fldCharType="separate" w:fldLock="0"/>
      </w:r>
      <w:r>
        <w:rPr>
          <w:rStyle w:val="Hyperlink.0"/>
          <w:rtl w:val="0"/>
          <w:lang w:val="en-US"/>
        </w:rPr>
        <w:t>https://blogs.worldbank.org/nasikiliza/why-community-contribution-is-important-in-projects-and-how-it-is-facilitated-the-drdip-ethiopia</w:t>
      </w:r>
      <w:r>
        <w:rPr/>
        <w:fldChar w:fldCharType="end" w:fldLock="0"/>
      </w:r>
      <w:r>
        <w:rPr>
          <w:rFonts w:ascii="Times New Roman" w:hAnsi="Times New Roman"/>
          <w:sz w:val="24"/>
          <w:szCs w:val="24"/>
          <w:rtl w:val="0"/>
        </w:rPr>
        <w:t xml:space="preserve"> </w:t>
      </w:r>
    </w:p>
    <w:sectPr>
      <w:headerReference w:type="default" r:id="rId6"/>
      <w:footerReference w:type="default" r:id="rId7"/>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Calibri">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w:tabs>
        <w:tab w:val="right" w:pos="9000"/>
        <w:tab w:val="clear" w:pos="9026"/>
      </w:tabs>
    </w:pPr>
    <w:r>
      <w:rPr/>
      <w:fldChar w:fldCharType="begin" w:fldLock="0"/>
    </w:r>
    <w:r>
      <w:instrText xml:space="preserve"> PAGE </w:instrText>
    </w:r>
    <w:r>
      <w:rPr/>
      <w:fldChar w:fldCharType="separate" w:fldLock="0"/>
    </w:r>
    <w:r/>
    <w:r>
      <w:rPr/>
      <w:fldChar w:fldCharType="end" w:fldLock="0"/>
    </w:r>
    <w:r>
      <w:rPr>
        <w:rtl w:val="0"/>
        <w:lang w:val="en-US"/>
      </w:rPr>
      <w:t xml:space="preserve"> of </w:t>
    </w:r>
    <w:r>
      <w:rPr/>
      <w:fldChar w:fldCharType="begin" w:fldLock="0"/>
    </w:r>
    <w:r>
      <w:instrText xml:space="preserve"> NUMPAGES </w:instrText>
    </w:r>
    <w:r>
      <w:rPr/>
      <w:fldChar w:fldCharType="separate" w:fldLock="0"/>
    </w:r>
    <w:r/>
    <w:r>
      <w:rPr/>
      <w:fldChar w:fldCharType="end" w:fldLock="0"/>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w:name w:val="header"/>
    <w:next w:val="header"/>
    <w:pPr>
      <w:keepNext w:val="0"/>
      <w:keepLines w:val="0"/>
      <w:pageBreakBefore w:val="0"/>
      <w:widowControl w:val="1"/>
      <w:shd w:val="clear" w:color="auto" w:fill="auto"/>
      <w:tabs>
        <w:tab w:val="center" w:pos="4513"/>
        <w:tab w:val="right" w:pos="9026"/>
      </w:tabs>
      <w:suppressAutoHyphens w:val="0"/>
      <w:bidi w:val="0"/>
      <w:spacing w:before="0" w:after="0" w:line="240"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lang w:val="en-US"/>
      <w14:textFill>
        <w14:solidFill>
          <w14:srgbClr w14:val="000000"/>
        </w14:solidFill>
      </w14:textFill>
    </w:r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Times New Roman" w:hAnsi="Times New Roman" w:eastAsia="Times New Roman"/>
      <w:b w:val="0"/>
      <w:bCs w:val="0"/>
      <w:i w:val="0"/>
      <w:iCs w:val="0"/>
      <w:caps w:val="0"/>
      <w:smallCaps w:val="0"/>
      <w:strike w:val="0"/>
      <w:dstrike w:val="0"/>
      <w:outline w:val="0"/>
      <w:color w:val="000000"/>
      <w:spacing w:val="0"/>
      <w:kern w:val="0"/>
      <w:position w:val="0"/>
      <w:sz w:val="24"/>
      <w:szCs w:val="24"/>
      <w:u w:val="none" w:color="000000"/>
      <w:shd w:val="nil" w:color="auto" w:fill="auto"/>
      <w:vertAlign w:val="baseline"/>
      <w:lang w:val="en-US"/>
      <w14:textFill>
        <w14:solidFill>
          <w14:srgbClr w14:val="000000"/>
        </w14:solidFill>
      </w14:textFill>
    </w:rPr>
  </w:style>
  <w:style w:type="paragraph" w:styleId="Subtitle">
    <w:name w:val="Sub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40"/>
      <w:szCs w:val="40"/>
      <w:u w:val="none"/>
      <w:shd w:val="nil" w:color="auto" w:fill="auto"/>
      <w:vertAlign w:val="baseline"/>
      <w:lang w:val="en-US"/>
      <w14:textOutline>
        <w14:noFill/>
      </w14:textOutline>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6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lang w:val="en-US"/>
      <w14:textOutline>
        <w14:noFill/>
      </w14:textOutline>
      <w14:textFill>
        <w14:solidFill>
          <w14:srgbClr w14:val="000000"/>
        </w14:solidFill>
      </w14:textFill>
    </w:rPr>
  </w:style>
  <w:style w:type="paragraph" w:styleId="Title">
    <w:name w:val="Title"/>
    <w:next w:val="Body"/>
    <w:pPr>
      <w:keepNext w:val="1"/>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1"/>
      <w:bCs w:val="1"/>
      <w:i w:val="0"/>
      <w:iCs w:val="0"/>
      <w:caps w:val="0"/>
      <w:smallCaps w:val="0"/>
      <w:strike w:val="0"/>
      <w:dstrike w:val="0"/>
      <w:outline w:val="0"/>
      <w:color w:val="000000"/>
      <w:spacing w:val="0"/>
      <w:kern w:val="0"/>
      <w:position w:val="0"/>
      <w:sz w:val="60"/>
      <w:szCs w:val="60"/>
      <w:u w:val="none"/>
      <w:shd w:val="nil" w:color="auto" w:fill="auto"/>
      <w:vertAlign w:val="baseline"/>
      <w:lang w:val="en-US"/>
      <w14:textOutline>
        <w14:noFill/>
      </w14:textOutline>
      <w14:textFill>
        <w14:solidFill>
          <w14:srgbClr w14:val="000000"/>
        </w14:solidFill>
      </w14:textFill>
    </w:rPr>
  </w:style>
  <w:style w:type="paragraph" w:styleId="Body.0">
    <w:name w:val="Body"/>
    <w:next w:val="Body.0"/>
    <w:pPr>
      <w:keepNext w:val="0"/>
      <w:keepLines w:val="0"/>
      <w:pageBreakBefore w:val="0"/>
      <w:widowControl w:val="1"/>
      <w:shd w:val="clear" w:color="auto" w:fill="auto"/>
      <w:suppressAutoHyphens w:val="0"/>
      <w:bidi w:val="0"/>
      <w:spacing w:before="0" w:after="160" w:line="259" w:lineRule="auto"/>
      <w:ind w:left="0" w:right="0" w:firstLine="0"/>
      <w:jc w:val="left"/>
      <w:outlineLvl w:val="9"/>
    </w:pPr>
    <w:rPr>
      <w:rFonts w:ascii="Calibri" w:cs="Arial Unicode MS" w:hAnsi="Calibri" w:eastAsia="Arial Unicode MS"/>
      <w:b w:val="0"/>
      <w:bCs w:val="0"/>
      <w:i w:val="0"/>
      <w:iCs w:val="0"/>
      <w:caps w:val="0"/>
      <w:smallCaps w:val="0"/>
      <w:strike w:val="0"/>
      <w:dstrike w:val="0"/>
      <w:outline w:val="0"/>
      <w:color w:val="000000"/>
      <w:spacing w:val="0"/>
      <w:kern w:val="0"/>
      <w:position w:val="0"/>
      <w:sz w:val="22"/>
      <w:szCs w:val="22"/>
      <w:u w:val="none" w:color="000000"/>
      <w:shd w:val="nil" w:color="auto" w:fill="auto"/>
      <w:vertAlign w:val="baseline"/>
      <w14:textOutline>
        <w14:noFill/>
      </w14:textOutline>
      <w14:textFill>
        <w14:solidFill>
          <w14:srgbClr w14:val="000000"/>
        </w14:solidFill>
      </w14:textFill>
    </w:rPr>
  </w:style>
  <w:style w:type="character" w:styleId="Link">
    <w:name w:val="Link"/>
    <w:rPr>
      <w:outline w:val="0"/>
      <w:color w:val="0563c1"/>
      <w:u w:val="single" w:color="0563c1"/>
      <w14:textFill>
        <w14:solidFill>
          <w14:srgbClr w14:val="0563C1"/>
        </w14:solidFill>
      </w14:textFill>
    </w:rPr>
  </w:style>
  <w:style w:type="character" w:styleId="Hyperlink.0">
    <w:name w:val="Hyperlink.0"/>
    <w:basedOn w:val="Link"/>
    <w:next w:val="Hyperlink.0"/>
    <w:rPr>
      <w:rFonts w:ascii="Times New Roman" w:cs="Times New Roman" w:hAnsi="Times New Roman" w:eastAsia="Times New Roman"/>
      <w:sz w:val="24"/>
      <w:szCs w:val="24"/>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