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368CE" w14:textId="03BC2499" w:rsidR="00952C2A" w:rsidRDefault="00952C2A">
      <w:pPr>
        <w:spacing w:line="360" w:lineRule="auto"/>
        <w:rPr>
          <w:rFonts w:ascii="Arial" w:hAnsi="Arial" w:cs="Arial"/>
          <w:b/>
          <w:bCs/>
          <w:sz w:val="32"/>
          <w:szCs w:val="32"/>
        </w:rPr>
      </w:pPr>
      <w:r>
        <w:rPr>
          <w:noProof/>
        </w:rPr>
        <w:drawing>
          <wp:anchor distT="0" distB="0" distL="114300" distR="114300" simplePos="0" relativeHeight="251658240" behindDoc="0" locked="0" layoutInCell="1" allowOverlap="1" wp14:anchorId="63D4B50E" wp14:editId="210A431B">
            <wp:simplePos x="0" y="0"/>
            <wp:positionH relativeFrom="column">
              <wp:posOffset>3324225</wp:posOffset>
            </wp:positionH>
            <wp:positionV relativeFrom="paragraph">
              <wp:posOffset>0</wp:posOffset>
            </wp:positionV>
            <wp:extent cx="2800350" cy="892175"/>
            <wp:effectExtent l="0" t="0" r="0" b="3175"/>
            <wp:wrapSquare wrapText="bothSides"/>
            <wp:docPr id="594098791" name="Picture 1" descr="University of Wales, Trinity Saint David, Lond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2800350" cy="892175"/>
                    </a:xfrm>
                    <a:prstGeom prst="rect">
                      <a:avLst/>
                    </a:prstGeom>
                    <a:noFill/>
                    <a:ln>
                      <a:noFill/>
                      <a:prstDash/>
                    </a:ln>
                  </pic:spPr>
                </pic:pic>
              </a:graphicData>
            </a:graphic>
            <wp14:sizeRelH relativeFrom="margin">
              <wp14:pctWidth>0</wp14:pctWidth>
            </wp14:sizeRelH>
          </wp:anchor>
        </w:drawing>
      </w:r>
    </w:p>
    <w:p w14:paraId="6966AD56" w14:textId="77777777" w:rsidR="00952C2A" w:rsidRDefault="00952C2A">
      <w:pPr>
        <w:spacing w:line="360" w:lineRule="auto"/>
        <w:rPr>
          <w:rFonts w:ascii="Arial" w:hAnsi="Arial" w:cs="Arial"/>
          <w:b/>
          <w:bCs/>
          <w:sz w:val="32"/>
          <w:szCs w:val="32"/>
        </w:rPr>
      </w:pPr>
    </w:p>
    <w:p w14:paraId="6A71F6E8" w14:textId="77777777" w:rsidR="00952C2A" w:rsidRDefault="00952C2A">
      <w:pPr>
        <w:spacing w:line="360" w:lineRule="auto"/>
        <w:rPr>
          <w:rFonts w:ascii="Arial" w:hAnsi="Arial" w:cs="Arial"/>
          <w:b/>
          <w:bCs/>
          <w:sz w:val="32"/>
          <w:szCs w:val="32"/>
        </w:rPr>
      </w:pPr>
    </w:p>
    <w:p w14:paraId="23A3A1E6" w14:textId="77777777" w:rsidR="00952C2A" w:rsidRDefault="00952C2A">
      <w:pPr>
        <w:spacing w:line="360" w:lineRule="auto"/>
        <w:rPr>
          <w:rFonts w:ascii="Arial" w:hAnsi="Arial" w:cs="Arial"/>
          <w:b/>
          <w:bCs/>
          <w:sz w:val="32"/>
          <w:szCs w:val="32"/>
        </w:rPr>
      </w:pPr>
    </w:p>
    <w:p w14:paraId="1FE6B2AC" w14:textId="654859A3" w:rsidR="00A009B3" w:rsidRDefault="009470BD">
      <w:pPr>
        <w:spacing w:line="360" w:lineRule="auto"/>
        <w:rPr>
          <w:rFonts w:ascii="Arial" w:hAnsi="Arial" w:cs="Arial"/>
          <w:b/>
          <w:bCs/>
          <w:sz w:val="32"/>
          <w:szCs w:val="32"/>
        </w:rPr>
      </w:pPr>
      <w:r>
        <w:rPr>
          <w:rFonts w:ascii="Arial" w:hAnsi="Arial" w:cs="Arial"/>
          <w:b/>
          <w:bCs/>
          <w:sz w:val="32"/>
          <w:szCs w:val="32"/>
        </w:rPr>
        <w:t>Assignment Title: Bibliography and Report</w:t>
      </w:r>
    </w:p>
    <w:p w14:paraId="1FE6B2AD" w14:textId="77777777" w:rsidR="00A009B3" w:rsidRDefault="009470BD">
      <w:pPr>
        <w:spacing w:line="360" w:lineRule="auto"/>
        <w:rPr>
          <w:rFonts w:ascii="Arial" w:hAnsi="Arial" w:cs="Arial"/>
          <w:b/>
          <w:bCs/>
          <w:sz w:val="32"/>
          <w:szCs w:val="32"/>
        </w:rPr>
      </w:pPr>
      <w:r>
        <w:rPr>
          <w:rFonts w:ascii="Arial" w:hAnsi="Arial" w:cs="Arial"/>
          <w:b/>
          <w:bCs/>
          <w:sz w:val="32"/>
          <w:szCs w:val="32"/>
        </w:rPr>
        <w:t>Student Name: Glenn Catalan</w:t>
      </w:r>
    </w:p>
    <w:p w14:paraId="1FE6B2AE" w14:textId="77777777" w:rsidR="00A009B3" w:rsidRDefault="009470BD">
      <w:pPr>
        <w:spacing w:line="360" w:lineRule="auto"/>
        <w:rPr>
          <w:rFonts w:ascii="Arial" w:hAnsi="Arial" w:cs="Arial"/>
          <w:b/>
          <w:bCs/>
          <w:sz w:val="32"/>
          <w:szCs w:val="32"/>
        </w:rPr>
      </w:pPr>
      <w:r>
        <w:rPr>
          <w:rFonts w:ascii="Arial" w:hAnsi="Arial" w:cs="Arial"/>
          <w:b/>
          <w:bCs/>
          <w:sz w:val="32"/>
          <w:szCs w:val="32"/>
        </w:rPr>
        <w:t>Student Number: 2442791</w:t>
      </w:r>
    </w:p>
    <w:p w14:paraId="1FE6B2AF" w14:textId="77777777" w:rsidR="00A009B3" w:rsidRDefault="009470BD">
      <w:pPr>
        <w:spacing w:line="360" w:lineRule="auto"/>
        <w:rPr>
          <w:rFonts w:ascii="Arial" w:hAnsi="Arial" w:cs="Arial"/>
          <w:b/>
          <w:bCs/>
          <w:sz w:val="32"/>
          <w:szCs w:val="32"/>
        </w:rPr>
      </w:pPr>
      <w:r>
        <w:rPr>
          <w:rFonts w:ascii="Arial" w:hAnsi="Arial" w:cs="Arial"/>
          <w:b/>
          <w:bCs/>
          <w:sz w:val="32"/>
          <w:szCs w:val="32"/>
        </w:rPr>
        <w:t xml:space="preserve">Module Code: LCHS4010 </w:t>
      </w:r>
    </w:p>
    <w:p w14:paraId="1FE6B2B0" w14:textId="77777777" w:rsidR="00A009B3" w:rsidRDefault="009470BD">
      <w:pPr>
        <w:spacing w:line="360" w:lineRule="auto"/>
        <w:rPr>
          <w:rFonts w:ascii="Arial" w:hAnsi="Arial" w:cs="Arial"/>
          <w:b/>
          <w:bCs/>
          <w:sz w:val="32"/>
          <w:szCs w:val="32"/>
        </w:rPr>
      </w:pPr>
      <w:r>
        <w:rPr>
          <w:rFonts w:ascii="Arial" w:hAnsi="Arial" w:cs="Arial"/>
          <w:b/>
          <w:bCs/>
          <w:sz w:val="32"/>
          <w:szCs w:val="32"/>
        </w:rPr>
        <w:t>Module: Psychology in Health and Social Care</w:t>
      </w:r>
    </w:p>
    <w:p w14:paraId="1FE6B2B1" w14:textId="77777777" w:rsidR="00A009B3" w:rsidRDefault="009470BD">
      <w:pPr>
        <w:tabs>
          <w:tab w:val="left" w:pos="3413"/>
        </w:tabs>
        <w:spacing w:line="360" w:lineRule="auto"/>
      </w:pPr>
      <w:r>
        <w:rPr>
          <w:rFonts w:ascii="Arial" w:hAnsi="Arial" w:cs="Arial"/>
          <w:b/>
          <w:bCs/>
          <w:sz w:val="32"/>
          <w:szCs w:val="32"/>
        </w:rPr>
        <w:t xml:space="preserve">Lecturer’s Name: </w:t>
      </w:r>
      <w:r>
        <w:rPr>
          <w:rFonts w:ascii="Arial" w:eastAsia="Times New Roman" w:hAnsi="Arial" w:cs="Arial"/>
          <w:b/>
          <w:bCs/>
          <w:color w:val="000000"/>
          <w:sz w:val="32"/>
          <w:szCs w:val="32"/>
        </w:rPr>
        <w:t>Peace Ukachukwu</w:t>
      </w:r>
    </w:p>
    <w:p w14:paraId="1FE6B2B2" w14:textId="77777777" w:rsidR="00A009B3" w:rsidRDefault="00A009B3">
      <w:pPr>
        <w:spacing w:line="360" w:lineRule="auto"/>
        <w:rPr>
          <w:rFonts w:ascii="Arial" w:hAnsi="Arial" w:cs="Arial"/>
          <w:b/>
          <w:bCs/>
          <w:sz w:val="32"/>
          <w:szCs w:val="32"/>
        </w:rPr>
      </w:pPr>
    </w:p>
    <w:p w14:paraId="1FE6B2B3" w14:textId="77777777" w:rsidR="00A009B3" w:rsidRDefault="00A009B3">
      <w:pPr>
        <w:spacing w:line="360" w:lineRule="auto"/>
        <w:rPr>
          <w:rFonts w:ascii="Arial" w:hAnsi="Arial" w:cs="Arial"/>
          <w:b/>
          <w:bCs/>
          <w:sz w:val="32"/>
          <w:szCs w:val="32"/>
        </w:rPr>
      </w:pPr>
    </w:p>
    <w:p w14:paraId="1FE6B2B4" w14:textId="77777777" w:rsidR="00A009B3" w:rsidRDefault="00A009B3">
      <w:pPr>
        <w:spacing w:line="360" w:lineRule="auto"/>
        <w:rPr>
          <w:rFonts w:ascii="Arial" w:hAnsi="Arial" w:cs="Arial"/>
          <w:b/>
          <w:bCs/>
          <w:sz w:val="32"/>
          <w:szCs w:val="32"/>
        </w:rPr>
      </w:pPr>
    </w:p>
    <w:p w14:paraId="1FE6B2B5" w14:textId="77777777" w:rsidR="00A009B3" w:rsidRDefault="00A009B3">
      <w:pPr>
        <w:spacing w:line="360" w:lineRule="auto"/>
        <w:rPr>
          <w:rFonts w:ascii="Arial" w:hAnsi="Arial" w:cs="Arial"/>
          <w:b/>
          <w:bCs/>
          <w:sz w:val="32"/>
          <w:szCs w:val="32"/>
        </w:rPr>
      </w:pPr>
    </w:p>
    <w:p w14:paraId="1FE6B2B6" w14:textId="77777777" w:rsidR="00A009B3" w:rsidRDefault="00A009B3">
      <w:pPr>
        <w:spacing w:line="360" w:lineRule="auto"/>
        <w:rPr>
          <w:rFonts w:ascii="Arial" w:hAnsi="Arial" w:cs="Arial"/>
          <w:b/>
          <w:bCs/>
          <w:sz w:val="32"/>
          <w:szCs w:val="32"/>
        </w:rPr>
      </w:pPr>
    </w:p>
    <w:p w14:paraId="1FE6B2BD" w14:textId="77777777" w:rsidR="00A009B3" w:rsidRDefault="00A009B3">
      <w:pPr>
        <w:spacing w:line="360" w:lineRule="auto"/>
        <w:rPr>
          <w:rFonts w:ascii="Arial" w:hAnsi="Arial" w:cs="Arial"/>
          <w:b/>
          <w:bCs/>
          <w:sz w:val="32"/>
          <w:szCs w:val="32"/>
        </w:rPr>
      </w:pPr>
    </w:p>
    <w:p w14:paraId="32AF1BC1" w14:textId="77777777" w:rsidR="00600642" w:rsidRDefault="00600642">
      <w:pPr>
        <w:spacing w:line="360" w:lineRule="auto"/>
        <w:rPr>
          <w:rFonts w:ascii="Arial" w:hAnsi="Arial" w:cs="Arial"/>
          <w:b/>
          <w:bCs/>
          <w:sz w:val="32"/>
          <w:szCs w:val="32"/>
        </w:rPr>
      </w:pPr>
    </w:p>
    <w:p w14:paraId="62E7B33E" w14:textId="77777777" w:rsidR="00600642" w:rsidRDefault="00600642">
      <w:pPr>
        <w:spacing w:line="360" w:lineRule="auto"/>
        <w:rPr>
          <w:rFonts w:ascii="Arial" w:hAnsi="Arial" w:cs="Arial"/>
          <w:b/>
          <w:bCs/>
          <w:sz w:val="32"/>
          <w:szCs w:val="32"/>
        </w:rPr>
      </w:pPr>
    </w:p>
    <w:p w14:paraId="03C38719" w14:textId="77777777" w:rsidR="00600642" w:rsidRDefault="00600642">
      <w:pPr>
        <w:spacing w:line="360" w:lineRule="auto"/>
        <w:rPr>
          <w:rFonts w:ascii="Arial" w:hAnsi="Arial" w:cs="Arial"/>
          <w:b/>
          <w:bCs/>
          <w:sz w:val="32"/>
          <w:szCs w:val="32"/>
        </w:rPr>
      </w:pPr>
    </w:p>
    <w:p w14:paraId="1FE6B2BF" w14:textId="77777777" w:rsidR="00A009B3" w:rsidRDefault="00A009B3">
      <w:pPr>
        <w:spacing w:line="360" w:lineRule="auto"/>
        <w:rPr>
          <w:rFonts w:ascii="Arial" w:hAnsi="Arial" w:cs="Arial"/>
          <w:b/>
          <w:bCs/>
          <w:sz w:val="32"/>
          <w:szCs w:val="32"/>
        </w:rPr>
      </w:pPr>
    </w:p>
    <w:p w14:paraId="1FE6B2C0" w14:textId="77777777" w:rsidR="00A009B3" w:rsidRDefault="009470BD">
      <w:pPr>
        <w:spacing w:line="360" w:lineRule="auto"/>
        <w:rPr>
          <w:rFonts w:ascii="Arial" w:hAnsi="Arial" w:cs="Arial"/>
          <w:b/>
          <w:bCs/>
          <w:sz w:val="32"/>
          <w:szCs w:val="32"/>
        </w:rPr>
      </w:pPr>
      <w:r>
        <w:rPr>
          <w:rFonts w:ascii="Arial" w:hAnsi="Arial" w:cs="Arial"/>
          <w:b/>
          <w:bCs/>
          <w:sz w:val="32"/>
          <w:szCs w:val="32"/>
        </w:rPr>
        <w:lastRenderedPageBreak/>
        <w:t xml:space="preserve">Part A: Annotated </w:t>
      </w:r>
      <w:r>
        <w:rPr>
          <w:rFonts w:ascii="Arial" w:hAnsi="Arial" w:cs="Arial"/>
          <w:b/>
          <w:bCs/>
          <w:sz w:val="32"/>
          <w:szCs w:val="32"/>
        </w:rPr>
        <w:t>Bibliography</w:t>
      </w:r>
    </w:p>
    <w:p w14:paraId="1FE6B2C1" w14:textId="77777777" w:rsidR="00A009B3" w:rsidRDefault="009470BD">
      <w:pPr>
        <w:spacing w:line="360" w:lineRule="auto"/>
        <w:rPr>
          <w:rFonts w:ascii="Arial" w:hAnsi="Arial" w:cs="Arial"/>
          <w:b/>
          <w:bCs/>
          <w:sz w:val="36"/>
          <w:szCs w:val="36"/>
        </w:rPr>
      </w:pPr>
      <w:r>
        <w:rPr>
          <w:rFonts w:ascii="Arial" w:hAnsi="Arial" w:cs="Arial"/>
          <w:b/>
          <w:bCs/>
          <w:sz w:val="36"/>
          <w:szCs w:val="36"/>
        </w:rPr>
        <w:t>Erikson’s Psychosocial Stages</w:t>
      </w:r>
    </w:p>
    <w:p w14:paraId="1FE6B2C2" w14:textId="77777777" w:rsidR="00A009B3" w:rsidRDefault="009470BD">
      <w:pPr>
        <w:spacing w:line="360" w:lineRule="auto"/>
        <w:rPr>
          <w:rFonts w:ascii="Arial" w:hAnsi="Arial" w:cs="Arial"/>
          <w:b/>
          <w:bCs/>
          <w:sz w:val="32"/>
          <w:szCs w:val="32"/>
        </w:rPr>
      </w:pPr>
      <w:r>
        <w:rPr>
          <w:rFonts w:ascii="Arial" w:hAnsi="Arial" w:cs="Arial"/>
          <w:b/>
          <w:bCs/>
          <w:sz w:val="32"/>
          <w:szCs w:val="32"/>
        </w:rPr>
        <w:t>Reference:</w:t>
      </w:r>
    </w:p>
    <w:p w14:paraId="1FE6B2C3" w14:textId="77777777" w:rsidR="00A009B3" w:rsidRDefault="009470BD">
      <w:pPr>
        <w:spacing w:line="360" w:lineRule="auto"/>
        <w:rPr>
          <w:rFonts w:ascii="Arial" w:hAnsi="Arial" w:cs="Arial"/>
        </w:rPr>
      </w:pPr>
      <w:r>
        <w:rPr>
          <w:rFonts w:ascii="Arial" w:hAnsi="Arial" w:cs="Arial"/>
        </w:rPr>
        <w:t>Erikson, E.H. and Erikson, J.M. (1998) The life cycle completed. Extended version. New York: W.W. Norton.</w:t>
      </w:r>
    </w:p>
    <w:p w14:paraId="1FE6B2C4" w14:textId="77777777" w:rsidR="00A009B3" w:rsidRDefault="009470BD">
      <w:pPr>
        <w:spacing w:line="360" w:lineRule="auto"/>
        <w:rPr>
          <w:rFonts w:ascii="Arial" w:hAnsi="Arial" w:cs="Arial"/>
        </w:rPr>
      </w:pPr>
      <w:r>
        <w:rPr>
          <w:rFonts w:ascii="Arial" w:hAnsi="Arial" w:cs="Arial"/>
        </w:rPr>
        <w:t xml:space="preserve">Erikson, E.H. (1995) Childhood and society. 2nd </w:t>
      </w:r>
      <w:proofErr w:type="spellStart"/>
      <w:r>
        <w:rPr>
          <w:rFonts w:ascii="Arial" w:hAnsi="Arial" w:cs="Arial"/>
        </w:rPr>
        <w:t>edn</w:t>
      </w:r>
      <w:proofErr w:type="spellEnd"/>
      <w:r>
        <w:rPr>
          <w:rFonts w:ascii="Arial" w:hAnsi="Arial" w:cs="Arial"/>
        </w:rPr>
        <w:t>. London: Vintage.</w:t>
      </w:r>
    </w:p>
    <w:p w14:paraId="1FE6B2C5" w14:textId="77777777" w:rsidR="00A009B3" w:rsidRDefault="009470BD">
      <w:pPr>
        <w:spacing w:line="360" w:lineRule="auto"/>
        <w:rPr>
          <w:rFonts w:ascii="Arial" w:hAnsi="Arial" w:cs="Arial"/>
          <w:b/>
          <w:bCs/>
          <w:sz w:val="32"/>
          <w:szCs w:val="32"/>
        </w:rPr>
      </w:pPr>
      <w:r>
        <w:rPr>
          <w:rFonts w:ascii="Arial" w:hAnsi="Arial" w:cs="Arial"/>
          <w:b/>
          <w:bCs/>
          <w:sz w:val="32"/>
          <w:szCs w:val="32"/>
        </w:rPr>
        <w:t>Concise Summary of Key Arguments or Findings</w:t>
      </w:r>
    </w:p>
    <w:p w14:paraId="1FE6B2C6" w14:textId="5B050F64" w:rsidR="00A009B3" w:rsidRDefault="009470BD">
      <w:pPr>
        <w:spacing w:line="360" w:lineRule="auto"/>
        <w:rPr>
          <w:rFonts w:ascii="Arial" w:hAnsi="Arial" w:cs="Arial"/>
        </w:rPr>
      </w:pPr>
      <w:r>
        <w:rPr>
          <w:rFonts w:ascii="Arial" w:hAnsi="Arial" w:cs="Arial"/>
        </w:rPr>
        <w:t>Erikson and Erikson</w:t>
      </w:r>
      <w:r w:rsidR="002631A1">
        <w:rPr>
          <w:rFonts w:ascii="Arial" w:hAnsi="Arial" w:cs="Arial"/>
        </w:rPr>
        <w:t xml:space="preserve"> (1998)</w:t>
      </w:r>
      <w:r>
        <w:rPr>
          <w:rFonts w:ascii="Arial" w:hAnsi="Arial" w:cs="Arial"/>
        </w:rPr>
        <w:t xml:space="preserve"> outline eight psychosocial stages, each defined by a key developmental challenge that individuals must navigate to maintain healthy psychological growth. They stress that development continues across the entire lifespan, with later adulthood centred on the tension between integrity and despair. During this period, older adults reflect on their lives, evaluating whether their experiences form a meaningful and coherent narrative. Successfully resolving this stage fosters acceptance and fulfilment, whereas un</w:t>
      </w:r>
      <w:r>
        <w:rPr>
          <w:rFonts w:ascii="Arial" w:hAnsi="Arial" w:cs="Arial"/>
        </w:rPr>
        <w:t>resolved issues may lead to regret, anxiety, or dissatisfaction. In their expanded work, the authors also propose a “ninth stage,” recognising the unique demands of incredibly old age, such as increased dependency, vulnerability, and the need for emotional resilience. Throughout life, they emphasise the enduring significance of close relationships, identity continuity, and the pursuit of meaning for overall wellbeing</w:t>
      </w:r>
      <w:r w:rsidR="002631A1">
        <w:rPr>
          <w:rFonts w:ascii="Arial" w:hAnsi="Arial" w:cs="Arial"/>
        </w:rPr>
        <w:t xml:space="preserve"> (Erikson, 1995)</w:t>
      </w:r>
      <w:r>
        <w:rPr>
          <w:rFonts w:ascii="Arial" w:hAnsi="Arial" w:cs="Arial"/>
        </w:rPr>
        <w:t>.</w:t>
      </w:r>
    </w:p>
    <w:p w14:paraId="1FE6B2C7" w14:textId="77777777" w:rsidR="00A009B3" w:rsidRDefault="009470BD">
      <w:pPr>
        <w:spacing w:line="240" w:lineRule="auto"/>
        <w:rPr>
          <w:rFonts w:ascii="Arial" w:hAnsi="Arial" w:cs="Arial"/>
          <w:b/>
          <w:bCs/>
          <w:sz w:val="32"/>
          <w:szCs w:val="32"/>
        </w:rPr>
      </w:pPr>
      <w:r>
        <w:rPr>
          <w:rFonts w:ascii="Arial" w:hAnsi="Arial" w:cs="Arial"/>
          <w:b/>
          <w:bCs/>
          <w:sz w:val="32"/>
          <w:szCs w:val="32"/>
        </w:rPr>
        <w:t>Critical Comment on Relevance to Supporting Older Adults in Health and Social Care Settings</w:t>
      </w:r>
    </w:p>
    <w:p w14:paraId="1FE6B2C8" w14:textId="77777777" w:rsidR="00A009B3" w:rsidRDefault="009470BD">
      <w:pPr>
        <w:spacing w:line="360" w:lineRule="auto"/>
      </w:pPr>
      <w:r>
        <w:rPr>
          <w:rFonts w:ascii="Arial" w:hAnsi="Arial" w:cs="Arial"/>
        </w:rPr>
        <w:t>Erikson’s psychosocial theory offers a useful lens for understanding the developmental and emotional needs of older adults, particularly within health and social care settings. His emphasis on achieving a sense of integrity in later life underpins many contemporary therapeutic practices. Approaches such as reminiscence therapy, structured life</w:t>
      </w:r>
      <w:r>
        <w:rPr>
          <w:rFonts w:ascii="Cambria Math" w:hAnsi="Cambria Math" w:cs="Cambria Math"/>
        </w:rPr>
        <w:noBreakHyphen/>
      </w:r>
      <w:r>
        <w:rPr>
          <w:rFonts w:ascii="Arial" w:hAnsi="Arial" w:cs="Arial"/>
        </w:rPr>
        <w:t>review work, and biography</w:t>
      </w:r>
      <w:r>
        <w:rPr>
          <w:rFonts w:ascii="Cambria Math" w:hAnsi="Cambria Math" w:cs="Cambria Math"/>
        </w:rPr>
        <w:noBreakHyphen/>
      </w:r>
      <w:r>
        <w:rPr>
          <w:rFonts w:ascii="Arial" w:hAnsi="Arial" w:cs="Arial"/>
        </w:rPr>
        <w:t xml:space="preserve">based activities enable older people to reflect on their experiences, strengthen their </w:t>
      </w:r>
      <w:r>
        <w:rPr>
          <w:rFonts w:ascii="Arial" w:hAnsi="Arial" w:cs="Arial"/>
        </w:rPr>
        <w:t>identity, and reduce feelings of despair or disconnection. These interventions are especially valuable for individuals coping with bereavement, declining independence, or major life changes, as they help support emotional adjustment and continuity.</w:t>
      </w:r>
    </w:p>
    <w:p w14:paraId="1FE6B2C9" w14:textId="77777777" w:rsidR="00A009B3" w:rsidRDefault="009470BD">
      <w:pPr>
        <w:spacing w:line="360" w:lineRule="auto"/>
      </w:pPr>
      <w:r>
        <w:rPr>
          <w:rFonts w:ascii="Arial" w:hAnsi="Arial" w:cs="Arial"/>
        </w:rPr>
        <w:t xml:space="preserve">The theory also draws attention to the importance of consistent, trusting relationships between older adults and care professionals. Warm, reliable interactions can foster a sense </w:t>
      </w:r>
      <w:r>
        <w:rPr>
          <w:rFonts w:ascii="Arial" w:hAnsi="Arial" w:cs="Arial"/>
        </w:rPr>
        <w:lastRenderedPageBreak/>
        <w:t>of security, which contributes to positive psychological wellbeing. However, Erikson’s model has limitations. It is grounded in Western assumptions about ageing and follows a linear developmental path that may not apply to people with dementia, those with complex trauma histories, or individuals from diverse cultural backgrounds. Therefore, practitioners must use the theory flexibly and adapt it to each person’s circumstances. When applied sensitively, Erikson’s framework can enhance person</w:t>
      </w:r>
      <w:r>
        <w:rPr>
          <w:rFonts w:ascii="Cambria Math" w:hAnsi="Cambria Math" w:cs="Cambria Math"/>
        </w:rPr>
        <w:noBreakHyphen/>
      </w:r>
      <w:r>
        <w:rPr>
          <w:rFonts w:ascii="Arial" w:hAnsi="Arial" w:cs="Arial"/>
        </w:rPr>
        <w:t>centred, dignifi</w:t>
      </w:r>
      <w:r>
        <w:rPr>
          <w:rFonts w:ascii="Arial" w:hAnsi="Arial" w:cs="Arial"/>
        </w:rPr>
        <w:t>ed, and emotionally supportive care.</w:t>
      </w:r>
    </w:p>
    <w:p w14:paraId="1FE6B2CA" w14:textId="77777777" w:rsidR="00A009B3" w:rsidRDefault="00A009B3">
      <w:pPr>
        <w:rPr>
          <w:rFonts w:ascii="Arial" w:hAnsi="Arial" w:cs="Arial"/>
          <w:b/>
          <w:bCs/>
          <w:sz w:val="36"/>
          <w:szCs w:val="36"/>
        </w:rPr>
      </w:pPr>
    </w:p>
    <w:p w14:paraId="1FE6B2CB" w14:textId="77777777" w:rsidR="00A009B3" w:rsidRDefault="009470BD">
      <w:pPr>
        <w:rPr>
          <w:rFonts w:ascii="Arial" w:hAnsi="Arial" w:cs="Arial"/>
          <w:b/>
          <w:bCs/>
          <w:sz w:val="36"/>
          <w:szCs w:val="36"/>
        </w:rPr>
      </w:pPr>
      <w:r>
        <w:rPr>
          <w:rFonts w:ascii="Arial" w:hAnsi="Arial" w:cs="Arial"/>
          <w:b/>
          <w:bCs/>
          <w:sz w:val="36"/>
          <w:szCs w:val="36"/>
        </w:rPr>
        <w:t>Freud’s Classical Psychodynamic Theory</w:t>
      </w:r>
    </w:p>
    <w:p w14:paraId="1FE6B2CC" w14:textId="77777777" w:rsidR="00A009B3" w:rsidRDefault="009470BD">
      <w:pPr>
        <w:rPr>
          <w:rFonts w:ascii="Arial" w:hAnsi="Arial" w:cs="Arial"/>
          <w:b/>
          <w:bCs/>
          <w:sz w:val="32"/>
          <w:szCs w:val="32"/>
        </w:rPr>
      </w:pPr>
      <w:r>
        <w:rPr>
          <w:rFonts w:ascii="Arial" w:hAnsi="Arial" w:cs="Arial"/>
          <w:b/>
          <w:bCs/>
          <w:sz w:val="32"/>
          <w:szCs w:val="32"/>
        </w:rPr>
        <w:t>Reference:</w:t>
      </w:r>
    </w:p>
    <w:p w14:paraId="1FE6B2CD" w14:textId="77777777" w:rsidR="00A009B3" w:rsidRDefault="009470BD">
      <w:pPr>
        <w:spacing w:line="360" w:lineRule="auto"/>
        <w:rPr>
          <w:rFonts w:ascii="Arial" w:hAnsi="Arial" w:cs="Arial"/>
        </w:rPr>
      </w:pPr>
      <w:r>
        <w:rPr>
          <w:rFonts w:ascii="Arial" w:hAnsi="Arial" w:cs="Arial"/>
        </w:rPr>
        <w:t>Freud, S. (1953) The interpretation of dreams. Standard Edition, Vol. 4–5. London: Hogarth Press.</w:t>
      </w:r>
    </w:p>
    <w:p w14:paraId="1FE6B2CE" w14:textId="77777777" w:rsidR="00A009B3" w:rsidRDefault="009470BD">
      <w:pPr>
        <w:spacing w:line="360" w:lineRule="auto"/>
      </w:pPr>
      <w:proofErr w:type="spellStart"/>
      <w:r>
        <w:rPr>
          <w:rFonts w:ascii="Arial" w:hAnsi="Arial" w:cs="Arial"/>
          <w:color w:val="222222"/>
          <w:sz w:val="20"/>
          <w:szCs w:val="20"/>
          <w:shd w:val="clear" w:color="auto" w:fill="FFFFFF"/>
        </w:rPr>
        <w:t>Trosman</w:t>
      </w:r>
      <w:proofErr w:type="spellEnd"/>
      <w:r>
        <w:rPr>
          <w:rFonts w:ascii="Arial" w:hAnsi="Arial" w:cs="Arial"/>
          <w:color w:val="222222"/>
          <w:sz w:val="20"/>
          <w:szCs w:val="20"/>
          <w:shd w:val="clear" w:color="auto" w:fill="FFFFFF"/>
        </w:rPr>
        <w:t>, H. and Simmons, R.D., 1973. The Freud Library. </w:t>
      </w:r>
      <w:r>
        <w:rPr>
          <w:rFonts w:ascii="Arial" w:hAnsi="Arial" w:cs="Arial"/>
          <w:i/>
          <w:iCs/>
          <w:color w:val="222222"/>
          <w:sz w:val="20"/>
          <w:szCs w:val="20"/>
          <w:shd w:val="clear" w:color="auto" w:fill="FFFFFF"/>
        </w:rPr>
        <w:t>Journal of the American Psychoanalytic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pp.646-687.</w:t>
      </w:r>
    </w:p>
    <w:p w14:paraId="1FE6B2CF" w14:textId="77777777" w:rsidR="00A009B3" w:rsidRDefault="009470BD">
      <w:pPr>
        <w:rPr>
          <w:rFonts w:ascii="Arial" w:hAnsi="Arial" w:cs="Arial"/>
          <w:b/>
          <w:bCs/>
          <w:sz w:val="32"/>
          <w:szCs w:val="32"/>
        </w:rPr>
      </w:pPr>
      <w:r>
        <w:rPr>
          <w:rFonts w:ascii="Arial" w:hAnsi="Arial" w:cs="Arial"/>
          <w:b/>
          <w:bCs/>
          <w:sz w:val="32"/>
          <w:szCs w:val="32"/>
        </w:rPr>
        <w:t>Concise Summary of Key Arguments</w:t>
      </w:r>
    </w:p>
    <w:p w14:paraId="1FE6B2D0" w14:textId="518D5880" w:rsidR="00A009B3" w:rsidRDefault="009470BD">
      <w:pPr>
        <w:spacing w:line="360" w:lineRule="auto"/>
      </w:pPr>
      <w:r>
        <w:rPr>
          <w:rFonts w:ascii="Arial" w:hAnsi="Arial" w:cs="Arial"/>
        </w:rPr>
        <w:t>Freud’s classical psychodynamic theory proposes that human behaviour is strongly shaped by unconscious processes formed in early childhood. At the core of his model is the three</w:t>
      </w:r>
      <w:r>
        <w:rPr>
          <w:rFonts w:ascii="Cambria Math" w:hAnsi="Cambria Math" w:cs="Cambria Math"/>
        </w:rPr>
        <w:noBreakHyphen/>
      </w:r>
      <w:r>
        <w:rPr>
          <w:rFonts w:ascii="Arial" w:hAnsi="Arial" w:cs="Arial"/>
        </w:rPr>
        <w:t>part structure of the mind: the id, which represents instinctual drives; the ego, which mediates between these impulses and reality; and the superego, which embodies internalised moral rules. Freud argued that unresolved conflict among these elements leads to psychological distress</w:t>
      </w:r>
      <w:r w:rsidR="006B2566" w:rsidRPr="006B2566">
        <w:rPr>
          <w:rFonts w:ascii="Arial" w:hAnsi="Arial" w:cs="Arial"/>
        </w:rPr>
        <w:t xml:space="preserve"> </w:t>
      </w:r>
      <w:r w:rsidR="006B2566">
        <w:rPr>
          <w:rFonts w:ascii="Arial" w:hAnsi="Arial" w:cs="Arial"/>
        </w:rPr>
        <w:t>(</w:t>
      </w:r>
      <w:r w:rsidR="006B2566">
        <w:rPr>
          <w:rFonts w:ascii="Arial" w:hAnsi="Arial" w:cs="Arial"/>
        </w:rPr>
        <w:t>Freud, S.</w:t>
      </w:r>
      <w:r w:rsidR="006B2566">
        <w:rPr>
          <w:rFonts w:ascii="Arial" w:hAnsi="Arial" w:cs="Arial"/>
        </w:rPr>
        <w:t>,</w:t>
      </w:r>
      <w:r w:rsidR="006B2566">
        <w:rPr>
          <w:rFonts w:ascii="Arial" w:hAnsi="Arial" w:cs="Arial"/>
        </w:rPr>
        <w:t>1953)</w:t>
      </w:r>
      <w:r w:rsidR="006B2566">
        <w:rPr>
          <w:rFonts w:ascii="Arial" w:hAnsi="Arial" w:cs="Arial"/>
        </w:rPr>
        <w:t>.</w:t>
      </w:r>
    </w:p>
    <w:p w14:paraId="1FE6B2D1" w14:textId="77777777" w:rsidR="00A009B3" w:rsidRDefault="009470BD">
      <w:pPr>
        <w:spacing w:line="360" w:lineRule="auto"/>
        <w:rPr>
          <w:rFonts w:ascii="Arial" w:hAnsi="Arial" w:cs="Arial"/>
        </w:rPr>
      </w:pPr>
      <w:r>
        <w:rPr>
          <w:rFonts w:ascii="Arial" w:hAnsi="Arial" w:cs="Arial"/>
        </w:rPr>
        <w:t>A further component is his psychosexual stage theory, which outlines personality development across the oral, anal, phallic, latency, and genital stages. Disruptions at any stage may result in fixations that influence adult emotional functioning. Freud’s therapeutic methods such as free association, dream analysis, and interpretation aimed to bring unconscious material into awareness to help individuals understand the origins of their difficulties.</w:t>
      </w:r>
    </w:p>
    <w:p w14:paraId="1FE6B2D2" w14:textId="77777777" w:rsidR="00A009B3" w:rsidRDefault="009470BD">
      <w:pPr>
        <w:spacing w:line="240" w:lineRule="auto"/>
      </w:pPr>
      <w:r>
        <w:rPr>
          <w:rFonts w:ascii="Arial" w:hAnsi="Arial" w:cs="Arial"/>
          <w:b/>
          <w:bCs/>
          <w:sz w:val="32"/>
          <w:szCs w:val="32"/>
        </w:rPr>
        <w:t>Critical Comment on Relevance to Supporting Older Adults in Health and Social Care Settings</w:t>
      </w:r>
    </w:p>
    <w:p w14:paraId="1FE6B2D3" w14:textId="77777777" w:rsidR="00A009B3" w:rsidRDefault="009470BD">
      <w:pPr>
        <w:spacing w:line="360" w:lineRule="auto"/>
      </w:pPr>
      <w:r>
        <w:rPr>
          <w:rFonts w:ascii="Arial" w:hAnsi="Arial" w:cs="Arial"/>
        </w:rPr>
        <w:t xml:space="preserve">Freud’s ideas continue to shape modern psychological thinking, but their direct relevance to supporting older adults in contemporary health and social care is limited. A key issue is the theory’s strong emphasis on early childhood as the main source of emotional problems, </w:t>
      </w:r>
      <w:r>
        <w:rPr>
          <w:rFonts w:ascii="Arial" w:hAnsi="Arial" w:cs="Arial"/>
        </w:rPr>
        <w:lastRenderedPageBreak/>
        <w:t>which can minimise the considerable influence of later</w:t>
      </w:r>
      <w:r>
        <w:rPr>
          <w:rFonts w:ascii="Cambria Math" w:hAnsi="Cambria Math" w:cs="Cambria Math"/>
        </w:rPr>
        <w:noBreakHyphen/>
      </w:r>
      <w:r>
        <w:rPr>
          <w:rFonts w:ascii="Arial" w:hAnsi="Arial" w:cs="Arial"/>
        </w:rPr>
        <w:t>life experiences. Factors such as bereavement, chronic illness, reduced social networks, and transitions into residential care often have a much more immediate impact on older adults’ wellbeing.</w:t>
      </w:r>
    </w:p>
    <w:p w14:paraId="1FE6B2D4" w14:textId="77777777" w:rsidR="00A009B3" w:rsidRDefault="009470BD">
      <w:pPr>
        <w:spacing w:line="360" w:lineRule="auto"/>
      </w:pPr>
      <w:r>
        <w:rPr>
          <w:rFonts w:ascii="Arial" w:hAnsi="Arial" w:cs="Arial"/>
        </w:rPr>
        <w:t>Classical psychoanalysis also depends on long</w:t>
      </w:r>
      <w:r>
        <w:rPr>
          <w:rFonts w:ascii="Cambria Math" w:hAnsi="Cambria Math" w:cs="Cambria Math"/>
        </w:rPr>
        <w:noBreakHyphen/>
      </w:r>
      <w:r>
        <w:rPr>
          <w:rFonts w:ascii="Arial" w:hAnsi="Arial" w:cs="Arial"/>
        </w:rPr>
        <w:t>term, intensive therapeutic work, which may be impractical or unsuitable for many older people, particularly those experiencing cognitive decline or dementia. Insight</w:t>
      </w:r>
      <w:r>
        <w:rPr>
          <w:rFonts w:ascii="Cambria Math" w:hAnsi="Cambria Math" w:cs="Cambria Math"/>
        </w:rPr>
        <w:noBreakHyphen/>
      </w:r>
      <w:r>
        <w:rPr>
          <w:rFonts w:ascii="Arial" w:hAnsi="Arial" w:cs="Arial"/>
        </w:rPr>
        <w:t xml:space="preserve">based approaches assume the </w:t>
      </w:r>
      <w:r>
        <w:rPr>
          <w:rFonts w:ascii="Arial" w:hAnsi="Arial" w:cs="Arial"/>
        </w:rPr>
        <w:t>capacity for detailed reflection and reliable memory recall, abilities that may be compromised in this group.</w:t>
      </w:r>
    </w:p>
    <w:p w14:paraId="1FE6B2D5" w14:textId="77777777" w:rsidR="00A009B3" w:rsidRDefault="009470BD">
      <w:pPr>
        <w:spacing w:line="360" w:lineRule="auto"/>
      </w:pPr>
      <w:r>
        <w:rPr>
          <w:rFonts w:ascii="Arial" w:hAnsi="Arial" w:cs="Arial"/>
        </w:rPr>
        <w:t>Nevertheless, psychodynamic concepts still offer helpful insights for practitioners. Understanding defence mechanisms can support staff in interpreting behaviours such as withdrawal, irritability, or denial with greater empathy. The focus on the emotional quality of relationships also aligns with person</w:t>
      </w:r>
      <w:r>
        <w:rPr>
          <w:rFonts w:ascii="Cambria Math" w:hAnsi="Cambria Math" w:cs="Cambria Math"/>
        </w:rPr>
        <w:noBreakHyphen/>
      </w:r>
      <w:r>
        <w:rPr>
          <w:rFonts w:ascii="Arial" w:hAnsi="Arial" w:cs="Arial"/>
        </w:rPr>
        <w:t>centred care, encouraging workers to explore the underlying meaning of behaviours rather than responding only to what is observable.</w:t>
      </w:r>
    </w:p>
    <w:p w14:paraId="1FE6B2D6" w14:textId="77777777" w:rsidR="00A009B3" w:rsidRDefault="009470BD">
      <w:pPr>
        <w:spacing w:line="360" w:lineRule="auto"/>
      </w:pPr>
      <w:r>
        <w:rPr>
          <w:rFonts w:ascii="Arial" w:hAnsi="Arial" w:cs="Arial"/>
        </w:rPr>
        <w:t>Overall, while Freud’s classical theory has restricted direct application in modern care settings, its concepts can enhance reflective practice and promote compassionate, relationship</w:t>
      </w:r>
      <w:r>
        <w:rPr>
          <w:rFonts w:ascii="Cambria Math" w:hAnsi="Cambria Math" w:cs="Cambria Math"/>
        </w:rPr>
        <w:noBreakHyphen/>
      </w:r>
      <w:r>
        <w:rPr>
          <w:rFonts w:ascii="Arial" w:hAnsi="Arial" w:cs="Arial"/>
        </w:rPr>
        <w:t>focused support for older adults.</w:t>
      </w:r>
    </w:p>
    <w:p w14:paraId="1FE6B2D7" w14:textId="77777777" w:rsidR="00A009B3" w:rsidRDefault="00A009B3">
      <w:pPr>
        <w:rPr>
          <w:rFonts w:ascii="Arial" w:hAnsi="Arial" w:cs="Arial"/>
          <w:b/>
          <w:bCs/>
          <w:sz w:val="32"/>
          <w:szCs w:val="32"/>
        </w:rPr>
      </w:pPr>
    </w:p>
    <w:p w14:paraId="1FE6B2D8" w14:textId="77777777" w:rsidR="00A009B3" w:rsidRDefault="009470BD">
      <w:pPr>
        <w:rPr>
          <w:rFonts w:ascii="Arial" w:hAnsi="Arial" w:cs="Arial"/>
          <w:b/>
          <w:bCs/>
          <w:sz w:val="32"/>
          <w:szCs w:val="32"/>
        </w:rPr>
      </w:pPr>
      <w:r>
        <w:rPr>
          <w:rFonts w:ascii="Arial" w:hAnsi="Arial" w:cs="Arial"/>
          <w:b/>
          <w:bCs/>
          <w:sz w:val="32"/>
          <w:szCs w:val="32"/>
        </w:rPr>
        <w:t>Part B: Short Report</w:t>
      </w:r>
    </w:p>
    <w:p w14:paraId="1FE6B2D9" w14:textId="77777777" w:rsidR="00A009B3" w:rsidRDefault="009470BD">
      <w:pPr>
        <w:spacing w:line="240" w:lineRule="auto"/>
        <w:rPr>
          <w:rFonts w:ascii="Arial" w:hAnsi="Arial" w:cs="Arial"/>
          <w:b/>
          <w:bCs/>
          <w:sz w:val="36"/>
          <w:szCs w:val="36"/>
        </w:rPr>
      </w:pPr>
      <w:r>
        <w:rPr>
          <w:rFonts w:ascii="Arial" w:hAnsi="Arial" w:cs="Arial"/>
          <w:b/>
          <w:bCs/>
          <w:sz w:val="36"/>
          <w:szCs w:val="36"/>
        </w:rPr>
        <w:t>Applying Freud’s Classical Psychodynamic Theory to Support Psychological Wellbeing in Older Adults Living in Residential Care</w:t>
      </w:r>
    </w:p>
    <w:p w14:paraId="1FE6B2DA" w14:textId="77777777" w:rsidR="00A009B3" w:rsidRDefault="009470BD">
      <w:pPr>
        <w:rPr>
          <w:rFonts w:ascii="Arial" w:hAnsi="Arial" w:cs="Arial"/>
          <w:b/>
          <w:bCs/>
          <w:sz w:val="32"/>
          <w:szCs w:val="32"/>
        </w:rPr>
      </w:pPr>
      <w:r>
        <w:rPr>
          <w:rFonts w:ascii="Arial" w:hAnsi="Arial" w:cs="Arial"/>
          <w:b/>
          <w:bCs/>
          <w:sz w:val="32"/>
          <w:szCs w:val="32"/>
        </w:rPr>
        <w:t>Introduction</w:t>
      </w:r>
    </w:p>
    <w:p w14:paraId="1FE6B2DB" w14:textId="77777777" w:rsidR="00A009B3" w:rsidRDefault="009470BD">
      <w:pPr>
        <w:spacing w:line="360" w:lineRule="auto"/>
        <w:rPr>
          <w:rFonts w:ascii="Arial" w:hAnsi="Arial" w:cs="Arial"/>
        </w:rPr>
      </w:pPr>
      <w:r>
        <w:rPr>
          <w:rFonts w:ascii="Arial" w:hAnsi="Arial" w:cs="Arial"/>
        </w:rPr>
        <w:t>Promoting psychological wellbeing in residential care requires insight into the emotional factors that influence behaviour, relationships, and adjustment. Freud’s Classical Psychodynamic Theory, despite its early origins, offers useful perspectives on how unconscious processes, defence mechanisms, and early relational experiences shape emotional reactions in later life. When applied thoughtfully, psychodynamic ideas help staff understand behaviour with empathy, build stronger relationships, and create emoti</w:t>
      </w:r>
      <w:r>
        <w:rPr>
          <w:rFonts w:ascii="Arial" w:hAnsi="Arial" w:cs="Arial"/>
        </w:rPr>
        <w:t>onally supportive care environments (Jacobs, 2017).</w:t>
      </w:r>
    </w:p>
    <w:p w14:paraId="1FE6B2DC" w14:textId="77777777" w:rsidR="00A009B3" w:rsidRDefault="009470BD">
      <w:pPr>
        <w:spacing w:line="360" w:lineRule="auto"/>
        <w:rPr>
          <w:rFonts w:ascii="Arial" w:hAnsi="Arial" w:cs="Arial"/>
          <w:b/>
          <w:bCs/>
          <w:sz w:val="32"/>
          <w:szCs w:val="32"/>
        </w:rPr>
      </w:pPr>
      <w:r>
        <w:rPr>
          <w:rFonts w:ascii="Arial" w:hAnsi="Arial" w:cs="Arial"/>
          <w:b/>
          <w:bCs/>
          <w:sz w:val="32"/>
          <w:szCs w:val="32"/>
        </w:rPr>
        <w:t>Applying Freud’s Theory in Residential Care</w:t>
      </w:r>
    </w:p>
    <w:p w14:paraId="1FE6B2DD" w14:textId="77777777" w:rsidR="00A009B3" w:rsidRDefault="009470BD">
      <w:pPr>
        <w:spacing w:line="360" w:lineRule="auto"/>
        <w:rPr>
          <w:rFonts w:ascii="Arial" w:hAnsi="Arial" w:cs="Arial"/>
        </w:rPr>
      </w:pPr>
      <w:r>
        <w:rPr>
          <w:rFonts w:ascii="Arial" w:hAnsi="Arial" w:cs="Arial"/>
        </w:rPr>
        <w:t xml:space="preserve">Freud argued that behaviour is influenced by unconscious conflicts formed in childhood (Freud, 1923). In later life, experiences such as bereavement, reduced independence, or </w:t>
      </w:r>
      <w:r>
        <w:rPr>
          <w:rFonts w:ascii="Arial" w:hAnsi="Arial" w:cs="Arial"/>
        </w:rPr>
        <w:lastRenderedPageBreak/>
        <w:t>entering residential care can trigger earlier anxieties or unmet needs, leading to behaviours that seem challenging but reflect attempts to cope with emotional distress.</w:t>
      </w:r>
    </w:p>
    <w:p w14:paraId="1FE6B2DE" w14:textId="77777777" w:rsidR="00A009B3" w:rsidRDefault="009470BD">
      <w:pPr>
        <w:spacing w:line="360" w:lineRule="auto"/>
        <w:rPr>
          <w:rFonts w:ascii="Arial" w:hAnsi="Arial" w:cs="Arial"/>
          <w:b/>
          <w:bCs/>
          <w:sz w:val="32"/>
          <w:szCs w:val="32"/>
        </w:rPr>
      </w:pPr>
      <w:r>
        <w:rPr>
          <w:rFonts w:ascii="Arial" w:hAnsi="Arial" w:cs="Arial"/>
          <w:b/>
          <w:bCs/>
          <w:sz w:val="32"/>
          <w:szCs w:val="32"/>
        </w:rPr>
        <w:t>Understanding Defence Mechanisms</w:t>
      </w:r>
    </w:p>
    <w:p w14:paraId="1FE6B2DF" w14:textId="77777777" w:rsidR="00A009B3" w:rsidRDefault="009470BD">
      <w:pPr>
        <w:spacing w:line="360" w:lineRule="auto"/>
        <w:rPr>
          <w:rFonts w:ascii="Arial" w:hAnsi="Arial" w:cs="Arial"/>
        </w:rPr>
      </w:pPr>
      <w:r>
        <w:rPr>
          <w:rFonts w:ascii="Arial" w:hAnsi="Arial" w:cs="Arial"/>
        </w:rPr>
        <w:t>Defence mechanisms such as denial, projection, regression, and displacement operate unconsciously to help individuals manage anxiety (Freud, 1936; Cramer, 2015). In residential care, these responses often emerge when older adults face increasing dependency, fear deterioration, or experience the loss of familiar roles. Viewing these behaviours as protective rather than deliberately challenging allows staff to respond with empathy and psychological understanding.</w:t>
      </w:r>
    </w:p>
    <w:p w14:paraId="1FE6B2E0" w14:textId="77777777" w:rsidR="00A009B3" w:rsidRDefault="009470BD">
      <w:pPr>
        <w:spacing w:line="360" w:lineRule="auto"/>
        <w:rPr>
          <w:rFonts w:ascii="Arial" w:hAnsi="Arial" w:cs="Arial"/>
        </w:rPr>
      </w:pPr>
      <w:r>
        <w:rPr>
          <w:rFonts w:ascii="Arial" w:hAnsi="Arial" w:cs="Arial"/>
        </w:rPr>
        <w:t>Examples include:</w:t>
      </w:r>
    </w:p>
    <w:p w14:paraId="1FE6B2E1"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Denial when a resident refuses to accept their health needs.</w:t>
      </w:r>
    </w:p>
    <w:p w14:paraId="1FE6B2E2"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Projection when personal fears are attributed to staff.</w:t>
      </w:r>
    </w:p>
    <w:p w14:paraId="1FE6B2E3"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Regression when stress leads to increased dependency or withdrawal.</w:t>
      </w:r>
    </w:p>
    <w:p w14:paraId="1FE6B2E4" w14:textId="77777777" w:rsidR="00A009B3" w:rsidRDefault="009470BD">
      <w:pPr>
        <w:spacing w:line="360" w:lineRule="auto"/>
        <w:rPr>
          <w:rFonts w:ascii="Arial" w:hAnsi="Arial" w:cs="Arial"/>
        </w:rPr>
      </w:pPr>
      <w:r>
        <w:rPr>
          <w:rFonts w:ascii="Arial" w:hAnsi="Arial" w:cs="Arial"/>
        </w:rPr>
        <w:t>Recognising these patterns helps staff avoid misinterpretation and instead offer reassurance, consistency, and emotional support.</w:t>
      </w:r>
    </w:p>
    <w:p w14:paraId="1FE6B2E5" w14:textId="77777777" w:rsidR="00A009B3" w:rsidRDefault="009470BD">
      <w:pPr>
        <w:spacing w:line="360" w:lineRule="auto"/>
        <w:rPr>
          <w:rFonts w:ascii="Arial" w:hAnsi="Arial" w:cs="Arial"/>
          <w:b/>
          <w:bCs/>
          <w:sz w:val="32"/>
          <w:szCs w:val="32"/>
        </w:rPr>
      </w:pPr>
      <w:r>
        <w:rPr>
          <w:rFonts w:ascii="Arial" w:hAnsi="Arial" w:cs="Arial"/>
          <w:b/>
          <w:bCs/>
          <w:sz w:val="32"/>
          <w:szCs w:val="32"/>
        </w:rPr>
        <w:t>Supporting Emotional Expression</w:t>
      </w:r>
    </w:p>
    <w:p w14:paraId="1FE6B2E6" w14:textId="77777777" w:rsidR="00A009B3" w:rsidRDefault="009470BD">
      <w:pPr>
        <w:spacing w:line="360" w:lineRule="auto"/>
        <w:rPr>
          <w:rFonts w:ascii="Arial" w:hAnsi="Arial" w:cs="Arial"/>
        </w:rPr>
      </w:pPr>
      <w:r>
        <w:rPr>
          <w:rFonts w:ascii="Arial" w:hAnsi="Arial" w:cs="Arial"/>
        </w:rPr>
        <w:t>Although traditional psychoanalysis is unsuitable in residential care, encouraging emotional expression remains highly valuable. Providing safe opportunities for residents to discuss their past, share fears, or explore identity can help surface unconscious emotions and support psychological wellbeing (Jacobs, 2017).</w:t>
      </w:r>
    </w:p>
    <w:p w14:paraId="1FE6B2E7" w14:textId="77777777" w:rsidR="00A009B3" w:rsidRDefault="009470BD">
      <w:pPr>
        <w:spacing w:line="360" w:lineRule="auto"/>
        <w:rPr>
          <w:rFonts w:ascii="Arial" w:hAnsi="Arial" w:cs="Arial"/>
        </w:rPr>
      </w:pPr>
      <w:r>
        <w:rPr>
          <w:rFonts w:ascii="Arial" w:hAnsi="Arial" w:cs="Arial"/>
        </w:rPr>
        <w:t>Approaches include:</w:t>
      </w:r>
    </w:p>
    <w:p w14:paraId="1FE6B2E8"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Reminiscence conversations</w:t>
      </w:r>
    </w:p>
    <w:p w14:paraId="1FE6B2E9" w14:textId="77777777" w:rsidR="00A009B3" w:rsidRDefault="009470BD">
      <w:pPr>
        <w:spacing w:line="360" w:lineRule="auto"/>
      </w:pPr>
      <w:r>
        <w:rPr>
          <w:rFonts w:ascii="Arial" w:hAnsi="Arial" w:cs="Arial"/>
        </w:rPr>
        <w:t xml:space="preserve">• </w:t>
      </w:r>
      <w:r>
        <w:rPr>
          <w:rFonts w:ascii="Arial" w:hAnsi="Arial" w:cs="Arial"/>
        </w:rPr>
        <w:tab/>
        <w:t>Life</w:t>
      </w:r>
      <w:r>
        <w:rPr>
          <w:rFonts w:ascii="Cambria Math" w:hAnsi="Cambria Math" w:cs="Cambria Math"/>
        </w:rPr>
        <w:noBreakHyphen/>
      </w:r>
      <w:r>
        <w:rPr>
          <w:rFonts w:ascii="Arial" w:hAnsi="Arial" w:cs="Arial"/>
        </w:rPr>
        <w:t>story work</w:t>
      </w:r>
    </w:p>
    <w:p w14:paraId="1FE6B2EA"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Active listening and validation</w:t>
      </w:r>
    </w:p>
    <w:p w14:paraId="1FE6B2EB"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Encouraging meaningful activities linked to identity</w:t>
      </w:r>
    </w:p>
    <w:p w14:paraId="1FE6B2EC" w14:textId="77777777" w:rsidR="00A009B3" w:rsidRDefault="009470BD">
      <w:pPr>
        <w:spacing w:line="360" w:lineRule="auto"/>
        <w:rPr>
          <w:rFonts w:ascii="Arial" w:hAnsi="Arial" w:cs="Arial"/>
        </w:rPr>
      </w:pPr>
      <w:r>
        <w:rPr>
          <w:rFonts w:ascii="Arial" w:hAnsi="Arial" w:cs="Arial"/>
        </w:rPr>
        <w:t>These approaches support emotional processing, lower anxiety, and help residents maintain a stable identity.</w:t>
      </w:r>
    </w:p>
    <w:p w14:paraId="1FE6B2ED" w14:textId="77777777" w:rsidR="00A009B3" w:rsidRDefault="00A009B3">
      <w:pPr>
        <w:spacing w:line="360" w:lineRule="auto"/>
        <w:rPr>
          <w:rFonts w:ascii="Arial" w:hAnsi="Arial" w:cs="Arial"/>
          <w:b/>
          <w:bCs/>
          <w:sz w:val="32"/>
          <w:szCs w:val="32"/>
        </w:rPr>
      </w:pPr>
    </w:p>
    <w:p w14:paraId="1FE6B2EE" w14:textId="77777777" w:rsidR="00A009B3" w:rsidRDefault="009470BD">
      <w:pPr>
        <w:spacing w:line="360" w:lineRule="auto"/>
      </w:pPr>
      <w:r>
        <w:rPr>
          <w:rFonts w:ascii="Arial" w:hAnsi="Arial" w:cs="Arial"/>
          <w:b/>
          <w:bCs/>
          <w:sz w:val="32"/>
          <w:szCs w:val="32"/>
        </w:rPr>
        <w:lastRenderedPageBreak/>
        <w:t>Case Scenario</w:t>
      </w:r>
    </w:p>
    <w:p w14:paraId="1FE6B2EF" w14:textId="77777777" w:rsidR="00A009B3" w:rsidRDefault="009470BD">
      <w:pPr>
        <w:spacing w:line="360" w:lineRule="auto"/>
        <w:rPr>
          <w:rFonts w:ascii="Arial" w:hAnsi="Arial" w:cs="Arial"/>
        </w:rPr>
      </w:pPr>
      <w:r>
        <w:rPr>
          <w:rFonts w:ascii="Arial" w:hAnsi="Arial" w:cs="Arial"/>
        </w:rPr>
        <w:t xml:space="preserve">Mr Ben, aged eighty-six, moved into the care home following his wife’s death. Since arriving, he often claims staff are “ignoring him” and believes other residents “dislike him.” He becomes irritable when offered </w:t>
      </w:r>
      <w:r>
        <w:rPr>
          <w:rFonts w:ascii="Arial" w:hAnsi="Arial" w:cs="Arial"/>
        </w:rPr>
        <w:t>support, later apologising and appearing upset. From a psychodynamic viewpoint, Mr B is using projection to cope with intense grief and vulnerability. His accusations reflect fears of abandonment rather than intentional hostility.</w:t>
      </w:r>
    </w:p>
    <w:p w14:paraId="1FE6B2F0" w14:textId="77777777" w:rsidR="00A009B3" w:rsidRDefault="009470BD">
      <w:pPr>
        <w:spacing w:line="360" w:lineRule="auto"/>
        <w:rPr>
          <w:rFonts w:ascii="Arial" w:hAnsi="Arial" w:cs="Arial"/>
        </w:rPr>
      </w:pPr>
      <w:r>
        <w:rPr>
          <w:rFonts w:ascii="Arial" w:hAnsi="Arial" w:cs="Arial"/>
        </w:rPr>
        <w:t>Staff respond by:</w:t>
      </w:r>
    </w:p>
    <w:p w14:paraId="1FE6B2F1"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Maintaining calm, consistent communication</w:t>
      </w:r>
    </w:p>
    <w:p w14:paraId="1FE6B2F2"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Validating his emotional experience (“It sounds like you’re feeling unsettled today”)</w:t>
      </w:r>
    </w:p>
    <w:p w14:paraId="1FE6B2F3"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Encouraging gentle reminiscence about his wife and past roles</w:t>
      </w:r>
    </w:p>
    <w:p w14:paraId="1FE6B2F4" w14:textId="77777777" w:rsidR="00A009B3" w:rsidRDefault="009470BD">
      <w:pPr>
        <w:spacing w:line="360" w:lineRule="auto"/>
        <w:rPr>
          <w:rFonts w:ascii="Arial" w:hAnsi="Arial" w:cs="Arial"/>
        </w:rPr>
      </w:pPr>
      <w:r>
        <w:rPr>
          <w:rFonts w:ascii="Arial" w:hAnsi="Arial" w:cs="Arial"/>
        </w:rPr>
        <w:t xml:space="preserve">• </w:t>
      </w:r>
      <w:r>
        <w:rPr>
          <w:rFonts w:ascii="Arial" w:hAnsi="Arial" w:cs="Arial"/>
        </w:rPr>
        <w:tab/>
        <w:t>Providing predictable routines to reduce anxiety</w:t>
      </w:r>
    </w:p>
    <w:p w14:paraId="1FE6B2F5" w14:textId="77777777" w:rsidR="00A009B3" w:rsidRDefault="009470BD">
      <w:pPr>
        <w:spacing w:line="360" w:lineRule="auto"/>
        <w:rPr>
          <w:rFonts w:ascii="Arial" w:hAnsi="Arial" w:cs="Arial"/>
        </w:rPr>
      </w:pPr>
      <w:r>
        <w:rPr>
          <w:rFonts w:ascii="Arial" w:hAnsi="Arial" w:cs="Arial"/>
        </w:rPr>
        <w:t xml:space="preserve">Over </w:t>
      </w:r>
      <w:r>
        <w:rPr>
          <w:rFonts w:ascii="Arial" w:hAnsi="Arial" w:cs="Arial"/>
        </w:rPr>
        <w:t>time, Mr. Ben becomes more trusting and less defensive, demonstrating how psychodynamic awareness can improve emotional wellbeing and relational security.</w:t>
      </w:r>
    </w:p>
    <w:p w14:paraId="1FE6B2F6" w14:textId="77777777" w:rsidR="00A009B3" w:rsidRDefault="009470BD">
      <w:pPr>
        <w:spacing w:line="360" w:lineRule="auto"/>
        <w:rPr>
          <w:rFonts w:ascii="Arial" w:hAnsi="Arial" w:cs="Arial"/>
          <w:b/>
          <w:bCs/>
          <w:sz w:val="32"/>
          <w:szCs w:val="32"/>
        </w:rPr>
      </w:pPr>
      <w:r>
        <w:rPr>
          <w:rFonts w:ascii="Arial" w:hAnsi="Arial" w:cs="Arial"/>
          <w:b/>
          <w:bCs/>
          <w:sz w:val="32"/>
          <w:szCs w:val="32"/>
        </w:rPr>
        <w:t>Challenge: Cognitive Impairment and Limited Insight</w:t>
      </w:r>
    </w:p>
    <w:p w14:paraId="1FE6B2F7" w14:textId="77777777" w:rsidR="00A009B3" w:rsidRDefault="009470BD">
      <w:pPr>
        <w:spacing w:line="360" w:lineRule="auto"/>
      </w:pPr>
      <w:r>
        <w:rPr>
          <w:rFonts w:ascii="Arial" w:hAnsi="Arial" w:cs="Arial"/>
        </w:rPr>
        <w:t>A major difficulty in applying Freud’s theory is that many older adults experience dementia or reduced cognitive ability, limiting their capacity to reflect on past events or engage in insight</w:t>
      </w:r>
      <w:r>
        <w:rPr>
          <w:rFonts w:ascii="Cambria Math" w:hAnsi="Cambria Math" w:cs="Cambria Math"/>
        </w:rPr>
        <w:noBreakHyphen/>
      </w:r>
      <w:r>
        <w:rPr>
          <w:rFonts w:ascii="Arial" w:hAnsi="Arial" w:cs="Arial"/>
        </w:rPr>
        <w:t>focused work (Woods &amp; Clare, 2015). Freud’s approach relies on memory and self</w:t>
      </w:r>
      <w:r>
        <w:rPr>
          <w:rFonts w:ascii="Cambria Math" w:hAnsi="Cambria Math" w:cs="Cambria Math"/>
        </w:rPr>
        <w:noBreakHyphen/>
      </w:r>
      <w:r>
        <w:rPr>
          <w:rFonts w:ascii="Arial" w:hAnsi="Arial" w:cs="Arial"/>
        </w:rPr>
        <w:t>reflection, which may be impaired, and exploring unconscious conflicts directly can lead to confusion or distress.</w:t>
      </w:r>
    </w:p>
    <w:p w14:paraId="1FE6B2F8" w14:textId="77777777" w:rsidR="00A009B3" w:rsidRDefault="009470BD">
      <w:pPr>
        <w:spacing w:line="240" w:lineRule="auto"/>
      </w:pPr>
      <w:r>
        <w:rPr>
          <w:rFonts w:ascii="Arial" w:hAnsi="Arial" w:cs="Arial"/>
          <w:b/>
          <w:bCs/>
          <w:sz w:val="32"/>
          <w:szCs w:val="32"/>
        </w:rPr>
        <w:t>Strategy: Emotional Containment and Relationship</w:t>
      </w:r>
      <w:r>
        <w:rPr>
          <w:rFonts w:ascii="Cambria Math" w:hAnsi="Cambria Math" w:cs="Cambria Math"/>
          <w:b/>
          <w:bCs/>
          <w:sz w:val="32"/>
          <w:szCs w:val="32"/>
        </w:rPr>
        <w:t xml:space="preserve"> </w:t>
      </w:r>
      <w:r>
        <w:rPr>
          <w:rFonts w:ascii="Arial" w:hAnsi="Arial" w:cs="Arial"/>
          <w:b/>
          <w:bCs/>
          <w:sz w:val="32"/>
          <w:szCs w:val="32"/>
        </w:rPr>
        <w:t>Centred Care</w:t>
      </w:r>
    </w:p>
    <w:p w14:paraId="1FE6B2F9" w14:textId="77777777" w:rsidR="00A009B3" w:rsidRDefault="009470BD">
      <w:pPr>
        <w:spacing w:line="360" w:lineRule="auto"/>
      </w:pPr>
      <w:r>
        <w:rPr>
          <w:rFonts w:ascii="Arial" w:hAnsi="Arial" w:cs="Arial"/>
        </w:rPr>
        <w:t>To address this challenge, staff can modify psychodynamic ideas into relationship</w:t>
      </w:r>
      <w:r>
        <w:rPr>
          <w:rFonts w:ascii="Cambria Math" w:hAnsi="Cambria Math" w:cs="Cambria Math"/>
        </w:rPr>
        <w:noBreakHyphen/>
      </w:r>
      <w:r>
        <w:rPr>
          <w:rFonts w:ascii="Arial" w:hAnsi="Arial" w:cs="Arial"/>
        </w:rPr>
        <w:t>focused approaches that provide emotional containment. This includes concentrating on the feelings behind a resident’s behaviour rather than expecting verbal insight, using predictable routines to ease anxiety, and conveying safety through tone, facial expression, and appropriate touch. Symbolic or sensory activities such as music, familiar objects, or comforting rituals can also support emotional expression. Team</w:t>
      </w:r>
      <w:r>
        <w:rPr>
          <w:rFonts w:ascii="Cambria Math" w:hAnsi="Cambria Math" w:cs="Cambria Math"/>
        </w:rPr>
        <w:noBreakHyphen/>
      </w:r>
      <w:r>
        <w:rPr>
          <w:rFonts w:ascii="Arial" w:hAnsi="Arial" w:cs="Arial"/>
        </w:rPr>
        <w:t xml:space="preserve">based reflective practice further helps staff interpret behaviours collaboratively (Hughes &amp; </w:t>
      </w:r>
      <w:proofErr w:type="spellStart"/>
      <w:r>
        <w:rPr>
          <w:rFonts w:ascii="Arial" w:hAnsi="Arial" w:cs="Arial"/>
        </w:rPr>
        <w:t>Heycox</w:t>
      </w:r>
      <w:proofErr w:type="spellEnd"/>
      <w:r>
        <w:rPr>
          <w:rFonts w:ascii="Arial" w:hAnsi="Arial" w:cs="Arial"/>
        </w:rPr>
        <w:t>, 2019). This adapted approach preserves the essence of Freud’s theory by focusing on the emotional roots of behaviour while meeting the cognitive needs of older adults.</w:t>
      </w:r>
    </w:p>
    <w:p w14:paraId="1FE6B2FA" w14:textId="77777777" w:rsidR="00A009B3" w:rsidRDefault="009470BD">
      <w:pPr>
        <w:spacing w:line="360" w:lineRule="auto"/>
        <w:rPr>
          <w:rFonts w:ascii="Arial" w:hAnsi="Arial" w:cs="Arial"/>
          <w:b/>
          <w:bCs/>
          <w:sz w:val="32"/>
          <w:szCs w:val="32"/>
        </w:rPr>
      </w:pPr>
      <w:r>
        <w:rPr>
          <w:rFonts w:ascii="Arial" w:hAnsi="Arial" w:cs="Arial"/>
          <w:b/>
          <w:bCs/>
          <w:sz w:val="32"/>
          <w:szCs w:val="32"/>
        </w:rPr>
        <w:lastRenderedPageBreak/>
        <w:t>Conclusion</w:t>
      </w:r>
    </w:p>
    <w:p w14:paraId="1FE6B2FB" w14:textId="77777777" w:rsidR="00A009B3" w:rsidRDefault="009470BD">
      <w:pPr>
        <w:spacing w:line="360" w:lineRule="auto"/>
      </w:pPr>
      <w:r>
        <w:rPr>
          <w:rFonts w:ascii="Arial" w:hAnsi="Arial" w:cs="Arial"/>
        </w:rPr>
        <w:t>Freud’s Classical Psychodynamic Theory offers a useful lens for understanding the emotional needs of older adults in residential care. Although formal psychoanalysis is not suitable in this environment, core psychodynamic ideas such as defence mechanisms, unconscious emotional processes, and the value of supportive relationships can strengthen person</w:t>
      </w:r>
      <w:r>
        <w:rPr>
          <w:rFonts w:ascii="Cambria Math" w:hAnsi="Cambria Math" w:cs="Cambria Math"/>
        </w:rPr>
        <w:noBreakHyphen/>
      </w:r>
      <w:r>
        <w:rPr>
          <w:rFonts w:ascii="Arial" w:hAnsi="Arial" w:cs="Arial"/>
        </w:rPr>
        <w:t>centred practice. By viewing behaviour through a psychologically informed perspective and adapting interventions to residents’ cognitive abilities, staff can foster greater emotional safety, dignity, and overall wellbeing.</w:t>
      </w:r>
    </w:p>
    <w:p w14:paraId="1FE6B2FC" w14:textId="77777777" w:rsidR="00A009B3" w:rsidRDefault="00A009B3">
      <w:pPr>
        <w:spacing w:line="360" w:lineRule="auto"/>
        <w:rPr>
          <w:rFonts w:ascii="Arial" w:hAnsi="Arial" w:cs="Arial"/>
        </w:rPr>
      </w:pPr>
    </w:p>
    <w:p w14:paraId="17237A2D" w14:textId="77777777" w:rsidR="001F1A47" w:rsidRDefault="001F1A47">
      <w:pPr>
        <w:spacing w:line="360" w:lineRule="auto"/>
        <w:rPr>
          <w:rFonts w:ascii="Arial" w:hAnsi="Arial" w:cs="Arial"/>
          <w:b/>
          <w:bCs/>
          <w:sz w:val="32"/>
          <w:szCs w:val="32"/>
        </w:rPr>
      </w:pPr>
    </w:p>
    <w:p w14:paraId="378774F6" w14:textId="77777777" w:rsidR="001F1A47" w:rsidRDefault="001F1A47">
      <w:pPr>
        <w:spacing w:line="360" w:lineRule="auto"/>
        <w:rPr>
          <w:rFonts w:ascii="Arial" w:hAnsi="Arial" w:cs="Arial"/>
          <w:b/>
          <w:bCs/>
          <w:sz w:val="32"/>
          <w:szCs w:val="32"/>
        </w:rPr>
      </w:pPr>
    </w:p>
    <w:p w14:paraId="01C56385" w14:textId="77777777" w:rsidR="001F1A47" w:rsidRDefault="001F1A47">
      <w:pPr>
        <w:spacing w:line="360" w:lineRule="auto"/>
        <w:rPr>
          <w:rFonts w:ascii="Arial" w:hAnsi="Arial" w:cs="Arial"/>
          <w:b/>
          <w:bCs/>
          <w:sz w:val="32"/>
          <w:szCs w:val="32"/>
        </w:rPr>
      </w:pPr>
    </w:p>
    <w:p w14:paraId="46AD5010" w14:textId="77777777" w:rsidR="001F1A47" w:rsidRDefault="001F1A47">
      <w:pPr>
        <w:spacing w:line="360" w:lineRule="auto"/>
        <w:rPr>
          <w:rFonts w:ascii="Arial" w:hAnsi="Arial" w:cs="Arial"/>
          <w:b/>
          <w:bCs/>
          <w:sz w:val="32"/>
          <w:szCs w:val="32"/>
        </w:rPr>
      </w:pPr>
    </w:p>
    <w:p w14:paraId="538C6214" w14:textId="77777777" w:rsidR="001F1A47" w:rsidRDefault="001F1A47">
      <w:pPr>
        <w:spacing w:line="360" w:lineRule="auto"/>
        <w:rPr>
          <w:rFonts w:ascii="Arial" w:hAnsi="Arial" w:cs="Arial"/>
          <w:b/>
          <w:bCs/>
          <w:sz w:val="32"/>
          <w:szCs w:val="32"/>
        </w:rPr>
      </w:pPr>
    </w:p>
    <w:p w14:paraId="2889F9BB" w14:textId="77777777" w:rsidR="001F1A47" w:rsidRDefault="001F1A47">
      <w:pPr>
        <w:spacing w:line="360" w:lineRule="auto"/>
        <w:rPr>
          <w:rFonts w:ascii="Arial" w:hAnsi="Arial" w:cs="Arial"/>
          <w:b/>
          <w:bCs/>
          <w:sz w:val="32"/>
          <w:szCs w:val="32"/>
        </w:rPr>
      </w:pPr>
    </w:p>
    <w:p w14:paraId="00A3547D" w14:textId="77777777" w:rsidR="001F1A47" w:rsidRDefault="001F1A47">
      <w:pPr>
        <w:spacing w:line="360" w:lineRule="auto"/>
        <w:rPr>
          <w:rFonts w:ascii="Arial" w:hAnsi="Arial" w:cs="Arial"/>
          <w:b/>
          <w:bCs/>
          <w:sz w:val="32"/>
          <w:szCs w:val="32"/>
        </w:rPr>
      </w:pPr>
    </w:p>
    <w:p w14:paraId="5F4BD5DD" w14:textId="77777777" w:rsidR="001F1A47" w:rsidRDefault="001F1A47">
      <w:pPr>
        <w:spacing w:line="360" w:lineRule="auto"/>
        <w:rPr>
          <w:rFonts w:ascii="Arial" w:hAnsi="Arial" w:cs="Arial"/>
          <w:b/>
          <w:bCs/>
          <w:sz w:val="32"/>
          <w:szCs w:val="32"/>
        </w:rPr>
      </w:pPr>
    </w:p>
    <w:p w14:paraId="094CEC29" w14:textId="77777777" w:rsidR="001F1A47" w:rsidRDefault="001F1A47">
      <w:pPr>
        <w:spacing w:line="360" w:lineRule="auto"/>
        <w:rPr>
          <w:rFonts w:ascii="Arial" w:hAnsi="Arial" w:cs="Arial"/>
          <w:b/>
          <w:bCs/>
          <w:sz w:val="32"/>
          <w:szCs w:val="32"/>
        </w:rPr>
      </w:pPr>
    </w:p>
    <w:p w14:paraId="66AAE8F1" w14:textId="77777777" w:rsidR="001F1A47" w:rsidRDefault="001F1A47">
      <w:pPr>
        <w:spacing w:line="360" w:lineRule="auto"/>
        <w:rPr>
          <w:rFonts w:ascii="Arial" w:hAnsi="Arial" w:cs="Arial"/>
          <w:b/>
          <w:bCs/>
          <w:sz w:val="32"/>
          <w:szCs w:val="32"/>
        </w:rPr>
      </w:pPr>
    </w:p>
    <w:p w14:paraId="272C35C5" w14:textId="77777777" w:rsidR="001F1A47" w:rsidRDefault="001F1A47">
      <w:pPr>
        <w:spacing w:line="360" w:lineRule="auto"/>
        <w:rPr>
          <w:rFonts w:ascii="Arial" w:hAnsi="Arial" w:cs="Arial"/>
          <w:b/>
          <w:bCs/>
          <w:sz w:val="32"/>
          <w:szCs w:val="32"/>
        </w:rPr>
      </w:pPr>
    </w:p>
    <w:p w14:paraId="323B156C" w14:textId="77777777" w:rsidR="001F1A47" w:rsidRDefault="001F1A47">
      <w:pPr>
        <w:spacing w:line="360" w:lineRule="auto"/>
        <w:rPr>
          <w:rFonts w:ascii="Arial" w:hAnsi="Arial" w:cs="Arial"/>
          <w:b/>
          <w:bCs/>
          <w:sz w:val="32"/>
          <w:szCs w:val="32"/>
        </w:rPr>
      </w:pPr>
    </w:p>
    <w:p w14:paraId="7B7AC7BB" w14:textId="77777777" w:rsidR="001F1A47" w:rsidRDefault="001F1A47">
      <w:pPr>
        <w:spacing w:line="360" w:lineRule="auto"/>
        <w:rPr>
          <w:rFonts w:ascii="Arial" w:hAnsi="Arial" w:cs="Arial"/>
          <w:b/>
          <w:bCs/>
          <w:sz w:val="32"/>
          <w:szCs w:val="32"/>
        </w:rPr>
      </w:pPr>
    </w:p>
    <w:p w14:paraId="1E939B78" w14:textId="77777777" w:rsidR="001F1A47" w:rsidRDefault="001F1A47">
      <w:pPr>
        <w:spacing w:line="360" w:lineRule="auto"/>
        <w:rPr>
          <w:rFonts w:ascii="Arial" w:hAnsi="Arial" w:cs="Arial"/>
          <w:b/>
          <w:bCs/>
          <w:sz w:val="32"/>
          <w:szCs w:val="32"/>
        </w:rPr>
      </w:pPr>
    </w:p>
    <w:p w14:paraId="2409E422" w14:textId="77777777" w:rsidR="001F1A47" w:rsidRDefault="001F1A47">
      <w:pPr>
        <w:spacing w:line="360" w:lineRule="auto"/>
        <w:rPr>
          <w:rFonts w:ascii="Arial" w:hAnsi="Arial" w:cs="Arial"/>
          <w:b/>
          <w:bCs/>
          <w:sz w:val="32"/>
          <w:szCs w:val="32"/>
        </w:rPr>
      </w:pPr>
    </w:p>
    <w:p w14:paraId="1FE6B2FD" w14:textId="1FC00198" w:rsidR="00A009B3" w:rsidRDefault="009470BD">
      <w:pPr>
        <w:spacing w:line="360" w:lineRule="auto"/>
        <w:rPr>
          <w:rFonts w:ascii="Arial" w:hAnsi="Arial" w:cs="Arial"/>
          <w:b/>
          <w:bCs/>
          <w:sz w:val="32"/>
          <w:szCs w:val="32"/>
        </w:rPr>
      </w:pPr>
      <w:r>
        <w:rPr>
          <w:rFonts w:ascii="Arial" w:hAnsi="Arial" w:cs="Arial"/>
          <w:b/>
          <w:bCs/>
          <w:sz w:val="32"/>
          <w:szCs w:val="32"/>
        </w:rPr>
        <w:t>References</w:t>
      </w:r>
    </w:p>
    <w:p w14:paraId="1FE6B2FE" w14:textId="77777777" w:rsidR="00A009B3" w:rsidRDefault="009470BD">
      <w:pPr>
        <w:spacing w:line="360" w:lineRule="auto"/>
        <w:rPr>
          <w:rFonts w:ascii="Arial" w:hAnsi="Arial" w:cs="Arial"/>
        </w:rPr>
      </w:pPr>
      <w:r>
        <w:rPr>
          <w:rFonts w:ascii="Arial" w:hAnsi="Arial" w:cs="Arial"/>
        </w:rPr>
        <w:t xml:space="preserve">Cramer, P. (2015) Understanding </w:t>
      </w:r>
      <w:proofErr w:type="spellStart"/>
      <w:r>
        <w:rPr>
          <w:rFonts w:ascii="Arial" w:hAnsi="Arial" w:cs="Arial"/>
        </w:rPr>
        <w:t>defense</w:t>
      </w:r>
      <w:proofErr w:type="spellEnd"/>
      <w:r>
        <w:rPr>
          <w:rFonts w:ascii="Arial" w:hAnsi="Arial" w:cs="Arial"/>
        </w:rPr>
        <w:t xml:space="preserve"> mechanisms. New York: Guilford Press.</w:t>
      </w:r>
    </w:p>
    <w:p w14:paraId="1FE6B2FF" w14:textId="77777777" w:rsidR="00A009B3" w:rsidRDefault="009470BD">
      <w:pPr>
        <w:spacing w:line="360" w:lineRule="auto"/>
        <w:rPr>
          <w:rFonts w:ascii="Arial" w:hAnsi="Arial" w:cs="Arial"/>
        </w:rPr>
      </w:pPr>
      <w:bookmarkStart w:id="0" w:name="_Int_ERdxohEB"/>
      <w:r>
        <w:rPr>
          <w:rFonts w:ascii="Arial" w:hAnsi="Arial" w:cs="Arial"/>
        </w:rPr>
        <w:t>Freud, A. (1936) The ego and the mechanisms of defence.</w:t>
      </w:r>
      <w:bookmarkEnd w:id="0"/>
      <w:r>
        <w:rPr>
          <w:rFonts w:ascii="Arial" w:hAnsi="Arial" w:cs="Arial"/>
        </w:rPr>
        <w:t xml:space="preserve"> London: Hogarth Press.</w:t>
      </w:r>
    </w:p>
    <w:p w14:paraId="1FE6B300" w14:textId="77777777" w:rsidR="00A009B3" w:rsidRDefault="009470BD">
      <w:pPr>
        <w:spacing w:line="360" w:lineRule="auto"/>
        <w:rPr>
          <w:rFonts w:ascii="Arial" w:hAnsi="Arial" w:cs="Arial"/>
        </w:rPr>
      </w:pPr>
      <w:r>
        <w:rPr>
          <w:rFonts w:ascii="Arial" w:hAnsi="Arial" w:cs="Arial"/>
        </w:rPr>
        <w:t>Freud, S. (1923) The ego and the id. London: Hogarth Press.</w:t>
      </w:r>
    </w:p>
    <w:p w14:paraId="1FE6B301" w14:textId="77777777" w:rsidR="00A009B3" w:rsidRDefault="009470BD">
      <w:pPr>
        <w:spacing w:line="240" w:lineRule="auto"/>
        <w:rPr>
          <w:rFonts w:ascii="Arial" w:hAnsi="Arial" w:cs="Arial"/>
        </w:rPr>
      </w:pPr>
      <w:r>
        <w:rPr>
          <w:rFonts w:ascii="Arial" w:hAnsi="Arial" w:cs="Arial"/>
        </w:rPr>
        <w:t xml:space="preserve">Hughes, M. and </w:t>
      </w:r>
      <w:proofErr w:type="spellStart"/>
      <w:r>
        <w:rPr>
          <w:rFonts w:ascii="Arial" w:hAnsi="Arial" w:cs="Arial"/>
        </w:rPr>
        <w:t>Heycox</w:t>
      </w:r>
      <w:proofErr w:type="spellEnd"/>
      <w:r>
        <w:rPr>
          <w:rFonts w:ascii="Arial" w:hAnsi="Arial" w:cs="Arial"/>
        </w:rPr>
        <w:t>, K. (2019) Social work with older people: A strengths-based approach. London: Red Globe Press.</w:t>
      </w:r>
    </w:p>
    <w:p w14:paraId="1FE6B302" w14:textId="77777777" w:rsidR="00A009B3" w:rsidRDefault="009470BD">
      <w:pPr>
        <w:spacing w:line="360" w:lineRule="auto"/>
        <w:rPr>
          <w:rFonts w:ascii="Arial" w:hAnsi="Arial" w:cs="Arial"/>
        </w:rPr>
      </w:pPr>
      <w:r>
        <w:rPr>
          <w:rFonts w:ascii="Arial" w:hAnsi="Arial" w:cs="Arial"/>
        </w:rPr>
        <w:t xml:space="preserve">Jacobs, M. (2017) Psychodynamic counselling in action. 5th </w:t>
      </w:r>
      <w:proofErr w:type="spellStart"/>
      <w:r>
        <w:rPr>
          <w:rFonts w:ascii="Arial" w:hAnsi="Arial" w:cs="Arial"/>
        </w:rPr>
        <w:t>edn</w:t>
      </w:r>
      <w:proofErr w:type="spellEnd"/>
      <w:r>
        <w:rPr>
          <w:rFonts w:ascii="Arial" w:hAnsi="Arial" w:cs="Arial"/>
        </w:rPr>
        <w:t>. London: Sage.</w:t>
      </w:r>
    </w:p>
    <w:p w14:paraId="1FE6B303" w14:textId="77777777" w:rsidR="00A009B3" w:rsidRDefault="009470BD">
      <w:pPr>
        <w:spacing w:line="240" w:lineRule="auto"/>
        <w:rPr>
          <w:rFonts w:ascii="Arial" w:hAnsi="Arial" w:cs="Arial"/>
        </w:rPr>
      </w:pPr>
      <w:r>
        <w:rPr>
          <w:rFonts w:ascii="Arial" w:hAnsi="Arial" w:cs="Arial"/>
        </w:rPr>
        <w:t xml:space="preserve">Woods, R., and Clare, L. (2015) Handbook of the psychology of ageing. 7th </w:t>
      </w:r>
      <w:proofErr w:type="spellStart"/>
      <w:r>
        <w:rPr>
          <w:rFonts w:ascii="Arial" w:hAnsi="Arial" w:cs="Arial"/>
        </w:rPr>
        <w:t>edn</w:t>
      </w:r>
      <w:proofErr w:type="spellEnd"/>
      <w:r>
        <w:rPr>
          <w:rFonts w:ascii="Arial" w:hAnsi="Arial" w:cs="Arial"/>
        </w:rPr>
        <w:t>. London: Academic Press.</w:t>
      </w:r>
    </w:p>
    <w:p w14:paraId="1FE6B304" w14:textId="77777777" w:rsidR="00A009B3" w:rsidRDefault="00A009B3">
      <w:pPr>
        <w:spacing w:line="360" w:lineRule="auto"/>
        <w:rPr>
          <w:rFonts w:ascii="Arial" w:hAnsi="Arial" w:cs="Arial"/>
        </w:rPr>
      </w:pPr>
    </w:p>
    <w:sectPr w:rsidR="00A009B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8705B2" w14:textId="77777777" w:rsidR="009470BD" w:rsidRDefault="009470BD">
      <w:pPr>
        <w:spacing w:after="0" w:line="240" w:lineRule="auto"/>
      </w:pPr>
      <w:r>
        <w:separator/>
      </w:r>
    </w:p>
  </w:endnote>
  <w:endnote w:type="continuationSeparator" w:id="0">
    <w:p w14:paraId="7DD2D514" w14:textId="77777777" w:rsidR="009470BD" w:rsidRDefault="00947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F3934" w14:textId="77777777" w:rsidR="009470BD" w:rsidRDefault="009470BD">
      <w:pPr>
        <w:spacing w:after="0" w:line="240" w:lineRule="auto"/>
      </w:pPr>
      <w:r>
        <w:rPr>
          <w:color w:val="000000"/>
        </w:rPr>
        <w:separator/>
      </w:r>
    </w:p>
  </w:footnote>
  <w:footnote w:type="continuationSeparator" w:id="0">
    <w:p w14:paraId="5D20617B" w14:textId="77777777" w:rsidR="009470BD" w:rsidRDefault="009470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009B3"/>
    <w:rsid w:val="0003760B"/>
    <w:rsid w:val="001F1A47"/>
    <w:rsid w:val="002631A1"/>
    <w:rsid w:val="00600642"/>
    <w:rsid w:val="006B2566"/>
    <w:rsid w:val="009470BD"/>
    <w:rsid w:val="00952C2A"/>
    <w:rsid w:val="00A009B3"/>
    <w:rsid w:val="00E65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6B2AC"/>
  <w15:docId w15:val="{B887D2CF-6306-412C-B951-F0E7E5DCC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d391b07a20afdd5a4a31b62a6b626805">
  <xsd:schema xmlns:xsd="http://www.w3.org/2001/XMLSchema" xmlns:xs="http://www.w3.org/2001/XMLSchema" xmlns:p="http://schemas.microsoft.com/office/2006/metadata/properties" xmlns:ns3="04d956d8-1ffd-4dba-87ce-03f615e16f58" targetNamespace="http://schemas.microsoft.com/office/2006/metadata/properties" ma:root="true" ma:fieldsID="2b51137930c51c9125c03eedadb235d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C7EE0765-8E19-45CD-BF4D-68DDD408F0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D619C8-8EFD-475C-B8AD-178B7B3BFD1C}">
  <ds:schemaRefs>
    <ds:schemaRef ds:uri="http://schemas.microsoft.com/sharepoint/v3/contenttype/forms"/>
  </ds:schemaRefs>
</ds:datastoreItem>
</file>

<file path=customXml/itemProps3.xml><?xml version="1.0" encoding="utf-8"?>
<ds:datastoreItem xmlns:ds="http://schemas.openxmlformats.org/officeDocument/2006/customXml" ds:itemID="{37DA7A9A-24B7-46B1-AC2C-A6C61967D703}">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Catalan (2442791)</dc:creator>
  <dc:description/>
  <cp:lastModifiedBy>Glenn Catalan (2442791)</cp:lastModifiedBy>
  <cp:revision>2</cp:revision>
  <dcterms:created xsi:type="dcterms:W3CDTF">2026-04-18T09:39:00Z</dcterms:created>
  <dcterms:modified xsi:type="dcterms:W3CDTF">2026-04-18T09:39:00Z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