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440A2" w14:textId="59FF7FF7" w:rsidR="00DB6775" w:rsidRDefault="00CF5CCF" w:rsidP="00DB6775">
      <w:pPr>
        <w:pStyle w:val="aa"/>
      </w:pPr>
      <w:r w:rsidRPr="00DB6775">
        <w:t xml:space="preserve">Improving Employee Engagement: </w:t>
      </w:r>
    </w:p>
    <w:p w14:paraId="2D159807" w14:textId="76FD1218" w:rsidR="003B785B" w:rsidRDefault="003B785B" w:rsidP="003B785B">
      <w:pPr>
        <w:widowControl/>
        <w:spacing w:line="360" w:lineRule="auto"/>
        <w:jc w:val="center"/>
        <w:rPr>
          <w:rFonts w:eastAsia="Times New Roman" w:cstheme="minorHAnsi"/>
          <w:kern w:val="0"/>
        </w:rPr>
      </w:pPr>
      <w:r w:rsidRPr="005F5C20">
        <w:rPr>
          <w:rFonts w:eastAsia="Times New Roman" w:cstheme="minorHAnsi"/>
          <w:kern w:val="0"/>
        </w:rPr>
        <w:fldChar w:fldCharType="begin"/>
      </w:r>
      <w:r w:rsidRPr="005F5C20">
        <w:rPr>
          <w:rFonts w:eastAsia="Times New Roman" w:cstheme="minorHAnsi"/>
          <w:kern w:val="0"/>
        </w:rPr>
        <w:instrText xml:space="preserve"> INCLUDEPICTURE "https://upload.wikimedia.org/wikipedia/en/7/70/Coat_of_arms_of_the_University_of_Wales_Trinity_Saint_David.png" \* MERGEFORMATINET </w:instrText>
      </w:r>
      <w:r w:rsidRPr="005F5C20">
        <w:rPr>
          <w:rFonts w:eastAsia="Times New Roman" w:cstheme="minorHAnsi"/>
          <w:kern w:val="0"/>
        </w:rPr>
        <w:fldChar w:fldCharType="separate"/>
      </w:r>
      <w:r w:rsidRPr="00E82D64">
        <w:rPr>
          <w:rFonts w:eastAsia="Times New Roman" w:cstheme="minorHAnsi"/>
          <w:noProof/>
          <w:kern w:val="0"/>
        </w:rPr>
        <w:drawing>
          <wp:inline distT="0" distB="0" distL="0" distR="0" wp14:anchorId="3C45009F" wp14:editId="3E35AF40">
            <wp:extent cx="2848919" cy="3162300"/>
            <wp:effectExtent l="0" t="0" r="0" b="0"/>
            <wp:docPr id="2" name="Picture 2" descr="University of Wales Trinity Saint David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- Wikipedi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222" cy="3173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5C20">
        <w:rPr>
          <w:rFonts w:eastAsia="Times New Roman" w:cstheme="minorHAnsi"/>
          <w:kern w:val="0"/>
        </w:rPr>
        <w:fldChar w:fldCharType="end"/>
      </w:r>
    </w:p>
    <w:p w14:paraId="65AC1B0D" w14:textId="4392B7FD" w:rsidR="003B785B" w:rsidRDefault="003B785B" w:rsidP="003B785B">
      <w:pPr>
        <w:widowControl/>
        <w:spacing w:line="360" w:lineRule="auto"/>
        <w:jc w:val="center"/>
        <w:rPr>
          <w:rFonts w:eastAsia="Times New Roman" w:cstheme="minorHAnsi"/>
          <w:kern w:val="0"/>
        </w:rPr>
      </w:pPr>
      <w:r>
        <w:rPr>
          <w:rFonts w:eastAsia="Times New Roman" w:cstheme="minorHAnsi" w:hint="eastAsia"/>
          <w:kern w:val="0"/>
        </w:rPr>
        <w:t>Mar</w:t>
      </w:r>
      <w:r>
        <w:rPr>
          <w:rFonts w:eastAsia="Times New Roman" w:cstheme="minorHAnsi"/>
          <w:kern w:val="0"/>
        </w:rPr>
        <w:t>. 2023</w:t>
      </w:r>
    </w:p>
    <w:p w14:paraId="6EA94B8F" w14:textId="6FC4A74E" w:rsidR="003B785B" w:rsidRDefault="003B785B" w:rsidP="003B785B">
      <w:pPr>
        <w:widowControl/>
        <w:spacing w:line="360" w:lineRule="auto"/>
        <w:jc w:val="center"/>
        <w:rPr>
          <w:rFonts w:eastAsia="Times New Roman" w:cstheme="minorHAnsi"/>
          <w:kern w:val="0"/>
        </w:rPr>
      </w:pPr>
    </w:p>
    <w:p w14:paraId="66534D00" w14:textId="24BDE7F9" w:rsidR="003B785B" w:rsidRDefault="003B785B" w:rsidP="003B785B">
      <w:pPr>
        <w:widowControl/>
        <w:spacing w:line="360" w:lineRule="auto"/>
        <w:jc w:val="center"/>
        <w:rPr>
          <w:rFonts w:eastAsia="Times New Roman" w:cstheme="minorHAnsi"/>
          <w:kern w:val="0"/>
        </w:rPr>
      </w:pPr>
    </w:p>
    <w:p w14:paraId="2478EF4F" w14:textId="4E8177D9" w:rsidR="003B785B" w:rsidRDefault="003B785B" w:rsidP="003B785B">
      <w:pPr>
        <w:widowControl/>
        <w:spacing w:line="360" w:lineRule="auto"/>
        <w:jc w:val="center"/>
        <w:rPr>
          <w:rFonts w:eastAsia="Times New Roman" w:cstheme="minorHAnsi"/>
          <w:kern w:val="0"/>
        </w:rPr>
      </w:pPr>
    </w:p>
    <w:p w14:paraId="57DFAAFA" w14:textId="3AAF2F48" w:rsidR="003B785B" w:rsidRDefault="003B785B" w:rsidP="003B785B">
      <w:pPr>
        <w:widowControl/>
        <w:spacing w:line="360" w:lineRule="auto"/>
        <w:jc w:val="center"/>
        <w:rPr>
          <w:rFonts w:eastAsia="Times New Roman" w:cstheme="minorHAnsi"/>
          <w:kern w:val="0"/>
        </w:rPr>
      </w:pPr>
    </w:p>
    <w:p w14:paraId="6DB5BDA9" w14:textId="77777777" w:rsidR="003B785B" w:rsidRPr="003B785B" w:rsidRDefault="003B785B" w:rsidP="003B785B">
      <w:pPr>
        <w:widowControl/>
        <w:spacing w:line="360" w:lineRule="auto"/>
        <w:jc w:val="center"/>
        <w:rPr>
          <w:rFonts w:eastAsia="Times New Roman" w:cstheme="minorHAnsi"/>
          <w:kern w:val="0"/>
        </w:rPr>
      </w:pPr>
    </w:p>
    <w:p w14:paraId="2F2B986F" w14:textId="770C54CD" w:rsidR="003B785B" w:rsidRPr="003B785B" w:rsidRDefault="003B785B" w:rsidP="003B785B">
      <w:pPr>
        <w:spacing w:line="360" w:lineRule="auto"/>
        <w:rPr>
          <w:rFonts w:ascii="Calibri" w:hAnsi="Calibri" w:cs="Calibri"/>
          <w:sz w:val="22"/>
          <w:szCs w:val="22"/>
        </w:rPr>
      </w:pPr>
      <w:r w:rsidRPr="003B785B">
        <w:rPr>
          <w:rFonts w:ascii="Calibri" w:hAnsi="Calibri" w:cs="Calibri"/>
          <w:sz w:val="22"/>
          <w:szCs w:val="22"/>
        </w:rPr>
        <w:t xml:space="preserve">MODULE NAME: </w:t>
      </w:r>
      <w:r w:rsidR="005E196E" w:rsidRPr="005E196E">
        <w:rPr>
          <w:rFonts w:ascii="Calibri" w:hAnsi="Calibri" w:cs="Calibri"/>
          <w:sz w:val="22"/>
          <w:szCs w:val="22"/>
        </w:rPr>
        <w:t>Human Resource Management</w:t>
      </w:r>
      <w:r w:rsidRPr="003B785B">
        <w:rPr>
          <w:rFonts w:ascii="Calibri" w:hAnsi="Calibri" w:cs="Calibri"/>
          <w:sz w:val="22"/>
          <w:szCs w:val="22"/>
        </w:rPr>
        <w:t xml:space="preserve"> (BMMB70</w:t>
      </w:r>
      <w:r>
        <w:rPr>
          <w:rFonts w:ascii="Calibri" w:hAnsi="Calibri" w:cs="Calibri"/>
          <w:sz w:val="22"/>
          <w:szCs w:val="22"/>
        </w:rPr>
        <w:t>07</w:t>
      </w:r>
      <w:r w:rsidRPr="003B785B">
        <w:rPr>
          <w:rFonts w:ascii="Calibri" w:hAnsi="Calibri" w:cs="Calibri"/>
          <w:sz w:val="22"/>
          <w:szCs w:val="22"/>
        </w:rPr>
        <w:t>)</w:t>
      </w:r>
    </w:p>
    <w:p w14:paraId="3683B2E4" w14:textId="77777777" w:rsidR="003B785B" w:rsidRPr="003B785B" w:rsidRDefault="003B785B" w:rsidP="003B785B">
      <w:pPr>
        <w:spacing w:line="360" w:lineRule="auto"/>
        <w:rPr>
          <w:rFonts w:ascii="Calibri" w:hAnsi="Calibri" w:cs="Calibri"/>
          <w:sz w:val="22"/>
          <w:szCs w:val="22"/>
        </w:rPr>
      </w:pPr>
      <w:r w:rsidRPr="003B785B">
        <w:rPr>
          <w:rFonts w:ascii="Calibri" w:hAnsi="Calibri" w:cs="Calibri"/>
          <w:sz w:val="22"/>
          <w:szCs w:val="22"/>
        </w:rPr>
        <w:t>NAME: Peirong Wang</w:t>
      </w:r>
    </w:p>
    <w:p w14:paraId="7572A320" w14:textId="77777777" w:rsidR="003B785B" w:rsidRPr="003B785B" w:rsidRDefault="003B785B" w:rsidP="003B785B">
      <w:pPr>
        <w:spacing w:line="360" w:lineRule="auto"/>
        <w:rPr>
          <w:rFonts w:ascii="Calibri" w:hAnsi="Calibri" w:cs="Calibri"/>
          <w:sz w:val="22"/>
          <w:szCs w:val="22"/>
        </w:rPr>
      </w:pPr>
      <w:r w:rsidRPr="003B785B">
        <w:rPr>
          <w:rFonts w:ascii="Calibri" w:hAnsi="Calibri" w:cs="Calibri"/>
          <w:sz w:val="22"/>
          <w:szCs w:val="22"/>
        </w:rPr>
        <w:t>STUDENT NUMBER: 2218860</w:t>
      </w:r>
    </w:p>
    <w:p w14:paraId="0512818C" w14:textId="7039FACC" w:rsidR="003B785B" w:rsidRDefault="003B785B" w:rsidP="003B785B">
      <w:pPr>
        <w:widowControl/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p w14:paraId="7B574E6E" w14:textId="5F68C892" w:rsidR="003B785B" w:rsidRDefault="003B785B" w:rsidP="003B785B">
      <w:pPr>
        <w:widowControl/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p w14:paraId="51E3778F" w14:textId="2E9769F6" w:rsidR="003B785B" w:rsidRDefault="003B785B" w:rsidP="003B785B">
      <w:pPr>
        <w:widowControl/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p w14:paraId="01C8C13C" w14:textId="23813EA5" w:rsidR="003B785B" w:rsidRDefault="003B785B" w:rsidP="003B785B">
      <w:pPr>
        <w:widowControl/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p w14:paraId="6ECBAC57" w14:textId="414F415B" w:rsidR="0038494E" w:rsidRDefault="0038494E" w:rsidP="003B785B">
      <w:pPr>
        <w:spacing w:line="360" w:lineRule="auto"/>
        <w:ind w:left="220" w:hangingChars="100" w:hanging="220"/>
        <w:jc w:val="left"/>
        <w:rPr>
          <w:rFonts w:ascii="Calibri" w:hAnsi="Calibri" w:cs="Calibri"/>
          <w:sz w:val="22"/>
          <w:szCs w:val="22"/>
        </w:rPr>
      </w:pPr>
    </w:p>
    <w:p w14:paraId="188B285D" w14:textId="77777777" w:rsidR="0038494E" w:rsidRDefault="0038494E">
      <w:pPr>
        <w:widowControl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33683F40" w14:textId="1D050AB0" w:rsidR="002E5822" w:rsidRDefault="0038494E" w:rsidP="00C3571C">
      <w:pPr>
        <w:spacing w:line="360" w:lineRule="auto"/>
        <w:ind w:left="220" w:hangingChars="100" w:hanging="2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 w:hint="eastAsia"/>
          <w:sz w:val="22"/>
          <w:szCs w:val="22"/>
        </w:rPr>
        <w:lastRenderedPageBreak/>
        <w:t>Presentation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 w:hint="eastAsia"/>
          <w:sz w:val="22"/>
          <w:szCs w:val="22"/>
        </w:rPr>
        <w:t>Link</w:t>
      </w:r>
      <w:r w:rsidR="00C3571C">
        <w:rPr>
          <w:rFonts w:ascii="Calibri" w:hAnsi="Calibri" w:cs="Calibri"/>
          <w:sz w:val="22"/>
          <w:szCs w:val="22"/>
        </w:rPr>
        <w:t>,</w:t>
      </w:r>
      <w:r w:rsidR="00D06799">
        <w:rPr>
          <w:rFonts w:ascii="Calibri" w:hAnsi="Calibri" w:cs="Calibri"/>
          <w:sz w:val="22"/>
          <w:szCs w:val="22"/>
        </w:rPr>
        <w:t xml:space="preserve"> </w:t>
      </w:r>
      <w:hyperlink r:id="rId7" w:history="1">
        <w:r w:rsidR="00C3571C" w:rsidRPr="00C3571C">
          <w:rPr>
            <w:rStyle w:val="a4"/>
            <w:rFonts w:ascii="Calibri" w:hAnsi="Calibri" w:cs="Calibri"/>
            <w:sz w:val="22"/>
            <w:szCs w:val="22"/>
          </w:rPr>
          <w:t>Click here</w:t>
        </w:r>
      </w:hyperlink>
      <w:r w:rsidR="00C3571C">
        <w:rPr>
          <w:rFonts w:ascii="Calibri" w:hAnsi="Calibri" w:cs="Calibri"/>
          <w:sz w:val="22"/>
          <w:szCs w:val="22"/>
        </w:rPr>
        <w:t xml:space="preserve"> Or copy below link: </w:t>
      </w:r>
      <w:r w:rsidR="00D06799" w:rsidRPr="00D06799">
        <w:rPr>
          <w:rFonts w:ascii="Calibri" w:hAnsi="Calibri" w:cs="Calibri"/>
          <w:sz w:val="22"/>
          <w:szCs w:val="22"/>
        </w:rPr>
        <w:t>https://web.microsoftstream.com/video/e438b133-b7eb-4bda-8784-82fef98dbbc3</w:t>
      </w:r>
    </w:p>
    <w:p w14:paraId="753B1389" w14:textId="77777777" w:rsidR="002E5822" w:rsidRDefault="002E5822">
      <w:pPr>
        <w:widowControl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36F015D7" w14:textId="77777777" w:rsidR="002E5822" w:rsidRDefault="002E5822" w:rsidP="002E5822">
      <w:pPr>
        <w:pStyle w:val="1"/>
        <w:spacing w:line="360" w:lineRule="auto"/>
        <w:rPr>
          <w:rFonts w:ascii="Calibri" w:hAnsi="Calibri" w:cs="Calibri"/>
          <w:sz w:val="22"/>
          <w:szCs w:val="22"/>
        </w:rPr>
      </w:pPr>
      <w:bookmarkStart w:id="0" w:name="_Toc2051147122"/>
      <w:r>
        <w:rPr>
          <w:rFonts w:ascii="Calibri" w:hAnsi="Calibri" w:cs="Calibri"/>
          <w:sz w:val="22"/>
          <w:szCs w:val="22"/>
        </w:rPr>
        <w:lastRenderedPageBreak/>
        <w:t>References</w:t>
      </w:r>
      <w:bookmarkEnd w:id="0"/>
    </w:p>
    <w:p w14:paraId="3382AAD1" w14:textId="77777777" w:rsidR="002E5822" w:rsidRDefault="002E5822" w:rsidP="002E5822">
      <w:r>
        <w:rPr>
          <w:rFonts w:hint="eastAsia"/>
        </w:rPr>
        <w:t xml:space="preserve">Corporate Leadership Council. (2004). Driving performance and retention through employee engagement. Retrieved from </w:t>
      </w:r>
      <w:hyperlink r:id="rId8" w:tgtFrame="/Users/a0/Documentsx/_new" w:history="1">
        <w:r>
          <w:rPr>
            <w:rFonts w:hint="eastAsia"/>
          </w:rPr>
          <w:t>https://www.researchgate.net/publication/254042264_Driving_Performance_and_Retention_Through_Employee_Engagement</w:t>
        </w:r>
      </w:hyperlink>
    </w:p>
    <w:p w14:paraId="36DFDDA8" w14:textId="77777777" w:rsidR="002E5822" w:rsidRDefault="002E5822" w:rsidP="002E5822"/>
    <w:p w14:paraId="454745AE" w14:textId="77777777" w:rsidR="002E5822" w:rsidRDefault="002E5822" w:rsidP="002E5822">
      <w:r>
        <w:rPr>
          <w:rFonts w:hint="eastAsia"/>
        </w:rPr>
        <w:t xml:space="preserve">Society for Human Resource Management. (2016). Employee job satisfaction and engagement: The road to economic recovery. Retrieved from </w:t>
      </w:r>
      <w:hyperlink r:id="rId9" w:tgtFrame="/Users/a0/Documentsx/_new" w:history="1">
        <w:r>
          <w:rPr>
            <w:rFonts w:hint="eastAsia"/>
          </w:rPr>
          <w:t>https://www.shrm.org/hr-today/trends-and-forecasting/research-and-surveys/Documents/Employee-Job-Satisfaction-and-Engagement-2016.pdf</w:t>
        </w:r>
      </w:hyperlink>
    </w:p>
    <w:p w14:paraId="5A490145" w14:textId="77777777" w:rsidR="002E5822" w:rsidRDefault="002E5822" w:rsidP="002E5822"/>
    <w:p w14:paraId="3DC2A4D5" w14:textId="77777777" w:rsidR="002E5822" w:rsidRDefault="002E5822" w:rsidP="002E5822">
      <w:r>
        <w:rPr>
          <w:rFonts w:hint="eastAsia"/>
        </w:rPr>
        <w:t xml:space="preserve">Gallup. (2016). Employee engagement. Retrieved from </w:t>
      </w:r>
      <w:hyperlink r:id="rId10" w:tgtFrame="/Users/a0/Documentsx/_new" w:history="1">
        <w:r>
          <w:rPr>
            <w:rFonts w:hint="eastAsia"/>
          </w:rPr>
          <w:t>https://www.gallup.com/workplace/236495/employee-engagement-drives-growth.aspx</w:t>
        </w:r>
      </w:hyperlink>
    </w:p>
    <w:p w14:paraId="6F3A6760" w14:textId="77777777" w:rsidR="002E5822" w:rsidRDefault="002E5822" w:rsidP="002E5822"/>
    <w:p w14:paraId="2E9CD293" w14:textId="77777777" w:rsidR="002E5822" w:rsidRDefault="002E5822" w:rsidP="002E5822">
      <w:r>
        <w:rPr>
          <w:rFonts w:hint="eastAsia"/>
        </w:rPr>
        <w:t xml:space="preserve">Aberdeen Group. (2017). The employee engagement framework. Retrieved from </w:t>
      </w:r>
      <w:hyperlink r:id="rId11" w:tgtFrame="/Users/a0/Documentsx/_new" w:history="1">
        <w:r>
          <w:rPr>
            <w:rFonts w:hint="eastAsia"/>
          </w:rPr>
          <w:t>https://www.aberdeen.com/research/17472/ra-employee-engagement-framework/content.aspx</w:t>
        </w:r>
      </w:hyperlink>
    </w:p>
    <w:p w14:paraId="51471F41" w14:textId="77777777" w:rsidR="002E5822" w:rsidRDefault="002E5822" w:rsidP="002E5822"/>
    <w:p w14:paraId="3086CFE4" w14:textId="77777777" w:rsidR="002E5822" w:rsidRDefault="002E5822" w:rsidP="002E5822">
      <w:r>
        <w:rPr>
          <w:rFonts w:hint="eastAsia"/>
        </w:rPr>
        <w:t xml:space="preserve">The Engagement Institute. (2018). The employee experience advantage. Retrieved from </w:t>
      </w:r>
      <w:hyperlink r:id="rId12" w:tgtFrame="/Users/a0/Documentsx/_new" w:history="1">
        <w:r>
          <w:rPr>
            <w:rFonts w:hint="eastAsia"/>
          </w:rPr>
          <w:t>https://www.viventium.com/hubfs/The%20Employee%20Experience%20Advantage.pdf</w:t>
        </w:r>
      </w:hyperlink>
    </w:p>
    <w:p w14:paraId="3EE2180C" w14:textId="77777777" w:rsidR="002E5822" w:rsidRDefault="002E5822" w:rsidP="002E5822"/>
    <w:p w14:paraId="02C1635F" w14:textId="77777777" w:rsidR="002E5822" w:rsidRDefault="002E5822" w:rsidP="002E5822">
      <w:r>
        <w:rPr>
          <w:rFonts w:hint="eastAsia"/>
        </w:rPr>
        <w:t xml:space="preserve">Achievers. (2019). The state of employee engagement in 2019. Retrieved from </w:t>
      </w:r>
      <w:hyperlink r:id="rId13" w:tgtFrame="/Users/a0/Documentsx/_new" w:history="1">
        <w:r>
          <w:rPr>
            <w:rFonts w:hint="eastAsia"/>
          </w:rPr>
          <w:t>https://www.achievers.com/wp-content/uploads/2019/03/2019_State_of_Employee_Engagement_Report.pdf</w:t>
        </w:r>
      </w:hyperlink>
    </w:p>
    <w:p w14:paraId="500DF346" w14:textId="77777777" w:rsidR="002E5822" w:rsidRDefault="002E5822" w:rsidP="002E5822"/>
    <w:p w14:paraId="423AB460" w14:textId="77777777" w:rsidR="002E5822" w:rsidRDefault="002E5822" w:rsidP="002E5822">
      <w:r>
        <w:rPr>
          <w:rFonts w:hint="eastAsia"/>
        </w:rPr>
        <w:t xml:space="preserve">Towers Watson. (2012). Global workforce study. Retrieved from </w:t>
      </w:r>
      <w:hyperlink r:id="rId14" w:tgtFrame="/Users/a0/Documentsx/_new" w:history="1">
        <w:r>
          <w:rPr>
            <w:rFonts w:hint="eastAsia"/>
          </w:rPr>
          <w:t>https://www.towerswatson.com/en-US/Insights/IC-Types/Survey-Research-Results/2012/06/2012-Global-Workforce-Study</w:t>
        </w:r>
      </w:hyperlink>
    </w:p>
    <w:p w14:paraId="61269F97" w14:textId="77777777" w:rsidR="002E5822" w:rsidRDefault="002E5822" w:rsidP="002E5822"/>
    <w:p w14:paraId="21C54018" w14:textId="77777777" w:rsidR="002E5822" w:rsidRDefault="002E5822" w:rsidP="002E5822">
      <w:r>
        <w:rPr>
          <w:rFonts w:hint="eastAsia"/>
        </w:rPr>
        <w:t>Saks, A. M. (2006). Antecedents and consequences of employee engagement. Journal of managerial psychology, 21(7), 600-619.</w:t>
      </w:r>
    </w:p>
    <w:p w14:paraId="2738A333" w14:textId="77777777" w:rsidR="002E5822" w:rsidRDefault="002E5822" w:rsidP="002E5822"/>
    <w:p w14:paraId="42D9A422" w14:textId="77777777" w:rsidR="002E5822" w:rsidRDefault="002E5822" w:rsidP="002E5822">
      <w:r>
        <w:rPr>
          <w:rFonts w:hint="eastAsia"/>
        </w:rPr>
        <w:t>Harter, J. K., Schmidt, F. L., &amp; Hayes, T. L. (2002). Business-unit-level relationship between employee satisfaction, employee engagement, and business outcomes: A meta-analysis. Journal of applied psychology, 87(2), 268-279.</w:t>
      </w:r>
    </w:p>
    <w:p w14:paraId="327A8691" w14:textId="77777777" w:rsidR="002E5822" w:rsidRDefault="002E5822" w:rsidP="002E5822"/>
    <w:p w14:paraId="218936D4" w14:textId="77777777" w:rsidR="002E5822" w:rsidRDefault="002E5822" w:rsidP="002E5822">
      <w:r>
        <w:rPr>
          <w:rFonts w:hint="eastAsia"/>
        </w:rPr>
        <w:t>Macey, W. H., &amp; Schneider, B. (2008). The meaning of employee engagement. Industrial and organizational psychology, 1(1), 3-30.</w:t>
      </w:r>
    </w:p>
    <w:p w14:paraId="280927CD" w14:textId="77777777" w:rsidR="002E5822" w:rsidRDefault="002E5822" w:rsidP="002E5822"/>
    <w:p w14:paraId="0248B393" w14:textId="77777777" w:rsidR="002E5822" w:rsidRDefault="002E5822" w:rsidP="002E5822">
      <w:r>
        <w:rPr>
          <w:rFonts w:hint="eastAsia"/>
        </w:rPr>
        <w:t xml:space="preserve">Towers Watson. (2012). Global workforce study. Retrieved from </w:t>
      </w:r>
      <w:hyperlink r:id="rId15" w:tgtFrame="/Users/a0/Documentsx/_new" w:history="1">
        <w:r>
          <w:rPr>
            <w:rFonts w:hint="eastAsia"/>
          </w:rPr>
          <w:t>https://www.towerswatson.com/en-US/Insights/IC-Types/Survey-Research-Results/2012/06/2012-Global-Workforce-Study</w:t>
        </w:r>
      </w:hyperlink>
    </w:p>
    <w:p w14:paraId="3A1DC88C" w14:textId="77777777" w:rsidR="002E5822" w:rsidRDefault="002E5822" w:rsidP="002E5822"/>
    <w:p w14:paraId="23A37AE8" w14:textId="77777777" w:rsidR="002E5822" w:rsidRDefault="002E5822" w:rsidP="002E5822">
      <w:proofErr w:type="spellStart"/>
      <w:r>
        <w:rPr>
          <w:rFonts w:hint="eastAsia"/>
        </w:rPr>
        <w:t>Globoforce</w:t>
      </w:r>
      <w:proofErr w:type="spellEnd"/>
      <w:r>
        <w:rPr>
          <w:rFonts w:hint="eastAsia"/>
        </w:rPr>
        <w:t xml:space="preserve">. (2018). 2018 workforce mood tracker report. Retrieved from </w:t>
      </w:r>
      <w:hyperlink r:id="rId16" w:tgtFrame="/Users/a0/Documentsx/_new" w:history="1">
        <w:r>
          <w:rPr>
            <w:rFonts w:hint="eastAsia"/>
          </w:rPr>
          <w:t>https://www.globoforce.com/wp-content/uploads/2018/01/2018-Workforce-Mood-Tracker-Report.pdf</w:t>
        </w:r>
      </w:hyperlink>
    </w:p>
    <w:p w14:paraId="51AECACE" w14:textId="77777777" w:rsidR="002E5822" w:rsidRDefault="002E5822" w:rsidP="002E5822"/>
    <w:p w14:paraId="39A72757" w14:textId="77777777" w:rsidR="002E5822" w:rsidRDefault="002E5822" w:rsidP="002E5822">
      <w:r>
        <w:rPr>
          <w:rFonts w:hint="eastAsia"/>
        </w:rPr>
        <w:t xml:space="preserve">LinkedIn. (2018). Workplace learning report. Retrieved from </w:t>
      </w:r>
      <w:hyperlink r:id="rId17" w:tgtFrame="/Users/a0/Documentsx/_new" w:history="1">
        <w:r>
          <w:rPr>
            <w:rFonts w:hint="eastAsia"/>
          </w:rPr>
          <w:t>https://learning.linkedin.com/content/dam/me/learning/en-us/pdfs/linkedin-learning-workplace-learning-report-2018.pdf</w:t>
        </w:r>
      </w:hyperlink>
    </w:p>
    <w:p w14:paraId="5C9CFAA9" w14:textId="77777777" w:rsidR="002E5822" w:rsidRDefault="002E5822" w:rsidP="002E5822"/>
    <w:p w14:paraId="0D491F3B" w14:textId="77777777" w:rsidR="002E5822" w:rsidRDefault="002E5822" w:rsidP="002E5822">
      <w:r>
        <w:rPr>
          <w:rFonts w:hint="eastAsia"/>
        </w:rPr>
        <w:t xml:space="preserve">Quantum Workplace. (2019). Employee engagement trends report. Retrieved from </w:t>
      </w:r>
      <w:hyperlink r:id="rId18" w:tgtFrame="/Users/a0/Documentsx/_new" w:history="1">
        <w:r>
          <w:rPr>
            <w:rFonts w:hint="eastAsia"/>
          </w:rPr>
          <w:t>https://www.quantumworkplace.com/resources/employee-engagement-trends-report-2019</w:t>
        </w:r>
      </w:hyperlink>
    </w:p>
    <w:p w14:paraId="493FDB3F" w14:textId="77777777" w:rsidR="002E5822" w:rsidRDefault="002E5822" w:rsidP="002E5822"/>
    <w:p w14:paraId="31CADE4C" w14:textId="77777777" w:rsidR="002E5822" w:rsidRDefault="002E5822" w:rsidP="002E5822">
      <w:r>
        <w:rPr>
          <w:rFonts w:hint="eastAsia"/>
        </w:rPr>
        <w:fldChar w:fldCharType="begin"/>
      </w:r>
      <w:r>
        <w:rPr>
          <w:rFonts w:hint="eastAsia"/>
        </w:rPr>
        <w:instrText xml:space="preserve"> ADDIN EN.REFLIST </w:instrText>
      </w:r>
      <w:r>
        <w:rPr>
          <w:rFonts w:hint="eastAsia"/>
        </w:rPr>
        <w:fldChar w:fldCharType="separate"/>
      </w:r>
      <w:r>
        <w:rPr>
          <w:rFonts w:hint="eastAsia"/>
        </w:rPr>
        <w:t xml:space="preserve">Aithal, P., Kumar, P., &amp; Shailashree, V. (2016). Factors &amp; elemental analysis of six thinking hats technique using abcd framework. International Journal of Advanced Trends in Engineering and Technology (IJATET), 1(1), 85-95. </w:t>
      </w:r>
    </w:p>
    <w:p w14:paraId="4EBEDE5A" w14:textId="77777777" w:rsidR="002E5822" w:rsidRDefault="002E5822" w:rsidP="002E5822"/>
    <w:p w14:paraId="0B650D3F" w14:textId="77777777" w:rsidR="002E5822" w:rsidRDefault="002E5822" w:rsidP="002E5822">
      <w:r>
        <w:rPr>
          <w:rFonts w:hint="eastAsia"/>
        </w:rPr>
        <w:t xml:space="preserve">Archibald, W. P. (2009). Marx, globalization and alienation: received and underappreciated wisdoms. Critical Sociology, 35(2), 151-174. </w:t>
      </w:r>
    </w:p>
    <w:p w14:paraId="3EB9E89A" w14:textId="77777777" w:rsidR="002E5822" w:rsidRDefault="002E5822" w:rsidP="002E5822"/>
    <w:p w14:paraId="7D1D370E" w14:textId="77777777" w:rsidR="002E5822" w:rsidRDefault="002E5822" w:rsidP="002E5822">
      <w:r>
        <w:rPr>
          <w:rFonts w:hint="eastAsia"/>
        </w:rPr>
        <w:t xml:space="preserve">Douvere, F., &amp; Ehler, C. N. (2011). The importance of monitoring and evaluation in adaptive maritime spatial planning. Journal of Coastal Conservation, 15, 305-311. </w:t>
      </w:r>
    </w:p>
    <w:p w14:paraId="64D60F7E" w14:textId="77777777" w:rsidR="002E5822" w:rsidRDefault="002E5822" w:rsidP="002E5822"/>
    <w:p w14:paraId="031D34E9" w14:textId="77777777" w:rsidR="002E5822" w:rsidRDefault="002E5822" w:rsidP="002E5822">
      <w:r>
        <w:rPr>
          <w:rFonts w:hint="eastAsia"/>
        </w:rPr>
        <w:t xml:space="preserve">Khatri, N., Fern, C. T., &amp; Budhwar, P. (2001). Explaining employee turnover in an Asian context. Human Resource Management Journal, 11(1), 54-74. </w:t>
      </w:r>
    </w:p>
    <w:p w14:paraId="128383D9" w14:textId="77777777" w:rsidR="002E5822" w:rsidRDefault="002E5822" w:rsidP="002E5822"/>
    <w:p w14:paraId="5A65CDF6" w14:textId="77777777" w:rsidR="002E5822" w:rsidRDefault="002E5822" w:rsidP="002E5822">
      <w:r>
        <w:rPr>
          <w:rFonts w:hint="eastAsia"/>
        </w:rPr>
        <w:t xml:space="preserve">Kum, F. D., Cowden, R., &amp; Karodia, A. M. (2014). The impact of training and development on employee performance: A case study of ESCON Consulting. Singaporean Journal of Business Economics and Management Studies, 3(3), 72-105. </w:t>
      </w:r>
    </w:p>
    <w:p w14:paraId="0E9B34B5" w14:textId="77777777" w:rsidR="002E5822" w:rsidRDefault="002E5822" w:rsidP="002E5822"/>
    <w:p w14:paraId="7341AB2A" w14:textId="77777777" w:rsidR="002E5822" w:rsidRDefault="002E5822" w:rsidP="002E5822">
      <w:r>
        <w:rPr>
          <w:rFonts w:hint="eastAsia"/>
        </w:rPr>
        <w:t xml:space="preserve">Lalitha, C., &amp; Singh, S. (2014). Employee retention: A strategic tool for organisation profitability. International Journal of Innovative Research and Development, 3(12), 69-71. </w:t>
      </w:r>
    </w:p>
    <w:p w14:paraId="395058ED" w14:textId="77777777" w:rsidR="002E5822" w:rsidRDefault="002E5822" w:rsidP="002E5822"/>
    <w:p w14:paraId="5A7060E0" w14:textId="77777777" w:rsidR="002E5822" w:rsidRDefault="002E5822" w:rsidP="002E5822">
      <w:r>
        <w:rPr>
          <w:rFonts w:hint="eastAsia"/>
        </w:rPr>
        <w:t xml:space="preserve">Rodriguez, J., &amp; Walters, K. (2017). The importance of training and development in employee performance and evaluation. World Wide Journal of Multidisciplinary Research and Development, 3(10), 206-212. </w:t>
      </w:r>
    </w:p>
    <w:p w14:paraId="244156FB" w14:textId="77777777" w:rsidR="002E5822" w:rsidRDefault="002E5822" w:rsidP="002E5822"/>
    <w:p w14:paraId="79B29A58" w14:textId="77777777" w:rsidR="002E5822" w:rsidRDefault="002E5822" w:rsidP="002E5822">
      <w:r>
        <w:rPr>
          <w:rFonts w:hint="eastAsia"/>
        </w:rPr>
        <w:t xml:space="preserve">Slack, R., Corlett, S., &amp; Morris, R. (2015). Exploring employee engagement with (corporate) social responsibility: A social exchange perspective on organisational participation. Journal of business ethics, 127, 537-548. </w:t>
      </w:r>
    </w:p>
    <w:p w14:paraId="53D826E4" w14:textId="77777777" w:rsidR="002E5822" w:rsidRDefault="002E5822" w:rsidP="002E5822"/>
    <w:p w14:paraId="2658DBA9" w14:textId="77777777" w:rsidR="002E5822" w:rsidRDefault="002E5822" w:rsidP="002E5822">
      <w:r>
        <w:rPr>
          <w:rFonts w:hint="eastAsia"/>
        </w:rPr>
        <w:t>Wang, X. L., &amp; Bowie, D. (2009). Revenue management: the impact on business</w:t>
      </w:r>
      <w:r>
        <w:rPr>
          <w:rFonts w:hint="eastAsia"/>
        </w:rPr>
        <w:t>‐</w:t>
      </w:r>
      <w:r>
        <w:rPr>
          <w:rFonts w:hint="eastAsia"/>
        </w:rPr>
        <w:t>to</w:t>
      </w:r>
      <w:r>
        <w:rPr>
          <w:rFonts w:hint="eastAsia"/>
        </w:rPr>
        <w:t>‐</w:t>
      </w:r>
      <w:r>
        <w:rPr>
          <w:rFonts w:hint="eastAsia"/>
        </w:rPr>
        <w:t xml:space="preserve">business relationships. Journal of Services Marketing. </w:t>
      </w:r>
    </w:p>
    <w:p w14:paraId="39EFAC46" w14:textId="77777777" w:rsidR="002E5822" w:rsidRDefault="002E5822" w:rsidP="002E5822"/>
    <w:p w14:paraId="3AB0D704" w14:textId="77777777" w:rsidR="002E5822" w:rsidRDefault="002E5822" w:rsidP="002E5822">
      <w:r>
        <w:rPr>
          <w:rFonts w:hint="eastAsia"/>
        </w:rPr>
        <w:t xml:space="preserve">Wiley, J. W., Kowske, B. J., &amp; Herman, A. E. (2010). Developing and validating a global model of employee engagement. In Handbook of employee engagement. Edward Elgar Publishing. </w:t>
      </w:r>
    </w:p>
    <w:p w14:paraId="2D358946" w14:textId="77777777" w:rsidR="002E5822" w:rsidRDefault="002E5822" w:rsidP="002E5822"/>
    <w:p w14:paraId="79E00D94" w14:textId="77777777" w:rsidR="002E5822" w:rsidRDefault="002E5822" w:rsidP="002E5822">
      <w:r>
        <w:rPr>
          <w:rFonts w:hint="eastAsia"/>
        </w:rPr>
        <w:lastRenderedPageBreak/>
        <w:t xml:space="preserve">Woodruffe, C. (2006). The crucial importance of employee engagement. Human Resource Management International Digest, 14(1), 3-5. </w:t>
      </w:r>
    </w:p>
    <w:p w14:paraId="2375EE17" w14:textId="77777777" w:rsidR="002E5822" w:rsidRDefault="002E5822" w:rsidP="002E5822"/>
    <w:p w14:paraId="3FB43ED5" w14:textId="7E3B9DA0" w:rsidR="00ED4B66" w:rsidRPr="002E5822" w:rsidRDefault="002E5822" w:rsidP="002E5822">
      <w:pPr>
        <w:spacing w:line="360" w:lineRule="auto"/>
        <w:ind w:left="210" w:hangingChars="100" w:hanging="210"/>
        <w:jc w:val="left"/>
        <w:rPr>
          <w:rFonts w:ascii="Calibri" w:hAnsi="Calibri" w:cs="Calibri"/>
          <w:sz w:val="22"/>
          <w:szCs w:val="22"/>
        </w:rPr>
      </w:pPr>
      <w:r>
        <w:rPr>
          <w:rFonts w:hint="eastAsia"/>
        </w:rPr>
        <w:fldChar w:fldCharType="end"/>
      </w:r>
    </w:p>
    <w:sectPr w:rsidR="00ED4B66" w:rsidRPr="002E5822" w:rsidSect="00014898">
      <w:headerReference w:type="even" r:id="rId19"/>
      <w:headerReference w:type="default" r:id="rId20"/>
      <w:pgSz w:w="11901" w:h="16817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69FF5" w14:textId="77777777" w:rsidR="00792F1A" w:rsidRDefault="00792F1A" w:rsidP="003B785B">
      <w:r>
        <w:separator/>
      </w:r>
    </w:p>
  </w:endnote>
  <w:endnote w:type="continuationSeparator" w:id="0">
    <w:p w14:paraId="54FF8181" w14:textId="77777777" w:rsidR="00792F1A" w:rsidRDefault="00792F1A" w:rsidP="003B7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A6B07" w14:textId="77777777" w:rsidR="00792F1A" w:rsidRDefault="00792F1A" w:rsidP="003B785B">
      <w:r>
        <w:separator/>
      </w:r>
    </w:p>
  </w:footnote>
  <w:footnote w:type="continuationSeparator" w:id="0">
    <w:p w14:paraId="00E0BF48" w14:textId="77777777" w:rsidR="00792F1A" w:rsidRDefault="00792F1A" w:rsidP="003B7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7"/>
      </w:rPr>
      <w:id w:val="-1212266806"/>
      <w:docPartObj>
        <w:docPartGallery w:val="Page Numbers (Top of Page)"/>
        <w:docPartUnique/>
      </w:docPartObj>
    </w:sdtPr>
    <w:sdtContent>
      <w:p w14:paraId="3A3C3FD2" w14:textId="41A11640" w:rsidR="003B785B" w:rsidRDefault="003B785B" w:rsidP="003B785B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14:paraId="1094DF03" w14:textId="77777777" w:rsidR="003B785B" w:rsidRDefault="003B785B" w:rsidP="003B785B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7"/>
      </w:rPr>
      <w:id w:val="1423839506"/>
      <w:docPartObj>
        <w:docPartGallery w:val="Page Numbers (Top of Page)"/>
        <w:docPartUnique/>
      </w:docPartObj>
    </w:sdtPr>
    <w:sdtContent>
      <w:p w14:paraId="4862F376" w14:textId="7D111100" w:rsidR="003B785B" w:rsidRDefault="003B785B" w:rsidP="003B785B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>
          <w:rPr>
            <w:rStyle w:val="a7"/>
            <w:noProof/>
          </w:rPr>
          <w:t>1</w:t>
        </w:r>
        <w:r>
          <w:rPr>
            <w:rStyle w:val="a7"/>
          </w:rPr>
          <w:fldChar w:fldCharType="end"/>
        </w:r>
      </w:p>
    </w:sdtContent>
  </w:sdt>
  <w:p w14:paraId="2CE0D548" w14:textId="77777777" w:rsidR="003B785B" w:rsidRDefault="003B785B" w:rsidP="003B785B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2AF69440"/>
    <w:rsid w:val="00014898"/>
    <w:rsid w:val="00083054"/>
    <w:rsid w:val="002E5822"/>
    <w:rsid w:val="0038494E"/>
    <w:rsid w:val="003B785B"/>
    <w:rsid w:val="003B793F"/>
    <w:rsid w:val="004026B3"/>
    <w:rsid w:val="005E196E"/>
    <w:rsid w:val="00792F1A"/>
    <w:rsid w:val="00AE53EE"/>
    <w:rsid w:val="00C3571C"/>
    <w:rsid w:val="00CF5CCF"/>
    <w:rsid w:val="00D06799"/>
    <w:rsid w:val="00DB6775"/>
    <w:rsid w:val="00ED4B66"/>
    <w:rsid w:val="2AF69440"/>
    <w:rsid w:val="5FFFA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876E6D"/>
  <w15:docId w15:val="{1B53F68E-314C-E04F-AF93-B453382B2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Hyperlink"/>
    <w:basedOn w:val="a0"/>
    <w:rPr>
      <w:color w:val="0000FF"/>
      <w:u w:val="single"/>
    </w:rPr>
  </w:style>
  <w:style w:type="paragraph" w:customStyle="1" w:styleId="WPSOffice1">
    <w:name w:val="WPSOffice手动目录 1"/>
  </w:style>
  <w:style w:type="paragraph" w:styleId="a5">
    <w:name w:val="header"/>
    <w:basedOn w:val="a"/>
    <w:link w:val="a6"/>
    <w:rsid w:val="003B78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3B785B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7">
    <w:name w:val="page number"/>
    <w:basedOn w:val="a0"/>
    <w:rsid w:val="003B785B"/>
  </w:style>
  <w:style w:type="paragraph" w:styleId="a8">
    <w:name w:val="Subtitle"/>
    <w:basedOn w:val="a"/>
    <w:next w:val="a"/>
    <w:link w:val="a9"/>
    <w:qFormat/>
    <w:rsid w:val="00DB6775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9">
    <w:name w:val="副标题 字符"/>
    <w:basedOn w:val="a0"/>
    <w:link w:val="a8"/>
    <w:rsid w:val="00DB6775"/>
    <w:rPr>
      <w:rFonts w:asciiTheme="minorHAnsi" w:eastAsiaTheme="minorEastAsia" w:hAnsiTheme="minorHAnsi" w:cstheme="minorBidi"/>
      <w:b/>
      <w:bCs/>
      <w:kern w:val="28"/>
      <w:sz w:val="32"/>
      <w:szCs w:val="32"/>
    </w:rPr>
  </w:style>
  <w:style w:type="paragraph" w:styleId="aa">
    <w:name w:val="Title"/>
    <w:basedOn w:val="a"/>
    <w:next w:val="a"/>
    <w:link w:val="ab"/>
    <w:qFormat/>
    <w:rsid w:val="00DB677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b">
    <w:name w:val="标题 字符"/>
    <w:basedOn w:val="a0"/>
    <w:link w:val="aa"/>
    <w:rsid w:val="00DB6775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styleId="ac">
    <w:name w:val="Unresolved Mention"/>
    <w:basedOn w:val="a0"/>
    <w:uiPriority w:val="99"/>
    <w:semiHidden/>
    <w:unhideWhenUsed/>
    <w:rsid w:val="00C357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254042264_Driving_Performance_and_Retention_Through_Employee_Engagement" TargetMode="External"/><Relationship Id="rId13" Type="http://schemas.openxmlformats.org/officeDocument/2006/relationships/hyperlink" Target="https://www.achievers.com/wp-content/uploads/2019/03/2019_State_of_Employee_Engagement_Report.pdf" TargetMode="External"/><Relationship Id="rId18" Type="http://schemas.openxmlformats.org/officeDocument/2006/relationships/hyperlink" Target="https://www.quantumworkplace.com/resources/employee-engagement-trends-report-2019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eb.microsoftstream.com/video/e438b133-b7eb-4bda-8784-82fef98dbbc3" TargetMode="External"/><Relationship Id="rId12" Type="http://schemas.openxmlformats.org/officeDocument/2006/relationships/hyperlink" Target="https://www.viventium.com/hubfs/The%20Employee%20Experience%20Advantage.pdf" TargetMode="External"/><Relationship Id="rId17" Type="http://schemas.openxmlformats.org/officeDocument/2006/relationships/hyperlink" Target="https://learning.linkedin.com/content/dam/me/learning/en-us/pdfs/linkedin-learning-workplace-learning-report-2018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loboforce.com/wp-content/uploads/2018/01/2018-Workforce-Mood-Tracker-Report.pdf" TargetMode="External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aberdeen.com/research/17472/ra-employee-engagement-framework/content.aspx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towerswatson.com/en-US/Insights/IC-Types/Survey-Research-Results/2012/06/2012-Global-Workforce-Study" TargetMode="External"/><Relationship Id="rId10" Type="http://schemas.openxmlformats.org/officeDocument/2006/relationships/hyperlink" Target="https://www.gallup.com/workplace/236495/employee-engagement-drives-growth.aspx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shrm.org/hr-today/trends-and-forecasting/research-and-surveys/Documents/Employee-Job-Satisfaction-and-Engagement-2016.pdf" TargetMode="External"/><Relationship Id="rId14" Type="http://schemas.openxmlformats.org/officeDocument/2006/relationships/hyperlink" Target="https://www.towerswatson.com/en-US/Insights/IC-Types/Survey-Research-Results/2012/06/2012-Global-Workforce-Study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983</Words>
  <Characters>5608</Characters>
  <Application>Microsoft Office Word</Application>
  <DocSecurity>0</DocSecurity>
  <Lines>46</Lines>
  <Paragraphs>13</Paragraphs>
  <ScaleCrop>false</ScaleCrop>
  <Company/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♂英国历史</dc:creator>
  <cp:lastModifiedBy>Peirong Wang (2218860)</cp:lastModifiedBy>
  <cp:revision>11</cp:revision>
  <cp:lastPrinted>2023-03-26T08:01:00Z</cp:lastPrinted>
  <dcterms:created xsi:type="dcterms:W3CDTF">2023-03-21T06:37:00Z</dcterms:created>
  <dcterms:modified xsi:type="dcterms:W3CDTF">2023-04-26T13:34:00Z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2052-5.2.1.7798</vt:lpwstr>
  </property>
  <property fmtid="{D5CDD505-2E9C-101B-9397-08002B2CF9AE}" pid="3" name="ICV">
    <vt:lpwstr>C803134B7C41702936E01864EDABD663_41</vt:lpwstr>
  </property>
</Properties>
</file>