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B7C" w:rsidRPr="004C2B7C" w:rsidRDefault="004C2B7C" w:rsidP="004C2B7C">
      <w:pPr>
        <w:rPr>
          <w:rFonts w:ascii="Times New Roman" w:hAnsi="Times New Roman" w:cs="Times New Roman"/>
          <w:sz w:val="24"/>
          <w:szCs w:val="24"/>
        </w:rPr>
      </w:pPr>
      <w:r w:rsidRPr="004C2B7C">
        <w:rPr>
          <w:rFonts w:ascii="Times New Roman" w:hAnsi="Times New Roman" w:cs="Times New Roman"/>
          <w:sz w:val="24"/>
          <w:szCs w:val="24"/>
        </w:rPr>
        <w:t>Social Care Wales</w:t>
      </w:r>
    </w:p>
    <w:p w:rsidR="004C2B7C" w:rsidRPr="004C2B7C" w:rsidRDefault="004C2B7C" w:rsidP="004C2B7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05635" cy="7226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rsidR="004C2B7C" w:rsidRPr="004C2B7C" w:rsidRDefault="004C2B7C" w:rsidP="004C2B7C">
      <w:pPr>
        <w:rPr>
          <w:rFonts w:ascii="Times New Roman" w:hAnsi="Times New Roman" w:cs="Times New Roman"/>
          <w:sz w:val="24"/>
          <w:szCs w:val="24"/>
        </w:rPr>
      </w:pPr>
    </w:p>
    <w:p w:rsidR="004C2B7C" w:rsidRPr="004C2B7C" w:rsidRDefault="004C2B7C" w:rsidP="004C2B7C">
      <w:pPr>
        <w:rPr>
          <w:rFonts w:ascii="Times New Roman" w:hAnsi="Times New Roman" w:cs="Times New Roman"/>
          <w:sz w:val="24"/>
          <w:szCs w:val="24"/>
        </w:rPr>
      </w:pPr>
    </w:p>
    <w:p w:rsidR="004C2B7C" w:rsidRPr="004C2B7C" w:rsidRDefault="004C2B7C" w:rsidP="004C2B7C">
      <w:pPr>
        <w:overflowPunct/>
        <w:autoSpaceDE/>
        <w:autoSpaceDN/>
        <w:adjustRightInd/>
        <w:textAlignment w:val="auto"/>
        <w:rPr>
          <w:rFonts w:ascii="Times New Roman" w:hAnsi="Times New Roman"/>
          <w:b/>
          <w:bCs/>
          <w:color w:val="auto"/>
          <w:sz w:val="48"/>
          <w:szCs w:val="48"/>
        </w:rPr>
      </w:pPr>
      <w:r w:rsidRPr="004C2B7C">
        <w:rPr>
          <w:rFonts w:ascii="Times New Roman" w:hAnsi="Times New Roman" w:cs="Times New Roman"/>
          <w:b/>
          <w:color w:val="auto"/>
          <w:sz w:val="48"/>
          <w:szCs w:val="48"/>
        </w:rPr>
        <w:t xml:space="preserve">GRADUATE CERTIFICATE in </w:t>
      </w:r>
      <w:r w:rsidRPr="004C2B7C">
        <w:rPr>
          <w:rFonts w:ascii="Times New Roman" w:hAnsi="Times New Roman"/>
          <w:b/>
          <w:bCs/>
          <w:color w:val="auto"/>
          <w:sz w:val="48"/>
          <w:szCs w:val="48"/>
        </w:rPr>
        <w:t>Consolidation of Social Work Practice</w:t>
      </w: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r w:rsidRPr="004C2B7C">
        <w:rPr>
          <w:rFonts w:ascii="Times New Roman" w:hAnsi="Times New Roman" w:cs="Times New Roman"/>
          <w:b/>
          <w:color w:val="auto"/>
          <w:sz w:val="48"/>
        </w:rPr>
        <w:t>LEVEL 6 - 60 Credits</w:t>
      </w: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r w:rsidRPr="004C2B7C">
        <w:rPr>
          <w:rFonts w:ascii="Times New Roman" w:hAnsi="Times New Roman" w:cs="Times New Roman"/>
          <w:b/>
          <w:color w:val="auto"/>
          <w:sz w:val="48"/>
        </w:rPr>
        <w:t>LEARNER PORTFOLIO</w:t>
      </w: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r w:rsidRPr="004C2B7C">
        <w:rPr>
          <w:rFonts w:ascii="Times New Roman" w:hAnsi="Times New Roman" w:cs="Times New Roman"/>
          <w:b/>
          <w:color w:val="auto"/>
          <w:sz w:val="48"/>
        </w:rPr>
        <w:t>(PORTH AGORED and UWTSD)</w:t>
      </w: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4C2B7C" w:rsidRPr="004C2B7C" w:rsidTr="00850F2B">
        <w:tc>
          <w:tcPr>
            <w:tcW w:w="10368" w:type="dxa"/>
            <w:shd w:val="clear" w:color="auto" w:fill="auto"/>
          </w:tcPr>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r w:rsidRPr="004C2B7C">
              <w:rPr>
                <w:rFonts w:ascii="Times New Roman" w:hAnsi="Times New Roman" w:cs="Times New Roman"/>
                <w:b/>
                <w:color w:val="auto"/>
                <w:sz w:val="48"/>
              </w:rPr>
              <w:t>Learner’s name: Jamie Turvey</w:t>
            </w: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r w:rsidRPr="004C2B7C">
              <w:rPr>
                <w:rFonts w:ascii="Times New Roman" w:hAnsi="Times New Roman" w:cs="Times New Roman"/>
                <w:b/>
                <w:color w:val="auto"/>
                <w:sz w:val="48"/>
              </w:rPr>
              <w:t>Learner’s University Registration Number:</w:t>
            </w:r>
            <w:r w:rsidRPr="004C2B7C">
              <w:rPr>
                <w:rFonts w:ascii="Times New Roman" w:hAnsi="Times New Roman" w:cs="Times New Roman"/>
                <w:b/>
                <w:color w:val="auto"/>
                <w:sz w:val="36"/>
                <w:szCs w:val="36"/>
              </w:rPr>
              <w:t>1708535</w:t>
            </w: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p>
        </w:tc>
      </w:tr>
    </w:tbl>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r w:rsidRPr="004C2B7C">
        <w:rPr>
          <w:rFonts w:ascii="Times New Roman" w:hAnsi="Times New Roman" w:cs="Times New Roman"/>
          <w:b/>
          <w:color w:val="auto"/>
          <w:sz w:val="48"/>
        </w:rPr>
        <w:t xml:space="preserve"> </w:t>
      </w:r>
    </w:p>
    <w:p w:rsidR="004C2B7C" w:rsidRPr="004C2B7C" w:rsidRDefault="004C2B7C" w:rsidP="004C2B7C">
      <w:pPr>
        <w:overflowPunct/>
        <w:autoSpaceDE/>
        <w:autoSpaceDN/>
        <w:adjustRightInd/>
        <w:textAlignment w:val="auto"/>
        <w:rPr>
          <w:rFonts w:ascii="Times New Roman" w:hAnsi="Times New Roman" w:cs="Times New Roman"/>
          <w:color w:val="auto"/>
          <w:sz w:val="24"/>
        </w:rPr>
      </w:pP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p>
    <w:p w:rsidR="004C2B7C" w:rsidRPr="004C2B7C" w:rsidRDefault="004C2B7C" w:rsidP="004C2B7C">
      <w:pPr>
        <w:overflowPunct/>
        <w:autoSpaceDE/>
        <w:autoSpaceDN/>
        <w:adjustRightInd/>
        <w:ind w:right="-957"/>
        <w:textAlignment w:val="auto"/>
        <w:rPr>
          <w:rFonts w:ascii="Times New Roman" w:hAnsi="Times New Roman" w:cs="Times New Roman"/>
          <w:b/>
          <w:color w:val="auto"/>
          <w:sz w:val="40"/>
        </w:rPr>
      </w:pPr>
      <w:r w:rsidRPr="004C2B7C">
        <w:rPr>
          <w:rFonts w:ascii="Times New Roman" w:hAnsi="Times New Roman" w:cs="Times New Roman"/>
          <w:b/>
          <w:color w:val="auto"/>
          <w:sz w:val="40"/>
        </w:rPr>
        <w:t>WALES INSTITUTE for WORK-BASED LEARNING</w:t>
      </w:r>
    </w:p>
    <w:p w:rsidR="004C2B7C" w:rsidRDefault="004C2B7C" w:rsidP="004C2B7C">
      <w:pPr>
        <w:overflowPunct/>
        <w:autoSpaceDE/>
        <w:autoSpaceDN/>
        <w:adjustRightInd/>
        <w:ind w:right="-957"/>
        <w:textAlignment w:val="auto"/>
        <w:rPr>
          <w:rFonts w:ascii="Times New Roman" w:hAnsi="Times New Roman" w:cs="Times New Roman"/>
          <w:b/>
          <w:color w:val="auto"/>
          <w:sz w:val="48"/>
        </w:rPr>
      </w:pPr>
      <w:r w:rsidRPr="004C2B7C">
        <w:rPr>
          <w:rFonts w:ascii="Times New Roman" w:hAnsi="Times New Roman" w:cs="Times New Roman"/>
          <w:b/>
          <w:color w:val="auto"/>
          <w:sz w:val="48"/>
        </w:rPr>
        <w:t>2017-2018</w:t>
      </w:r>
    </w:p>
    <w:p w:rsidR="004C2B7C" w:rsidRDefault="004C2B7C" w:rsidP="004C2B7C">
      <w:pPr>
        <w:overflowPunct/>
        <w:autoSpaceDE/>
        <w:autoSpaceDN/>
        <w:adjustRightInd/>
        <w:ind w:right="-957"/>
        <w:textAlignment w:val="auto"/>
        <w:rPr>
          <w:rFonts w:ascii="Times New Roman" w:hAnsi="Times New Roman" w:cs="Times New Roman"/>
          <w:b/>
          <w:color w:val="auto"/>
          <w:sz w:val="48"/>
        </w:rPr>
      </w:pPr>
    </w:p>
    <w:p w:rsidR="004C2B7C" w:rsidRDefault="004C2B7C" w:rsidP="004C2B7C">
      <w:pPr>
        <w:overflowPunct/>
        <w:autoSpaceDE/>
        <w:autoSpaceDN/>
        <w:adjustRightInd/>
        <w:ind w:right="-957"/>
        <w:textAlignment w:val="auto"/>
        <w:rPr>
          <w:rFonts w:ascii="Times New Roman" w:hAnsi="Times New Roman" w:cs="Times New Roman"/>
          <w:b/>
          <w:color w:val="auto"/>
          <w:sz w:val="48"/>
        </w:rPr>
      </w:pPr>
    </w:p>
    <w:p w:rsidR="004C2B7C" w:rsidRDefault="004C2B7C" w:rsidP="004C2B7C">
      <w:pPr>
        <w:overflowPunct/>
        <w:autoSpaceDE/>
        <w:autoSpaceDN/>
        <w:adjustRightInd/>
        <w:ind w:right="-957"/>
        <w:textAlignment w:val="auto"/>
        <w:rPr>
          <w:rFonts w:ascii="Times New Roman" w:hAnsi="Times New Roman" w:cs="Times New Roman"/>
          <w:b/>
          <w:color w:val="auto"/>
          <w:sz w:val="48"/>
        </w:rPr>
      </w:pPr>
    </w:p>
    <w:p w:rsidR="004C2B7C" w:rsidRDefault="004C2B7C" w:rsidP="004C2B7C">
      <w:pPr>
        <w:overflowPunct/>
        <w:autoSpaceDE/>
        <w:autoSpaceDN/>
        <w:adjustRightInd/>
        <w:spacing w:after="200" w:line="276" w:lineRule="auto"/>
        <w:jc w:val="center"/>
        <w:textAlignment w:val="auto"/>
        <w:rPr>
          <w:rFonts w:eastAsia="Calibri"/>
          <w:b/>
          <w:color w:val="auto"/>
          <w:sz w:val="24"/>
          <w:szCs w:val="24"/>
          <w:lang w:eastAsia="en-US"/>
        </w:rPr>
      </w:pPr>
      <w:r w:rsidRPr="00D217BF">
        <w:rPr>
          <w:rFonts w:eastAsia="Calibri"/>
          <w:b/>
          <w:color w:val="auto"/>
          <w:sz w:val="24"/>
          <w:szCs w:val="24"/>
          <w:lang w:eastAsia="en-US"/>
        </w:rPr>
        <w:lastRenderedPageBreak/>
        <w:t>Section 2</w:t>
      </w:r>
    </w:p>
    <w:p w:rsidR="004C2B7C" w:rsidRPr="004C2B7C" w:rsidRDefault="004C2B7C" w:rsidP="004C2B7C">
      <w:pPr>
        <w:jc w:val="both"/>
        <w:rPr>
          <w:b/>
          <w:sz w:val="24"/>
          <w:szCs w:val="24"/>
        </w:rPr>
      </w:pPr>
      <w:r w:rsidRPr="004C2B7C">
        <w:rPr>
          <w:b/>
          <w:sz w:val="24"/>
          <w:szCs w:val="24"/>
        </w:rPr>
        <w:t>Developmental review (a)</w:t>
      </w:r>
    </w:p>
    <w:p w:rsidR="004C2B7C" w:rsidRPr="004C2B7C" w:rsidRDefault="004C2B7C" w:rsidP="004C2B7C">
      <w:pPr>
        <w:jc w:val="both"/>
        <w:rPr>
          <w:b/>
          <w:sz w:val="24"/>
          <w:szCs w:val="24"/>
        </w:rPr>
      </w:pPr>
    </w:p>
    <w:p w:rsidR="004C2B7C" w:rsidRPr="004C2B7C" w:rsidRDefault="004C2B7C" w:rsidP="004C2B7C">
      <w:pPr>
        <w:jc w:val="both"/>
        <w:rPr>
          <w:i/>
          <w:sz w:val="24"/>
          <w:szCs w:val="24"/>
        </w:rPr>
      </w:pPr>
      <w:r w:rsidRPr="004C2B7C">
        <w:rPr>
          <w:i/>
          <w:sz w:val="24"/>
          <w:szCs w:val="24"/>
        </w:rPr>
        <w:t>Guidance: This section should be completed by taking into account</w:t>
      </w:r>
      <w:r w:rsidRPr="004C2B7C">
        <w:rPr>
          <w:sz w:val="24"/>
          <w:szCs w:val="24"/>
        </w:rPr>
        <w:t xml:space="preserve"> </w:t>
      </w:r>
      <w:r w:rsidRPr="004C2B7C">
        <w:rPr>
          <w:i/>
          <w:sz w:val="24"/>
          <w:szCs w:val="24"/>
        </w:rPr>
        <w:t>the work that you will have done since qualifying, and discussions with your mentor and supervisor/line manager as part of your First Three Years of Practice Individual Plan.</w:t>
      </w:r>
    </w:p>
    <w:p w:rsidR="004C2B7C" w:rsidRPr="004C2B7C" w:rsidRDefault="004C2B7C" w:rsidP="004C2B7C">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C2B7C" w:rsidRPr="004C2B7C" w:rsidTr="00850F2B">
        <w:tc>
          <w:tcPr>
            <w:tcW w:w="10278" w:type="dxa"/>
            <w:shd w:val="clear" w:color="auto" w:fill="auto"/>
          </w:tcPr>
          <w:p w:rsidR="004C2B7C" w:rsidRPr="004C2B7C" w:rsidRDefault="004C2B7C" w:rsidP="004C2B7C">
            <w:pPr>
              <w:jc w:val="both"/>
              <w:rPr>
                <w:sz w:val="24"/>
                <w:szCs w:val="24"/>
              </w:rPr>
            </w:pPr>
            <w:r w:rsidRPr="004C2B7C">
              <w:rPr>
                <w:sz w:val="24"/>
                <w:szCs w:val="24"/>
              </w:rPr>
              <w:t>Based on your experience in practice identify and justify your agreed learning needs for the following outcomes:</w:t>
            </w:r>
          </w:p>
          <w:p w:rsidR="004C2B7C" w:rsidRPr="004C2B7C" w:rsidRDefault="004C2B7C" w:rsidP="004C2B7C">
            <w:pPr>
              <w:jc w:val="both"/>
              <w:rPr>
                <w:sz w:val="24"/>
                <w:szCs w:val="24"/>
              </w:rPr>
            </w:pPr>
          </w:p>
          <w:p w:rsidR="004C2B7C" w:rsidRPr="004C2B7C" w:rsidRDefault="004C2B7C" w:rsidP="004C2B7C">
            <w:pPr>
              <w:numPr>
                <w:ilvl w:val="0"/>
                <w:numId w:val="1"/>
              </w:numPr>
              <w:jc w:val="both"/>
              <w:rPr>
                <w:sz w:val="24"/>
                <w:szCs w:val="24"/>
              </w:rPr>
            </w:pPr>
            <w:r w:rsidRPr="004C2B7C">
              <w:rPr>
                <w:sz w:val="24"/>
                <w:szCs w:val="24"/>
              </w:rPr>
              <w:t xml:space="preserve">Working Collaboratively with service users &amp; carers  </w:t>
            </w:r>
          </w:p>
          <w:p w:rsidR="004C2B7C" w:rsidRPr="004C2B7C" w:rsidRDefault="004C2B7C" w:rsidP="004C2B7C">
            <w:pPr>
              <w:jc w:val="both"/>
              <w:rPr>
                <w:sz w:val="24"/>
                <w:szCs w:val="24"/>
              </w:rPr>
            </w:pPr>
            <w:r w:rsidRPr="004C2B7C">
              <w:rPr>
                <w:sz w:val="24"/>
                <w:szCs w:val="24"/>
              </w:rPr>
              <w:t xml:space="preserve">           Working Collaboratively with Other Professionals</w:t>
            </w:r>
          </w:p>
          <w:p w:rsidR="004C2B7C" w:rsidRPr="004C2B7C" w:rsidRDefault="004C2B7C" w:rsidP="004C2B7C">
            <w:pPr>
              <w:numPr>
                <w:ilvl w:val="0"/>
                <w:numId w:val="1"/>
              </w:numPr>
              <w:jc w:val="both"/>
              <w:rPr>
                <w:sz w:val="24"/>
                <w:szCs w:val="24"/>
              </w:rPr>
            </w:pPr>
            <w:r w:rsidRPr="004C2B7C">
              <w:rPr>
                <w:sz w:val="24"/>
                <w:szCs w:val="24"/>
              </w:rPr>
              <w:t>Applying analysis in assessment to inform interventions</w:t>
            </w:r>
          </w:p>
          <w:p w:rsidR="004C2B7C" w:rsidRPr="004C2B7C" w:rsidRDefault="004C2B7C" w:rsidP="004C2B7C">
            <w:pPr>
              <w:numPr>
                <w:ilvl w:val="0"/>
                <w:numId w:val="1"/>
              </w:numPr>
              <w:jc w:val="both"/>
              <w:rPr>
                <w:sz w:val="24"/>
                <w:szCs w:val="24"/>
              </w:rPr>
            </w:pPr>
            <w:r w:rsidRPr="004C2B7C">
              <w:rPr>
                <w:sz w:val="24"/>
                <w:szCs w:val="24"/>
              </w:rPr>
              <w:t>Intervention and application of professional judgement in increasingly complex situations</w:t>
            </w:r>
          </w:p>
          <w:p w:rsidR="004C2B7C" w:rsidRPr="004C2B7C" w:rsidRDefault="004C2B7C" w:rsidP="004C2B7C">
            <w:pPr>
              <w:jc w:val="both"/>
              <w:rPr>
                <w:sz w:val="24"/>
                <w:szCs w:val="24"/>
              </w:rPr>
            </w:pPr>
          </w:p>
          <w:p w:rsidR="004C2B7C" w:rsidRPr="004C2B7C" w:rsidRDefault="004C2B7C" w:rsidP="004C2B7C">
            <w:pPr>
              <w:jc w:val="both"/>
              <w:rPr>
                <w:i/>
                <w:sz w:val="24"/>
                <w:szCs w:val="24"/>
              </w:rPr>
            </w:pPr>
            <w:r w:rsidRPr="004C2B7C">
              <w:rPr>
                <w:i/>
                <w:sz w:val="24"/>
                <w:szCs w:val="24"/>
              </w:rPr>
              <w:t>500 words (+/- 10%: include your actual word count at the end of each section)</w:t>
            </w:r>
          </w:p>
          <w:p w:rsidR="004C2B7C" w:rsidRPr="004C2B7C" w:rsidRDefault="004C2B7C" w:rsidP="004C2B7C">
            <w:pPr>
              <w:jc w:val="both"/>
              <w:rPr>
                <w:i/>
                <w:sz w:val="24"/>
                <w:szCs w:val="24"/>
              </w:rPr>
            </w:pPr>
          </w:p>
        </w:tc>
      </w:tr>
    </w:tbl>
    <w:p w:rsidR="004C2B7C" w:rsidRPr="004C2B7C" w:rsidRDefault="004C2B7C" w:rsidP="004C2B7C">
      <w:pPr>
        <w:overflowPunct/>
        <w:autoSpaceDE/>
        <w:autoSpaceDN/>
        <w:adjustRightInd/>
        <w:ind w:right="-957"/>
        <w:textAlignment w:val="auto"/>
        <w:rPr>
          <w:rFonts w:ascii="Times New Roman" w:hAnsi="Times New Roman" w:cs="Times New Roman"/>
          <w:b/>
          <w:color w:val="auto"/>
          <w:sz w:val="48"/>
        </w:rPr>
      </w:pPr>
    </w:p>
    <w:p w:rsidR="00F61206" w:rsidRPr="00D217BF" w:rsidRDefault="00F61206" w:rsidP="00BB50E0">
      <w:pPr>
        <w:overflowPunct/>
        <w:autoSpaceDE/>
        <w:autoSpaceDN/>
        <w:adjustRightInd/>
        <w:spacing w:after="200" w:line="276" w:lineRule="auto"/>
        <w:jc w:val="both"/>
        <w:textAlignment w:val="auto"/>
        <w:rPr>
          <w:rFonts w:eastAsia="Calibri"/>
          <w:color w:val="auto"/>
          <w:sz w:val="24"/>
          <w:szCs w:val="24"/>
          <w:lang w:eastAsia="en-US"/>
        </w:rPr>
      </w:pPr>
      <w:r w:rsidRPr="00D217BF">
        <w:rPr>
          <w:rFonts w:eastAsia="Calibri"/>
          <w:color w:val="auto"/>
          <w:sz w:val="24"/>
          <w:szCs w:val="24"/>
          <w:lang w:eastAsia="en-US"/>
        </w:rPr>
        <w:t>Confidence to conduct myself and communicate appropriately in any given circumstance was the platform that I stood upon when starting in</w:t>
      </w:r>
      <w:r w:rsidR="001343F2" w:rsidRPr="00D217BF">
        <w:rPr>
          <w:rFonts w:eastAsia="Calibri"/>
          <w:color w:val="auto"/>
          <w:sz w:val="24"/>
          <w:szCs w:val="24"/>
          <w:lang w:eastAsia="en-US"/>
        </w:rPr>
        <w:t xml:space="preserve"> my new role as a social worker; extensive </w:t>
      </w:r>
      <w:r w:rsidRPr="00D217BF">
        <w:rPr>
          <w:rFonts w:eastAsia="Calibri"/>
          <w:color w:val="auto"/>
          <w:sz w:val="24"/>
          <w:szCs w:val="24"/>
          <w:lang w:eastAsia="en-US"/>
        </w:rPr>
        <w:t>experience of engag</w:t>
      </w:r>
      <w:r w:rsidR="00EB4FA3" w:rsidRPr="00D217BF">
        <w:rPr>
          <w:rFonts w:eastAsia="Calibri"/>
          <w:color w:val="auto"/>
          <w:sz w:val="24"/>
          <w:szCs w:val="24"/>
          <w:lang w:eastAsia="en-US"/>
        </w:rPr>
        <w:t>ing</w:t>
      </w:r>
      <w:r w:rsidRPr="00D217BF">
        <w:rPr>
          <w:rFonts w:eastAsia="Calibri"/>
          <w:color w:val="auto"/>
          <w:sz w:val="24"/>
          <w:szCs w:val="24"/>
          <w:lang w:eastAsia="en-US"/>
        </w:rPr>
        <w:t xml:space="preserve"> with challenging individuals in challenging situations had given me good grounding </w:t>
      </w:r>
      <w:r w:rsidR="001343F2" w:rsidRPr="00D217BF">
        <w:rPr>
          <w:rFonts w:eastAsia="Calibri"/>
          <w:color w:val="auto"/>
          <w:sz w:val="24"/>
          <w:szCs w:val="24"/>
          <w:lang w:eastAsia="en-US"/>
        </w:rPr>
        <w:t>for</w:t>
      </w:r>
      <w:r w:rsidRPr="00D217BF">
        <w:rPr>
          <w:rFonts w:eastAsia="Calibri"/>
          <w:color w:val="auto"/>
          <w:sz w:val="24"/>
          <w:szCs w:val="24"/>
          <w:lang w:eastAsia="en-US"/>
        </w:rPr>
        <w:t xml:space="preserve"> future practice. </w:t>
      </w:r>
    </w:p>
    <w:p w:rsidR="00F61206" w:rsidRPr="00D217BF" w:rsidRDefault="00F61206" w:rsidP="00BB50E0">
      <w:pPr>
        <w:overflowPunct/>
        <w:autoSpaceDE/>
        <w:autoSpaceDN/>
        <w:adjustRightInd/>
        <w:spacing w:after="200" w:line="276" w:lineRule="auto"/>
        <w:jc w:val="both"/>
        <w:textAlignment w:val="auto"/>
        <w:rPr>
          <w:rFonts w:eastAsia="Calibri"/>
          <w:color w:val="auto"/>
          <w:sz w:val="24"/>
          <w:szCs w:val="24"/>
          <w:lang w:eastAsia="en-US"/>
        </w:rPr>
      </w:pPr>
      <w:r w:rsidRPr="00D217BF">
        <w:rPr>
          <w:rFonts w:eastAsia="Calibri"/>
          <w:color w:val="auto"/>
          <w:sz w:val="24"/>
          <w:szCs w:val="24"/>
          <w:lang w:eastAsia="en-US"/>
        </w:rPr>
        <w:t xml:space="preserve">I pride myself on my ability to </w:t>
      </w:r>
      <w:r w:rsidR="00EB4FA3" w:rsidRPr="00D217BF">
        <w:rPr>
          <w:rFonts w:eastAsia="Calibri"/>
          <w:color w:val="auto"/>
          <w:sz w:val="24"/>
          <w:szCs w:val="24"/>
          <w:lang w:eastAsia="en-US"/>
        </w:rPr>
        <w:t>display</w:t>
      </w:r>
      <w:r w:rsidRPr="00D217BF">
        <w:rPr>
          <w:rFonts w:eastAsia="Calibri"/>
          <w:color w:val="auto"/>
          <w:sz w:val="24"/>
          <w:szCs w:val="24"/>
          <w:lang w:eastAsia="en-US"/>
        </w:rPr>
        <w:t xml:space="preserve"> calm, rationale and </w:t>
      </w:r>
      <w:r w:rsidR="00EB4FA3" w:rsidRPr="00D217BF">
        <w:rPr>
          <w:rFonts w:eastAsia="Calibri"/>
          <w:color w:val="auto"/>
          <w:sz w:val="24"/>
          <w:szCs w:val="24"/>
          <w:lang w:eastAsia="en-US"/>
        </w:rPr>
        <w:t>honesty to people experiencing difficult situations, this</w:t>
      </w:r>
      <w:r w:rsidRPr="00D217BF">
        <w:rPr>
          <w:rFonts w:eastAsia="Calibri"/>
          <w:color w:val="auto"/>
          <w:sz w:val="24"/>
          <w:szCs w:val="24"/>
          <w:lang w:eastAsia="en-US"/>
        </w:rPr>
        <w:t xml:space="preserve"> builds trust. My concern is </w:t>
      </w:r>
      <w:r w:rsidR="00EB4FA3" w:rsidRPr="00D217BF">
        <w:rPr>
          <w:rFonts w:eastAsia="Calibri"/>
          <w:color w:val="auto"/>
          <w:sz w:val="24"/>
          <w:szCs w:val="24"/>
          <w:lang w:eastAsia="en-US"/>
        </w:rPr>
        <w:t xml:space="preserve">that </w:t>
      </w:r>
      <w:r w:rsidRPr="00D217BF">
        <w:rPr>
          <w:rFonts w:eastAsia="Calibri"/>
          <w:color w:val="auto"/>
          <w:sz w:val="24"/>
          <w:szCs w:val="24"/>
          <w:lang w:eastAsia="en-US"/>
        </w:rPr>
        <w:t xml:space="preserve">my </w:t>
      </w:r>
      <w:r w:rsidR="00EB4FA3" w:rsidRPr="00D217BF">
        <w:rPr>
          <w:rFonts w:eastAsia="Calibri"/>
          <w:color w:val="auto"/>
          <w:sz w:val="24"/>
          <w:szCs w:val="24"/>
          <w:lang w:eastAsia="en-US"/>
        </w:rPr>
        <w:t>limited</w:t>
      </w:r>
      <w:r w:rsidRPr="00D217BF">
        <w:rPr>
          <w:rFonts w:eastAsia="Calibri"/>
          <w:color w:val="auto"/>
          <w:sz w:val="24"/>
          <w:szCs w:val="24"/>
          <w:lang w:eastAsia="en-US"/>
        </w:rPr>
        <w:t xml:space="preserve"> knowledge </w:t>
      </w:r>
      <w:r w:rsidR="00EB4FA3" w:rsidRPr="00D217BF">
        <w:rPr>
          <w:rFonts w:eastAsia="Calibri"/>
          <w:color w:val="auto"/>
          <w:sz w:val="24"/>
          <w:szCs w:val="24"/>
          <w:lang w:eastAsia="en-US"/>
        </w:rPr>
        <w:t>of available interventions</w:t>
      </w:r>
      <w:r w:rsidR="001343F2" w:rsidRPr="00D217BF">
        <w:rPr>
          <w:rFonts w:eastAsia="Calibri"/>
          <w:color w:val="auto"/>
          <w:sz w:val="24"/>
          <w:szCs w:val="24"/>
          <w:lang w:eastAsia="en-US"/>
        </w:rPr>
        <w:t xml:space="preserve"> and </w:t>
      </w:r>
      <w:r w:rsidR="00EB4FA3" w:rsidRPr="00D217BF">
        <w:rPr>
          <w:rFonts w:eastAsia="Calibri"/>
          <w:color w:val="auto"/>
          <w:sz w:val="24"/>
          <w:szCs w:val="24"/>
          <w:lang w:eastAsia="en-US"/>
        </w:rPr>
        <w:t>se</w:t>
      </w:r>
      <w:r w:rsidR="001343F2" w:rsidRPr="00D217BF">
        <w:rPr>
          <w:rFonts w:eastAsia="Calibri"/>
          <w:color w:val="auto"/>
          <w:sz w:val="24"/>
          <w:szCs w:val="24"/>
          <w:lang w:eastAsia="en-US"/>
        </w:rPr>
        <w:t>rvice provision</w:t>
      </w:r>
      <w:r w:rsidR="00EB4FA3" w:rsidRPr="00D217BF">
        <w:rPr>
          <w:rFonts w:eastAsia="Calibri"/>
          <w:color w:val="auto"/>
          <w:sz w:val="24"/>
          <w:szCs w:val="24"/>
          <w:lang w:eastAsia="en-US"/>
        </w:rPr>
        <w:t xml:space="preserve"> impacts on </w:t>
      </w:r>
      <w:r w:rsidR="001343F2" w:rsidRPr="00D217BF">
        <w:rPr>
          <w:rFonts w:eastAsia="Calibri"/>
          <w:color w:val="auto"/>
          <w:sz w:val="24"/>
          <w:szCs w:val="24"/>
          <w:lang w:eastAsia="en-US"/>
        </w:rPr>
        <w:t>opportunities to achieve</w:t>
      </w:r>
      <w:r w:rsidR="00EB4FA3" w:rsidRPr="00D217BF">
        <w:rPr>
          <w:rFonts w:eastAsia="Calibri"/>
          <w:color w:val="auto"/>
          <w:sz w:val="24"/>
          <w:szCs w:val="24"/>
          <w:lang w:eastAsia="en-US"/>
        </w:rPr>
        <w:t xml:space="preserve"> desired outcomes. </w:t>
      </w:r>
    </w:p>
    <w:p w:rsidR="00F61206" w:rsidRPr="00D217BF" w:rsidRDefault="00F61206" w:rsidP="00BB50E0">
      <w:pPr>
        <w:overflowPunct/>
        <w:autoSpaceDE/>
        <w:autoSpaceDN/>
        <w:adjustRightInd/>
        <w:spacing w:after="200" w:line="276" w:lineRule="auto"/>
        <w:jc w:val="both"/>
        <w:textAlignment w:val="auto"/>
        <w:rPr>
          <w:rFonts w:eastAsia="Calibri"/>
          <w:color w:val="auto"/>
          <w:sz w:val="24"/>
          <w:szCs w:val="24"/>
          <w:lang w:eastAsia="en-US"/>
        </w:rPr>
      </w:pPr>
      <w:r w:rsidRPr="00D217BF">
        <w:rPr>
          <w:rFonts w:eastAsia="Calibri"/>
          <w:color w:val="auto"/>
          <w:sz w:val="24"/>
          <w:szCs w:val="24"/>
          <w:lang w:eastAsia="en-US"/>
        </w:rPr>
        <w:t xml:space="preserve">Conscious of </w:t>
      </w:r>
      <w:r w:rsidR="001343F2" w:rsidRPr="00D217BF">
        <w:rPr>
          <w:rFonts w:eastAsia="Calibri"/>
          <w:color w:val="auto"/>
          <w:sz w:val="24"/>
          <w:szCs w:val="24"/>
          <w:lang w:eastAsia="en-US"/>
        </w:rPr>
        <w:t>the importance of</w:t>
      </w:r>
      <w:r w:rsidRPr="00D217BF">
        <w:rPr>
          <w:rFonts w:eastAsia="Calibri"/>
          <w:color w:val="auto"/>
          <w:sz w:val="24"/>
          <w:szCs w:val="24"/>
          <w:lang w:eastAsia="en-US"/>
        </w:rPr>
        <w:t xml:space="preserve"> </w:t>
      </w:r>
      <w:r w:rsidR="001343F2" w:rsidRPr="00D217BF">
        <w:rPr>
          <w:rFonts w:eastAsia="Calibri"/>
          <w:color w:val="auto"/>
          <w:sz w:val="24"/>
          <w:szCs w:val="24"/>
          <w:lang w:eastAsia="en-US"/>
        </w:rPr>
        <w:t xml:space="preserve">being able to conduct </w:t>
      </w:r>
      <w:r w:rsidRPr="00D217BF">
        <w:rPr>
          <w:rFonts w:eastAsia="Calibri"/>
          <w:color w:val="auto"/>
          <w:sz w:val="24"/>
          <w:szCs w:val="24"/>
          <w:lang w:eastAsia="en-US"/>
        </w:rPr>
        <w:t>thorough assessment</w:t>
      </w:r>
      <w:r w:rsidR="001343F2" w:rsidRPr="00D217BF">
        <w:rPr>
          <w:rFonts w:eastAsia="Calibri"/>
          <w:color w:val="auto"/>
          <w:sz w:val="24"/>
          <w:szCs w:val="24"/>
          <w:lang w:eastAsia="en-US"/>
        </w:rPr>
        <w:t>s to help overcome this shortfall</w:t>
      </w:r>
      <w:r w:rsidRPr="00D217BF">
        <w:rPr>
          <w:rFonts w:eastAsia="Calibri"/>
          <w:color w:val="auto"/>
          <w:sz w:val="24"/>
          <w:szCs w:val="24"/>
          <w:lang w:eastAsia="en-US"/>
        </w:rPr>
        <w:t xml:space="preserve"> I devised a list of </w:t>
      </w:r>
      <w:r w:rsidR="001343F2" w:rsidRPr="00D217BF">
        <w:rPr>
          <w:rFonts w:eastAsia="Calibri"/>
          <w:color w:val="auto"/>
          <w:sz w:val="24"/>
          <w:szCs w:val="24"/>
          <w:lang w:eastAsia="en-US"/>
        </w:rPr>
        <w:t xml:space="preserve">difficulties </w:t>
      </w:r>
      <w:r w:rsidRPr="00D217BF">
        <w:rPr>
          <w:rFonts w:eastAsia="Calibri"/>
          <w:color w:val="auto"/>
          <w:sz w:val="24"/>
          <w:szCs w:val="24"/>
          <w:lang w:eastAsia="en-US"/>
        </w:rPr>
        <w:t xml:space="preserve">I have faced when </w:t>
      </w:r>
      <w:r w:rsidR="001343F2" w:rsidRPr="00D217BF">
        <w:rPr>
          <w:rFonts w:eastAsia="Calibri"/>
          <w:color w:val="auto"/>
          <w:sz w:val="24"/>
          <w:szCs w:val="24"/>
          <w:lang w:eastAsia="en-US"/>
        </w:rPr>
        <w:t>completing assessments, ready for discussion at</w:t>
      </w:r>
      <w:r w:rsidRPr="00D217BF">
        <w:rPr>
          <w:rFonts w:eastAsia="Calibri"/>
          <w:color w:val="auto"/>
          <w:sz w:val="24"/>
          <w:szCs w:val="24"/>
          <w:lang w:eastAsia="en-US"/>
        </w:rPr>
        <w:t xml:space="preserve"> my next formal supervision.</w:t>
      </w:r>
    </w:p>
    <w:p w:rsidR="00F61206" w:rsidRPr="00D217BF" w:rsidRDefault="00F61206" w:rsidP="00BB50E0">
      <w:pPr>
        <w:overflowPunct/>
        <w:autoSpaceDE/>
        <w:autoSpaceDN/>
        <w:adjustRightInd/>
        <w:spacing w:after="200" w:line="276" w:lineRule="auto"/>
        <w:jc w:val="both"/>
        <w:textAlignment w:val="auto"/>
        <w:rPr>
          <w:rFonts w:eastAsia="Calibri"/>
          <w:color w:val="auto"/>
          <w:sz w:val="24"/>
          <w:szCs w:val="24"/>
          <w:lang w:eastAsia="en-US"/>
        </w:rPr>
      </w:pPr>
      <w:r w:rsidRPr="00D217BF">
        <w:rPr>
          <w:rFonts w:eastAsia="Calibri"/>
          <w:color w:val="auto"/>
          <w:sz w:val="24"/>
          <w:szCs w:val="24"/>
          <w:lang w:eastAsia="en-US"/>
        </w:rPr>
        <w:t>Supervision with my line manager unearthed that there were potentially a few areas where there would be room for improvement in respect of collating purposeful data during assessment. First to look at personal accountability; what elements of the assessment process is predominantly my responsibility to action effectively and what elements will be reliant on the input and from others (</w:t>
      </w:r>
      <w:proofErr w:type="spellStart"/>
      <w:r w:rsidRPr="00D217BF">
        <w:rPr>
          <w:rFonts w:eastAsia="Calibri"/>
          <w:color w:val="auto"/>
          <w:sz w:val="24"/>
          <w:szCs w:val="24"/>
          <w:lang w:eastAsia="en-US"/>
        </w:rPr>
        <w:t>Borton</w:t>
      </w:r>
      <w:proofErr w:type="spellEnd"/>
      <w:r w:rsidRPr="00D217BF">
        <w:rPr>
          <w:rFonts w:eastAsia="Calibri"/>
          <w:color w:val="auto"/>
          <w:sz w:val="24"/>
          <w:szCs w:val="24"/>
          <w:lang w:eastAsia="en-US"/>
        </w:rPr>
        <w:t>, 1970)</w:t>
      </w:r>
    </w:p>
    <w:p w:rsidR="00F61206" w:rsidRPr="00D217BF" w:rsidRDefault="00F61206" w:rsidP="00BB50E0">
      <w:pPr>
        <w:overflowPunct/>
        <w:autoSpaceDE/>
        <w:autoSpaceDN/>
        <w:adjustRightInd/>
        <w:spacing w:after="200" w:line="276" w:lineRule="auto"/>
        <w:jc w:val="both"/>
        <w:textAlignment w:val="auto"/>
        <w:rPr>
          <w:rFonts w:eastAsia="Calibri"/>
          <w:color w:val="auto"/>
          <w:sz w:val="24"/>
          <w:szCs w:val="24"/>
          <w:lang w:eastAsia="en-US"/>
        </w:rPr>
      </w:pPr>
      <w:r w:rsidRPr="00D217BF">
        <w:rPr>
          <w:rFonts w:eastAsia="Calibri"/>
          <w:color w:val="auto"/>
          <w:sz w:val="24"/>
          <w:szCs w:val="24"/>
          <w:lang w:eastAsia="en-US"/>
        </w:rPr>
        <w:t>I was advised to familiarise myself sufficiently with any pre-existing information that informs on the individual’s circumstances, and evaluate that information to ascertain exactly what I do</w:t>
      </w:r>
      <w:r w:rsidR="00444B6B" w:rsidRPr="00D217BF">
        <w:rPr>
          <w:rFonts w:eastAsia="Calibri"/>
          <w:color w:val="auto"/>
          <w:sz w:val="24"/>
          <w:szCs w:val="24"/>
          <w:lang w:eastAsia="en-US"/>
        </w:rPr>
        <w:t>,</w:t>
      </w:r>
      <w:r w:rsidRPr="00D217BF">
        <w:rPr>
          <w:rFonts w:eastAsia="Calibri"/>
          <w:color w:val="auto"/>
          <w:sz w:val="24"/>
          <w:szCs w:val="24"/>
          <w:lang w:eastAsia="en-US"/>
        </w:rPr>
        <w:t xml:space="preserve"> and don’t know about the individuals circumstances, needs and desired outcomes and that should guide my information capturing process within the assessment. Any uncertainties should be discussed beforehand with a colleague or senior practitioner. </w:t>
      </w:r>
    </w:p>
    <w:p w:rsidR="00F61206" w:rsidRPr="00D217BF" w:rsidRDefault="00F61206" w:rsidP="00BB50E0">
      <w:pPr>
        <w:overflowPunct/>
        <w:autoSpaceDE/>
        <w:autoSpaceDN/>
        <w:adjustRightInd/>
        <w:spacing w:after="200" w:line="276" w:lineRule="auto"/>
        <w:jc w:val="both"/>
        <w:textAlignment w:val="auto"/>
        <w:rPr>
          <w:rFonts w:eastAsia="Calibri"/>
          <w:color w:val="auto"/>
          <w:sz w:val="24"/>
          <w:szCs w:val="24"/>
          <w:lang w:eastAsia="en-US"/>
        </w:rPr>
      </w:pPr>
      <w:r w:rsidRPr="00D217BF">
        <w:rPr>
          <w:rFonts w:eastAsia="Calibri"/>
          <w:color w:val="auto"/>
          <w:sz w:val="24"/>
          <w:szCs w:val="24"/>
          <w:lang w:eastAsia="en-US"/>
        </w:rPr>
        <w:lastRenderedPageBreak/>
        <w:t xml:space="preserve">Discussion also addressed information gathering and sharing with professionals from other disciplines and what value collaborative working can have for achieving outcomes. </w:t>
      </w:r>
    </w:p>
    <w:p w:rsidR="00F61206" w:rsidRPr="00D217BF" w:rsidRDefault="00444B6B" w:rsidP="00BB50E0">
      <w:pPr>
        <w:overflowPunct/>
        <w:autoSpaceDE/>
        <w:autoSpaceDN/>
        <w:adjustRightInd/>
        <w:spacing w:after="200" w:line="276" w:lineRule="auto"/>
        <w:jc w:val="both"/>
        <w:textAlignment w:val="auto"/>
        <w:rPr>
          <w:rFonts w:eastAsia="Calibri"/>
          <w:color w:val="auto"/>
          <w:sz w:val="24"/>
          <w:szCs w:val="24"/>
          <w:lang w:eastAsia="en-US"/>
        </w:rPr>
      </w:pPr>
      <w:r w:rsidRPr="00D217BF">
        <w:rPr>
          <w:rFonts w:eastAsia="Calibri"/>
          <w:color w:val="auto"/>
          <w:sz w:val="24"/>
          <w:szCs w:val="24"/>
          <w:lang w:eastAsia="en-US"/>
        </w:rPr>
        <w:t>Supporting people in an older age range</w:t>
      </w:r>
      <w:r w:rsidR="00F61206" w:rsidRPr="00D217BF">
        <w:rPr>
          <w:rFonts w:eastAsia="Calibri"/>
          <w:color w:val="auto"/>
          <w:sz w:val="24"/>
          <w:szCs w:val="24"/>
          <w:lang w:eastAsia="en-US"/>
        </w:rPr>
        <w:t xml:space="preserve"> usually identifies that they ha</w:t>
      </w:r>
      <w:r w:rsidRPr="00D217BF">
        <w:rPr>
          <w:rFonts w:eastAsia="Calibri"/>
          <w:color w:val="auto"/>
          <w:sz w:val="24"/>
          <w:szCs w:val="24"/>
          <w:lang w:eastAsia="en-US"/>
        </w:rPr>
        <w:t xml:space="preserve">ve had some intervention either past or present from </w:t>
      </w:r>
      <w:r w:rsidR="00F61206" w:rsidRPr="00D217BF">
        <w:rPr>
          <w:rFonts w:eastAsia="Calibri"/>
          <w:color w:val="auto"/>
          <w:sz w:val="24"/>
          <w:szCs w:val="24"/>
          <w:lang w:eastAsia="en-US"/>
        </w:rPr>
        <w:t xml:space="preserve">health </w:t>
      </w:r>
      <w:r w:rsidRPr="00D217BF">
        <w:rPr>
          <w:rFonts w:eastAsia="Calibri"/>
          <w:color w:val="auto"/>
          <w:sz w:val="24"/>
          <w:szCs w:val="24"/>
          <w:lang w:eastAsia="en-US"/>
        </w:rPr>
        <w:t xml:space="preserve">services. </w:t>
      </w:r>
      <w:r w:rsidR="00F61206" w:rsidRPr="00D217BF">
        <w:rPr>
          <w:rFonts w:eastAsia="Calibri"/>
          <w:color w:val="auto"/>
          <w:sz w:val="24"/>
          <w:szCs w:val="24"/>
          <w:lang w:eastAsia="en-US"/>
        </w:rPr>
        <w:t xml:space="preserve">If existing information indicates that the individual has had support from another discipline or could possibly benefit from such support. Ask the question; do I need to seek advice from that discipline </w:t>
      </w:r>
      <w:r w:rsidRPr="00D217BF">
        <w:rPr>
          <w:rFonts w:eastAsia="Calibri"/>
          <w:color w:val="auto"/>
          <w:sz w:val="24"/>
          <w:szCs w:val="24"/>
          <w:lang w:eastAsia="en-US"/>
        </w:rPr>
        <w:t>ahead of my assessment?</w:t>
      </w:r>
      <w:r w:rsidR="00F61206" w:rsidRPr="00D217BF">
        <w:rPr>
          <w:rFonts w:eastAsia="Calibri"/>
          <w:color w:val="auto"/>
          <w:sz w:val="24"/>
          <w:szCs w:val="24"/>
          <w:lang w:eastAsia="en-US"/>
        </w:rPr>
        <w:t xml:space="preserve"> If so, will a telephone conversation suffice or would a joint visit be more beneficial? The answers to these questions are not known until they are explored, and that is the point; having the skills to decipher whether multi-disciplinary input is required to enhance the opportunity to improve an individual’s wellbeing is critical to achieving a holistic assessment. </w:t>
      </w:r>
    </w:p>
    <w:p w:rsidR="00444B6B" w:rsidRPr="00D217BF" w:rsidRDefault="00444B6B" w:rsidP="00BB50E0">
      <w:pPr>
        <w:overflowPunct/>
        <w:autoSpaceDE/>
        <w:autoSpaceDN/>
        <w:adjustRightInd/>
        <w:spacing w:after="200" w:line="276" w:lineRule="auto"/>
        <w:jc w:val="both"/>
        <w:textAlignment w:val="auto"/>
        <w:rPr>
          <w:rFonts w:eastAsia="Calibri"/>
          <w:color w:val="auto"/>
          <w:sz w:val="24"/>
          <w:szCs w:val="24"/>
          <w:lang w:eastAsia="en-US"/>
        </w:rPr>
      </w:pPr>
      <w:r w:rsidRPr="00D217BF">
        <w:rPr>
          <w:rFonts w:eastAsia="Calibri"/>
          <w:color w:val="auto"/>
          <w:sz w:val="24"/>
          <w:szCs w:val="24"/>
          <w:lang w:eastAsia="en-US"/>
        </w:rPr>
        <w:t>O</w:t>
      </w:r>
      <w:r w:rsidR="00F61206" w:rsidRPr="00D217BF">
        <w:rPr>
          <w:rFonts w:eastAsia="Calibri"/>
          <w:color w:val="auto"/>
          <w:sz w:val="24"/>
          <w:szCs w:val="24"/>
          <w:lang w:eastAsia="en-US"/>
        </w:rPr>
        <w:t xml:space="preserve">n occasion there </w:t>
      </w:r>
      <w:r w:rsidRPr="00D217BF">
        <w:rPr>
          <w:rFonts w:eastAsia="Calibri"/>
          <w:color w:val="auto"/>
          <w:sz w:val="24"/>
          <w:szCs w:val="24"/>
          <w:lang w:eastAsia="en-US"/>
        </w:rPr>
        <w:t>lies</w:t>
      </w:r>
      <w:r w:rsidR="00F61206" w:rsidRPr="00D217BF">
        <w:rPr>
          <w:rFonts w:eastAsia="Calibri"/>
          <w:color w:val="auto"/>
          <w:sz w:val="24"/>
          <w:szCs w:val="24"/>
          <w:lang w:eastAsia="en-US"/>
        </w:rPr>
        <w:t xml:space="preserve"> a frailty in my practice. Understandably I don’t know everything about the roles, responsibilities and services available from health colleagues, but I recognise that if I did have a greater appreciation it would contribute significantly to achieving effective person centred practice, as needs and appropriate intervention could be identified more quickly and outcomes</w:t>
      </w:r>
      <w:r w:rsidRPr="00D217BF">
        <w:rPr>
          <w:rFonts w:eastAsia="Calibri"/>
          <w:color w:val="auto"/>
          <w:sz w:val="24"/>
          <w:szCs w:val="24"/>
          <w:lang w:eastAsia="en-US"/>
        </w:rPr>
        <w:t xml:space="preserve"> more likely to be achieved.</w:t>
      </w:r>
      <w:r w:rsidR="00F61206" w:rsidRPr="00D217BF">
        <w:rPr>
          <w:rFonts w:eastAsia="Calibri"/>
          <w:color w:val="auto"/>
          <w:sz w:val="24"/>
          <w:szCs w:val="24"/>
          <w:lang w:eastAsia="en-US"/>
        </w:rPr>
        <w:t xml:space="preserve"> </w:t>
      </w:r>
    </w:p>
    <w:p w:rsidR="00F61206" w:rsidRPr="00D217BF" w:rsidRDefault="00F61206" w:rsidP="00BB50E0">
      <w:pPr>
        <w:overflowPunct/>
        <w:autoSpaceDE/>
        <w:autoSpaceDN/>
        <w:adjustRightInd/>
        <w:spacing w:after="200" w:line="276" w:lineRule="auto"/>
        <w:jc w:val="both"/>
        <w:textAlignment w:val="auto"/>
        <w:rPr>
          <w:rFonts w:eastAsia="Calibri"/>
          <w:color w:val="auto"/>
          <w:sz w:val="24"/>
          <w:szCs w:val="24"/>
          <w:lang w:eastAsia="en-US"/>
        </w:rPr>
      </w:pPr>
      <w:r w:rsidRPr="00D217BF">
        <w:rPr>
          <w:rFonts w:eastAsia="Calibri"/>
          <w:color w:val="auto"/>
          <w:sz w:val="24"/>
          <w:szCs w:val="24"/>
          <w:lang w:eastAsia="en-US"/>
        </w:rPr>
        <w:t>My line manager proposed spending some time shadowing professionals from teams who we have the majority of crossover support for our individuals; namely Community Psychiatric Nurses</w:t>
      </w:r>
      <w:r w:rsidR="00B558E7" w:rsidRPr="00D217BF">
        <w:rPr>
          <w:rFonts w:eastAsia="Calibri"/>
          <w:color w:val="auto"/>
          <w:sz w:val="24"/>
          <w:szCs w:val="24"/>
          <w:lang w:eastAsia="en-US"/>
        </w:rPr>
        <w:t xml:space="preserve"> (CPN’s)</w:t>
      </w:r>
      <w:r w:rsidRPr="00D217BF">
        <w:rPr>
          <w:rFonts w:eastAsia="Calibri"/>
          <w:color w:val="auto"/>
          <w:sz w:val="24"/>
          <w:szCs w:val="24"/>
          <w:lang w:eastAsia="en-US"/>
        </w:rPr>
        <w:t xml:space="preserve"> and District Nurses</w:t>
      </w:r>
      <w:r w:rsidR="00B558E7" w:rsidRPr="00D217BF">
        <w:rPr>
          <w:rFonts w:eastAsia="Calibri"/>
          <w:color w:val="auto"/>
          <w:sz w:val="24"/>
          <w:szCs w:val="24"/>
          <w:lang w:eastAsia="en-US"/>
        </w:rPr>
        <w:t xml:space="preserve"> (DN’s)</w:t>
      </w:r>
      <w:r w:rsidRPr="00D217BF">
        <w:rPr>
          <w:rFonts w:eastAsia="Calibri"/>
          <w:color w:val="auto"/>
          <w:sz w:val="24"/>
          <w:szCs w:val="24"/>
          <w:lang w:eastAsia="en-US"/>
        </w:rPr>
        <w:t>, this would also act as opportunity to strengthen relationships between disciplines (SSWBA)</w:t>
      </w:r>
    </w:p>
    <w:p w:rsidR="00F61206" w:rsidRPr="00D217BF" w:rsidRDefault="00F61206" w:rsidP="00BB50E0">
      <w:pPr>
        <w:overflowPunct/>
        <w:autoSpaceDE/>
        <w:autoSpaceDN/>
        <w:adjustRightInd/>
        <w:spacing w:after="200" w:line="276" w:lineRule="auto"/>
        <w:jc w:val="both"/>
        <w:textAlignment w:val="auto"/>
        <w:rPr>
          <w:rFonts w:eastAsia="Calibri"/>
          <w:color w:val="auto"/>
          <w:sz w:val="24"/>
          <w:szCs w:val="24"/>
          <w:lang w:eastAsia="en-US"/>
        </w:rPr>
      </w:pPr>
      <w:r w:rsidRPr="00D217BF">
        <w:rPr>
          <w:rFonts w:eastAsia="Calibri"/>
          <w:color w:val="auto"/>
          <w:sz w:val="24"/>
          <w:szCs w:val="24"/>
          <w:lang w:eastAsia="en-US"/>
        </w:rPr>
        <w:t xml:space="preserve">The plan going forward is to utilise these thought processes when undertaking future assessments, seek informal advice and guidance if required from colleagues and re-visit formally in a latter supervision to establish what have I learned and </w:t>
      </w:r>
      <w:r w:rsidR="00444B6B" w:rsidRPr="00D217BF">
        <w:rPr>
          <w:rFonts w:eastAsia="Calibri"/>
          <w:color w:val="auto"/>
          <w:sz w:val="24"/>
          <w:szCs w:val="24"/>
          <w:lang w:eastAsia="en-US"/>
        </w:rPr>
        <w:t xml:space="preserve">whether </w:t>
      </w:r>
      <w:r w:rsidRPr="00D217BF">
        <w:rPr>
          <w:rFonts w:eastAsia="Calibri"/>
          <w:color w:val="auto"/>
          <w:sz w:val="24"/>
          <w:szCs w:val="24"/>
          <w:lang w:eastAsia="en-US"/>
        </w:rPr>
        <w:t xml:space="preserve">outcomes </w:t>
      </w:r>
      <w:r w:rsidR="00444B6B" w:rsidRPr="00D217BF">
        <w:rPr>
          <w:rFonts w:eastAsia="Calibri"/>
          <w:color w:val="auto"/>
          <w:sz w:val="24"/>
          <w:szCs w:val="24"/>
          <w:lang w:eastAsia="en-US"/>
        </w:rPr>
        <w:t xml:space="preserve">have improved from the new approach to </w:t>
      </w:r>
      <w:r w:rsidRPr="00D217BF">
        <w:rPr>
          <w:rFonts w:eastAsia="Calibri"/>
          <w:color w:val="auto"/>
          <w:sz w:val="24"/>
          <w:szCs w:val="24"/>
          <w:lang w:eastAsia="en-US"/>
        </w:rPr>
        <w:t>practice (White et al, 2006)</w:t>
      </w:r>
      <w:r w:rsidR="00444B6B" w:rsidRPr="00D217BF">
        <w:rPr>
          <w:rFonts w:eastAsia="Calibri"/>
          <w:color w:val="auto"/>
          <w:sz w:val="24"/>
          <w:szCs w:val="24"/>
          <w:lang w:eastAsia="en-US"/>
        </w:rPr>
        <w:t xml:space="preserve"> My </w:t>
      </w:r>
      <w:r w:rsidRPr="00D217BF">
        <w:rPr>
          <w:rFonts w:eastAsia="Calibri"/>
          <w:color w:val="auto"/>
          <w:sz w:val="24"/>
          <w:szCs w:val="24"/>
          <w:lang w:eastAsia="en-US"/>
        </w:rPr>
        <w:t>ongoing developmental needs</w:t>
      </w:r>
      <w:r w:rsidR="00444B6B" w:rsidRPr="00D217BF">
        <w:rPr>
          <w:rFonts w:eastAsia="Calibri"/>
          <w:color w:val="auto"/>
          <w:sz w:val="24"/>
          <w:szCs w:val="24"/>
          <w:lang w:eastAsia="en-US"/>
        </w:rPr>
        <w:t xml:space="preserve"> will also be reviewed</w:t>
      </w:r>
      <w:r w:rsidRPr="00D217BF">
        <w:rPr>
          <w:rFonts w:eastAsia="Calibri"/>
          <w:color w:val="auto"/>
          <w:sz w:val="24"/>
          <w:szCs w:val="24"/>
          <w:lang w:eastAsia="en-US"/>
        </w:rPr>
        <w:t>.</w:t>
      </w:r>
    </w:p>
    <w:p w:rsidR="00D217BF" w:rsidRPr="00D217BF" w:rsidRDefault="00D217BF" w:rsidP="00BB50E0">
      <w:pPr>
        <w:overflowPunct/>
        <w:autoSpaceDE/>
        <w:autoSpaceDN/>
        <w:adjustRightInd/>
        <w:spacing w:after="200" w:line="276" w:lineRule="auto"/>
        <w:jc w:val="both"/>
        <w:textAlignment w:val="auto"/>
        <w:rPr>
          <w:rFonts w:eastAsia="Calibri"/>
          <w:color w:val="auto"/>
          <w:sz w:val="24"/>
          <w:szCs w:val="24"/>
          <w:lang w:eastAsia="en-US"/>
        </w:rPr>
      </w:pPr>
    </w:p>
    <w:p w:rsidR="00D217BF" w:rsidRPr="00D217BF" w:rsidRDefault="004C2B7C" w:rsidP="00D217BF">
      <w:pPr>
        <w:overflowPunct/>
        <w:autoSpaceDE/>
        <w:autoSpaceDN/>
        <w:adjustRightInd/>
        <w:spacing w:after="200" w:line="276" w:lineRule="auto"/>
        <w:jc w:val="center"/>
        <w:textAlignment w:val="auto"/>
        <w:rPr>
          <w:rFonts w:eastAsia="Calibri"/>
          <w:color w:val="auto"/>
          <w:sz w:val="24"/>
          <w:szCs w:val="24"/>
          <w:lang w:eastAsia="en-US"/>
        </w:rPr>
      </w:pPr>
      <w:r>
        <w:rPr>
          <w:rFonts w:eastAsia="Calibri"/>
          <w:color w:val="auto"/>
          <w:sz w:val="24"/>
          <w:szCs w:val="24"/>
          <w:lang w:eastAsia="en-US"/>
        </w:rPr>
        <w:t xml:space="preserve">Word Count </w:t>
      </w:r>
      <w:r w:rsidR="00D217BF" w:rsidRPr="00D217BF">
        <w:rPr>
          <w:rFonts w:eastAsia="Calibri"/>
          <w:color w:val="auto"/>
          <w:sz w:val="24"/>
          <w:szCs w:val="24"/>
          <w:lang w:eastAsia="en-US"/>
        </w:rPr>
        <w:t>546</w:t>
      </w:r>
    </w:p>
    <w:p w:rsidR="00444B6B" w:rsidRPr="00D217BF" w:rsidRDefault="00444B6B" w:rsidP="00BB50E0">
      <w:pPr>
        <w:overflowPunct/>
        <w:autoSpaceDE/>
        <w:autoSpaceDN/>
        <w:adjustRightInd/>
        <w:spacing w:after="200" w:line="276" w:lineRule="auto"/>
        <w:jc w:val="both"/>
        <w:textAlignment w:val="auto"/>
        <w:rPr>
          <w:rFonts w:eastAsia="Calibri"/>
          <w:color w:val="auto"/>
          <w:sz w:val="24"/>
          <w:szCs w:val="24"/>
          <w:lang w:eastAsia="en-US"/>
        </w:rPr>
      </w:pPr>
    </w:p>
    <w:p w:rsidR="004C2B7C" w:rsidRDefault="004C2B7C" w:rsidP="004C2B7C">
      <w:pPr>
        <w:jc w:val="center"/>
        <w:rPr>
          <w:b/>
          <w:sz w:val="24"/>
          <w:szCs w:val="24"/>
        </w:rPr>
      </w:pPr>
    </w:p>
    <w:p w:rsidR="004C2B7C" w:rsidRDefault="004C2B7C" w:rsidP="004C2B7C">
      <w:pPr>
        <w:jc w:val="center"/>
        <w:rPr>
          <w:b/>
          <w:sz w:val="24"/>
          <w:szCs w:val="24"/>
        </w:rPr>
      </w:pPr>
    </w:p>
    <w:p w:rsidR="004C2B7C" w:rsidRDefault="004C2B7C" w:rsidP="004C2B7C">
      <w:pPr>
        <w:jc w:val="center"/>
        <w:rPr>
          <w:b/>
          <w:sz w:val="24"/>
          <w:szCs w:val="24"/>
        </w:rPr>
      </w:pPr>
    </w:p>
    <w:p w:rsidR="004C2B7C" w:rsidRDefault="004C2B7C" w:rsidP="004C2B7C">
      <w:pPr>
        <w:jc w:val="center"/>
        <w:rPr>
          <w:b/>
          <w:sz w:val="24"/>
          <w:szCs w:val="24"/>
        </w:rPr>
      </w:pPr>
    </w:p>
    <w:p w:rsidR="004C2B7C" w:rsidRDefault="004C2B7C" w:rsidP="004C2B7C">
      <w:pPr>
        <w:jc w:val="center"/>
        <w:rPr>
          <w:b/>
          <w:sz w:val="24"/>
          <w:szCs w:val="24"/>
        </w:rPr>
      </w:pPr>
    </w:p>
    <w:p w:rsidR="004C2B7C" w:rsidRDefault="004C2B7C" w:rsidP="004C2B7C">
      <w:pPr>
        <w:jc w:val="center"/>
        <w:rPr>
          <w:b/>
          <w:sz w:val="24"/>
          <w:szCs w:val="24"/>
        </w:rPr>
      </w:pPr>
    </w:p>
    <w:p w:rsidR="004C2B7C" w:rsidRDefault="004C2B7C" w:rsidP="004C2B7C">
      <w:pPr>
        <w:jc w:val="center"/>
        <w:rPr>
          <w:b/>
          <w:sz w:val="24"/>
          <w:szCs w:val="24"/>
        </w:rPr>
      </w:pPr>
    </w:p>
    <w:p w:rsidR="004C2B7C" w:rsidRDefault="004C2B7C" w:rsidP="004C2B7C">
      <w:pPr>
        <w:jc w:val="center"/>
        <w:rPr>
          <w:b/>
          <w:sz w:val="24"/>
          <w:szCs w:val="24"/>
        </w:rPr>
      </w:pPr>
    </w:p>
    <w:p w:rsidR="004C2B7C" w:rsidRDefault="004C2B7C" w:rsidP="004C2B7C">
      <w:pPr>
        <w:jc w:val="center"/>
        <w:rPr>
          <w:b/>
          <w:sz w:val="24"/>
          <w:szCs w:val="24"/>
        </w:rPr>
      </w:pPr>
    </w:p>
    <w:p w:rsidR="004C2B7C" w:rsidRDefault="004C2B7C" w:rsidP="004C2B7C">
      <w:pPr>
        <w:jc w:val="center"/>
        <w:rPr>
          <w:b/>
          <w:sz w:val="24"/>
          <w:szCs w:val="24"/>
        </w:rPr>
      </w:pPr>
    </w:p>
    <w:p w:rsidR="004C2B7C" w:rsidRPr="004C2B7C" w:rsidRDefault="004C2B7C" w:rsidP="004C2B7C">
      <w:pPr>
        <w:jc w:val="center"/>
        <w:rPr>
          <w:b/>
          <w:sz w:val="24"/>
          <w:szCs w:val="24"/>
        </w:rPr>
      </w:pPr>
      <w:r w:rsidRPr="004C2B7C">
        <w:rPr>
          <w:b/>
          <w:sz w:val="24"/>
          <w:szCs w:val="24"/>
        </w:rPr>
        <w:lastRenderedPageBreak/>
        <w:t>Section 3</w:t>
      </w:r>
    </w:p>
    <w:p w:rsidR="004C2B7C" w:rsidRPr="004C2B7C" w:rsidRDefault="004C2B7C" w:rsidP="004C2B7C">
      <w:pPr>
        <w:jc w:val="both"/>
        <w:rPr>
          <w:b/>
          <w:sz w:val="24"/>
          <w:szCs w:val="24"/>
        </w:rPr>
      </w:pPr>
    </w:p>
    <w:p w:rsidR="004C2B7C" w:rsidRPr="004C2B7C" w:rsidRDefault="004C2B7C" w:rsidP="004C2B7C">
      <w:pPr>
        <w:jc w:val="both"/>
        <w:rPr>
          <w:b/>
          <w:sz w:val="24"/>
          <w:szCs w:val="24"/>
        </w:rPr>
      </w:pPr>
      <w:r w:rsidRPr="004C2B7C">
        <w:rPr>
          <w:b/>
          <w:sz w:val="24"/>
          <w:szCs w:val="24"/>
        </w:rPr>
        <w:t>Observation from an individual using services, their family and carers</w:t>
      </w:r>
    </w:p>
    <w:p w:rsidR="004C2B7C" w:rsidRPr="004C2B7C" w:rsidRDefault="004C2B7C" w:rsidP="004C2B7C">
      <w:pPr>
        <w:jc w:val="both"/>
        <w:rPr>
          <w:sz w:val="24"/>
          <w:szCs w:val="24"/>
        </w:rPr>
      </w:pPr>
    </w:p>
    <w:p w:rsidR="004C2B7C" w:rsidRPr="004C2B7C" w:rsidRDefault="004C2B7C" w:rsidP="004C2B7C">
      <w:pPr>
        <w:jc w:val="both"/>
        <w:rPr>
          <w:i/>
          <w:sz w:val="24"/>
          <w:szCs w:val="24"/>
        </w:rPr>
      </w:pPr>
      <w:r w:rsidRPr="004C2B7C">
        <w:rPr>
          <w:i/>
          <w:sz w:val="24"/>
          <w:szCs w:val="24"/>
        </w:rPr>
        <w:t xml:space="preserve">Guidance: A learner must choose an observation of </w:t>
      </w:r>
      <w:r w:rsidRPr="004C2B7C">
        <w:rPr>
          <w:b/>
          <w:i/>
          <w:sz w:val="24"/>
          <w:szCs w:val="24"/>
          <w:u w:val="single"/>
        </w:rPr>
        <w:t>direct social work practice</w:t>
      </w:r>
      <w:r w:rsidRPr="004C2B7C">
        <w:rPr>
          <w:i/>
          <w:sz w:val="24"/>
          <w:szCs w:val="24"/>
        </w:rPr>
        <w:t xml:space="preserve"> </w:t>
      </w:r>
      <w:proofErr w:type="gramStart"/>
      <w:r w:rsidRPr="004C2B7C">
        <w:rPr>
          <w:i/>
          <w:sz w:val="24"/>
          <w:szCs w:val="24"/>
        </w:rPr>
        <w:t>with an individual using services</w:t>
      </w:r>
      <w:proofErr w:type="gramEnd"/>
      <w:r w:rsidRPr="004C2B7C">
        <w:rPr>
          <w:i/>
          <w:sz w:val="24"/>
          <w:szCs w:val="24"/>
        </w:rPr>
        <w:t xml:space="preserve">,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w:t>
      </w:r>
      <w:proofErr w:type="spellStart"/>
      <w:r w:rsidRPr="004C2B7C">
        <w:rPr>
          <w:i/>
          <w:sz w:val="24"/>
          <w:szCs w:val="24"/>
        </w:rPr>
        <w:t>years experience</w:t>
      </w:r>
      <w:proofErr w:type="spellEnd"/>
      <w:r w:rsidRPr="004C2B7C">
        <w:rPr>
          <w:i/>
          <w:sz w:val="24"/>
          <w:szCs w:val="24"/>
        </w:rPr>
        <w:t xml:space="preserve"> (criteria set out in the Programme Handbook). The observation must be a minimum of 30 minutes long. The observer will gain feedback from the individual using services, their families and/or their carers using the pro forma below at the end of the visit.  </w:t>
      </w:r>
    </w:p>
    <w:p w:rsidR="004C2B7C" w:rsidRPr="004C2B7C" w:rsidRDefault="004C2B7C" w:rsidP="004C2B7C">
      <w:pPr>
        <w:jc w:val="both"/>
        <w:rPr>
          <w:i/>
          <w:sz w:val="24"/>
          <w:szCs w:val="24"/>
        </w:rPr>
      </w:pPr>
    </w:p>
    <w:p w:rsidR="004C2B7C" w:rsidRPr="004C2B7C" w:rsidRDefault="004C2B7C" w:rsidP="004C2B7C">
      <w:pPr>
        <w:jc w:val="both"/>
        <w:rPr>
          <w:i/>
          <w:sz w:val="24"/>
          <w:szCs w:val="24"/>
        </w:rPr>
      </w:pPr>
      <w:r w:rsidRPr="004C2B7C">
        <w:rPr>
          <w:i/>
          <w:sz w:val="24"/>
          <w:szCs w:val="24"/>
        </w:rPr>
        <w:t xml:space="preserve">Although the learner can choose to use the </w:t>
      </w:r>
      <w:proofErr w:type="spellStart"/>
      <w:r w:rsidRPr="004C2B7C">
        <w:rPr>
          <w:i/>
          <w:sz w:val="24"/>
          <w:szCs w:val="24"/>
        </w:rPr>
        <w:t>proforma</w:t>
      </w:r>
      <w:proofErr w:type="spellEnd"/>
      <w:r w:rsidRPr="004C2B7C">
        <w:rPr>
          <w:i/>
          <w:sz w:val="24"/>
          <w:szCs w:val="24"/>
        </w:rPr>
        <w:t xml:space="preserve"> provided for gathering feedback, they are encouraged to make this as in-depth as possible, and to use a range of ways to gather it, depending on age, ability, and the needs of the individuals using services, their families or carers.</w:t>
      </w:r>
    </w:p>
    <w:p w:rsidR="004C2B7C" w:rsidRPr="004C2B7C" w:rsidRDefault="004C2B7C" w:rsidP="004C2B7C">
      <w:pPr>
        <w:jc w:val="both"/>
        <w:rPr>
          <w:i/>
          <w:sz w:val="24"/>
          <w:szCs w:val="24"/>
        </w:rPr>
      </w:pPr>
    </w:p>
    <w:p w:rsidR="004C2B7C" w:rsidRPr="004C2B7C" w:rsidRDefault="004C2B7C" w:rsidP="004C2B7C">
      <w:pPr>
        <w:jc w:val="both"/>
        <w:rPr>
          <w:i/>
          <w:color w:val="auto"/>
          <w:sz w:val="24"/>
          <w:szCs w:val="24"/>
        </w:rPr>
      </w:pPr>
      <w:r w:rsidRPr="004C2B7C">
        <w:rPr>
          <w:i/>
          <w:color w:val="auto"/>
          <w:sz w:val="24"/>
          <w:szCs w:val="24"/>
        </w:rPr>
        <w:t>In completing this section, you should watch the 4 video clips of ‘More than just words’ on Moodle as these should help you think about your own experiences and to reflect on why language should be an integral part of assessment and service provision.</w:t>
      </w:r>
    </w:p>
    <w:p w:rsidR="004C2B7C" w:rsidRPr="004C2B7C" w:rsidRDefault="004C2B7C" w:rsidP="004C2B7C">
      <w:pPr>
        <w:jc w:val="both"/>
        <w:rPr>
          <w:sz w:val="24"/>
          <w:szCs w:val="24"/>
        </w:rPr>
      </w:pPr>
    </w:p>
    <w:p w:rsidR="004C2B7C" w:rsidRPr="004C2B7C" w:rsidRDefault="004C2B7C" w:rsidP="004C2B7C">
      <w:pPr>
        <w:jc w:val="both"/>
        <w:rPr>
          <w:b/>
          <w:sz w:val="24"/>
          <w:szCs w:val="24"/>
          <w:u w:val="single"/>
        </w:rPr>
      </w:pPr>
      <w:r w:rsidRPr="004C2B7C">
        <w:rPr>
          <w:b/>
          <w:sz w:val="24"/>
          <w:szCs w:val="24"/>
          <w:u w:val="single"/>
        </w:rPr>
        <w:t xml:space="preserve">Observation Summary </w:t>
      </w:r>
    </w:p>
    <w:p w:rsidR="004C2B7C" w:rsidRPr="004C2B7C" w:rsidRDefault="004C2B7C" w:rsidP="004C2B7C">
      <w:pPr>
        <w:jc w:val="both"/>
        <w:rPr>
          <w:sz w:val="24"/>
          <w:szCs w:val="24"/>
        </w:rPr>
      </w:pPr>
    </w:p>
    <w:p w:rsidR="004C2B7C" w:rsidRPr="004C2B7C" w:rsidRDefault="004C2B7C" w:rsidP="004C2B7C">
      <w:pPr>
        <w:jc w:val="both"/>
        <w:rPr>
          <w:sz w:val="24"/>
          <w:szCs w:val="24"/>
        </w:rPr>
      </w:pPr>
      <w:r w:rsidRPr="004C2B7C">
        <w:rPr>
          <w:sz w:val="24"/>
          <w:szCs w:val="24"/>
        </w:rPr>
        <w:t xml:space="preserve">Please include name of the expert witness observing in </w:t>
      </w:r>
      <w:r w:rsidRPr="004C2B7C">
        <w:rPr>
          <w:color w:val="auto"/>
          <w:sz w:val="24"/>
          <w:szCs w:val="24"/>
        </w:rPr>
        <w:t>section 8</w:t>
      </w:r>
      <w:r w:rsidRPr="004C2B7C">
        <w:rPr>
          <w:sz w:val="24"/>
          <w:szCs w:val="24"/>
        </w:rPr>
        <w:t>.</w:t>
      </w:r>
    </w:p>
    <w:p w:rsidR="004C2B7C" w:rsidRPr="004C2B7C" w:rsidRDefault="004C2B7C" w:rsidP="004C2B7C">
      <w:pPr>
        <w:jc w:val="both"/>
        <w:rPr>
          <w:sz w:val="24"/>
          <w:szCs w:val="24"/>
        </w:rPr>
      </w:pPr>
    </w:p>
    <w:p w:rsidR="004C2B7C" w:rsidRPr="004C2B7C" w:rsidRDefault="004C2B7C" w:rsidP="004C2B7C">
      <w:pPr>
        <w:jc w:val="both"/>
        <w:rPr>
          <w:sz w:val="24"/>
          <w:szCs w:val="24"/>
        </w:rPr>
      </w:pPr>
      <w:r w:rsidRPr="004C2B7C">
        <w:rPr>
          <w:sz w:val="24"/>
          <w:szCs w:val="24"/>
        </w:rPr>
        <w:t xml:space="preserve">Date of observation:  10.09.18 </w:t>
      </w:r>
    </w:p>
    <w:p w:rsidR="004C2B7C" w:rsidRPr="004C2B7C" w:rsidRDefault="004C2B7C" w:rsidP="004C2B7C">
      <w:pPr>
        <w:jc w:val="both"/>
        <w:rPr>
          <w:b/>
          <w:sz w:val="24"/>
          <w:szCs w:val="24"/>
        </w:rPr>
      </w:pPr>
    </w:p>
    <w:p w:rsidR="004C2B7C" w:rsidRPr="004C2B7C" w:rsidRDefault="004C2B7C" w:rsidP="004C2B7C">
      <w:pPr>
        <w:jc w:val="both"/>
        <w:rPr>
          <w:b/>
          <w:sz w:val="24"/>
          <w:szCs w:val="24"/>
        </w:rPr>
      </w:pPr>
      <w:r w:rsidRPr="004C2B7C">
        <w:rPr>
          <w:b/>
          <w:sz w:val="24"/>
          <w:szCs w:val="24"/>
        </w:rPr>
        <w:t xml:space="preserve">To be completed by learner </w:t>
      </w:r>
    </w:p>
    <w:p w:rsidR="004C2B7C" w:rsidRPr="004C2B7C" w:rsidRDefault="004C2B7C" w:rsidP="004C2B7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4C2B7C" w:rsidRPr="004C2B7C" w:rsidTr="00850F2B">
        <w:tc>
          <w:tcPr>
            <w:tcW w:w="10278" w:type="dxa"/>
            <w:shd w:val="clear" w:color="auto" w:fill="auto"/>
          </w:tcPr>
          <w:p w:rsidR="004C2B7C" w:rsidRPr="004C2B7C" w:rsidRDefault="004C2B7C" w:rsidP="004C2B7C">
            <w:pPr>
              <w:jc w:val="both"/>
              <w:rPr>
                <w:sz w:val="24"/>
                <w:szCs w:val="24"/>
              </w:rPr>
            </w:pPr>
            <w:r w:rsidRPr="004C2B7C">
              <w:rPr>
                <w:sz w:val="24"/>
                <w:szCs w:val="24"/>
              </w:rPr>
              <w:t xml:space="preserve">Set out the social work objectives and give a brief description of the situation including geographical and legislative contexts and any relevant cultural, ethnicity and language issues.  </w:t>
            </w:r>
          </w:p>
          <w:p w:rsidR="004C2B7C" w:rsidRPr="004C2B7C" w:rsidRDefault="004C2B7C" w:rsidP="004C2B7C">
            <w:pPr>
              <w:jc w:val="both"/>
              <w:rPr>
                <w:sz w:val="24"/>
                <w:szCs w:val="24"/>
              </w:rPr>
            </w:pPr>
          </w:p>
          <w:p w:rsidR="004C2B7C" w:rsidRPr="004C2B7C" w:rsidRDefault="004C2B7C" w:rsidP="004C2B7C">
            <w:pPr>
              <w:jc w:val="both"/>
              <w:rPr>
                <w:i/>
                <w:sz w:val="24"/>
                <w:szCs w:val="24"/>
              </w:rPr>
            </w:pPr>
            <w:r w:rsidRPr="004C2B7C">
              <w:rPr>
                <w:i/>
                <w:sz w:val="24"/>
                <w:szCs w:val="24"/>
              </w:rPr>
              <w:t>300 words (+/- 10%: include your actual word count at the end of each section)</w:t>
            </w:r>
          </w:p>
          <w:p w:rsidR="004C2B7C" w:rsidRPr="004C2B7C" w:rsidRDefault="004C2B7C" w:rsidP="004C2B7C">
            <w:pPr>
              <w:jc w:val="both"/>
              <w:rPr>
                <w:i/>
                <w:sz w:val="24"/>
                <w:szCs w:val="24"/>
              </w:rPr>
            </w:pPr>
          </w:p>
          <w:p w:rsidR="004C2B7C" w:rsidRPr="004C2B7C" w:rsidRDefault="004C2B7C" w:rsidP="004C2B7C">
            <w:pPr>
              <w:jc w:val="both"/>
              <w:rPr>
                <w:i/>
                <w:sz w:val="24"/>
                <w:szCs w:val="24"/>
              </w:rPr>
            </w:pPr>
          </w:p>
        </w:tc>
      </w:tr>
    </w:tbl>
    <w:p w:rsidR="004C2B7C" w:rsidRPr="004C2B7C" w:rsidRDefault="004C2B7C" w:rsidP="004C2B7C">
      <w:pPr>
        <w:jc w:val="both"/>
        <w:rPr>
          <w:sz w:val="24"/>
          <w:szCs w:val="24"/>
        </w:rPr>
      </w:pPr>
    </w:p>
    <w:p w:rsidR="004C2B7C" w:rsidRDefault="004C2B7C" w:rsidP="004C2B7C">
      <w:pPr>
        <w:jc w:val="both"/>
        <w:rPr>
          <w:color w:val="auto"/>
          <w:sz w:val="24"/>
          <w:szCs w:val="24"/>
        </w:rPr>
      </w:pPr>
    </w:p>
    <w:p w:rsidR="004C2B7C" w:rsidRDefault="004C2B7C" w:rsidP="004C2B7C">
      <w:pPr>
        <w:jc w:val="both"/>
        <w:rPr>
          <w:color w:val="auto"/>
          <w:sz w:val="24"/>
          <w:szCs w:val="24"/>
        </w:rPr>
      </w:pPr>
    </w:p>
    <w:p w:rsidR="004C2B7C" w:rsidRDefault="004C2B7C" w:rsidP="004C2B7C">
      <w:pPr>
        <w:jc w:val="both"/>
        <w:rPr>
          <w:color w:val="auto"/>
          <w:sz w:val="24"/>
          <w:szCs w:val="24"/>
        </w:rPr>
      </w:pPr>
    </w:p>
    <w:p w:rsidR="004C2B7C" w:rsidRDefault="004C2B7C" w:rsidP="004C2B7C">
      <w:pPr>
        <w:jc w:val="both"/>
        <w:rPr>
          <w:color w:val="auto"/>
          <w:sz w:val="24"/>
          <w:szCs w:val="24"/>
        </w:rPr>
      </w:pPr>
    </w:p>
    <w:p w:rsidR="004C2B7C" w:rsidRDefault="004C2B7C" w:rsidP="004C2B7C">
      <w:pPr>
        <w:jc w:val="both"/>
        <w:rPr>
          <w:color w:val="auto"/>
          <w:sz w:val="24"/>
          <w:szCs w:val="24"/>
        </w:rPr>
      </w:pPr>
    </w:p>
    <w:p w:rsidR="004C2B7C" w:rsidRDefault="004C2B7C" w:rsidP="004C2B7C">
      <w:pPr>
        <w:jc w:val="both"/>
        <w:rPr>
          <w:color w:val="auto"/>
          <w:sz w:val="24"/>
          <w:szCs w:val="24"/>
        </w:rPr>
      </w:pPr>
    </w:p>
    <w:p w:rsidR="004C2B7C" w:rsidRDefault="004C2B7C" w:rsidP="004C2B7C">
      <w:pPr>
        <w:jc w:val="both"/>
        <w:rPr>
          <w:color w:val="auto"/>
          <w:sz w:val="24"/>
          <w:szCs w:val="24"/>
        </w:rPr>
      </w:pPr>
    </w:p>
    <w:p w:rsidR="004C2B7C" w:rsidRDefault="004C2B7C" w:rsidP="004C2B7C">
      <w:pPr>
        <w:jc w:val="both"/>
        <w:rPr>
          <w:color w:val="auto"/>
          <w:sz w:val="24"/>
          <w:szCs w:val="24"/>
        </w:rPr>
      </w:pPr>
    </w:p>
    <w:p w:rsidR="004C2B7C" w:rsidRPr="000371A3" w:rsidRDefault="004C2B7C" w:rsidP="004C2B7C">
      <w:pPr>
        <w:jc w:val="both"/>
        <w:rPr>
          <w:color w:val="auto"/>
          <w:sz w:val="24"/>
          <w:szCs w:val="24"/>
        </w:rPr>
      </w:pPr>
      <w:r w:rsidRPr="000371A3">
        <w:rPr>
          <w:color w:val="auto"/>
          <w:sz w:val="24"/>
          <w:szCs w:val="24"/>
        </w:rPr>
        <w:lastRenderedPageBreak/>
        <w:t>A referral received from (2) the daughter of (1) indicated that (1) had significant sight impairment which impacted on her ability to manage certain everyday living tasks, specifically identified was the need for support in the mornings to assist with dressing appropriately, breakfast preparation and ensuring medication was taken correctly. (2) Stated that she was currently supporting this need but it was not sustainable long term due to her own family and working commitments.</w:t>
      </w:r>
    </w:p>
    <w:p w:rsidR="004C2B7C" w:rsidRPr="000371A3" w:rsidRDefault="004C2B7C" w:rsidP="004C2B7C">
      <w:pPr>
        <w:jc w:val="both"/>
        <w:rPr>
          <w:color w:val="auto"/>
          <w:sz w:val="24"/>
          <w:szCs w:val="24"/>
        </w:rPr>
      </w:pPr>
    </w:p>
    <w:p w:rsidR="004C2B7C" w:rsidRPr="000371A3" w:rsidRDefault="004C2B7C" w:rsidP="004C2B7C">
      <w:pPr>
        <w:jc w:val="both"/>
        <w:rPr>
          <w:color w:val="auto"/>
          <w:sz w:val="24"/>
          <w:szCs w:val="24"/>
        </w:rPr>
      </w:pPr>
      <w:r w:rsidRPr="000371A3">
        <w:rPr>
          <w:color w:val="auto"/>
          <w:sz w:val="24"/>
          <w:szCs w:val="24"/>
        </w:rPr>
        <w:t xml:space="preserve">An initial assessment would need to be undertaken to gain further clarification of the situation from (1)’s perspective to establish if the information I already had, reflected her interpretation of what her needs are. Further input will be sought from (2). SSWBA (2014) advises on the importance of working together with wider family members as they can provide good insight into the needs of the individual and their ongoing support can be pivotal towards achieving the desired outcomes identified by the individual. </w:t>
      </w:r>
    </w:p>
    <w:p w:rsidR="004C2B7C" w:rsidRPr="000371A3" w:rsidRDefault="004C2B7C" w:rsidP="004C2B7C">
      <w:pPr>
        <w:jc w:val="both"/>
        <w:rPr>
          <w:color w:val="auto"/>
          <w:sz w:val="24"/>
          <w:szCs w:val="24"/>
        </w:rPr>
      </w:pPr>
    </w:p>
    <w:p w:rsidR="004C2B7C" w:rsidRPr="000371A3" w:rsidRDefault="004C2B7C" w:rsidP="004C2B7C">
      <w:pPr>
        <w:jc w:val="both"/>
        <w:rPr>
          <w:color w:val="auto"/>
          <w:sz w:val="24"/>
          <w:szCs w:val="24"/>
        </w:rPr>
      </w:pPr>
      <w:r w:rsidRPr="000371A3">
        <w:rPr>
          <w:color w:val="auto"/>
          <w:sz w:val="24"/>
          <w:szCs w:val="24"/>
        </w:rPr>
        <w:t>My intention during this initial assessment is in the first instance is to encourage (1) to tell me about her situation without prompting and without directing the conversation by asking leading questions. Previous experience informs me that this approach can promote a more genuine and honest initial response,</w:t>
      </w:r>
    </w:p>
    <w:p w:rsidR="004C2B7C" w:rsidRPr="000371A3" w:rsidRDefault="004C2B7C" w:rsidP="004C2B7C">
      <w:pPr>
        <w:jc w:val="both"/>
        <w:rPr>
          <w:color w:val="auto"/>
          <w:sz w:val="24"/>
          <w:szCs w:val="24"/>
        </w:rPr>
      </w:pPr>
    </w:p>
    <w:p w:rsidR="004C2B7C" w:rsidRPr="000371A3" w:rsidRDefault="004C2B7C" w:rsidP="004C2B7C">
      <w:pPr>
        <w:jc w:val="both"/>
        <w:rPr>
          <w:color w:val="auto"/>
          <w:sz w:val="24"/>
          <w:szCs w:val="24"/>
        </w:rPr>
      </w:pPr>
      <w:r w:rsidRPr="000371A3">
        <w:rPr>
          <w:color w:val="auto"/>
          <w:sz w:val="24"/>
          <w:szCs w:val="24"/>
        </w:rPr>
        <w:t>Whatever needs are identified by (1) there is a good possibility that there will be an appropriate intervention available as (1) is fortunate in that respect to live in a well-developed urban environment in North Wales, whereby there are plentiful medical, social and recreational resources at close hand. (1)’s primary language is English is also the prevalent language spoken in this area, so effective communication should not be a barrier within service provision</w:t>
      </w:r>
    </w:p>
    <w:p w:rsidR="004C2B7C" w:rsidRPr="000371A3" w:rsidRDefault="004C2B7C" w:rsidP="004C2B7C">
      <w:pPr>
        <w:jc w:val="both"/>
        <w:rPr>
          <w:color w:val="auto"/>
          <w:sz w:val="24"/>
          <w:szCs w:val="24"/>
        </w:rPr>
      </w:pPr>
    </w:p>
    <w:p w:rsidR="004C2B7C" w:rsidRPr="000371A3" w:rsidRDefault="004C2B7C" w:rsidP="004C2B7C">
      <w:pPr>
        <w:jc w:val="both"/>
        <w:rPr>
          <w:color w:val="auto"/>
          <w:sz w:val="24"/>
          <w:szCs w:val="24"/>
        </w:rPr>
      </w:pPr>
      <w:r w:rsidRPr="000371A3">
        <w:rPr>
          <w:color w:val="auto"/>
          <w:sz w:val="24"/>
          <w:szCs w:val="24"/>
        </w:rPr>
        <w:t>However I am mindful that (1)’s age (78) and poor sight impede on her physical health, particularly her mobility and accessing certain services will require additional support in the absence of family members, (1) enjoys her own company and consequently does not have an extensive friend network to seek support from either.</w:t>
      </w:r>
    </w:p>
    <w:p w:rsidR="004C2B7C" w:rsidRPr="000371A3" w:rsidRDefault="004C2B7C" w:rsidP="004C2B7C">
      <w:pPr>
        <w:jc w:val="both"/>
        <w:rPr>
          <w:color w:val="auto"/>
          <w:sz w:val="24"/>
          <w:szCs w:val="24"/>
        </w:rPr>
      </w:pPr>
    </w:p>
    <w:p w:rsidR="004C2B7C" w:rsidRPr="000371A3" w:rsidRDefault="004C2B7C" w:rsidP="004C2B7C">
      <w:pPr>
        <w:jc w:val="center"/>
        <w:rPr>
          <w:color w:val="auto"/>
          <w:sz w:val="24"/>
          <w:szCs w:val="24"/>
        </w:rPr>
      </w:pPr>
      <w:r>
        <w:rPr>
          <w:color w:val="auto"/>
          <w:sz w:val="24"/>
          <w:szCs w:val="24"/>
        </w:rPr>
        <w:t xml:space="preserve">Word Count </w:t>
      </w:r>
      <w:r w:rsidRPr="000371A3">
        <w:rPr>
          <w:color w:val="auto"/>
          <w:sz w:val="24"/>
          <w:szCs w:val="24"/>
        </w:rPr>
        <w:t>329</w:t>
      </w: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Default="004C2B7C" w:rsidP="004C2B7C">
      <w:pPr>
        <w:jc w:val="both"/>
        <w:rPr>
          <w:sz w:val="24"/>
          <w:szCs w:val="24"/>
        </w:rPr>
      </w:pPr>
    </w:p>
    <w:p w:rsidR="004C2B7C" w:rsidRPr="004C2B7C" w:rsidRDefault="004C2B7C" w:rsidP="004C2B7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4C2B7C" w:rsidRPr="004C2B7C" w:rsidTr="00850F2B">
        <w:tc>
          <w:tcPr>
            <w:tcW w:w="10188" w:type="dxa"/>
            <w:shd w:val="clear" w:color="auto" w:fill="auto"/>
          </w:tcPr>
          <w:p w:rsidR="004C2B7C" w:rsidRPr="004C2B7C" w:rsidRDefault="004C2B7C" w:rsidP="004C2B7C">
            <w:pPr>
              <w:jc w:val="both"/>
              <w:rPr>
                <w:sz w:val="24"/>
                <w:szCs w:val="24"/>
              </w:rPr>
            </w:pPr>
            <w:r w:rsidRPr="004C2B7C">
              <w:rPr>
                <w:sz w:val="24"/>
                <w:szCs w:val="24"/>
              </w:rPr>
              <w:lastRenderedPageBreak/>
              <w:t xml:space="preserve">Critically reflect on your communication methods and skills during the observation including how you identified whether you had the necessary communication skills to work with the </w:t>
            </w:r>
            <w:r w:rsidRPr="004C2B7C">
              <w:rPr>
                <w:color w:val="auto"/>
                <w:sz w:val="24"/>
                <w:szCs w:val="24"/>
              </w:rPr>
              <w:t>individual using services, their family or carers</w:t>
            </w:r>
            <w:r w:rsidRPr="004C2B7C">
              <w:rPr>
                <w:sz w:val="24"/>
                <w:szCs w:val="24"/>
              </w:rPr>
              <w:t>.  Show how you adhered to social work values using a person centred approach, Code of Professional Practice for Social Care Workers, cultural sensitive practice, language preference including the “Active Offer” principle, and ethical practice</w:t>
            </w:r>
            <w:proofErr w:type="gramStart"/>
            <w:r w:rsidRPr="004C2B7C">
              <w:rPr>
                <w:sz w:val="24"/>
                <w:szCs w:val="24"/>
              </w:rPr>
              <w:t>..</w:t>
            </w:r>
            <w:proofErr w:type="gramEnd"/>
          </w:p>
          <w:p w:rsidR="004C2B7C" w:rsidRPr="004C2B7C" w:rsidRDefault="004C2B7C" w:rsidP="004C2B7C">
            <w:pPr>
              <w:jc w:val="both"/>
              <w:rPr>
                <w:sz w:val="24"/>
                <w:szCs w:val="24"/>
              </w:rPr>
            </w:pPr>
          </w:p>
          <w:p w:rsidR="004C2B7C" w:rsidRPr="004C2B7C" w:rsidRDefault="004C2B7C" w:rsidP="004C2B7C">
            <w:pPr>
              <w:jc w:val="both"/>
              <w:rPr>
                <w:sz w:val="24"/>
                <w:szCs w:val="24"/>
              </w:rPr>
            </w:pPr>
            <w:r w:rsidRPr="004C2B7C">
              <w:rPr>
                <w:i/>
                <w:sz w:val="24"/>
                <w:szCs w:val="24"/>
              </w:rPr>
              <w:t>1300</w:t>
            </w:r>
            <w:r w:rsidRPr="004C2B7C">
              <w:rPr>
                <w:sz w:val="24"/>
                <w:szCs w:val="24"/>
              </w:rPr>
              <w:t xml:space="preserve"> </w:t>
            </w:r>
            <w:r w:rsidRPr="004C2B7C">
              <w:rPr>
                <w:i/>
                <w:sz w:val="24"/>
                <w:szCs w:val="24"/>
              </w:rPr>
              <w:t>(+/- 10%: include your actual word count at the end of each section)</w:t>
            </w:r>
          </w:p>
        </w:tc>
      </w:tr>
    </w:tbl>
    <w:p w:rsidR="004C2B7C" w:rsidRDefault="004C2B7C" w:rsidP="00D217BF">
      <w:pPr>
        <w:jc w:val="both"/>
        <w:rPr>
          <w:rFonts w:eastAsia="Calibri"/>
          <w:b/>
          <w:color w:val="auto"/>
          <w:sz w:val="24"/>
          <w:szCs w:val="24"/>
          <w:lang w:eastAsia="en-US"/>
        </w:rPr>
      </w:pPr>
    </w:p>
    <w:p w:rsidR="004C2B7C" w:rsidRDefault="004C2B7C" w:rsidP="00D217BF">
      <w:pPr>
        <w:jc w:val="both"/>
        <w:rPr>
          <w:rFonts w:eastAsia="Calibri"/>
          <w:b/>
          <w:color w:val="auto"/>
          <w:sz w:val="24"/>
          <w:szCs w:val="24"/>
          <w:lang w:eastAsia="en-US"/>
        </w:rPr>
      </w:pPr>
    </w:p>
    <w:p w:rsidR="004C2B7C" w:rsidRDefault="004C2B7C" w:rsidP="00D217BF">
      <w:pPr>
        <w:jc w:val="both"/>
        <w:rPr>
          <w:rFonts w:eastAsia="Calibri"/>
          <w:b/>
          <w:color w:val="auto"/>
          <w:sz w:val="24"/>
          <w:szCs w:val="24"/>
          <w:lang w:eastAsia="en-US"/>
        </w:rPr>
      </w:pP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 xml:space="preserve">To be clear this planned observation is a follow up assessment scheduled approximately two months after the proposed initial assessment detailed above. For information purposes the needs identified by (1) during that initial assessment concurred with information previously received from (2). </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 xml:space="preserve">The rationale for this secondary visit came about because I, as a matter of practice regularly keep in contact with the people I support. I feel it is respectful and obligatory to check on their wellbeing and to advise them of any progress made since their initial assessment. In this particular circumstance a considerable amount of time had passed since (1)’s initial assessment and due to limited resources, the identified support had not yet commenced. It has been widely publicised that people are living longer and it is predicted that the number of 85+year olds living in Wales will double over the next 20 years and in North Wales alone there will a shortage of 7000 carers by as soon as 2026 </w:t>
      </w:r>
      <w:r w:rsidRPr="000371A3">
        <w:rPr>
          <w:rFonts w:eastAsia="Calibri"/>
          <w:i/>
          <w:color w:val="auto"/>
          <w:sz w:val="24"/>
          <w:szCs w:val="24"/>
          <w:lang w:eastAsia="en-US"/>
        </w:rPr>
        <w:t>(Daily Post Online, 2018) Hence, r</w:t>
      </w:r>
      <w:r w:rsidRPr="000371A3">
        <w:rPr>
          <w:rFonts w:eastAsia="Calibri"/>
          <w:color w:val="auto"/>
          <w:sz w:val="24"/>
          <w:szCs w:val="24"/>
          <w:lang w:eastAsia="en-US"/>
        </w:rPr>
        <w:t xml:space="preserve">ecruitment and retention of care workers has been a mandate of the Welsh Government (WG) for many years </w:t>
      </w:r>
      <w:r w:rsidRPr="000371A3">
        <w:rPr>
          <w:rFonts w:eastAsia="Calibri"/>
          <w:i/>
          <w:color w:val="auto"/>
          <w:sz w:val="24"/>
          <w:szCs w:val="24"/>
          <w:lang w:eastAsia="en-US"/>
        </w:rPr>
        <w:t>(WG, 2016).</w:t>
      </w:r>
      <w:r w:rsidRPr="000371A3">
        <w:rPr>
          <w:rFonts w:eastAsia="Calibri"/>
          <w:color w:val="auto"/>
          <w:sz w:val="24"/>
          <w:szCs w:val="24"/>
          <w:lang w:eastAsia="en-US"/>
        </w:rPr>
        <w:t xml:space="preserve"> </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 xml:space="preserve">I proceeded to telephone (1) who revealed that she no longer wished to receive any service provision. I was concerned and felt a home visit would be required to help clarify the situation. If time permitted within my role, I would choose to speak to people face to face every time, I think it is more a personable approach and generally a more effective method for communicating. I practice in a locality that is multi-cultural and comprises of many people who speak more than one language. I am mindful not to make assumptions that just because a person is conversing with me in my chosen language, that it is their chosen language. In recognition of this highly publicised shortcoming practitioners must make an ’Active Offer’ to all individuals to determine their preferred language of communication ahead of engaging in dialogue </w:t>
      </w:r>
      <w:r w:rsidRPr="000371A3">
        <w:rPr>
          <w:rFonts w:eastAsia="Calibri"/>
          <w:i/>
          <w:color w:val="auto"/>
          <w:sz w:val="24"/>
          <w:szCs w:val="24"/>
          <w:lang w:eastAsia="en-US"/>
        </w:rPr>
        <w:t>(More Than Words, 2018)</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Face to face interaction enhances the opportunities to find out so much more about a person than just the difficulties they may be experiencing. I encourage open conversation utilising a narrative approach; incorporating open questioning provides good opportunity for detailed response.</w:t>
      </w:r>
      <w:r w:rsidRPr="000371A3">
        <w:rPr>
          <w:color w:val="auto"/>
          <w:sz w:val="24"/>
          <w:szCs w:val="24"/>
        </w:rPr>
        <w:t xml:space="preserve"> I will revert to closed questions only if I feel this direction is required to provide clarity and enhance the experience for the recipient. A recent survey undertaken by Weller et al (2018) identified that open </w:t>
      </w:r>
      <w:r w:rsidRPr="000371A3">
        <w:rPr>
          <w:color w:val="auto"/>
          <w:sz w:val="24"/>
          <w:szCs w:val="24"/>
        </w:rPr>
        <w:lastRenderedPageBreak/>
        <w:t>ended questions are most effective when the interviewer carefully considers how and when to provide input.</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 xml:space="preserve">Choosing the opportune moment to interject into a conversation can be critical to how an assessment develops, particularly when an individual is discussing personal or sensitive issues. Offering words of assurance or kindness provide the opportunity to build trust; enhanced further if the individual feels you are being genuinely attentive, and believes you can help their situation. </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 xml:space="preserve">Trust and relationship building with individuals and their families is central to good practice and achieving outcomes (Social Care Wales, 2017) but </w:t>
      </w:r>
      <w:proofErr w:type="spellStart"/>
      <w:r w:rsidRPr="000371A3">
        <w:rPr>
          <w:rFonts w:eastAsia="Calibri"/>
          <w:color w:val="auto"/>
          <w:sz w:val="24"/>
          <w:szCs w:val="24"/>
          <w:lang w:eastAsia="en-US"/>
        </w:rPr>
        <w:t>Dybicz</w:t>
      </w:r>
      <w:proofErr w:type="spellEnd"/>
      <w:r w:rsidRPr="000371A3">
        <w:rPr>
          <w:rFonts w:eastAsia="Calibri"/>
          <w:color w:val="auto"/>
          <w:sz w:val="24"/>
          <w:szCs w:val="24"/>
          <w:lang w:eastAsia="en-US"/>
        </w:rPr>
        <w:t xml:space="preserve"> (2012) warns that offering kindness and consideration in social work practice walks a fine line for retaining social work professionalism as this can be misconstrued by the client. I appreciate that both statements are credible and it my responsibility to ensure professional boundaries remain visible at all times particularly when trust and familiarity has grown. Mindful of this I had established from my previous assessment that (1) appears to be at ease and responsive when humour is incorporated into conversation; based on this observation I will adopt this approach in this next assessment, but not at the expense of purposeful dialogue and maintaining professionalism. </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 xml:space="preserve">A few days prior to my observed observation with (1) I sought her permission to visit accompanied by the observer, and I clarified our respective roles. I was clear to inform that this was a purposeful visit to reassess her needs and not purely an academic venture. I thanked her for being agreeable but also assured her that if at any point she felt uncomfortable with the situation either prior to or during the observation, it can be stopped, she appreciated knowing that. </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 xml:space="preserve">On arrival for the assessment, before entering (1)’s property I clarified with her that she was happy for the observation to go ahead, and introduced the observer. I asked (1) where she would like us to sit.  My approach endeavours to create a feeling of equality; I want (1) to have confidence to contribute to her own care planning. However </w:t>
      </w:r>
      <w:proofErr w:type="spellStart"/>
      <w:r w:rsidRPr="000371A3">
        <w:rPr>
          <w:rFonts w:eastAsia="Calibri"/>
          <w:color w:val="auto"/>
          <w:sz w:val="24"/>
          <w:szCs w:val="24"/>
          <w:lang w:eastAsia="en-US"/>
        </w:rPr>
        <w:t>Fargion</w:t>
      </w:r>
      <w:proofErr w:type="spellEnd"/>
      <w:r w:rsidRPr="000371A3">
        <w:rPr>
          <w:rFonts w:eastAsia="Calibri"/>
          <w:color w:val="auto"/>
          <w:sz w:val="24"/>
          <w:szCs w:val="24"/>
          <w:lang w:eastAsia="en-US"/>
        </w:rPr>
        <w:t xml:space="preserve"> (2006) believes power imbalance can never be eradicated as the practitioner’s knowledge of appropriate interventions and available resources will influence the chosen pathway.</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 xml:space="preserve">Proceeding with the assessment, I knew (1) was hard of hearing so I positioned myself as close as possible to her, leaning forward from my seat for the majority of the time to ensure she could hear me clearly; the first thing I asked (1) was how she was, followed by whether she knew why I was coming to talk with her. I purposely use these two open questions in most of my assessments because when an individual knows you are visiting, they will have formulated things in their mind that they need to tell you immediately, the content will usually be relevant, but not always; hence, why my next question is designed to bring focus to the nature of assessment. </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lastRenderedPageBreak/>
        <w:t xml:space="preserve">What may seem irrelevant dialogue to me during an assessment is likely to be important to the individual, or they wouldn’t say it. So, I need to be actively listening at all times and respond appropriately. Failing to do this equates to poor Person Centred Practice, </w:t>
      </w:r>
      <w:r w:rsidRPr="000371A3">
        <w:rPr>
          <w:rFonts w:eastAsia="Calibri"/>
          <w:i/>
          <w:color w:val="auto"/>
          <w:sz w:val="24"/>
          <w:szCs w:val="24"/>
          <w:lang w:eastAsia="en-US"/>
        </w:rPr>
        <w:t>(PCP in social work, 2011)</w:t>
      </w:r>
      <w:r w:rsidRPr="000371A3">
        <w:rPr>
          <w:rFonts w:eastAsia="Calibri"/>
          <w:color w:val="auto"/>
          <w:sz w:val="24"/>
          <w:szCs w:val="24"/>
          <w:lang w:eastAsia="en-US"/>
        </w:rPr>
        <w:t xml:space="preserve"> </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(1) had good recollection of our previous engagement and was quick to tell me that her needs had changed, circumstance had left her without the support of her daughter for a couple of weeks and neither she or her daughter notified our service of any change. What manifested is that (1) used her resourceful nature to overcome independently the tasks previously supported by her daughter and consequently the need reduced significantly. This information literally eradicated all the needs captured from the initial assessment and because of this I paraphrased all she had told me, back to her to clarify that my interpretation of her situation reflected how she has portrayed it.</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 xml:space="preserve">Though this information was much welcomed it was also unexpected, and unexpected information can cause worry for the practitioner who has difficulty understanding and adapting quickly to changes. Fortunately I found that throughout my engagement with (1) I was able to digest and process the information I was receiving without distracting from the ongoing dialogue. This allowed me to retain professional focus of what was a clear situation of positive risk taking leading to promotion of independence </w:t>
      </w:r>
      <w:r w:rsidRPr="000371A3">
        <w:rPr>
          <w:rFonts w:eastAsia="Calibri"/>
          <w:i/>
          <w:color w:val="auto"/>
          <w:sz w:val="24"/>
          <w:szCs w:val="24"/>
          <w:lang w:eastAsia="en-US"/>
        </w:rPr>
        <w:t xml:space="preserve">(Codes of Professional Practice, 2017) </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 xml:space="preserve">Being able to adapt/react within a situation and reconfigure thoughts and ideas provided me with insight to recalculate the risk and reassess the need swiftly. I found that there came a natural point within the assessment when all relevant information had been gathered. At this point I reconfirmed with (1) my understanding of her need, wishes and feelings and clarified my next intention which was to share the outcome of this assessment with (2) subject to (1) permitting </w:t>
      </w:r>
      <w:r w:rsidRPr="000371A3">
        <w:rPr>
          <w:rFonts w:eastAsia="Calibri"/>
          <w:i/>
          <w:color w:val="auto"/>
          <w:sz w:val="24"/>
          <w:szCs w:val="24"/>
          <w:lang w:eastAsia="en-US"/>
        </w:rPr>
        <w:t>(General Data Protection Regulation, 2018)</w:t>
      </w:r>
      <w:r w:rsidRPr="000371A3">
        <w:rPr>
          <w:rFonts w:eastAsia="Calibri"/>
          <w:color w:val="auto"/>
          <w:sz w:val="24"/>
          <w:szCs w:val="24"/>
          <w:lang w:eastAsia="en-US"/>
        </w:rPr>
        <w:t xml:space="preserve"> I was also transparency in respect of the fact that my involvement would cease following a period of review. I again thanked (1) before leaving.</w:t>
      </w:r>
    </w:p>
    <w:p w:rsidR="004C2B7C" w:rsidRPr="000371A3"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0371A3">
        <w:rPr>
          <w:rFonts w:eastAsia="Calibri"/>
          <w:color w:val="auto"/>
          <w:sz w:val="24"/>
          <w:szCs w:val="24"/>
          <w:lang w:eastAsia="en-US"/>
        </w:rPr>
        <w:t>What I have found most interesting about my findings from this observed reassessment is that should service provision been readily available following the initial assessment (1) may never have got the opportunity to test and expand her independent living skills further; and instead of becoming more independent she may have become less. Sadly it is all too apparent in the current social climate that people are being de-skilled and finding themselves becoming institutionalised in care settings due to the lack of care provision available in a timely manner to keep people living at home for longer or to enable a timely return home from a more restrictive environment.</w:t>
      </w:r>
    </w:p>
    <w:p w:rsidR="004C2B7C" w:rsidRPr="000371A3" w:rsidRDefault="004C2B7C" w:rsidP="004C2B7C">
      <w:pPr>
        <w:overflowPunct/>
        <w:autoSpaceDE/>
        <w:autoSpaceDN/>
        <w:adjustRightInd/>
        <w:spacing w:after="200" w:line="276" w:lineRule="auto"/>
        <w:jc w:val="center"/>
        <w:textAlignment w:val="auto"/>
        <w:rPr>
          <w:rFonts w:eastAsia="Calibri"/>
          <w:color w:val="auto"/>
          <w:sz w:val="24"/>
          <w:szCs w:val="24"/>
          <w:lang w:eastAsia="en-US"/>
        </w:rPr>
      </w:pPr>
      <w:r>
        <w:rPr>
          <w:rFonts w:eastAsia="Calibri"/>
          <w:color w:val="auto"/>
          <w:sz w:val="24"/>
          <w:szCs w:val="24"/>
          <w:lang w:eastAsia="en-US"/>
        </w:rPr>
        <w:t xml:space="preserve">Word Count </w:t>
      </w:r>
      <w:r w:rsidRPr="000371A3">
        <w:rPr>
          <w:rFonts w:eastAsia="Calibri"/>
          <w:color w:val="auto"/>
          <w:sz w:val="24"/>
          <w:szCs w:val="24"/>
          <w:lang w:eastAsia="en-US"/>
        </w:rPr>
        <w:t>1357</w:t>
      </w:r>
    </w:p>
    <w:p w:rsidR="004C2B7C" w:rsidRDefault="004C2B7C" w:rsidP="00D217BF">
      <w:pPr>
        <w:jc w:val="both"/>
        <w:rPr>
          <w:rFonts w:eastAsia="Calibri"/>
          <w:b/>
          <w:color w:val="auto"/>
          <w:sz w:val="24"/>
          <w:szCs w:val="24"/>
          <w:lang w:eastAsia="en-US"/>
        </w:rPr>
      </w:pPr>
    </w:p>
    <w:p w:rsidR="004C2B7C" w:rsidRPr="004C2B7C" w:rsidRDefault="004C2B7C" w:rsidP="004C2B7C">
      <w:pPr>
        <w:jc w:val="center"/>
        <w:rPr>
          <w:b/>
          <w:sz w:val="24"/>
          <w:szCs w:val="24"/>
        </w:rPr>
      </w:pPr>
      <w:proofErr w:type="gramStart"/>
      <w:r w:rsidRPr="004C2B7C">
        <w:rPr>
          <w:b/>
          <w:sz w:val="24"/>
          <w:szCs w:val="24"/>
        </w:rPr>
        <w:lastRenderedPageBreak/>
        <w:t>Section  5</w:t>
      </w:r>
      <w:proofErr w:type="gramEnd"/>
    </w:p>
    <w:p w:rsidR="004C2B7C" w:rsidRPr="004C2B7C" w:rsidRDefault="004C2B7C" w:rsidP="004C2B7C">
      <w:pPr>
        <w:jc w:val="center"/>
        <w:rPr>
          <w:b/>
          <w:sz w:val="24"/>
          <w:szCs w:val="24"/>
        </w:rPr>
      </w:pPr>
    </w:p>
    <w:p w:rsidR="004C2B7C" w:rsidRPr="004C2B7C" w:rsidRDefault="004C2B7C" w:rsidP="004C2B7C">
      <w:pPr>
        <w:rPr>
          <w:b/>
          <w:sz w:val="24"/>
          <w:szCs w:val="24"/>
        </w:rPr>
      </w:pPr>
      <w:r w:rsidRPr="004C2B7C">
        <w:rPr>
          <w:b/>
          <w:sz w:val="24"/>
          <w:szCs w:val="24"/>
        </w:rPr>
        <w:t>Safeguarding</w:t>
      </w:r>
    </w:p>
    <w:p w:rsidR="004C2B7C" w:rsidRPr="004C2B7C" w:rsidRDefault="004C2B7C" w:rsidP="004C2B7C">
      <w:pPr>
        <w:jc w:val="both"/>
        <w:rPr>
          <w:b/>
          <w:sz w:val="24"/>
          <w:szCs w:val="24"/>
        </w:rPr>
      </w:pPr>
    </w:p>
    <w:p w:rsidR="004C2B7C" w:rsidRPr="004C2B7C" w:rsidRDefault="004C2B7C" w:rsidP="004C2B7C">
      <w:pPr>
        <w:ind w:left="-90"/>
        <w:jc w:val="both"/>
        <w:rPr>
          <w:i/>
          <w:sz w:val="24"/>
          <w:szCs w:val="24"/>
        </w:rPr>
      </w:pPr>
      <w:r w:rsidRPr="004C2B7C">
        <w:rPr>
          <w:i/>
          <w:sz w:val="24"/>
          <w:szCs w:val="24"/>
        </w:rPr>
        <w:t xml:space="preserve">Guidance: Social Care Wales require newly qualified social workers to provide evidence of their understanding of safeguarding work with adults </w:t>
      </w:r>
      <w:r w:rsidRPr="004C2B7C">
        <w:rPr>
          <w:b/>
          <w:i/>
          <w:sz w:val="24"/>
          <w:szCs w:val="24"/>
        </w:rPr>
        <w:t>and</w:t>
      </w:r>
      <w:r w:rsidRPr="004C2B7C">
        <w:rPr>
          <w:i/>
          <w:sz w:val="24"/>
          <w:szCs w:val="24"/>
        </w:rPr>
        <w:t xml:space="preserve"> children. The assignment below will enable you to show this. </w:t>
      </w:r>
      <w:r w:rsidRPr="004C2B7C">
        <w:rPr>
          <w:b/>
          <w:i/>
          <w:sz w:val="24"/>
          <w:szCs w:val="24"/>
        </w:rPr>
        <w:t>N.B</w:t>
      </w:r>
      <w:r w:rsidRPr="004C2B7C">
        <w:rPr>
          <w:i/>
          <w:sz w:val="24"/>
          <w:szCs w:val="24"/>
        </w:rPr>
        <w:t xml:space="preserve">. if your normal area of work is with children please write about adult safeguarding. If you normally work with adults then write about child safeguarding. </w:t>
      </w:r>
    </w:p>
    <w:p w:rsidR="004C2B7C" w:rsidRPr="004C2B7C" w:rsidRDefault="004C2B7C" w:rsidP="004C2B7C">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4C2B7C" w:rsidRPr="004C2B7C" w:rsidTr="00850F2B">
        <w:tc>
          <w:tcPr>
            <w:tcW w:w="10188" w:type="dxa"/>
            <w:shd w:val="clear" w:color="auto" w:fill="auto"/>
          </w:tcPr>
          <w:p w:rsidR="004C2B7C" w:rsidRPr="004C2B7C" w:rsidRDefault="004C2B7C" w:rsidP="004C2B7C">
            <w:pPr>
              <w:jc w:val="both"/>
              <w:rPr>
                <w:sz w:val="24"/>
                <w:szCs w:val="24"/>
              </w:rPr>
            </w:pPr>
            <w:r w:rsidRPr="004C2B7C">
              <w:rPr>
                <w:sz w:val="24"/>
                <w:szCs w:val="24"/>
              </w:rPr>
              <w:t xml:space="preserve">In an area </w:t>
            </w:r>
            <w:r w:rsidRPr="004C2B7C">
              <w:rPr>
                <w:b/>
                <w:sz w:val="24"/>
                <w:szCs w:val="24"/>
              </w:rPr>
              <w:t xml:space="preserve">that is not your main focus of work </w:t>
            </w:r>
            <w:r w:rsidRPr="004C2B7C">
              <w:rPr>
                <w:sz w:val="24"/>
                <w:szCs w:val="24"/>
              </w:rPr>
              <w:t>(see guidance above)</w:t>
            </w:r>
            <w:proofErr w:type="gramStart"/>
            <w:r w:rsidRPr="004C2B7C">
              <w:rPr>
                <w:sz w:val="24"/>
                <w:szCs w:val="24"/>
              </w:rPr>
              <w:t>,</w:t>
            </w:r>
            <w:proofErr w:type="gramEnd"/>
            <w:r w:rsidRPr="004C2B7C">
              <w:rPr>
                <w:sz w:val="24"/>
                <w:szCs w:val="24"/>
              </w:rPr>
              <w:t xml:space="preserve"> explain the relevant legislation, and the national, local and organisational policies and procedures for safeguarding. </w:t>
            </w:r>
          </w:p>
          <w:p w:rsidR="004C2B7C" w:rsidRPr="004C2B7C" w:rsidRDefault="004C2B7C" w:rsidP="004C2B7C">
            <w:pPr>
              <w:jc w:val="both"/>
              <w:rPr>
                <w:sz w:val="24"/>
                <w:szCs w:val="24"/>
              </w:rPr>
            </w:pPr>
          </w:p>
          <w:p w:rsidR="004C2B7C" w:rsidRPr="004C2B7C" w:rsidRDefault="004C2B7C" w:rsidP="004C2B7C">
            <w:pPr>
              <w:jc w:val="both"/>
              <w:rPr>
                <w:b/>
                <w:sz w:val="24"/>
                <w:szCs w:val="24"/>
              </w:rPr>
            </w:pPr>
            <w:r w:rsidRPr="004C2B7C">
              <w:rPr>
                <w:i/>
                <w:sz w:val="24"/>
                <w:szCs w:val="24"/>
              </w:rPr>
              <w:t>500 words</w:t>
            </w:r>
            <w:r w:rsidRPr="004C2B7C">
              <w:rPr>
                <w:sz w:val="24"/>
                <w:szCs w:val="24"/>
              </w:rPr>
              <w:t xml:space="preserve"> (+/- 10%: include your actual word count at the end of each section)</w:t>
            </w:r>
          </w:p>
        </w:tc>
      </w:tr>
    </w:tbl>
    <w:p w:rsidR="004C2B7C" w:rsidRDefault="004C2B7C" w:rsidP="00D217BF">
      <w:pPr>
        <w:jc w:val="both"/>
        <w:rPr>
          <w:rFonts w:eastAsia="Calibri"/>
          <w:b/>
          <w:color w:val="auto"/>
          <w:sz w:val="24"/>
          <w:szCs w:val="24"/>
          <w:lang w:eastAsia="en-US"/>
        </w:rPr>
      </w:pPr>
    </w:p>
    <w:p w:rsidR="004C2B7C" w:rsidRDefault="004C2B7C" w:rsidP="004C2B7C">
      <w:pPr>
        <w:overflowPunct/>
        <w:autoSpaceDE/>
        <w:autoSpaceDN/>
        <w:adjustRightInd/>
        <w:spacing w:after="200" w:line="276" w:lineRule="auto"/>
        <w:jc w:val="both"/>
        <w:textAlignment w:val="auto"/>
        <w:rPr>
          <w:rFonts w:eastAsia="Calibri"/>
          <w:i/>
          <w:color w:val="auto"/>
          <w:sz w:val="24"/>
          <w:szCs w:val="24"/>
          <w:lang w:eastAsia="en-US"/>
        </w:rPr>
      </w:pPr>
      <w:r>
        <w:rPr>
          <w:rFonts w:eastAsia="Calibri"/>
          <w:color w:val="auto"/>
          <w:sz w:val="24"/>
          <w:szCs w:val="24"/>
          <w:lang w:eastAsia="en-US"/>
        </w:rPr>
        <w:t xml:space="preserve">Up until 1989, the 20th Century had seen very little change in its child safeguarding legislation. The Children and Young Person Act (1933) had not evolved with any great significance to suggest that it could be effective in identifying and meeting the risks posed to children in an ever changing world </w:t>
      </w:r>
      <w:r>
        <w:rPr>
          <w:rFonts w:eastAsia="Calibri"/>
          <w:i/>
          <w:color w:val="auto"/>
          <w:sz w:val="24"/>
          <w:szCs w:val="24"/>
          <w:lang w:eastAsia="en-US"/>
        </w:rPr>
        <w:t>(</w:t>
      </w:r>
      <w:r w:rsidRPr="00FD06FA">
        <w:rPr>
          <w:rFonts w:eastAsia="Calibri"/>
          <w:i/>
          <w:color w:val="auto"/>
          <w:sz w:val="24"/>
          <w:szCs w:val="24"/>
          <w:lang w:eastAsia="en-US"/>
        </w:rPr>
        <w:t>Leggett, 2014)</w:t>
      </w:r>
      <w:r>
        <w:rPr>
          <w:rFonts w:eastAsia="Calibri"/>
          <w:color w:val="auto"/>
          <w:sz w:val="24"/>
          <w:szCs w:val="24"/>
          <w:lang w:eastAsia="en-US"/>
        </w:rPr>
        <w:t xml:space="preserve"> </w:t>
      </w:r>
      <w:r w:rsidRPr="00500EFB">
        <w:rPr>
          <w:rFonts w:eastAsia="Calibri"/>
          <w:color w:val="auto"/>
          <w:sz w:val="24"/>
          <w:szCs w:val="24"/>
          <w:lang w:eastAsia="en-US"/>
        </w:rPr>
        <w:t xml:space="preserve">The Children’s Act (1989) set </w:t>
      </w:r>
      <w:r>
        <w:rPr>
          <w:rFonts w:eastAsia="Calibri"/>
          <w:color w:val="auto"/>
          <w:sz w:val="24"/>
          <w:szCs w:val="24"/>
          <w:lang w:eastAsia="en-US"/>
        </w:rPr>
        <w:t xml:space="preserve">about to introduce those much needed changes. With its core principal being that a child’s welfare must be at the heart of any decision making regarding their upbringing, robust measures and clear guidance for safeguarding children were introduced. </w:t>
      </w:r>
      <w:r w:rsidRPr="00500EFB">
        <w:rPr>
          <w:rFonts w:eastAsia="Calibri"/>
          <w:color w:val="auto"/>
          <w:sz w:val="24"/>
          <w:szCs w:val="24"/>
          <w:lang w:eastAsia="en-US"/>
        </w:rPr>
        <w:t xml:space="preserve">Lord Chancellor Mackay stated “this is the most comprehensive reform to child law in living memory” </w:t>
      </w:r>
      <w:r w:rsidRPr="00500EFB">
        <w:rPr>
          <w:rFonts w:eastAsia="Calibri"/>
          <w:i/>
          <w:color w:val="auto"/>
          <w:sz w:val="24"/>
          <w:szCs w:val="24"/>
          <w:lang w:eastAsia="en-US"/>
        </w:rPr>
        <w:t xml:space="preserve">(NSPCC, 2012) </w:t>
      </w:r>
    </w:p>
    <w:p w:rsidR="004C2B7C" w:rsidRPr="00046EC7"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Pr>
          <w:rFonts w:eastAsia="Calibri"/>
          <w:color w:val="auto"/>
          <w:sz w:val="24"/>
          <w:szCs w:val="24"/>
          <w:lang w:eastAsia="en-US"/>
        </w:rPr>
        <w:t xml:space="preserve">The Children’s Act (1989) </w:t>
      </w:r>
      <w:r w:rsidRPr="00500EFB">
        <w:rPr>
          <w:rFonts w:eastAsia="Calibri"/>
          <w:color w:val="auto"/>
          <w:sz w:val="24"/>
          <w:szCs w:val="24"/>
          <w:lang w:eastAsia="en-US"/>
        </w:rPr>
        <w:t xml:space="preserve">remains the legislation that underpins </w:t>
      </w:r>
      <w:r>
        <w:rPr>
          <w:rFonts w:eastAsia="Calibri"/>
          <w:color w:val="auto"/>
          <w:sz w:val="24"/>
          <w:szCs w:val="24"/>
          <w:lang w:eastAsia="en-US"/>
        </w:rPr>
        <w:t>child safeguarding policy today. The most recognisable change to child safeguarding is detailed within s.47 of the Act; which states that if there is a cause for concern that a child maybe suffering or likely to suffer “significant harm” then the local authority has a duty to investigate further.</w:t>
      </w:r>
    </w:p>
    <w:p w:rsidR="004C2B7C" w:rsidRPr="000939D7"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Pr>
          <w:rFonts w:eastAsia="Calibri"/>
          <w:color w:val="auto"/>
          <w:sz w:val="24"/>
          <w:szCs w:val="24"/>
          <w:lang w:eastAsia="en-US"/>
        </w:rPr>
        <w:t xml:space="preserve">New acts have since come into force to address newly identified risks for children, such a Radicalisation, with </w:t>
      </w:r>
      <w:r w:rsidRPr="00500EFB">
        <w:rPr>
          <w:rFonts w:eastAsia="Calibri"/>
          <w:color w:val="auto"/>
          <w:sz w:val="24"/>
          <w:szCs w:val="24"/>
          <w:lang w:eastAsia="en-US"/>
        </w:rPr>
        <w:t>The Counter Terrorism and Security Act (2015)</w:t>
      </w:r>
      <w:r>
        <w:rPr>
          <w:rFonts w:eastAsia="Calibri"/>
          <w:color w:val="auto"/>
          <w:sz w:val="24"/>
          <w:szCs w:val="24"/>
          <w:lang w:eastAsia="en-US"/>
        </w:rPr>
        <w:t xml:space="preserve"> providing guidance </w:t>
      </w:r>
      <w:r w:rsidRPr="00500EFB">
        <w:rPr>
          <w:rFonts w:eastAsia="Calibri"/>
          <w:i/>
          <w:color w:val="auto"/>
          <w:sz w:val="24"/>
          <w:szCs w:val="24"/>
          <w:lang w:eastAsia="en-US"/>
        </w:rPr>
        <w:t>(UK Government, 2015)</w:t>
      </w:r>
      <w:r>
        <w:rPr>
          <w:rFonts w:eastAsia="Calibri"/>
          <w:color w:val="auto"/>
          <w:sz w:val="24"/>
          <w:szCs w:val="24"/>
          <w:lang w:eastAsia="en-US"/>
        </w:rPr>
        <w:t xml:space="preserve"> Specifically in Wales, The Social Services and Wellbeing (Wales) Act (2014) critically has removed the ambiguous statement identifying “significant” harm as a marker for investigation. Rather s.7 of this act states that all </w:t>
      </w:r>
      <w:r w:rsidRPr="00500EFB">
        <w:rPr>
          <w:rFonts w:eastAsia="Calibri"/>
          <w:color w:val="auto"/>
          <w:sz w:val="24"/>
          <w:szCs w:val="24"/>
          <w:lang w:eastAsia="en-US"/>
        </w:rPr>
        <w:t xml:space="preserve">statutory partners and funded service providers must report to the local authority “any </w:t>
      </w:r>
      <w:r>
        <w:rPr>
          <w:rFonts w:eastAsia="Calibri"/>
          <w:color w:val="auto"/>
          <w:sz w:val="24"/>
          <w:szCs w:val="24"/>
          <w:lang w:eastAsia="en-US"/>
        </w:rPr>
        <w:t xml:space="preserve">potential </w:t>
      </w:r>
      <w:r w:rsidRPr="00500EFB">
        <w:rPr>
          <w:rFonts w:eastAsia="Calibri"/>
          <w:color w:val="auto"/>
          <w:sz w:val="24"/>
          <w:szCs w:val="24"/>
          <w:lang w:eastAsia="en-US"/>
        </w:rPr>
        <w:t>child at risk”</w:t>
      </w:r>
      <w:r>
        <w:rPr>
          <w:rFonts w:eastAsia="Calibri"/>
          <w:color w:val="auto"/>
          <w:sz w:val="24"/>
          <w:szCs w:val="24"/>
          <w:lang w:eastAsia="en-US"/>
        </w:rPr>
        <w:t xml:space="preserve"> and a duty to investigate will follow.</w:t>
      </w:r>
    </w:p>
    <w:p w:rsidR="004C2B7C"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sidRPr="00500EFB">
        <w:rPr>
          <w:rFonts w:eastAsia="Calibri"/>
          <w:color w:val="auto"/>
          <w:sz w:val="24"/>
          <w:szCs w:val="24"/>
          <w:lang w:eastAsia="en-US"/>
        </w:rPr>
        <w:t>Underpinned by the Children’s Act (1989) The All Wa</w:t>
      </w:r>
      <w:r>
        <w:rPr>
          <w:rFonts w:eastAsia="Calibri"/>
          <w:color w:val="auto"/>
          <w:sz w:val="24"/>
          <w:szCs w:val="24"/>
          <w:lang w:eastAsia="en-US"/>
        </w:rPr>
        <w:t>les Child Protection Procedures (2008) i</w:t>
      </w:r>
      <w:r w:rsidRPr="00500EFB">
        <w:rPr>
          <w:rFonts w:eastAsia="Calibri"/>
          <w:color w:val="auto"/>
          <w:sz w:val="24"/>
          <w:szCs w:val="24"/>
          <w:lang w:eastAsia="en-US"/>
        </w:rPr>
        <w:t>nfo</w:t>
      </w:r>
      <w:r>
        <w:rPr>
          <w:rFonts w:eastAsia="Calibri"/>
          <w:color w:val="auto"/>
          <w:sz w:val="24"/>
          <w:szCs w:val="24"/>
          <w:lang w:eastAsia="en-US"/>
        </w:rPr>
        <w:t xml:space="preserve">rm child protection practice on a national level across the 22 Local Regional Safeguarding Boards (LSCB) they provide the framework and guidance for safeguarding referrals, assessments, planning and actions. Sharing knowledge across the individual safeguarding boards and regular process reviewing from the </w:t>
      </w:r>
      <w:proofErr w:type="spellStart"/>
      <w:r>
        <w:rPr>
          <w:rFonts w:eastAsia="Calibri"/>
          <w:color w:val="auto"/>
          <w:sz w:val="24"/>
          <w:szCs w:val="24"/>
          <w:lang w:eastAsia="en-US"/>
        </w:rPr>
        <w:t>The</w:t>
      </w:r>
      <w:proofErr w:type="spellEnd"/>
      <w:r>
        <w:rPr>
          <w:rFonts w:eastAsia="Calibri"/>
          <w:color w:val="auto"/>
          <w:sz w:val="24"/>
          <w:szCs w:val="24"/>
          <w:lang w:eastAsia="en-US"/>
        </w:rPr>
        <w:t xml:space="preserve"> All Wales Child Procedures Review Group founded in (2002) ensures continuity of practice across Wales and enhances joint locality working. Fundamentally a </w:t>
      </w:r>
      <w:r>
        <w:rPr>
          <w:rFonts w:eastAsia="Calibri"/>
          <w:color w:val="auto"/>
          <w:sz w:val="24"/>
          <w:szCs w:val="24"/>
          <w:lang w:eastAsia="en-US"/>
        </w:rPr>
        <w:lastRenderedPageBreak/>
        <w:t xml:space="preserve">crucial concept given that many safeguarding issues such as children Missing, Exploited and Trafficking (MET) are typically cross-regional investigations. </w:t>
      </w:r>
      <w:r>
        <w:rPr>
          <w:rFonts w:eastAsia="Calibri"/>
          <w:i/>
          <w:color w:val="auto"/>
          <w:sz w:val="24"/>
          <w:szCs w:val="24"/>
          <w:lang w:eastAsia="en-US"/>
        </w:rPr>
        <w:t>Pearce (2014)</w:t>
      </w:r>
      <w:r w:rsidRPr="00500EFB">
        <w:rPr>
          <w:rFonts w:eastAsia="Calibri"/>
          <w:color w:val="auto"/>
          <w:sz w:val="24"/>
          <w:szCs w:val="24"/>
          <w:lang w:eastAsia="en-US"/>
        </w:rPr>
        <w:t xml:space="preserve"> states that Child Sexual Exploitation is becoming increasingly more challenging to combat with abuse often being peer on peer. Safeguarding collaboratively across borders makes sense but the most active safeguarding boards tend to be those where there is consistent joint social work/police presence</w:t>
      </w:r>
      <w:r>
        <w:rPr>
          <w:rFonts w:eastAsia="Calibri"/>
          <w:color w:val="auto"/>
          <w:sz w:val="24"/>
          <w:szCs w:val="24"/>
          <w:lang w:eastAsia="en-US"/>
        </w:rPr>
        <w:t>.</w:t>
      </w:r>
    </w:p>
    <w:p w:rsidR="004C2B7C" w:rsidRPr="00500EFB"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proofErr w:type="spellStart"/>
      <w:r w:rsidRPr="00500EFB">
        <w:rPr>
          <w:rFonts w:eastAsia="Calibri"/>
          <w:color w:val="auto"/>
          <w:sz w:val="24"/>
          <w:szCs w:val="24"/>
          <w:lang w:eastAsia="en-US"/>
        </w:rPr>
        <w:t>Pithouse</w:t>
      </w:r>
      <w:proofErr w:type="spellEnd"/>
      <w:r w:rsidRPr="00500EFB">
        <w:rPr>
          <w:rFonts w:eastAsia="Calibri"/>
          <w:color w:val="auto"/>
          <w:sz w:val="24"/>
          <w:szCs w:val="24"/>
          <w:lang w:eastAsia="en-US"/>
        </w:rPr>
        <w:t xml:space="preserve"> </w:t>
      </w:r>
      <w:r w:rsidRPr="00500EFB">
        <w:rPr>
          <w:rFonts w:eastAsia="Calibri"/>
          <w:i/>
          <w:color w:val="auto"/>
          <w:sz w:val="24"/>
          <w:szCs w:val="24"/>
          <w:lang w:eastAsia="en-US"/>
        </w:rPr>
        <w:t>(2011)</w:t>
      </w:r>
      <w:r w:rsidRPr="00500EFB">
        <w:rPr>
          <w:rFonts w:eastAsia="Calibri"/>
          <w:color w:val="auto"/>
          <w:sz w:val="24"/>
          <w:szCs w:val="24"/>
          <w:lang w:eastAsia="en-US"/>
        </w:rPr>
        <w:t xml:space="preserve"> believes that since devolution, Wales seem to lead the way when it comes to initiating new policy and procedures to safeguard its children and promote their rights. Perhaps this is reflected in the higher proportion per capita of children who are either on the child protection register or are looked after in comparison to England   </w:t>
      </w:r>
    </w:p>
    <w:p w:rsidR="004C2B7C"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r>
        <w:rPr>
          <w:rFonts w:eastAsia="Calibri"/>
          <w:color w:val="auto"/>
          <w:sz w:val="24"/>
          <w:szCs w:val="24"/>
          <w:lang w:eastAsia="en-US"/>
        </w:rPr>
        <w:t xml:space="preserve">Whatever the perception is of Welsh legislation, it appears that there is a clear awareness and willingness to adapt safeguarding measures in accordance with identified risks. The fact that the </w:t>
      </w:r>
      <w:r w:rsidRPr="00500EFB">
        <w:rPr>
          <w:rFonts w:eastAsia="Calibri"/>
          <w:color w:val="auto"/>
          <w:sz w:val="24"/>
          <w:szCs w:val="24"/>
          <w:lang w:eastAsia="en-US"/>
        </w:rPr>
        <w:t>All Wales Chil</w:t>
      </w:r>
      <w:r>
        <w:rPr>
          <w:rFonts w:eastAsia="Calibri"/>
          <w:color w:val="auto"/>
          <w:sz w:val="24"/>
          <w:szCs w:val="24"/>
          <w:lang w:eastAsia="en-US"/>
        </w:rPr>
        <w:t>d Protection Procedures are currently under review is testament to this.</w:t>
      </w:r>
    </w:p>
    <w:p w:rsidR="004C2B7C" w:rsidRDefault="004C2B7C" w:rsidP="004C2B7C">
      <w:pPr>
        <w:overflowPunct/>
        <w:autoSpaceDE/>
        <w:autoSpaceDN/>
        <w:adjustRightInd/>
        <w:spacing w:after="200" w:line="276" w:lineRule="auto"/>
        <w:jc w:val="both"/>
        <w:textAlignment w:val="auto"/>
        <w:rPr>
          <w:rFonts w:eastAsia="Calibri"/>
          <w:color w:val="auto"/>
          <w:sz w:val="24"/>
          <w:szCs w:val="24"/>
          <w:lang w:eastAsia="en-US"/>
        </w:rPr>
      </w:pPr>
    </w:p>
    <w:p w:rsidR="004C2B7C" w:rsidRPr="00500EFB" w:rsidRDefault="004C2B7C" w:rsidP="004C2B7C">
      <w:pPr>
        <w:overflowPunct/>
        <w:autoSpaceDE/>
        <w:autoSpaceDN/>
        <w:adjustRightInd/>
        <w:spacing w:after="200" w:line="276" w:lineRule="auto"/>
        <w:jc w:val="center"/>
        <w:textAlignment w:val="auto"/>
        <w:rPr>
          <w:rFonts w:eastAsia="Calibri"/>
          <w:color w:val="auto"/>
          <w:sz w:val="24"/>
          <w:szCs w:val="24"/>
          <w:lang w:eastAsia="en-US"/>
        </w:rPr>
      </w:pPr>
      <w:r>
        <w:rPr>
          <w:rFonts w:eastAsia="Calibri"/>
          <w:color w:val="auto"/>
          <w:sz w:val="24"/>
          <w:szCs w:val="24"/>
          <w:lang w:eastAsia="en-US"/>
        </w:rPr>
        <w:t xml:space="preserve">Word Count </w:t>
      </w:r>
      <w:r>
        <w:rPr>
          <w:rFonts w:eastAsia="Calibri"/>
          <w:color w:val="auto"/>
          <w:sz w:val="24"/>
          <w:szCs w:val="24"/>
          <w:lang w:eastAsia="en-US"/>
        </w:rPr>
        <w:t>502</w:t>
      </w:r>
    </w:p>
    <w:p w:rsidR="004C2B7C" w:rsidRDefault="004C2B7C" w:rsidP="004C2B7C"/>
    <w:p w:rsidR="004C2B7C" w:rsidRDefault="004C2B7C" w:rsidP="00D217BF">
      <w:pPr>
        <w:jc w:val="both"/>
        <w:rPr>
          <w:rFonts w:eastAsia="Calibri"/>
          <w:b/>
          <w:color w:val="auto"/>
          <w:sz w:val="24"/>
          <w:szCs w:val="24"/>
          <w:lang w:eastAsia="en-US"/>
        </w:rPr>
      </w:pPr>
    </w:p>
    <w:p w:rsidR="004C2B7C" w:rsidRDefault="004C2B7C" w:rsidP="00D217BF">
      <w:pPr>
        <w:jc w:val="both"/>
        <w:rPr>
          <w:rFonts w:eastAsia="Calibri"/>
          <w:b/>
          <w:color w:val="auto"/>
          <w:sz w:val="24"/>
          <w:szCs w:val="24"/>
          <w:lang w:eastAsia="en-US"/>
        </w:rPr>
      </w:pPr>
    </w:p>
    <w:p w:rsidR="004C2B7C" w:rsidRDefault="004C2B7C" w:rsidP="00D217BF">
      <w:pPr>
        <w:jc w:val="both"/>
        <w:rPr>
          <w:rFonts w:eastAsia="Calibri"/>
          <w:b/>
          <w:color w:val="auto"/>
          <w:sz w:val="24"/>
          <w:szCs w:val="24"/>
          <w:lang w:eastAsia="en-US"/>
        </w:rPr>
      </w:pPr>
    </w:p>
    <w:p w:rsidR="004C2B7C" w:rsidRDefault="004C2B7C" w:rsidP="00D217BF">
      <w:pPr>
        <w:jc w:val="both"/>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D108E0" w:rsidRDefault="00D108E0" w:rsidP="004C2B7C">
      <w:pPr>
        <w:jc w:val="center"/>
        <w:rPr>
          <w:rFonts w:eastAsia="Calibri"/>
          <w:b/>
          <w:color w:val="auto"/>
          <w:sz w:val="24"/>
          <w:szCs w:val="24"/>
          <w:lang w:eastAsia="en-US"/>
        </w:rPr>
      </w:pPr>
    </w:p>
    <w:p w:rsidR="00856B91" w:rsidRDefault="00856B91" w:rsidP="00D217BF">
      <w:pPr>
        <w:jc w:val="both"/>
        <w:rPr>
          <w:rFonts w:eastAsia="Calibri"/>
          <w:b/>
          <w:color w:val="auto"/>
          <w:sz w:val="24"/>
          <w:szCs w:val="24"/>
          <w:lang w:eastAsia="en-US"/>
        </w:rPr>
      </w:pPr>
    </w:p>
    <w:p w:rsidR="00856B91" w:rsidRDefault="00856B91" w:rsidP="00D217BF">
      <w:pPr>
        <w:jc w:val="both"/>
        <w:rPr>
          <w:rFonts w:eastAsia="Calibri"/>
          <w:b/>
          <w:color w:val="auto"/>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D108E0" w:rsidRPr="00D108E0" w:rsidTr="00850F2B">
        <w:tc>
          <w:tcPr>
            <w:tcW w:w="10278" w:type="dxa"/>
            <w:shd w:val="clear" w:color="auto" w:fill="auto"/>
          </w:tcPr>
          <w:p w:rsidR="00D108E0" w:rsidRPr="00D108E0" w:rsidRDefault="00D108E0" w:rsidP="00D108E0">
            <w:pPr>
              <w:jc w:val="both"/>
              <w:rPr>
                <w:sz w:val="24"/>
                <w:szCs w:val="24"/>
              </w:rPr>
            </w:pPr>
            <w:r w:rsidRPr="00D108E0">
              <w:rPr>
                <w:sz w:val="24"/>
                <w:szCs w:val="24"/>
              </w:rPr>
              <w:t>Reflect on the difference between safeguarding in adult and children’s work</w:t>
            </w:r>
          </w:p>
          <w:p w:rsidR="00D108E0" w:rsidRPr="00D108E0" w:rsidRDefault="00D108E0" w:rsidP="00D108E0">
            <w:pPr>
              <w:jc w:val="both"/>
              <w:rPr>
                <w:sz w:val="24"/>
                <w:szCs w:val="24"/>
              </w:rPr>
            </w:pPr>
          </w:p>
          <w:p w:rsidR="00D108E0" w:rsidRPr="00D108E0" w:rsidRDefault="00D108E0" w:rsidP="00D108E0">
            <w:pPr>
              <w:jc w:val="both"/>
              <w:rPr>
                <w:sz w:val="24"/>
                <w:szCs w:val="24"/>
              </w:rPr>
            </w:pPr>
          </w:p>
          <w:p w:rsidR="00D108E0" w:rsidRPr="00D108E0" w:rsidRDefault="00D108E0" w:rsidP="00D108E0">
            <w:pPr>
              <w:jc w:val="both"/>
              <w:rPr>
                <w:sz w:val="24"/>
                <w:szCs w:val="24"/>
              </w:rPr>
            </w:pPr>
          </w:p>
          <w:p w:rsidR="00D108E0" w:rsidRPr="00D108E0" w:rsidRDefault="00D108E0" w:rsidP="00D108E0">
            <w:pPr>
              <w:jc w:val="both"/>
              <w:rPr>
                <w:i/>
                <w:sz w:val="24"/>
                <w:szCs w:val="24"/>
              </w:rPr>
            </w:pPr>
            <w:r w:rsidRPr="00D108E0">
              <w:rPr>
                <w:i/>
                <w:sz w:val="24"/>
                <w:szCs w:val="24"/>
              </w:rPr>
              <w:t>400 words</w:t>
            </w:r>
            <w:r w:rsidRPr="00D108E0">
              <w:rPr>
                <w:sz w:val="24"/>
                <w:szCs w:val="24"/>
              </w:rPr>
              <w:t xml:space="preserve"> </w:t>
            </w:r>
            <w:r w:rsidRPr="00D108E0">
              <w:rPr>
                <w:i/>
                <w:sz w:val="24"/>
                <w:szCs w:val="24"/>
              </w:rPr>
              <w:t>(+/- 10%: include your actual word count at the end of each section)</w:t>
            </w:r>
          </w:p>
          <w:p w:rsidR="00D108E0" w:rsidRPr="00D108E0" w:rsidRDefault="00D108E0" w:rsidP="00D108E0">
            <w:pPr>
              <w:jc w:val="both"/>
              <w:rPr>
                <w:sz w:val="24"/>
                <w:szCs w:val="24"/>
              </w:rPr>
            </w:pPr>
          </w:p>
        </w:tc>
      </w:tr>
    </w:tbl>
    <w:p w:rsidR="00D108E0" w:rsidRPr="00D108E0" w:rsidRDefault="00D108E0" w:rsidP="00D108E0">
      <w:pPr>
        <w:jc w:val="both"/>
        <w:rPr>
          <w:sz w:val="24"/>
          <w:szCs w:val="24"/>
        </w:rPr>
      </w:pPr>
      <w:r w:rsidRPr="00D108E0">
        <w:rPr>
          <w:sz w:val="24"/>
          <w:szCs w:val="24"/>
        </w:rPr>
        <w:t>Adult and Children safeguarding policies and procedures have to differ in many respects because the issues faced by both age groups are likely to be different. Procedures for reporting abuse and handling cases will also differ and of course they are both underpinned by different legislations (Ann Craft Trust, 2018) However, perhaps the single most significant factor that differentiates adult safeguarding from children’s safeguarding is an adult’s right to self-determine.</w:t>
      </w:r>
    </w:p>
    <w:p w:rsidR="00D108E0" w:rsidRPr="00D108E0" w:rsidRDefault="00D108E0" w:rsidP="00D108E0">
      <w:pPr>
        <w:jc w:val="both"/>
        <w:rPr>
          <w:sz w:val="24"/>
          <w:szCs w:val="24"/>
        </w:rPr>
      </w:pPr>
    </w:p>
    <w:p w:rsidR="00D108E0" w:rsidRPr="00D108E0" w:rsidRDefault="00D108E0" w:rsidP="00D108E0">
      <w:pPr>
        <w:jc w:val="both"/>
        <w:rPr>
          <w:i/>
          <w:color w:val="FF0000"/>
          <w:sz w:val="24"/>
          <w:szCs w:val="24"/>
        </w:rPr>
      </w:pPr>
      <w:r w:rsidRPr="00D108E0">
        <w:rPr>
          <w:sz w:val="24"/>
          <w:szCs w:val="24"/>
        </w:rPr>
        <w:t xml:space="preserve">A person over the age of 18 is regarded as an adult in the UK. Unless specific circumstances indicate otherwise, all adults lawfully have the right to make their own ‘lifestyle’ choices </w:t>
      </w:r>
      <w:r w:rsidRPr="00D108E0">
        <w:rPr>
          <w:i/>
          <w:sz w:val="24"/>
          <w:szCs w:val="24"/>
        </w:rPr>
        <w:t>(Social Services and Wellbeing (Wales) Act, 201</w:t>
      </w:r>
      <w:r w:rsidRPr="00D108E0">
        <w:rPr>
          <w:sz w:val="24"/>
          <w:szCs w:val="24"/>
        </w:rPr>
        <w:t xml:space="preserve">4) (SSWBA) and this will include making decisions about their own wellbeing and care planning. An adult has the right to refuse support even if by doing so places themselves at risk of harm. If a child has been identified at risk of harm, then appropriate measures can be implemented to protect, without gaining the consent of the child </w:t>
      </w:r>
      <w:r w:rsidRPr="00D108E0">
        <w:rPr>
          <w:i/>
          <w:sz w:val="24"/>
          <w:szCs w:val="24"/>
        </w:rPr>
        <w:t>(Law Wales, 2016)</w:t>
      </w:r>
    </w:p>
    <w:p w:rsidR="00D108E0" w:rsidRPr="00D108E0" w:rsidRDefault="00D108E0" w:rsidP="00D108E0">
      <w:pPr>
        <w:jc w:val="both"/>
        <w:rPr>
          <w:sz w:val="24"/>
          <w:szCs w:val="24"/>
        </w:rPr>
      </w:pPr>
    </w:p>
    <w:p w:rsidR="00D108E0" w:rsidRPr="00D108E0" w:rsidRDefault="00D108E0" w:rsidP="00D108E0">
      <w:pPr>
        <w:jc w:val="both"/>
        <w:rPr>
          <w:i/>
          <w:color w:val="FF0000"/>
          <w:sz w:val="24"/>
          <w:szCs w:val="24"/>
        </w:rPr>
      </w:pPr>
      <w:r w:rsidRPr="00D108E0">
        <w:rPr>
          <w:sz w:val="24"/>
          <w:szCs w:val="24"/>
        </w:rPr>
        <w:t xml:space="preserve">Circumstances whereby an adults right to refuse support can be quashed, occur when risks are extreme, for example if death is likely or others are being placed at risk </w:t>
      </w:r>
      <w:r w:rsidRPr="00D108E0">
        <w:rPr>
          <w:i/>
          <w:sz w:val="24"/>
          <w:szCs w:val="24"/>
        </w:rPr>
        <w:t xml:space="preserve">(SCIE, 2018) </w:t>
      </w:r>
      <w:r w:rsidRPr="00D108E0">
        <w:rPr>
          <w:sz w:val="24"/>
          <w:szCs w:val="24"/>
        </w:rPr>
        <w:t xml:space="preserve">Also, if an adult has been deemed to lack the mental capacity to make informed choices, then services again can intervene without personal consent under legislation from the Mental Capacity Act (2005) </w:t>
      </w:r>
      <w:r w:rsidRPr="00D108E0">
        <w:rPr>
          <w:i/>
          <w:sz w:val="24"/>
          <w:szCs w:val="24"/>
        </w:rPr>
        <w:t>(North Wales Safeguarding Adults Board, 2016)</w:t>
      </w:r>
    </w:p>
    <w:p w:rsidR="00D108E0" w:rsidRPr="00D108E0" w:rsidRDefault="00D108E0" w:rsidP="00D108E0">
      <w:pPr>
        <w:jc w:val="both"/>
        <w:rPr>
          <w:color w:val="FF0000"/>
          <w:sz w:val="24"/>
          <w:szCs w:val="24"/>
        </w:rPr>
      </w:pPr>
    </w:p>
    <w:p w:rsidR="00D108E0" w:rsidRPr="00D108E0" w:rsidRDefault="00D108E0" w:rsidP="00D108E0">
      <w:pPr>
        <w:jc w:val="both"/>
        <w:rPr>
          <w:color w:val="auto"/>
          <w:sz w:val="24"/>
          <w:szCs w:val="24"/>
        </w:rPr>
      </w:pPr>
      <w:r w:rsidRPr="00D108E0">
        <w:rPr>
          <w:color w:val="auto"/>
          <w:sz w:val="24"/>
          <w:szCs w:val="24"/>
        </w:rPr>
        <w:t xml:space="preserve">Children’s safeguarding is not without its own limitations when it comes to gathering wishes and feelings of a child and placing them at the core of the decision making processes. The age of the child is instrumental to the nature and level of direct engagement from services, and information may need to come from other sources, e.g. Parents/Teachers. </w:t>
      </w:r>
    </w:p>
    <w:p w:rsidR="00D108E0" w:rsidRPr="00D108E0" w:rsidRDefault="00D108E0" w:rsidP="00D108E0">
      <w:pPr>
        <w:jc w:val="both"/>
        <w:rPr>
          <w:color w:val="auto"/>
          <w:sz w:val="24"/>
          <w:szCs w:val="24"/>
        </w:rPr>
      </w:pPr>
    </w:p>
    <w:p w:rsidR="00D108E0" w:rsidRPr="00D108E0" w:rsidRDefault="00D108E0" w:rsidP="00D108E0">
      <w:pPr>
        <w:jc w:val="both"/>
        <w:rPr>
          <w:color w:val="auto"/>
          <w:sz w:val="24"/>
          <w:szCs w:val="24"/>
        </w:rPr>
      </w:pPr>
      <w:r w:rsidRPr="00D108E0">
        <w:rPr>
          <w:color w:val="auto"/>
          <w:sz w:val="24"/>
          <w:szCs w:val="24"/>
        </w:rPr>
        <w:t xml:space="preserve">Flintshire’s local authority guidance for seeking children’s wishes to inform safeguarding case conferences is 10 years old; credibility of testaments can be questionable at such a young age, but this is just a guide as other factors such as the child’s developmental stage and capacity need to be taken into account </w:t>
      </w:r>
      <w:r w:rsidRPr="00D108E0">
        <w:rPr>
          <w:i/>
          <w:color w:val="auto"/>
          <w:sz w:val="24"/>
          <w:szCs w:val="24"/>
        </w:rPr>
        <w:t xml:space="preserve">(Welsh Government, 2017) </w:t>
      </w:r>
    </w:p>
    <w:p w:rsidR="00D108E0" w:rsidRPr="00D108E0" w:rsidRDefault="00D108E0" w:rsidP="00D108E0">
      <w:pPr>
        <w:jc w:val="both"/>
        <w:rPr>
          <w:color w:val="FF0000"/>
          <w:sz w:val="24"/>
          <w:szCs w:val="24"/>
        </w:rPr>
      </w:pPr>
    </w:p>
    <w:p w:rsidR="00D108E0" w:rsidRPr="00D108E0" w:rsidRDefault="00D108E0" w:rsidP="00D108E0">
      <w:pPr>
        <w:jc w:val="both"/>
        <w:rPr>
          <w:color w:val="auto"/>
          <w:sz w:val="24"/>
          <w:szCs w:val="24"/>
        </w:rPr>
      </w:pPr>
      <w:r w:rsidRPr="00D108E0">
        <w:rPr>
          <w:color w:val="auto"/>
          <w:sz w:val="24"/>
          <w:szCs w:val="24"/>
        </w:rPr>
        <w:t>Of course the fundamental principles of safeguarding apply to both to adults and children, and the SSWBA (2014) intent has been to amalgamate and reinforce those principles wherever possible. Prior to this act Wales did not have a legal framework for adult safeguarding (Williams, 2017) it is now evident that the government is trying to replicate a similar framework to that which has been long established within children’s safeguarding.</w:t>
      </w:r>
    </w:p>
    <w:p w:rsidR="00D108E0" w:rsidRPr="00D108E0" w:rsidRDefault="00A56F3B" w:rsidP="00D108E0">
      <w:pPr>
        <w:jc w:val="center"/>
        <w:rPr>
          <w:color w:val="auto"/>
          <w:sz w:val="24"/>
          <w:szCs w:val="24"/>
        </w:rPr>
      </w:pPr>
      <w:r>
        <w:rPr>
          <w:color w:val="auto"/>
          <w:sz w:val="24"/>
          <w:szCs w:val="24"/>
        </w:rPr>
        <w:t>Word Count: 420</w:t>
      </w:r>
      <w:bookmarkStart w:id="0" w:name="_GoBack"/>
      <w:bookmarkEnd w:id="0"/>
    </w:p>
    <w:p w:rsidR="00D108E0" w:rsidRPr="00D108E0" w:rsidRDefault="00D108E0" w:rsidP="00D108E0">
      <w:pPr>
        <w:ind w:left="360" w:hanging="360"/>
        <w:jc w:val="center"/>
        <w:rPr>
          <w:sz w:val="24"/>
          <w:szCs w:val="24"/>
        </w:rPr>
      </w:pPr>
      <w:r w:rsidRPr="00D108E0">
        <w:rPr>
          <w:b/>
          <w:sz w:val="24"/>
          <w:szCs w:val="24"/>
        </w:rPr>
        <w:lastRenderedPageBreak/>
        <w:t>Section 6</w:t>
      </w:r>
    </w:p>
    <w:p w:rsidR="00D108E0" w:rsidRPr="00D108E0" w:rsidRDefault="00D108E0" w:rsidP="00D108E0">
      <w:pPr>
        <w:jc w:val="both"/>
        <w:rPr>
          <w:b/>
          <w:sz w:val="24"/>
          <w:szCs w:val="24"/>
        </w:rPr>
      </w:pPr>
    </w:p>
    <w:p w:rsidR="00D108E0" w:rsidRPr="00D108E0" w:rsidRDefault="00D108E0" w:rsidP="00D108E0">
      <w:pPr>
        <w:jc w:val="both"/>
        <w:rPr>
          <w:b/>
          <w:sz w:val="24"/>
          <w:szCs w:val="24"/>
        </w:rPr>
      </w:pPr>
      <w:r w:rsidRPr="00D108E0">
        <w:rPr>
          <w:b/>
          <w:sz w:val="24"/>
          <w:szCs w:val="24"/>
        </w:rPr>
        <w:t>Developmental Review (b)</w:t>
      </w:r>
    </w:p>
    <w:p w:rsidR="00D108E0" w:rsidRPr="00D108E0" w:rsidRDefault="00D108E0" w:rsidP="00D108E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108E0" w:rsidRPr="00D108E0" w:rsidTr="00850F2B">
        <w:tc>
          <w:tcPr>
            <w:tcW w:w="10188" w:type="dxa"/>
            <w:shd w:val="clear" w:color="auto" w:fill="auto"/>
          </w:tcPr>
          <w:p w:rsidR="00D108E0" w:rsidRPr="00D108E0" w:rsidRDefault="00D108E0" w:rsidP="00D108E0">
            <w:pPr>
              <w:jc w:val="both"/>
              <w:rPr>
                <w:sz w:val="24"/>
                <w:szCs w:val="24"/>
              </w:rPr>
            </w:pPr>
            <w:r w:rsidRPr="00D108E0">
              <w:rPr>
                <w:sz w:val="24"/>
                <w:szCs w:val="24"/>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rsidR="00D108E0" w:rsidRPr="00D108E0" w:rsidRDefault="00D108E0" w:rsidP="00D108E0">
            <w:pPr>
              <w:jc w:val="both"/>
              <w:rPr>
                <w:sz w:val="24"/>
                <w:szCs w:val="24"/>
              </w:rPr>
            </w:pPr>
          </w:p>
          <w:p w:rsidR="00D108E0" w:rsidRPr="00D108E0" w:rsidRDefault="00D108E0" w:rsidP="00D108E0">
            <w:pPr>
              <w:jc w:val="both"/>
              <w:rPr>
                <w:i/>
                <w:sz w:val="24"/>
                <w:szCs w:val="24"/>
              </w:rPr>
            </w:pPr>
            <w:r w:rsidRPr="00D108E0">
              <w:rPr>
                <w:i/>
                <w:sz w:val="24"/>
                <w:szCs w:val="24"/>
              </w:rPr>
              <w:t>800 words (+/- 10%: include your actual word count at the end of each section)</w:t>
            </w:r>
          </w:p>
        </w:tc>
      </w:tr>
    </w:tbl>
    <w:p w:rsidR="00D108E0" w:rsidRPr="00D108E0" w:rsidRDefault="00D108E0" w:rsidP="00D108E0">
      <w:pPr>
        <w:jc w:val="both"/>
        <w:rPr>
          <w:sz w:val="24"/>
          <w:szCs w:val="24"/>
        </w:rPr>
      </w:pPr>
    </w:p>
    <w:p w:rsidR="00D108E0" w:rsidRPr="00D108E0" w:rsidRDefault="00D108E0" w:rsidP="00D108E0">
      <w:pPr>
        <w:jc w:val="both"/>
        <w:rPr>
          <w:sz w:val="24"/>
          <w:szCs w:val="24"/>
        </w:rPr>
      </w:pPr>
    </w:p>
    <w:p w:rsidR="00D217BF" w:rsidRPr="00D217BF" w:rsidRDefault="00FF73BA" w:rsidP="00D217BF">
      <w:pPr>
        <w:jc w:val="both"/>
        <w:rPr>
          <w:color w:val="auto"/>
          <w:sz w:val="24"/>
          <w:szCs w:val="24"/>
        </w:rPr>
      </w:pPr>
      <w:proofErr w:type="gramStart"/>
      <w:r>
        <w:rPr>
          <w:color w:val="auto"/>
          <w:sz w:val="24"/>
          <w:szCs w:val="24"/>
        </w:rPr>
        <w:t>A</w:t>
      </w:r>
      <w:r w:rsidR="006F6D42">
        <w:rPr>
          <w:color w:val="auto"/>
          <w:sz w:val="24"/>
          <w:szCs w:val="24"/>
        </w:rPr>
        <w:t xml:space="preserve"> year</w:t>
      </w:r>
      <w:r w:rsidR="00D217BF" w:rsidRPr="00D217BF">
        <w:rPr>
          <w:color w:val="auto"/>
          <w:sz w:val="24"/>
          <w:szCs w:val="24"/>
        </w:rPr>
        <w:t xml:space="preserve"> on since the most significant areas for improvement within my practice were</w:t>
      </w:r>
      <w:proofErr w:type="gramEnd"/>
      <w:r w:rsidR="00D217BF" w:rsidRPr="00D217BF">
        <w:rPr>
          <w:color w:val="auto"/>
          <w:sz w:val="24"/>
          <w:szCs w:val="24"/>
        </w:rPr>
        <w:t xml:space="preserve"> identified. I feel I have developed in competency (Mentors comments concur). I have learned from both practice success and failure, naturally gained more experience and knowledge through ongoing practice but key to my development has been willingness to embrace and fulfil the measures identified within supervision sessions outlined in Section 2. </w:t>
      </w:r>
    </w:p>
    <w:p w:rsidR="00D217BF" w:rsidRPr="00D217BF" w:rsidRDefault="00D217BF" w:rsidP="00D217BF">
      <w:pPr>
        <w:jc w:val="both"/>
        <w:rPr>
          <w:color w:val="auto"/>
          <w:sz w:val="24"/>
          <w:szCs w:val="24"/>
        </w:rPr>
      </w:pPr>
    </w:p>
    <w:p w:rsidR="00D217BF" w:rsidRPr="00D217BF" w:rsidRDefault="00D217BF" w:rsidP="00D217BF">
      <w:pPr>
        <w:jc w:val="both"/>
        <w:rPr>
          <w:color w:val="auto"/>
          <w:sz w:val="24"/>
          <w:szCs w:val="24"/>
        </w:rPr>
      </w:pPr>
      <w:r w:rsidRPr="00D217BF">
        <w:rPr>
          <w:color w:val="auto"/>
          <w:sz w:val="24"/>
          <w:szCs w:val="24"/>
        </w:rPr>
        <w:t>Justification for this statement;</w:t>
      </w:r>
    </w:p>
    <w:p w:rsidR="00D217BF" w:rsidRPr="00D217BF" w:rsidRDefault="00D217BF" w:rsidP="00D217BF">
      <w:pPr>
        <w:jc w:val="both"/>
        <w:rPr>
          <w:color w:val="auto"/>
          <w:sz w:val="24"/>
          <w:szCs w:val="24"/>
        </w:rPr>
      </w:pPr>
    </w:p>
    <w:p w:rsidR="00AC13D6" w:rsidRDefault="00D217BF" w:rsidP="00D217BF">
      <w:pPr>
        <w:jc w:val="both"/>
        <w:rPr>
          <w:color w:val="auto"/>
          <w:sz w:val="24"/>
          <w:szCs w:val="24"/>
        </w:rPr>
      </w:pPr>
      <w:r w:rsidRPr="00D217BF">
        <w:rPr>
          <w:color w:val="auto"/>
          <w:sz w:val="24"/>
          <w:szCs w:val="24"/>
        </w:rPr>
        <w:t>Following advice and guidance documented during formal supervision to address learning needs, I asked a colleague; an established practitioner, whether they would mind supporting me with a few new referrals I had received; they agreed. I wanted assurance that my processes for collating relevant data ahead of initiating an initial assessment were robust and exhaustive. The plan devised was that we would both familiarise ourselves with the information readily available and I would take the lead on discussing our findings and what step</w:t>
      </w:r>
      <w:r w:rsidR="00B6445A">
        <w:rPr>
          <w:color w:val="auto"/>
          <w:sz w:val="24"/>
          <w:szCs w:val="24"/>
        </w:rPr>
        <w:t xml:space="preserve">s were to be taken next. Aware that </w:t>
      </w:r>
      <w:r w:rsidRPr="00D217BF">
        <w:rPr>
          <w:color w:val="auto"/>
          <w:sz w:val="24"/>
          <w:szCs w:val="24"/>
        </w:rPr>
        <w:t>my knowledge of third sector/voluntary services</w:t>
      </w:r>
      <w:r w:rsidR="00B6445A">
        <w:rPr>
          <w:color w:val="auto"/>
          <w:sz w:val="24"/>
          <w:szCs w:val="24"/>
        </w:rPr>
        <w:t xml:space="preserve"> was weak</w:t>
      </w:r>
      <w:r w:rsidR="00B9586C">
        <w:rPr>
          <w:color w:val="auto"/>
          <w:sz w:val="24"/>
          <w:szCs w:val="24"/>
        </w:rPr>
        <w:t xml:space="preserve"> I researched</w:t>
      </w:r>
      <w:r w:rsidR="00B6445A">
        <w:rPr>
          <w:color w:val="auto"/>
          <w:sz w:val="24"/>
          <w:szCs w:val="24"/>
        </w:rPr>
        <w:t xml:space="preserve"> the </w:t>
      </w:r>
      <w:proofErr w:type="spellStart"/>
      <w:r w:rsidR="00B6445A">
        <w:rPr>
          <w:color w:val="auto"/>
          <w:sz w:val="24"/>
          <w:szCs w:val="24"/>
        </w:rPr>
        <w:t>Dewis</w:t>
      </w:r>
      <w:proofErr w:type="spellEnd"/>
      <w:r w:rsidR="00B6445A">
        <w:rPr>
          <w:color w:val="auto"/>
          <w:sz w:val="24"/>
          <w:szCs w:val="24"/>
        </w:rPr>
        <w:t xml:space="preserve"> website for additional information</w:t>
      </w:r>
      <w:r w:rsidR="00B9586C">
        <w:rPr>
          <w:color w:val="auto"/>
          <w:sz w:val="24"/>
          <w:szCs w:val="24"/>
        </w:rPr>
        <w:t xml:space="preserve"> on services in the locality</w:t>
      </w:r>
      <w:r w:rsidR="00B6445A">
        <w:rPr>
          <w:color w:val="auto"/>
          <w:sz w:val="24"/>
          <w:szCs w:val="24"/>
        </w:rPr>
        <w:t xml:space="preserve">. </w:t>
      </w:r>
      <w:r w:rsidR="00B9586C">
        <w:rPr>
          <w:color w:val="auto"/>
          <w:sz w:val="24"/>
          <w:szCs w:val="24"/>
        </w:rPr>
        <w:t xml:space="preserve">My other concern was how my limited knowledge of certain health conditions would impact on appropriate signposting. </w:t>
      </w:r>
      <w:r w:rsidR="00AC13D6">
        <w:rPr>
          <w:color w:val="auto"/>
          <w:sz w:val="24"/>
          <w:szCs w:val="24"/>
        </w:rPr>
        <w:t>Fortunately the insight provided by my colleague in respect of this considerably helped, as I absorbed the knowledge and decision making thought processes being shared with me.</w:t>
      </w:r>
    </w:p>
    <w:p w:rsidR="00D217BF" w:rsidRPr="00D217BF" w:rsidRDefault="00D217BF" w:rsidP="00D217BF">
      <w:pPr>
        <w:jc w:val="both"/>
        <w:rPr>
          <w:color w:val="auto"/>
          <w:sz w:val="24"/>
          <w:szCs w:val="24"/>
        </w:rPr>
      </w:pPr>
      <w:r w:rsidRPr="00D217BF">
        <w:rPr>
          <w:color w:val="auto"/>
          <w:sz w:val="24"/>
          <w:szCs w:val="24"/>
        </w:rPr>
        <w:t xml:space="preserve">We undertook this process together three times in all and each time it was evident that I was beginning to think more holistically about how I should undertake an initial assessment, my knowledge of what services and what options were available to be sourced were significantly improving. My confidence continued to increase as I undertook more assessments but the outcomes achieved and the levels of competency displayed did fluctuate. </w:t>
      </w:r>
    </w:p>
    <w:p w:rsidR="00D217BF" w:rsidRPr="00D217BF" w:rsidRDefault="00D217BF" w:rsidP="00D217BF">
      <w:pPr>
        <w:jc w:val="both"/>
        <w:rPr>
          <w:color w:val="auto"/>
          <w:sz w:val="24"/>
          <w:szCs w:val="24"/>
        </w:rPr>
      </w:pPr>
    </w:p>
    <w:p w:rsidR="00D217BF" w:rsidRPr="00D217BF" w:rsidRDefault="00D217BF" w:rsidP="00D217BF">
      <w:pPr>
        <w:jc w:val="both"/>
        <w:rPr>
          <w:color w:val="auto"/>
          <w:sz w:val="24"/>
          <w:szCs w:val="24"/>
        </w:rPr>
      </w:pPr>
      <w:r w:rsidRPr="00D217BF">
        <w:rPr>
          <w:color w:val="auto"/>
          <w:sz w:val="24"/>
          <w:szCs w:val="24"/>
        </w:rPr>
        <w:t xml:space="preserve">One particular assessment stands out as one I felt I left the individual with nothing, no focus, no plan and probably no faith in my ability to support them. I had undertaken my pre-assessment steps in order to gather as much information as possible, and consequently formed opinions on what interventions I thought may be suitable to meet the need. During the initial assessment the information I received from the individual was not even remotely close to what I was expecting to hear, </w:t>
      </w:r>
      <w:r w:rsidRPr="00D217BF">
        <w:rPr>
          <w:color w:val="auto"/>
          <w:sz w:val="24"/>
          <w:szCs w:val="24"/>
        </w:rPr>
        <w:lastRenderedPageBreak/>
        <w:t>although this is commonplace within the process and encapsulates the whole purpose of an assessment as it is designed to gather the desired outcomes from the individual themselves; it totally through me off course, it shouldn’t have, but it did. I found myself not able to propose much in the way of possible solution and uncharacteristically did not utilise the honest approach of stating that I was not sure and would to investigate further. I still do not know how that assessment manifested that way, but what I did do was discuss the situation with my line manager and the only rationale unearthed was that despite my new approach for encompassing a wider perspective within the assessment process, I had somehow become fixated on pre-conceived interventions formulated from the evidence I had gathered, which impeded my judgement. The lesson learned was having a range of interventions to offer is good practice, but not at the expense of failing to prepare mentally for the unconventional or unexpected. I have remained conscious of this during further assessments and it has proven to be yet another learning curve of my development.</w:t>
      </w:r>
    </w:p>
    <w:p w:rsidR="00D217BF" w:rsidRPr="00D217BF" w:rsidRDefault="00D217BF" w:rsidP="00D217BF">
      <w:pPr>
        <w:jc w:val="both"/>
        <w:rPr>
          <w:color w:val="auto"/>
          <w:sz w:val="24"/>
          <w:szCs w:val="24"/>
        </w:rPr>
      </w:pPr>
    </w:p>
    <w:p w:rsidR="00D217BF" w:rsidRPr="00D217BF" w:rsidRDefault="00AC13D6" w:rsidP="00D217BF">
      <w:pPr>
        <w:jc w:val="both"/>
        <w:rPr>
          <w:color w:val="auto"/>
          <w:sz w:val="24"/>
          <w:szCs w:val="24"/>
        </w:rPr>
      </w:pPr>
      <w:r>
        <w:rPr>
          <w:color w:val="auto"/>
          <w:sz w:val="24"/>
          <w:szCs w:val="24"/>
        </w:rPr>
        <w:t>S</w:t>
      </w:r>
      <w:r w:rsidR="00D217BF" w:rsidRPr="00D217BF">
        <w:rPr>
          <w:color w:val="auto"/>
          <w:sz w:val="24"/>
          <w:szCs w:val="24"/>
        </w:rPr>
        <w:t xml:space="preserve">hadowing the two nursing teams whom we as a service share the majority of collaborative working with also manifested as planned. This experience proved worthwhile as I spent two days with each team which provided ample opportunity to watch how their referral process operates and I gained a better understanding of how they derive at decisions to be made and actions to be taken. The experience was beneficial for both disciplines as my social services perspective was sought on a number of occasions. I believe better working relationships were formed as both sides got to the see the person and the rationale behind the practitioner that makes those so often difficult decisions. </w:t>
      </w:r>
      <w:r>
        <w:rPr>
          <w:color w:val="auto"/>
          <w:sz w:val="24"/>
          <w:szCs w:val="24"/>
        </w:rPr>
        <w:t>I also attended t</w:t>
      </w:r>
      <w:r w:rsidR="009E74D7">
        <w:rPr>
          <w:color w:val="auto"/>
          <w:sz w:val="24"/>
          <w:szCs w:val="24"/>
        </w:rPr>
        <w:t>raining which</w:t>
      </w:r>
      <w:r>
        <w:rPr>
          <w:color w:val="auto"/>
          <w:sz w:val="24"/>
          <w:szCs w:val="24"/>
        </w:rPr>
        <w:t xml:space="preserve"> promote</w:t>
      </w:r>
      <w:r w:rsidR="009E74D7">
        <w:rPr>
          <w:color w:val="auto"/>
          <w:sz w:val="24"/>
          <w:szCs w:val="24"/>
        </w:rPr>
        <w:t>d</w:t>
      </w:r>
      <w:r>
        <w:rPr>
          <w:color w:val="auto"/>
          <w:sz w:val="24"/>
          <w:szCs w:val="24"/>
        </w:rPr>
        <w:t xml:space="preserve"> ‘The benefits of multi-agency working’</w:t>
      </w:r>
    </w:p>
    <w:p w:rsidR="00D217BF" w:rsidRPr="00D217BF" w:rsidRDefault="00D217BF" w:rsidP="00D217BF">
      <w:pPr>
        <w:jc w:val="both"/>
        <w:rPr>
          <w:color w:val="auto"/>
          <w:sz w:val="24"/>
          <w:szCs w:val="24"/>
        </w:rPr>
      </w:pPr>
    </w:p>
    <w:p w:rsidR="00D217BF" w:rsidRPr="00D217BF" w:rsidRDefault="00D217BF" w:rsidP="00D217BF">
      <w:pPr>
        <w:jc w:val="both"/>
        <w:rPr>
          <w:color w:val="auto"/>
          <w:sz w:val="24"/>
          <w:szCs w:val="24"/>
        </w:rPr>
      </w:pPr>
      <w:r w:rsidRPr="00D217BF">
        <w:rPr>
          <w:color w:val="auto"/>
          <w:sz w:val="24"/>
          <w:szCs w:val="24"/>
        </w:rPr>
        <w:t>The (SSWBA, 2014) h</w:t>
      </w:r>
      <w:r w:rsidR="00EC69CA">
        <w:rPr>
          <w:color w:val="auto"/>
          <w:sz w:val="24"/>
          <w:szCs w:val="24"/>
        </w:rPr>
        <w:t xml:space="preserve">as identified that </w:t>
      </w:r>
      <w:r w:rsidRPr="00D217BF">
        <w:rPr>
          <w:color w:val="auto"/>
          <w:sz w:val="24"/>
          <w:szCs w:val="24"/>
        </w:rPr>
        <w:t xml:space="preserve">integrated working between social and health services will improve service delivery. I can </w:t>
      </w:r>
      <w:r w:rsidR="009E74D7">
        <w:rPr>
          <w:color w:val="auto"/>
          <w:sz w:val="24"/>
          <w:szCs w:val="24"/>
        </w:rPr>
        <w:t>champion that notion</w:t>
      </w:r>
      <w:r w:rsidR="00EC69CA">
        <w:rPr>
          <w:color w:val="auto"/>
          <w:sz w:val="24"/>
          <w:szCs w:val="24"/>
        </w:rPr>
        <w:t>,</w:t>
      </w:r>
      <w:r w:rsidR="009E74D7">
        <w:rPr>
          <w:color w:val="auto"/>
          <w:sz w:val="24"/>
          <w:szCs w:val="24"/>
        </w:rPr>
        <w:t xml:space="preserve"> </w:t>
      </w:r>
      <w:r w:rsidRPr="00D217BF">
        <w:rPr>
          <w:color w:val="auto"/>
          <w:sz w:val="24"/>
          <w:szCs w:val="24"/>
        </w:rPr>
        <w:t>my shadowing opportunities</w:t>
      </w:r>
      <w:r w:rsidR="009E74D7">
        <w:rPr>
          <w:color w:val="auto"/>
          <w:sz w:val="24"/>
          <w:szCs w:val="24"/>
        </w:rPr>
        <w:t xml:space="preserve"> and associated training </w:t>
      </w:r>
      <w:r w:rsidRPr="00D217BF">
        <w:rPr>
          <w:color w:val="auto"/>
          <w:sz w:val="24"/>
          <w:szCs w:val="24"/>
        </w:rPr>
        <w:t xml:space="preserve">have </w:t>
      </w:r>
      <w:r w:rsidR="009E74D7">
        <w:rPr>
          <w:color w:val="auto"/>
          <w:sz w:val="24"/>
          <w:szCs w:val="24"/>
        </w:rPr>
        <w:t xml:space="preserve">provided </w:t>
      </w:r>
      <w:r w:rsidRPr="00D217BF">
        <w:rPr>
          <w:color w:val="auto"/>
          <w:sz w:val="24"/>
          <w:szCs w:val="24"/>
        </w:rPr>
        <w:t xml:space="preserve">greater knowledge to </w:t>
      </w:r>
      <w:proofErr w:type="gramStart"/>
      <w:r w:rsidRPr="00D217BF">
        <w:rPr>
          <w:color w:val="auto"/>
          <w:sz w:val="24"/>
          <w:szCs w:val="24"/>
        </w:rPr>
        <w:t>advise</w:t>
      </w:r>
      <w:proofErr w:type="gramEnd"/>
      <w:r w:rsidRPr="00D217BF">
        <w:rPr>
          <w:color w:val="auto"/>
          <w:sz w:val="24"/>
          <w:szCs w:val="24"/>
        </w:rPr>
        <w:t xml:space="preserve"> individuals about </w:t>
      </w:r>
      <w:r w:rsidR="00EC69CA">
        <w:rPr>
          <w:color w:val="auto"/>
          <w:sz w:val="24"/>
          <w:szCs w:val="24"/>
        </w:rPr>
        <w:t>supportive health interventions</w:t>
      </w:r>
      <w:r w:rsidR="005273CF">
        <w:rPr>
          <w:color w:val="auto"/>
          <w:sz w:val="24"/>
          <w:szCs w:val="24"/>
        </w:rPr>
        <w:t>,</w:t>
      </w:r>
      <w:r w:rsidR="00EC69CA">
        <w:rPr>
          <w:color w:val="auto"/>
          <w:sz w:val="24"/>
          <w:szCs w:val="24"/>
        </w:rPr>
        <w:t xml:space="preserve"> </w:t>
      </w:r>
      <w:r w:rsidRPr="00D217BF">
        <w:rPr>
          <w:color w:val="auto"/>
          <w:sz w:val="24"/>
          <w:szCs w:val="24"/>
        </w:rPr>
        <w:t xml:space="preserve">and </w:t>
      </w:r>
      <w:r w:rsidR="005273CF">
        <w:rPr>
          <w:color w:val="auto"/>
          <w:sz w:val="24"/>
          <w:szCs w:val="24"/>
        </w:rPr>
        <w:t xml:space="preserve">outcomes achieved from </w:t>
      </w:r>
      <w:r w:rsidRPr="00D217BF">
        <w:rPr>
          <w:color w:val="auto"/>
          <w:sz w:val="24"/>
          <w:szCs w:val="24"/>
        </w:rPr>
        <w:t>collaborat</w:t>
      </w:r>
      <w:r w:rsidR="005273CF">
        <w:rPr>
          <w:color w:val="auto"/>
          <w:sz w:val="24"/>
          <w:szCs w:val="24"/>
        </w:rPr>
        <w:t xml:space="preserve">ive working </w:t>
      </w:r>
      <w:r w:rsidRPr="00D217BF">
        <w:rPr>
          <w:color w:val="auto"/>
          <w:sz w:val="24"/>
          <w:szCs w:val="24"/>
        </w:rPr>
        <w:t xml:space="preserve">seemed </w:t>
      </w:r>
      <w:r w:rsidR="005273CF">
        <w:rPr>
          <w:color w:val="auto"/>
          <w:sz w:val="24"/>
          <w:szCs w:val="24"/>
        </w:rPr>
        <w:t>to be more prevalent</w:t>
      </w:r>
      <w:r w:rsidRPr="00D217BF">
        <w:rPr>
          <w:color w:val="auto"/>
          <w:sz w:val="24"/>
          <w:szCs w:val="24"/>
        </w:rPr>
        <w:t xml:space="preserve">/seamless since better </w:t>
      </w:r>
      <w:r w:rsidR="005273CF">
        <w:rPr>
          <w:color w:val="auto"/>
          <w:sz w:val="24"/>
          <w:szCs w:val="24"/>
        </w:rPr>
        <w:t xml:space="preserve">working </w:t>
      </w:r>
      <w:r w:rsidRPr="00D217BF">
        <w:rPr>
          <w:color w:val="auto"/>
          <w:sz w:val="24"/>
          <w:szCs w:val="24"/>
        </w:rPr>
        <w:t>relationships have been forged.</w:t>
      </w:r>
    </w:p>
    <w:p w:rsidR="00D217BF" w:rsidRPr="00D217BF" w:rsidRDefault="00D217BF" w:rsidP="00D217BF">
      <w:pPr>
        <w:jc w:val="both"/>
        <w:rPr>
          <w:color w:val="auto"/>
          <w:sz w:val="24"/>
          <w:szCs w:val="24"/>
        </w:rPr>
      </w:pPr>
    </w:p>
    <w:p w:rsidR="00D217BF" w:rsidRPr="00D217BF" w:rsidRDefault="00D217BF" w:rsidP="00D217BF">
      <w:pPr>
        <w:jc w:val="both"/>
        <w:rPr>
          <w:color w:val="auto"/>
          <w:sz w:val="24"/>
          <w:szCs w:val="24"/>
        </w:rPr>
      </w:pPr>
      <w:r w:rsidRPr="00D217BF">
        <w:rPr>
          <w:color w:val="auto"/>
          <w:sz w:val="24"/>
          <w:szCs w:val="24"/>
        </w:rPr>
        <w:t>My development into a confident, competent practitioner can be evidenced in the positive feedback received from my ‘practice observation’ I was able to make the individual feel comfortable and respond effectively to unexpected information; due to confidence in my wider knowledge of practice and services.</w:t>
      </w:r>
    </w:p>
    <w:p w:rsidR="00D217BF" w:rsidRPr="00D217BF" w:rsidRDefault="00D217BF" w:rsidP="00D217BF">
      <w:pPr>
        <w:jc w:val="both"/>
        <w:rPr>
          <w:color w:val="auto"/>
          <w:sz w:val="24"/>
          <w:szCs w:val="24"/>
        </w:rPr>
      </w:pPr>
    </w:p>
    <w:p w:rsidR="00D217BF" w:rsidRPr="00D217BF" w:rsidRDefault="00D217BF" w:rsidP="00D217BF">
      <w:pPr>
        <w:jc w:val="both"/>
        <w:rPr>
          <w:color w:val="auto"/>
          <w:sz w:val="24"/>
          <w:szCs w:val="24"/>
        </w:rPr>
      </w:pPr>
      <w:r w:rsidRPr="00D217BF">
        <w:rPr>
          <w:color w:val="auto"/>
          <w:sz w:val="24"/>
          <w:szCs w:val="24"/>
        </w:rPr>
        <w:t xml:space="preserve">To reflect on my development in conjunction with </w:t>
      </w:r>
      <w:proofErr w:type="spellStart"/>
      <w:r w:rsidRPr="00D217BF">
        <w:rPr>
          <w:color w:val="auto"/>
          <w:sz w:val="24"/>
          <w:szCs w:val="24"/>
        </w:rPr>
        <w:t>Borton’s</w:t>
      </w:r>
      <w:proofErr w:type="spellEnd"/>
      <w:r w:rsidRPr="00D217BF">
        <w:rPr>
          <w:color w:val="auto"/>
          <w:sz w:val="24"/>
          <w:szCs w:val="24"/>
        </w:rPr>
        <w:t xml:space="preserve"> (1970) model; I have now have a better understanding of where my role and the role of others fit together to identify need and desired outcomes and how working together effectively can increase the opportunities to improve person centred practice. Lessons have been learned from good practice and mistakes made and the focus now is to continue to build on positive collaborative working between individuals and other professionals, and measure improvement by discussing examples of positive and negative experiences throughout future supervision.</w:t>
      </w:r>
    </w:p>
    <w:p w:rsidR="00D217BF" w:rsidRPr="00D217BF" w:rsidRDefault="00D217BF" w:rsidP="00D217BF">
      <w:pPr>
        <w:rPr>
          <w:color w:val="auto"/>
          <w:sz w:val="24"/>
          <w:szCs w:val="24"/>
        </w:rPr>
      </w:pPr>
    </w:p>
    <w:p w:rsidR="00D217BF" w:rsidRPr="00D217BF" w:rsidRDefault="004C2B7C" w:rsidP="00D217BF">
      <w:pPr>
        <w:jc w:val="center"/>
        <w:rPr>
          <w:color w:val="auto"/>
          <w:sz w:val="24"/>
          <w:szCs w:val="24"/>
        </w:rPr>
      </w:pPr>
      <w:r>
        <w:rPr>
          <w:color w:val="auto"/>
          <w:sz w:val="24"/>
          <w:szCs w:val="24"/>
        </w:rPr>
        <w:t xml:space="preserve">Word Count </w:t>
      </w:r>
      <w:r w:rsidR="00D217BF" w:rsidRPr="00D217BF">
        <w:rPr>
          <w:color w:val="auto"/>
          <w:sz w:val="24"/>
          <w:szCs w:val="24"/>
        </w:rPr>
        <w:t>872</w:t>
      </w:r>
    </w:p>
    <w:p w:rsidR="00D217BF" w:rsidRPr="00D217BF" w:rsidRDefault="00D217BF" w:rsidP="00BB50E0">
      <w:pPr>
        <w:jc w:val="both"/>
        <w:rPr>
          <w:color w:val="auto"/>
          <w:sz w:val="24"/>
          <w:szCs w:val="24"/>
        </w:rPr>
      </w:pPr>
    </w:p>
    <w:p w:rsidR="00BB50E0" w:rsidRDefault="00BB50E0" w:rsidP="00BB50E0">
      <w:pPr>
        <w:jc w:val="both"/>
        <w:rPr>
          <w:color w:val="auto"/>
          <w:sz w:val="24"/>
          <w:szCs w:val="24"/>
        </w:rPr>
      </w:pPr>
    </w:p>
    <w:p w:rsidR="00D108E0" w:rsidRDefault="00D108E0" w:rsidP="00BB50E0">
      <w:pPr>
        <w:jc w:val="both"/>
        <w:rPr>
          <w:color w:val="auto"/>
          <w:sz w:val="24"/>
          <w:szCs w:val="24"/>
        </w:rPr>
      </w:pPr>
    </w:p>
    <w:p w:rsidR="00D108E0" w:rsidRPr="00D108E0" w:rsidRDefault="00D108E0" w:rsidP="00D108E0">
      <w:pPr>
        <w:keepNext/>
        <w:spacing w:before="240" w:after="60"/>
        <w:jc w:val="center"/>
        <w:rPr>
          <w:b/>
          <w:sz w:val="24"/>
          <w:szCs w:val="24"/>
        </w:rPr>
      </w:pPr>
      <w:r w:rsidRPr="00D108E0">
        <w:rPr>
          <w:b/>
          <w:sz w:val="24"/>
          <w:szCs w:val="24"/>
        </w:rPr>
        <w:t>Section 7</w:t>
      </w:r>
    </w:p>
    <w:p w:rsidR="00D108E0" w:rsidRPr="00D108E0" w:rsidRDefault="00D108E0" w:rsidP="00D108E0">
      <w:pPr>
        <w:keepNext/>
        <w:spacing w:before="240" w:after="60"/>
        <w:jc w:val="both"/>
        <w:rPr>
          <w:b/>
          <w:sz w:val="24"/>
          <w:szCs w:val="24"/>
        </w:rPr>
      </w:pPr>
      <w:r w:rsidRPr="00D108E0">
        <w:rPr>
          <w:b/>
          <w:sz w:val="24"/>
          <w:szCs w:val="24"/>
        </w:rPr>
        <w:t>Bibliography</w:t>
      </w:r>
    </w:p>
    <w:p w:rsidR="00D108E0" w:rsidRPr="00D108E0" w:rsidRDefault="00D108E0" w:rsidP="00D108E0">
      <w:pPr>
        <w:keepNext/>
        <w:spacing w:before="240" w:after="60"/>
        <w:jc w:val="both"/>
        <w:rPr>
          <w:sz w:val="24"/>
          <w:szCs w:val="24"/>
        </w:rPr>
      </w:pPr>
      <w:r w:rsidRPr="00D108E0">
        <w:rPr>
          <w:sz w:val="24"/>
          <w:szCs w:val="24"/>
        </w:rPr>
        <w:t>Information about referencing in written assignments and how to avoid plagiarism can be found on Moodle. It is important that you are aware of the importance of ensuring that the work submitted is your original work.</w:t>
      </w:r>
    </w:p>
    <w:p w:rsidR="00D108E0" w:rsidRPr="00D108E0" w:rsidRDefault="00D108E0" w:rsidP="00D108E0">
      <w:pPr>
        <w:keepNext/>
        <w:spacing w:before="240" w:after="60"/>
        <w:jc w:val="both"/>
        <w:rPr>
          <w:sz w:val="24"/>
          <w:szCs w:val="24"/>
        </w:rPr>
      </w:pPr>
      <w:r w:rsidRPr="00D108E0">
        <w:rPr>
          <w:sz w:val="24"/>
          <w:szCs w:val="24"/>
        </w:rPr>
        <w:t xml:space="preserve">     </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r w:rsidRPr="00D108E0">
        <w:rPr>
          <w:rFonts w:eastAsia="Calibri"/>
          <w:color w:val="auto"/>
          <w:sz w:val="24"/>
          <w:szCs w:val="24"/>
          <w:lang w:eastAsia="en-US"/>
        </w:rPr>
        <w:t xml:space="preserve">Ann Craft Trust. (2018) Acting </w:t>
      </w:r>
      <w:proofErr w:type="gramStart"/>
      <w:r w:rsidRPr="00D108E0">
        <w:rPr>
          <w:rFonts w:eastAsia="Calibri"/>
          <w:color w:val="auto"/>
          <w:sz w:val="24"/>
          <w:szCs w:val="24"/>
          <w:lang w:eastAsia="en-US"/>
        </w:rPr>
        <w:t>Against</w:t>
      </w:r>
      <w:proofErr w:type="gramEnd"/>
      <w:r w:rsidRPr="00D108E0">
        <w:rPr>
          <w:rFonts w:eastAsia="Calibri"/>
          <w:color w:val="auto"/>
          <w:sz w:val="24"/>
          <w:szCs w:val="24"/>
          <w:lang w:eastAsia="en-US"/>
        </w:rPr>
        <w:t xml:space="preserve"> Abuse. Available from </w:t>
      </w:r>
      <w:hyperlink r:id="rId7" w:history="1">
        <w:r w:rsidRPr="00D108E0">
          <w:rPr>
            <w:rFonts w:eastAsia="Calibri"/>
            <w:color w:val="auto"/>
            <w:sz w:val="24"/>
            <w:szCs w:val="24"/>
            <w:lang w:eastAsia="en-US"/>
          </w:rPr>
          <w:t>https://www.anncrafttrust.org/about/</w:t>
        </w:r>
      </w:hyperlink>
      <w:r w:rsidRPr="00D108E0">
        <w:rPr>
          <w:rFonts w:eastAsia="Calibri"/>
          <w:color w:val="auto"/>
          <w:sz w:val="24"/>
          <w:szCs w:val="24"/>
          <w:lang w:eastAsia="en-US"/>
        </w:rPr>
        <w:t xml:space="preserve"> (Accessed electronically on 09.10.18)</w:t>
      </w:r>
    </w:p>
    <w:p w:rsidR="00D108E0" w:rsidRPr="00D108E0" w:rsidRDefault="00D108E0" w:rsidP="00D108E0">
      <w:pPr>
        <w:overflowPunct/>
        <w:autoSpaceDE/>
        <w:autoSpaceDN/>
        <w:adjustRightInd/>
        <w:spacing w:after="200" w:line="276" w:lineRule="auto"/>
        <w:textAlignment w:val="auto"/>
        <w:rPr>
          <w:rFonts w:eastAsia="Calibri"/>
          <w:color w:val="auto"/>
          <w:sz w:val="22"/>
          <w:szCs w:val="22"/>
          <w:lang w:eastAsia="en-US"/>
        </w:rPr>
      </w:pPr>
      <w:proofErr w:type="gramStart"/>
      <w:r w:rsidRPr="00D108E0">
        <w:rPr>
          <w:color w:val="auto"/>
          <w:sz w:val="24"/>
          <w:szCs w:val="24"/>
          <w:lang w:val="en"/>
        </w:rPr>
        <w:t xml:space="preserve">Atkins, S. &amp; Murphy, K. (1994) </w:t>
      </w:r>
      <w:r w:rsidRPr="00D108E0">
        <w:rPr>
          <w:i/>
          <w:color w:val="auto"/>
          <w:sz w:val="24"/>
          <w:szCs w:val="24"/>
          <w:lang w:val="en"/>
        </w:rPr>
        <w:t>Reflective Practice</w:t>
      </w:r>
      <w:r w:rsidRPr="00D108E0">
        <w:rPr>
          <w:color w:val="auto"/>
          <w:sz w:val="24"/>
          <w:szCs w:val="24"/>
          <w:lang w:val="en"/>
        </w:rPr>
        <w:t>.</w:t>
      </w:r>
      <w:proofErr w:type="gramEnd"/>
      <w:r w:rsidRPr="00D108E0">
        <w:rPr>
          <w:color w:val="auto"/>
          <w:sz w:val="24"/>
          <w:szCs w:val="24"/>
          <w:lang w:val="en"/>
        </w:rPr>
        <w:t xml:space="preserve"> Nursing Standard; </w:t>
      </w:r>
      <w:proofErr w:type="gramStart"/>
      <w:r w:rsidRPr="00D108E0">
        <w:rPr>
          <w:color w:val="auto"/>
          <w:sz w:val="24"/>
          <w:szCs w:val="24"/>
          <w:lang w:val="en"/>
        </w:rPr>
        <w:t>v8(</w:t>
      </w:r>
      <w:proofErr w:type="gramEnd"/>
      <w:r w:rsidRPr="00D108E0">
        <w:rPr>
          <w:color w:val="auto"/>
          <w:sz w:val="24"/>
          <w:szCs w:val="24"/>
          <w:lang w:val="en"/>
        </w:rPr>
        <w:t>39) pp.49-56</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r w:rsidRPr="00D108E0">
        <w:rPr>
          <w:rFonts w:eastAsia="Calibri"/>
          <w:color w:val="auto"/>
          <w:sz w:val="24"/>
          <w:szCs w:val="24"/>
          <w:lang w:eastAsia="en-US"/>
        </w:rPr>
        <w:t xml:space="preserve">Boyle, D., Slay, J. &amp; Stephens, L. (2010) Public Services Inside Out: Putting co-production into practice. </w:t>
      </w:r>
      <w:proofErr w:type="spellStart"/>
      <w:r w:rsidRPr="00D108E0">
        <w:rPr>
          <w:rFonts w:eastAsia="Calibri"/>
          <w:color w:val="auto"/>
          <w:sz w:val="24"/>
          <w:szCs w:val="24"/>
          <w:lang w:eastAsia="en-US"/>
        </w:rPr>
        <w:t>Nesta</w:t>
      </w:r>
      <w:proofErr w:type="spellEnd"/>
      <w:r w:rsidRPr="00D108E0">
        <w:rPr>
          <w:rFonts w:eastAsia="Calibri"/>
          <w:color w:val="auto"/>
          <w:sz w:val="24"/>
          <w:szCs w:val="24"/>
          <w:lang w:eastAsia="en-US"/>
        </w:rPr>
        <w:t>: London</w:t>
      </w:r>
    </w:p>
    <w:p w:rsidR="00D108E0" w:rsidRPr="00D108E0" w:rsidRDefault="00D108E0" w:rsidP="00D108E0">
      <w:pPr>
        <w:shd w:val="clear" w:color="auto" w:fill="FFFFFF"/>
        <w:overflowPunct/>
        <w:autoSpaceDE/>
        <w:autoSpaceDN/>
        <w:adjustRightInd/>
        <w:spacing w:after="200" w:line="276" w:lineRule="auto"/>
        <w:textAlignment w:val="auto"/>
        <w:rPr>
          <w:color w:val="666666"/>
          <w:sz w:val="24"/>
          <w:szCs w:val="24"/>
        </w:rPr>
      </w:pPr>
      <w:r w:rsidRPr="00D108E0">
        <w:rPr>
          <w:rFonts w:eastAsia="Calibri"/>
          <w:color w:val="auto"/>
          <w:sz w:val="24"/>
          <w:szCs w:val="24"/>
          <w:lang w:eastAsia="en-US"/>
        </w:rPr>
        <w:t xml:space="preserve">Children’s Act (1989) Legislation.gov.uk. </w:t>
      </w:r>
      <w:proofErr w:type="gramStart"/>
      <w:r w:rsidRPr="00D108E0">
        <w:rPr>
          <w:rFonts w:eastAsia="Calibri"/>
          <w:color w:val="auto"/>
          <w:sz w:val="24"/>
          <w:szCs w:val="24"/>
          <w:lang w:eastAsia="en-US"/>
        </w:rPr>
        <w:t xml:space="preserve">Available from </w:t>
      </w:r>
      <w:hyperlink r:id="rId8" w:history="1">
        <w:r w:rsidRPr="00D108E0">
          <w:rPr>
            <w:sz w:val="24"/>
            <w:szCs w:val="24"/>
          </w:rPr>
          <w:t>https://www.</w:t>
        </w:r>
        <w:r w:rsidRPr="00D108E0">
          <w:rPr>
            <w:bCs/>
            <w:sz w:val="24"/>
            <w:szCs w:val="24"/>
          </w:rPr>
          <w:t>legislation</w:t>
        </w:r>
        <w:r w:rsidRPr="00D108E0">
          <w:rPr>
            <w:sz w:val="24"/>
            <w:szCs w:val="24"/>
          </w:rPr>
          <w:t>.gov.uk/ukpga/</w:t>
        </w:r>
        <w:r w:rsidRPr="00D108E0">
          <w:rPr>
            <w:bCs/>
            <w:sz w:val="24"/>
            <w:szCs w:val="24"/>
          </w:rPr>
          <w:t>1989</w:t>
        </w:r>
        <w:r w:rsidRPr="00D108E0">
          <w:rPr>
            <w:sz w:val="24"/>
            <w:szCs w:val="24"/>
          </w:rPr>
          <w:t>/41/contents</w:t>
        </w:r>
      </w:hyperlink>
      <w:r w:rsidRPr="00D108E0">
        <w:rPr>
          <w:sz w:val="24"/>
          <w:szCs w:val="24"/>
        </w:rPr>
        <w:t>.</w:t>
      </w:r>
      <w:proofErr w:type="gramEnd"/>
      <w:r w:rsidRPr="00D108E0">
        <w:rPr>
          <w:sz w:val="24"/>
          <w:szCs w:val="24"/>
        </w:rPr>
        <w:t xml:space="preserve"> (Accessed electronically on 13.09.18)</w:t>
      </w:r>
    </w:p>
    <w:p w:rsidR="00D108E0" w:rsidRPr="00D108E0" w:rsidRDefault="00D108E0" w:rsidP="00D108E0">
      <w:pPr>
        <w:overflowPunct/>
        <w:autoSpaceDE/>
        <w:autoSpaceDN/>
        <w:adjustRightInd/>
        <w:spacing w:before="100" w:beforeAutospacing="1" w:after="100" w:afterAutospacing="1"/>
        <w:ind w:right="240"/>
        <w:textAlignment w:val="auto"/>
        <w:rPr>
          <w:sz w:val="24"/>
          <w:szCs w:val="24"/>
          <w:lang w:val="en"/>
        </w:rPr>
      </w:pPr>
      <w:r w:rsidRPr="00D108E0">
        <w:rPr>
          <w:sz w:val="24"/>
          <w:szCs w:val="24"/>
          <w:lang w:val="en"/>
        </w:rPr>
        <w:t xml:space="preserve">Code for Nurses and Midwives (2018) Available from </w:t>
      </w:r>
      <w:hyperlink r:id="rId9" w:history="1">
        <w:r w:rsidRPr="00D108E0">
          <w:rPr>
            <w:sz w:val="24"/>
            <w:szCs w:val="24"/>
            <w:lang w:val="en"/>
          </w:rPr>
          <w:t>www.nmc.org.uk</w:t>
        </w:r>
      </w:hyperlink>
      <w:r w:rsidRPr="00D108E0">
        <w:rPr>
          <w:sz w:val="24"/>
          <w:szCs w:val="24"/>
          <w:lang w:val="en"/>
        </w:rPr>
        <w:t xml:space="preserve"> (Accessed electronically on 01.10.18)</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proofErr w:type="gramStart"/>
      <w:r w:rsidRPr="00D108E0">
        <w:rPr>
          <w:rFonts w:eastAsia="Calibri"/>
          <w:color w:val="auto"/>
          <w:sz w:val="24"/>
          <w:szCs w:val="24"/>
          <w:lang w:eastAsia="en-US"/>
        </w:rPr>
        <w:t>Corporate Safeguarding Policy (2016) Available from Local County Council.</w:t>
      </w:r>
      <w:proofErr w:type="gramEnd"/>
      <w:r w:rsidRPr="00D108E0">
        <w:rPr>
          <w:rFonts w:eastAsia="Calibri"/>
          <w:color w:val="auto"/>
          <w:sz w:val="24"/>
          <w:szCs w:val="24"/>
          <w:lang w:eastAsia="en-US"/>
        </w:rPr>
        <w:t xml:space="preserve"> (Accessed electronically on 05.10.18)</w:t>
      </w:r>
    </w:p>
    <w:p w:rsidR="00D108E0" w:rsidRPr="00D108E0" w:rsidRDefault="00D108E0" w:rsidP="00D108E0">
      <w:pPr>
        <w:overflowPunct/>
        <w:spacing w:before="100" w:after="100"/>
        <w:textAlignment w:val="auto"/>
        <w:rPr>
          <w:rFonts w:eastAsia="Calibri"/>
          <w:sz w:val="24"/>
          <w:szCs w:val="24"/>
          <w:lang w:eastAsia="en-US"/>
        </w:rPr>
      </w:pPr>
      <w:r w:rsidRPr="00D108E0">
        <w:rPr>
          <w:rFonts w:eastAsia="Calibri"/>
          <w:sz w:val="24"/>
          <w:szCs w:val="24"/>
          <w:lang w:eastAsia="en-US"/>
        </w:rPr>
        <w:t xml:space="preserve">Counter Terrorism and Security Act (2015): Statutory Guidance under Section 29. Available from </w:t>
      </w:r>
      <w:hyperlink r:id="rId10" w:history="1">
        <w:r w:rsidRPr="00D108E0">
          <w:rPr>
            <w:rFonts w:eastAsia="Calibri"/>
            <w:sz w:val="24"/>
            <w:szCs w:val="24"/>
            <w:lang w:eastAsia="en-US"/>
          </w:rPr>
          <w:t>www.legislation.gov.uk</w:t>
        </w:r>
      </w:hyperlink>
      <w:r w:rsidRPr="00D108E0">
        <w:rPr>
          <w:rFonts w:eastAsia="Calibri"/>
          <w:sz w:val="24"/>
          <w:szCs w:val="24"/>
          <w:lang w:eastAsia="en-US"/>
        </w:rPr>
        <w:t xml:space="preserve"> (Accessed electronically on 04.10.18)</w:t>
      </w:r>
    </w:p>
    <w:p w:rsidR="00D108E0" w:rsidRPr="00D108E0" w:rsidRDefault="00D108E0" w:rsidP="00D108E0">
      <w:pPr>
        <w:overflowPunct/>
        <w:spacing w:before="100" w:after="100"/>
        <w:textAlignment w:val="auto"/>
        <w:rPr>
          <w:rFonts w:eastAsia="Calibri"/>
          <w:sz w:val="24"/>
          <w:szCs w:val="24"/>
          <w:lang w:eastAsia="en-US"/>
        </w:rPr>
      </w:pPr>
      <w:proofErr w:type="gramStart"/>
      <w:r w:rsidRPr="00D108E0">
        <w:rPr>
          <w:rFonts w:eastAsia="Calibri"/>
          <w:color w:val="auto"/>
          <w:sz w:val="24"/>
          <w:szCs w:val="24"/>
          <w:lang w:eastAsia="en-US"/>
        </w:rPr>
        <w:t xml:space="preserve">Data Protection Act (1998) </w:t>
      </w:r>
      <w:r w:rsidRPr="00D108E0">
        <w:rPr>
          <w:rFonts w:eastAsia="Calibri"/>
          <w:i/>
          <w:color w:val="auto"/>
          <w:sz w:val="24"/>
          <w:szCs w:val="24"/>
          <w:lang w:eastAsia="en-US"/>
        </w:rPr>
        <w:t>Section 2.</w:t>
      </w:r>
      <w:proofErr w:type="gramEnd"/>
      <w:r w:rsidRPr="00D108E0">
        <w:rPr>
          <w:rFonts w:eastAsia="Calibri"/>
          <w:i/>
          <w:color w:val="auto"/>
          <w:sz w:val="24"/>
          <w:szCs w:val="24"/>
          <w:lang w:eastAsia="en-US"/>
        </w:rPr>
        <w:t xml:space="preserve"> </w:t>
      </w:r>
      <w:r w:rsidRPr="00D108E0">
        <w:rPr>
          <w:rFonts w:eastAsia="Calibri"/>
          <w:color w:val="auto"/>
          <w:sz w:val="24"/>
          <w:szCs w:val="24"/>
          <w:lang w:eastAsia="en-US"/>
        </w:rPr>
        <w:t xml:space="preserve">Legislation.gov.uk. Available from </w:t>
      </w:r>
      <w:hyperlink r:id="rId11" w:history="1">
        <w:r w:rsidRPr="00D108E0">
          <w:rPr>
            <w:rFonts w:eastAsia="Calibri"/>
            <w:sz w:val="24"/>
            <w:szCs w:val="24"/>
            <w:lang w:eastAsia="en-US"/>
          </w:rPr>
          <w:t>http://www.legislation.gov.uk/ukpga/1998/29/section/2</w:t>
        </w:r>
      </w:hyperlink>
      <w:r w:rsidRPr="00D108E0">
        <w:rPr>
          <w:rFonts w:eastAsia="Calibri"/>
          <w:sz w:val="24"/>
          <w:szCs w:val="24"/>
          <w:lang w:eastAsia="en-US"/>
        </w:rPr>
        <w:t xml:space="preserve">. </w:t>
      </w:r>
      <w:r w:rsidRPr="00D108E0">
        <w:rPr>
          <w:rFonts w:eastAsia="Calibri"/>
          <w:color w:val="auto"/>
          <w:sz w:val="24"/>
          <w:szCs w:val="24"/>
          <w:lang w:eastAsia="en-US"/>
        </w:rPr>
        <w:t>(Accessed electronically on 26.09.18)</w:t>
      </w:r>
    </w:p>
    <w:p w:rsidR="00D108E0" w:rsidRPr="00D108E0" w:rsidRDefault="00D108E0" w:rsidP="00D108E0">
      <w:pPr>
        <w:overflowPunct/>
        <w:autoSpaceDE/>
        <w:autoSpaceDN/>
        <w:adjustRightInd/>
        <w:spacing w:before="100" w:beforeAutospacing="1" w:after="100" w:afterAutospacing="1"/>
        <w:ind w:right="240"/>
        <w:textAlignment w:val="auto"/>
        <w:rPr>
          <w:rFonts w:eastAsia="Calibri"/>
          <w:sz w:val="24"/>
          <w:szCs w:val="24"/>
          <w:lang w:eastAsia="en-US"/>
        </w:rPr>
      </w:pPr>
      <w:hyperlink r:id="rId12" w:history="1">
        <w:r w:rsidRPr="00D108E0">
          <w:rPr>
            <w:sz w:val="24"/>
            <w:szCs w:val="24"/>
          </w:rPr>
          <w:t>Directorate-General for Justice and Consumers</w:t>
        </w:r>
      </w:hyperlink>
      <w:r w:rsidRPr="00D108E0">
        <w:rPr>
          <w:sz w:val="24"/>
          <w:szCs w:val="24"/>
        </w:rPr>
        <w:t xml:space="preserve"> (</w:t>
      </w:r>
      <w:hyperlink r:id="rId13" w:history="1">
        <w:r w:rsidRPr="00D108E0">
          <w:rPr>
            <w:sz w:val="24"/>
            <w:szCs w:val="24"/>
          </w:rPr>
          <w:t>European Commission</w:t>
        </w:r>
      </w:hyperlink>
      <w:r w:rsidRPr="00D108E0">
        <w:rPr>
          <w:sz w:val="24"/>
          <w:szCs w:val="24"/>
        </w:rPr>
        <w:t xml:space="preserve">) (2018) </w:t>
      </w:r>
      <w:r w:rsidRPr="00D108E0">
        <w:rPr>
          <w:i/>
          <w:sz w:val="24"/>
          <w:szCs w:val="24"/>
        </w:rPr>
        <w:t xml:space="preserve">General Data Protection Regulations. </w:t>
      </w:r>
      <w:proofErr w:type="gramStart"/>
      <w:r w:rsidRPr="00D108E0">
        <w:rPr>
          <w:sz w:val="24"/>
          <w:szCs w:val="24"/>
        </w:rPr>
        <w:t xml:space="preserve">Available from </w:t>
      </w:r>
      <w:hyperlink r:id="rId14" w:history="1">
        <w:r w:rsidRPr="00D108E0">
          <w:rPr>
            <w:sz w:val="24"/>
            <w:szCs w:val="24"/>
          </w:rPr>
          <w:t>https://www.gov.uk/government/publications/guide-to-the-general-data-protection-regulation</w:t>
        </w:r>
      </w:hyperlink>
      <w:r w:rsidRPr="00D108E0">
        <w:rPr>
          <w:sz w:val="24"/>
          <w:szCs w:val="24"/>
        </w:rPr>
        <w:t>.</w:t>
      </w:r>
      <w:proofErr w:type="gramEnd"/>
      <w:r w:rsidRPr="00D108E0">
        <w:rPr>
          <w:sz w:val="24"/>
          <w:szCs w:val="24"/>
        </w:rPr>
        <w:t xml:space="preserve"> (Accessed electronically on 09.09.18)</w:t>
      </w:r>
    </w:p>
    <w:p w:rsidR="00D108E0" w:rsidRPr="00D108E0" w:rsidRDefault="00D108E0" w:rsidP="00D108E0">
      <w:pPr>
        <w:overflowPunct/>
        <w:autoSpaceDE/>
        <w:autoSpaceDN/>
        <w:adjustRightInd/>
        <w:spacing w:before="100" w:beforeAutospacing="1" w:after="100" w:afterAutospacing="1"/>
        <w:ind w:right="240"/>
        <w:textAlignment w:val="auto"/>
        <w:rPr>
          <w:sz w:val="24"/>
          <w:szCs w:val="24"/>
        </w:rPr>
      </w:pPr>
      <w:r w:rsidRPr="00D108E0">
        <w:rPr>
          <w:rFonts w:eastAsia="Calibri"/>
          <w:color w:val="auto"/>
          <w:sz w:val="24"/>
          <w:szCs w:val="24"/>
          <w:lang w:eastAsia="en-US"/>
        </w:rPr>
        <w:t xml:space="preserve">Domiciliary Care Workforce-Welsh Government Consultation (2016) Available from </w:t>
      </w:r>
      <w:proofErr w:type="spellStart"/>
      <w:r w:rsidRPr="00D108E0">
        <w:rPr>
          <w:rFonts w:eastAsia="Calibri"/>
          <w:color w:val="auto"/>
          <w:sz w:val="24"/>
          <w:szCs w:val="24"/>
          <w:lang w:eastAsia="en-US"/>
        </w:rPr>
        <w:t>beta.gov.wales</w:t>
      </w:r>
      <w:proofErr w:type="spellEnd"/>
      <w:r w:rsidRPr="00D108E0">
        <w:rPr>
          <w:rFonts w:eastAsia="Calibri"/>
          <w:color w:val="auto"/>
          <w:sz w:val="24"/>
          <w:szCs w:val="24"/>
          <w:lang w:eastAsia="en-US"/>
        </w:rPr>
        <w:t xml:space="preserve"> (Accessed electronically on 24.09.18)</w:t>
      </w:r>
    </w:p>
    <w:p w:rsidR="00D108E0" w:rsidRPr="00D108E0" w:rsidRDefault="00D108E0" w:rsidP="00D108E0">
      <w:pPr>
        <w:overflowPunct/>
        <w:autoSpaceDE/>
        <w:autoSpaceDN/>
        <w:adjustRightInd/>
        <w:spacing w:before="100" w:beforeAutospacing="1" w:after="100" w:afterAutospacing="1"/>
        <w:textAlignment w:val="auto"/>
        <w:rPr>
          <w:sz w:val="24"/>
          <w:szCs w:val="24"/>
          <w:lang w:val="en-US"/>
        </w:rPr>
      </w:pPr>
      <w:proofErr w:type="spellStart"/>
      <w:r w:rsidRPr="00D108E0">
        <w:rPr>
          <w:rFonts w:eastAsia="Calibri"/>
          <w:color w:val="auto"/>
          <w:sz w:val="24"/>
          <w:szCs w:val="24"/>
          <w:lang w:eastAsia="en-US"/>
        </w:rPr>
        <w:t>Dybicz</w:t>
      </w:r>
      <w:proofErr w:type="spellEnd"/>
      <w:r w:rsidRPr="00D108E0">
        <w:rPr>
          <w:rFonts w:eastAsia="Calibri"/>
          <w:color w:val="auto"/>
          <w:sz w:val="24"/>
          <w:szCs w:val="24"/>
          <w:lang w:eastAsia="en-US"/>
        </w:rPr>
        <w:t xml:space="preserve">, P. (2012) </w:t>
      </w:r>
      <w:proofErr w:type="gramStart"/>
      <w:r w:rsidRPr="00D108E0">
        <w:rPr>
          <w:i/>
          <w:sz w:val="24"/>
          <w:szCs w:val="24"/>
          <w:lang w:val="en-US"/>
        </w:rPr>
        <w:t>The</w:t>
      </w:r>
      <w:proofErr w:type="gramEnd"/>
      <w:r w:rsidRPr="00D108E0">
        <w:rPr>
          <w:i/>
          <w:sz w:val="24"/>
          <w:szCs w:val="24"/>
          <w:lang w:val="en-US"/>
        </w:rPr>
        <w:t xml:space="preserve"> Ethic of Care: Recapturing Social Work's First Voice. </w:t>
      </w:r>
      <w:hyperlink r:id="rId15" w:tooltip="Click to search for more items from this journal" w:history="1">
        <w:r w:rsidRPr="00D108E0">
          <w:rPr>
            <w:rFonts w:eastAsia="Calibri"/>
            <w:bCs/>
            <w:sz w:val="24"/>
            <w:szCs w:val="24"/>
            <w:lang w:val="en" w:eastAsia="en-US"/>
          </w:rPr>
          <w:t>Social Work</w:t>
        </w:r>
      </w:hyperlink>
      <w:r w:rsidRPr="00D108E0">
        <w:rPr>
          <w:rFonts w:eastAsia="Calibri"/>
          <w:bCs/>
          <w:sz w:val="24"/>
          <w:szCs w:val="24"/>
          <w:lang w:val="en" w:eastAsia="en-US"/>
        </w:rPr>
        <w:t>;</w:t>
      </w:r>
      <w:r w:rsidRPr="00D108E0">
        <w:rPr>
          <w:rFonts w:eastAsia="Calibri"/>
          <w:bCs/>
          <w:sz w:val="24"/>
          <w:szCs w:val="24"/>
          <w:u w:val="single"/>
          <w:lang w:val="en" w:eastAsia="en-US"/>
        </w:rPr>
        <w:t xml:space="preserve"> </w:t>
      </w:r>
      <w:r w:rsidRPr="00D108E0">
        <w:rPr>
          <w:rFonts w:eastAsia="Calibri"/>
          <w:bCs/>
          <w:sz w:val="24"/>
          <w:szCs w:val="24"/>
          <w:lang w:val="en" w:eastAsia="en-US"/>
        </w:rPr>
        <w:t>Oxford</w:t>
      </w:r>
      <w:r w:rsidRPr="00D108E0">
        <w:rPr>
          <w:rFonts w:eastAsia="Calibri"/>
          <w:sz w:val="24"/>
          <w:szCs w:val="24"/>
          <w:lang w:val="en" w:eastAsia="en-US"/>
        </w:rPr>
        <w:t xml:space="preserve">, </w:t>
      </w:r>
      <w:proofErr w:type="gramStart"/>
      <w:r w:rsidRPr="00D108E0">
        <w:rPr>
          <w:rFonts w:eastAsia="Calibri"/>
          <w:sz w:val="24"/>
          <w:szCs w:val="24"/>
          <w:lang w:val="en" w:eastAsia="en-US"/>
        </w:rPr>
        <w:t>v57(</w:t>
      </w:r>
      <w:proofErr w:type="gramEnd"/>
      <w:r w:rsidRPr="00D108E0">
        <w:rPr>
          <w:rFonts w:eastAsia="Calibri"/>
          <w:sz w:val="24"/>
          <w:szCs w:val="24"/>
          <w:lang w:val="en" w:eastAsia="en-US"/>
        </w:rPr>
        <w:t>3)</w:t>
      </w:r>
    </w:p>
    <w:p w:rsidR="00D108E0" w:rsidRPr="00D108E0" w:rsidRDefault="00D108E0" w:rsidP="00D108E0">
      <w:pPr>
        <w:overflowPunct/>
        <w:autoSpaceDE/>
        <w:autoSpaceDN/>
        <w:adjustRightInd/>
        <w:spacing w:before="100" w:beforeAutospacing="1" w:after="100" w:afterAutospacing="1"/>
        <w:ind w:right="240"/>
        <w:textAlignment w:val="auto"/>
        <w:rPr>
          <w:sz w:val="24"/>
          <w:szCs w:val="24"/>
        </w:rPr>
      </w:pPr>
      <w:proofErr w:type="gramStart"/>
      <w:r w:rsidRPr="00D108E0">
        <w:rPr>
          <w:rFonts w:eastAsia="Calibri"/>
          <w:color w:val="auto"/>
          <w:sz w:val="24"/>
          <w:szCs w:val="24"/>
          <w:lang w:eastAsia="en-US"/>
        </w:rPr>
        <w:t xml:space="preserve">Elton, J. (2013) </w:t>
      </w:r>
      <w:r w:rsidRPr="00D108E0">
        <w:rPr>
          <w:rFonts w:eastAsia="Calibri"/>
          <w:i/>
          <w:color w:val="auto"/>
          <w:sz w:val="24"/>
          <w:szCs w:val="24"/>
          <w:lang w:eastAsia="en-US"/>
        </w:rPr>
        <w:t>How to apply Deprivation of Liberty Safeguards.</w:t>
      </w:r>
      <w:proofErr w:type="gramEnd"/>
      <w:r w:rsidRPr="00D108E0">
        <w:rPr>
          <w:rFonts w:eastAsia="Calibri"/>
          <w:i/>
          <w:color w:val="auto"/>
          <w:sz w:val="24"/>
          <w:szCs w:val="24"/>
          <w:lang w:eastAsia="en-US"/>
        </w:rPr>
        <w:t xml:space="preserve"> </w:t>
      </w:r>
      <w:hyperlink r:id="rId16" w:history="1">
        <w:r w:rsidRPr="00D108E0">
          <w:rPr>
            <w:rFonts w:eastAsia="Calibri"/>
            <w:bCs/>
            <w:sz w:val="24"/>
            <w:szCs w:val="24"/>
            <w:lang w:eastAsia="en-US"/>
          </w:rPr>
          <w:t>Nursing Times</w:t>
        </w:r>
      </w:hyperlink>
      <w:r w:rsidRPr="00D108E0">
        <w:rPr>
          <w:rFonts w:eastAsia="Calibri"/>
          <w:bCs/>
          <w:sz w:val="24"/>
          <w:szCs w:val="24"/>
          <w:lang w:eastAsia="en-US"/>
        </w:rPr>
        <w:t>: London</w:t>
      </w:r>
      <w:hyperlink r:id="rId17" w:history="1">
        <w:r w:rsidRPr="00D108E0">
          <w:rPr>
            <w:rFonts w:eastAsia="Calibri"/>
            <w:sz w:val="24"/>
            <w:szCs w:val="24"/>
            <w:lang w:eastAsia="en-US"/>
          </w:rPr>
          <w:t xml:space="preserve">, </w:t>
        </w:r>
        <w:proofErr w:type="gramStart"/>
        <w:r w:rsidRPr="00D108E0">
          <w:rPr>
            <w:rFonts w:eastAsia="Calibri"/>
            <w:sz w:val="24"/>
            <w:szCs w:val="24"/>
            <w:lang w:eastAsia="en-US"/>
          </w:rPr>
          <w:t>v109(</w:t>
        </w:r>
        <w:proofErr w:type="gramEnd"/>
        <w:r w:rsidRPr="00D108E0">
          <w:rPr>
            <w:rFonts w:eastAsia="Calibri"/>
            <w:sz w:val="24"/>
            <w:szCs w:val="24"/>
            <w:lang w:eastAsia="en-US"/>
          </w:rPr>
          <w:t>20)</w:t>
        </w:r>
      </w:hyperlink>
    </w:p>
    <w:p w:rsidR="00D108E0" w:rsidRPr="00D108E0" w:rsidRDefault="00D108E0" w:rsidP="00D108E0">
      <w:pPr>
        <w:keepNext/>
        <w:overflowPunct/>
        <w:spacing w:before="100" w:after="100"/>
        <w:textAlignment w:val="auto"/>
        <w:outlineLvl w:val="2"/>
        <w:rPr>
          <w:rFonts w:eastAsia="Calibri"/>
          <w:color w:val="auto"/>
          <w:sz w:val="24"/>
          <w:szCs w:val="24"/>
          <w:lang w:eastAsia="en-US"/>
        </w:rPr>
      </w:pPr>
      <w:proofErr w:type="spellStart"/>
      <w:r w:rsidRPr="00D108E0">
        <w:rPr>
          <w:rFonts w:eastAsia="Calibri"/>
          <w:bCs/>
          <w:color w:val="auto"/>
          <w:sz w:val="24"/>
          <w:szCs w:val="24"/>
          <w:lang w:eastAsia="en-US"/>
        </w:rPr>
        <w:lastRenderedPageBreak/>
        <w:t>Fargion</w:t>
      </w:r>
      <w:proofErr w:type="spellEnd"/>
      <w:r w:rsidRPr="00D108E0">
        <w:rPr>
          <w:rFonts w:eastAsia="Calibri"/>
          <w:bCs/>
          <w:color w:val="auto"/>
          <w:sz w:val="24"/>
          <w:szCs w:val="24"/>
          <w:lang w:eastAsia="en-US"/>
        </w:rPr>
        <w:t xml:space="preserve">, S. (2006) </w:t>
      </w:r>
      <w:hyperlink r:id="rId18" w:history="1">
        <w:r w:rsidRPr="00D108E0">
          <w:rPr>
            <w:rFonts w:eastAsia="Calibri"/>
            <w:bCs/>
            <w:i/>
            <w:sz w:val="24"/>
            <w:szCs w:val="24"/>
            <w:lang w:eastAsia="en-US"/>
          </w:rPr>
          <w:t>Thinking Professional Social Work: Expertise and Professional Ideologies in Social Workers’ Accounts of Their Practice</w:t>
        </w:r>
      </w:hyperlink>
      <w:r w:rsidRPr="00D108E0">
        <w:rPr>
          <w:rFonts w:eastAsia="Calibri"/>
          <w:bCs/>
          <w:i/>
          <w:sz w:val="24"/>
          <w:szCs w:val="24"/>
          <w:lang w:eastAsia="en-US"/>
        </w:rPr>
        <w:t xml:space="preserve">: </w:t>
      </w:r>
      <w:r w:rsidRPr="00D108E0">
        <w:rPr>
          <w:rFonts w:eastAsia="Calibri"/>
          <w:color w:val="auto"/>
          <w:sz w:val="24"/>
          <w:szCs w:val="24"/>
          <w:lang w:eastAsia="en-US"/>
        </w:rPr>
        <w:t xml:space="preserve">Journal of Social Work, December 2006, Vol.6(3), pp.255-273 </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r w:rsidRPr="00D108E0">
        <w:rPr>
          <w:rFonts w:eastAsia="Calibri"/>
          <w:color w:val="auto"/>
          <w:sz w:val="24"/>
          <w:szCs w:val="24"/>
          <w:lang w:eastAsia="en-US"/>
        </w:rPr>
        <w:t xml:space="preserve">Ferguson, H. (2018) </w:t>
      </w:r>
      <w:r w:rsidRPr="00D108E0">
        <w:rPr>
          <w:rFonts w:eastAsia="Calibri"/>
          <w:i/>
          <w:color w:val="auto"/>
          <w:sz w:val="24"/>
          <w:szCs w:val="24"/>
          <w:lang w:eastAsia="en-US"/>
        </w:rPr>
        <w:t>How Social Workers Reflect in Action and When and why They Don’t: The Possibilities and Limits to Reflective Practice in Social Work</w:t>
      </w:r>
      <w:r w:rsidRPr="00D108E0">
        <w:rPr>
          <w:rFonts w:eastAsia="Calibri"/>
          <w:color w:val="auto"/>
          <w:sz w:val="24"/>
          <w:szCs w:val="24"/>
          <w:lang w:eastAsia="en-US"/>
        </w:rPr>
        <w:t xml:space="preserve">. </w:t>
      </w:r>
      <w:proofErr w:type="gramStart"/>
      <w:r w:rsidRPr="00D108E0">
        <w:rPr>
          <w:rFonts w:eastAsia="Calibri"/>
          <w:color w:val="auto"/>
          <w:sz w:val="24"/>
          <w:szCs w:val="24"/>
          <w:lang w:eastAsia="en-US"/>
        </w:rPr>
        <w:t>Social Work Education.</w:t>
      </w:r>
      <w:proofErr w:type="gramEnd"/>
      <w:r w:rsidRPr="00D108E0">
        <w:rPr>
          <w:rFonts w:eastAsia="Calibri"/>
          <w:color w:val="auto"/>
          <w:sz w:val="24"/>
          <w:szCs w:val="24"/>
          <w:lang w:eastAsia="en-US"/>
        </w:rPr>
        <w:t xml:space="preserve"> </w:t>
      </w:r>
      <w:proofErr w:type="gramStart"/>
      <w:r w:rsidRPr="00D108E0">
        <w:rPr>
          <w:rFonts w:eastAsia="Calibri"/>
          <w:color w:val="auto"/>
          <w:sz w:val="24"/>
          <w:szCs w:val="24"/>
          <w:lang w:eastAsia="en-US"/>
        </w:rPr>
        <w:t>v37(</w:t>
      </w:r>
      <w:proofErr w:type="gramEnd"/>
      <w:r w:rsidRPr="00D108E0">
        <w:rPr>
          <w:rFonts w:eastAsia="Calibri"/>
          <w:color w:val="auto"/>
          <w:sz w:val="24"/>
          <w:szCs w:val="24"/>
          <w:lang w:eastAsia="en-US"/>
        </w:rPr>
        <w:t>4), pp.415-427</w:t>
      </w:r>
    </w:p>
    <w:p w:rsidR="00D108E0" w:rsidRPr="00D108E0" w:rsidRDefault="00D108E0" w:rsidP="00D108E0">
      <w:pPr>
        <w:keepNext/>
        <w:overflowPunct/>
        <w:spacing w:before="100" w:after="100"/>
        <w:textAlignment w:val="auto"/>
        <w:outlineLvl w:val="2"/>
        <w:rPr>
          <w:rFonts w:eastAsia="Calibri"/>
          <w:color w:val="auto"/>
          <w:sz w:val="24"/>
          <w:szCs w:val="24"/>
          <w:lang w:eastAsia="en-US"/>
        </w:rPr>
      </w:pPr>
      <w:r w:rsidRPr="00D108E0">
        <w:rPr>
          <w:rFonts w:eastAsia="Calibri"/>
          <w:color w:val="auto"/>
          <w:sz w:val="24"/>
          <w:szCs w:val="24"/>
          <w:lang w:eastAsia="en-US"/>
        </w:rPr>
        <w:t xml:space="preserve">Hughes, J. (2010) </w:t>
      </w:r>
      <w:proofErr w:type="gramStart"/>
      <w:r w:rsidRPr="00D108E0">
        <w:rPr>
          <w:rFonts w:eastAsia="Calibri"/>
          <w:i/>
          <w:color w:val="auto"/>
          <w:sz w:val="24"/>
          <w:szCs w:val="24"/>
          <w:lang w:eastAsia="en-US"/>
        </w:rPr>
        <w:t>The</w:t>
      </w:r>
      <w:proofErr w:type="gramEnd"/>
      <w:r w:rsidRPr="00D108E0">
        <w:rPr>
          <w:rFonts w:eastAsia="Calibri"/>
          <w:i/>
          <w:color w:val="auto"/>
          <w:sz w:val="24"/>
          <w:szCs w:val="24"/>
          <w:lang w:eastAsia="en-US"/>
        </w:rPr>
        <w:t xml:space="preserve"> Role of Supervision in Social Work: A Critical Analysis. </w:t>
      </w:r>
      <w:r w:rsidRPr="00D108E0">
        <w:rPr>
          <w:rFonts w:eastAsia="Calibri"/>
          <w:color w:val="auto"/>
          <w:sz w:val="24"/>
          <w:szCs w:val="24"/>
          <w:lang w:eastAsia="en-US"/>
        </w:rPr>
        <w:t>Critical Social Thinking: Policy and Practice, v2.</w:t>
      </w:r>
    </w:p>
    <w:p w:rsidR="00D108E0" w:rsidRPr="00D108E0" w:rsidRDefault="00D108E0" w:rsidP="00D108E0">
      <w:pPr>
        <w:keepNext/>
        <w:overflowPunct/>
        <w:spacing w:before="100" w:after="100"/>
        <w:textAlignment w:val="auto"/>
        <w:outlineLvl w:val="1"/>
        <w:rPr>
          <w:rFonts w:eastAsia="Calibri"/>
          <w:bCs/>
          <w:color w:val="auto"/>
          <w:kern w:val="36"/>
          <w:sz w:val="24"/>
          <w:szCs w:val="24"/>
          <w:lang w:eastAsia="en-US"/>
        </w:rPr>
      </w:pPr>
      <w:r w:rsidRPr="00D108E0">
        <w:rPr>
          <w:rFonts w:eastAsia="Calibri"/>
          <w:bCs/>
          <w:i/>
          <w:color w:val="auto"/>
          <w:kern w:val="36"/>
          <w:sz w:val="24"/>
          <w:szCs w:val="24"/>
          <w:lang w:eastAsia="en-US"/>
        </w:rPr>
        <w:t>Illness and Independence: The Work of the Alzheimer's Society is at the Forefront of Efforts to Combat the Tragic Effects of this Debilitating Disease and Deserves our Generous Support</w:t>
      </w:r>
      <w:r w:rsidRPr="00D108E0">
        <w:rPr>
          <w:rFonts w:eastAsia="Calibri"/>
          <w:bCs/>
          <w:color w:val="auto"/>
          <w:kern w:val="36"/>
          <w:sz w:val="24"/>
          <w:szCs w:val="24"/>
          <w:lang w:eastAsia="en-US"/>
        </w:rPr>
        <w:t xml:space="preserve"> (2017). The Times: London</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proofErr w:type="gramStart"/>
      <w:r w:rsidRPr="00D108E0">
        <w:rPr>
          <w:rFonts w:eastAsia="Calibri"/>
          <w:color w:val="auto"/>
          <w:sz w:val="24"/>
          <w:szCs w:val="24"/>
          <w:lang w:eastAsia="en-US"/>
        </w:rPr>
        <w:t xml:space="preserve">Johnston, M. (1999) </w:t>
      </w:r>
      <w:r w:rsidRPr="00D108E0">
        <w:rPr>
          <w:rFonts w:eastAsia="Calibri"/>
          <w:i/>
          <w:color w:val="auto"/>
          <w:sz w:val="24"/>
          <w:szCs w:val="24"/>
          <w:lang w:eastAsia="en-US"/>
        </w:rPr>
        <w:t>On Becoming Non-Judgemental; Some Difficulties for an Ethics of Counselling</w:t>
      </w:r>
      <w:r w:rsidRPr="00D108E0">
        <w:rPr>
          <w:rFonts w:eastAsia="Calibri"/>
          <w:color w:val="auto"/>
          <w:sz w:val="24"/>
          <w:szCs w:val="24"/>
          <w:lang w:eastAsia="en-US"/>
        </w:rPr>
        <w:t>.</w:t>
      </w:r>
      <w:proofErr w:type="gramEnd"/>
      <w:r w:rsidRPr="00D108E0">
        <w:rPr>
          <w:rFonts w:eastAsia="Calibri"/>
          <w:color w:val="auto"/>
          <w:sz w:val="24"/>
          <w:szCs w:val="24"/>
          <w:lang w:eastAsia="en-US"/>
        </w:rPr>
        <w:t xml:space="preserve"> Journal of Medical Ethics.v25, pp. 487-491</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r w:rsidRPr="00D108E0">
        <w:rPr>
          <w:rFonts w:eastAsia="Calibri"/>
          <w:color w:val="auto"/>
          <w:sz w:val="24"/>
          <w:szCs w:val="24"/>
          <w:lang w:eastAsia="en-US"/>
        </w:rPr>
        <w:t xml:space="preserve">Law Wales (2016) Duties to Investigate; Children’s Act 1989, section 47. Available from </w:t>
      </w:r>
      <w:hyperlink r:id="rId19" w:history="1">
        <w:r w:rsidRPr="00D108E0">
          <w:rPr>
            <w:rFonts w:eastAsia="Calibri"/>
            <w:color w:val="auto"/>
            <w:sz w:val="24"/>
            <w:szCs w:val="24"/>
            <w:lang w:eastAsia="en-US"/>
          </w:rPr>
          <w:t>http://law.gov.wales/publicservices/social-care/Local-authority-responsibilities/Safeguarding/safeguarding-duties-to-investigate/?lang=en#/publicservices/social-care/Local-authority-responsibilities/Safeguarding/safeguarding-duties-to-investigate/?tab=overview&amp;lang=en</w:t>
        </w:r>
      </w:hyperlink>
      <w:r w:rsidRPr="00D108E0">
        <w:rPr>
          <w:rFonts w:eastAsia="Calibri"/>
          <w:color w:val="auto"/>
          <w:sz w:val="24"/>
          <w:szCs w:val="24"/>
          <w:lang w:eastAsia="en-US"/>
        </w:rPr>
        <w:t xml:space="preserve"> (Accessed electronically on 09.10.18)</w:t>
      </w:r>
    </w:p>
    <w:p w:rsidR="00D108E0" w:rsidRPr="00D108E0" w:rsidRDefault="00D108E0" w:rsidP="00D108E0">
      <w:pPr>
        <w:overflowPunct/>
        <w:autoSpaceDE/>
        <w:autoSpaceDN/>
        <w:adjustRightInd/>
        <w:spacing w:after="200" w:line="276" w:lineRule="auto"/>
        <w:textAlignment w:val="auto"/>
        <w:rPr>
          <w:rFonts w:eastAsia="Calibri"/>
          <w:sz w:val="24"/>
          <w:szCs w:val="24"/>
          <w:lang w:eastAsia="en-US"/>
        </w:rPr>
      </w:pPr>
      <w:r w:rsidRPr="00D108E0">
        <w:rPr>
          <w:rFonts w:eastAsia="Calibri"/>
          <w:sz w:val="24"/>
          <w:szCs w:val="24"/>
          <w:lang w:eastAsia="en-US"/>
        </w:rPr>
        <w:t xml:space="preserve">Leggett, Z. (2014) </w:t>
      </w:r>
      <w:r w:rsidRPr="00D108E0">
        <w:rPr>
          <w:rFonts w:eastAsia="Calibri"/>
          <w:i/>
          <w:sz w:val="24"/>
          <w:szCs w:val="24"/>
          <w:lang w:eastAsia="en-US"/>
        </w:rPr>
        <w:t xml:space="preserve">The Effect of s. 39 of the Children and Young Persons Act 1933 when a Person Attains the Age of 18. </w:t>
      </w:r>
      <w:hyperlink r:id="rId20" w:history="1">
        <w:proofErr w:type="gramStart"/>
        <w:r w:rsidRPr="00D108E0">
          <w:rPr>
            <w:rFonts w:eastAsia="Calibri"/>
            <w:sz w:val="24"/>
            <w:szCs w:val="24"/>
            <w:lang w:eastAsia="en-US"/>
          </w:rPr>
          <w:t>Journal of Criminal Law</w:t>
        </w:r>
      </w:hyperlink>
      <w:r w:rsidRPr="00D108E0">
        <w:rPr>
          <w:rFonts w:eastAsia="Calibri"/>
          <w:sz w:val="24"/>
          <w:szCs w:val="24"/>
          <w:lang w:eastAsia="en-US"/>
        </w:rPr>
        <w:t>.</w:t>
      </w:r>
      <w:proofErr w:type="gramEnd"/>
      <w:r w:rsidRPr="00D108E0">
        <w:rPr>
          <w:rFonts w:eastAsia="Calibri"/>
          <w:sz w:val="24"/>
          <w:szCs w:val="24"/>
          <w:lang w:eastAsia="en-US"/>
        </w:rPr>
        <w:t xml:space="preserve"> </w:t>
      </w:r>
      <w:proofErr w:type="gramStart"/>
      <w:r w:rsidRPr="00D108E0">
        <w:rPr>
          <w:rFonts w:eastAsia="Calibri"/>
          <w:sz w:val="24"/>
          <w:szCs w:val="24"/>
          <w:lang w:eastAsia="en-US"/>
        </w:rPr>
        <w:t>v78(</w:t>
      </w:r>
      <w:proofErr w:type="gramEnd"/>
      <w:r w:rsidRPr="00D108E0">
        <w:rPr>
          <w:rFonts w:eastAsia="Calibri"/>
          <w:sz w:val="24"/>
          <w:szCs w:val="24"/>
          <w:lang w:eastAsia="en-US"/>
        </w:rPr>
        <w:t>5), pp. 368-372.</w:t>
      </w:r>
    </w:p>
    <w:p w:rsidR="00D108E0" w:rsidRPr="00D108E0" w:rsidRDefault="00D108E0" w:rsidP="00D108E0">
      <w:pPr>
        <w:overflowPunct/>
        <w:spacing w:before="100" w:after="100"/>
        <w:textAlignment w:val="auto"/>
        <w:rPr>
          <w:rFonts w:eastAsia="Calibri"/>
          <w:color w:val="auto"/>
          <w:sz w:val="24"/>
          <w:szCs w:val="24"/>
          <w:lang w:eastAsia="en-US"/>
        </w:rPr>
      </w:pPr>
      <w:r w:rsidRPr="00D108E0">
        <w:rPr>
          <w:rFonts w:eastAsia="Calibri"/>
          <w:color w:val="auto"/>
          <w:sz w:val="24"/>
          <w:szCs w:val="24"/>
          <w:lang w:eastAsia="en-US"/>
        </w:rPr>
        <w:t xml:space="preserve">Mental Capacity Act 2005; Codes of </w:t>
      </w:r>
      <w:proofErr w:type="gramStart"/>
      <w:r w:rsidRPr="00D108E0">
        <w:rPr>
          <w:rFonts w:eastAsia="Calibri"/>
          <w:color w:val="auto"/>
          <w:sz w:val="24"/>
          <w:szCs w:val="24"/>
          <w:lang w:eastAsia="en-US"/>
        </w:rPr>
        <w:t>Practice;</w:t>
      </w:r>
      <w:proofErr w:type="gramEnd"/>
      <w:r w:rsidRPr="00D108E0">
        <w:rPr>
          <w:rFonts w:eastAsia="Calibri"/>
          <w:color w:val="auto"/>
          <w:sz w:val="24"/>
          <w:szCs w:val="24"/>
          <w:lang w:eastAsia="en-US"/>
        </w:rPr>
        <w:t>(2007 final edition), The Stationary Office</w:t>
      </w:r>
    </w:p>
    <w:p w:rsidR="00D108E0" w:rsidRPr="00D108E0" w:rsidRDefault="00D108E0" w:rsidP="00D108E0">
      <w:pPr>
        <w:overflowPunct/>
        <w:autoSpaceDE/>
        <w:autoSpaceDN/>
        <w:adjustRightInd/>
        <w:spacing w:after="200" w:line="276" w:lineRule="auto"/>
        <w:textAlignment w:val="auto"/>
        <w:rPr>
          <w:rFonts w:eastAsia="Calibri"/>
          <w:sz w:val="24"/>
          <w:szCs w:val="24"/>
          <w:lang w:eastAsia="en-US"/>
        </w:rPr>
      </w:pPr>
      <w:proofErr w:type="spellStart"/>
      <w:r w:rsidRPr="00D108E0">
        <w:rPr>
          <w:rFonts w:eastAsia="Calibri"/>
          <w:sz w:val="24"/>
          <w:szCs w:val="24"/>
          <w:lang w:eastAsia="en-US"/>
        </w:rPr>
        <w:t>Martire</w:t>
      </w:r>
      <w:proofErr w:type="spellEnd"/>
      <w:r w:rsidRPr="00D108E0">
        <w:rPr>
          <w:rFonts w:eastAsia="Calibri"/>
          <w:sz w:val="24"/>
          <w:szCs w:val="24"/>
          <w:lang w:eastAsia="en-US"/>
        </w:rPr>
        <w:t xml:space="preserve">, A. &amp; Lave, J (2016) </w:t>
      </w:r>
      <w:r w:rsidRPr="00D108E0">
        <w:rPr>
          <w:rFonts w:eastAsia="Calibri"/>
          <w:i/>
          <w:sz w:val="24"/>
          <w:szCs w:val="24"/>
          <w:lang w:eastAsia="en-US"/>
        </w:rPr>
        <w:t xml:space="preserve">Afterword: Social Practice Theory and Learning Work. </w:t>
      </w:r>
      <w:hyperlink r:id="rId21" w:tooltip="Click to search for more items from this journal" w:history="1">
        <w:r w:rsidRPr="00D108E0">
          <w:rPr>
            <w:rFonts w:eastAsia="Calibri"/>
            <w:bCs/>
            <w:sz w:val="24"/>
            <w:szCs w:val="24"/>
            <w:lang w:val="en" w:eastAsia="en-US"/>
          </w:rPr>
          <w:t>International Journal of Training Research</w:t>
        </w:r>
      </w:hyperlink>
      <w:r w:rsidRPr="00D108E0">
        <w:rPr>
          <w:rFonts w:eastAsia="Calibri"/>
          <w:bCs/>
          <w:sz w:val="24"/>
          <w:szCs w:val="24"/>
          <w:lang w:val="en" w:eastAsia="en-US"/>
        </w:rPr>
        <w:t xml:space="preserve">; </w:t>
      </w:r>
      <w:proofErr w:type="spellStart"/>
      <w:r w:rsidRPr="00D108E0">
        <w:rPr>
          <w:rFonts w:eastAsia="Calibri"/>
          <w:bCs/>
          <w:sz w:val="24"/>
          <w:szCs w:val="24"/>
          <w:lang w:val="en" w:eastAsia="en-US"/>
        </w:rPr>
        <w:t>Maleny</w:t>
      </w:r>
      <w:proofErr w:type="spellEnd"/>
      <w:r w:rsidRPr="00D108E0">
        <w:rPr>
          <w:rFonts w:eastAsia="Calibri"/>
          <w:bCs/>
          <w:sz w:val="24"/>
          <w:szCs w:val="24"/>
          <w:lang w:val="en" w:eastAsia="en-US"/>
        </w:rPr>
        <w:t xml:space="preserve">, </w:t>
      </w:r>
      <w:hyperlink r:id="rId22" w:tooltip="Click to search for more items from this issue" w:history="1">
        <w:proofErr w:type="gramStart"/>
        <w:r w:rsidRPr="00D108E0">
          <w:rPr>
            <w:rFonts w:eastAsia="Calibri"/>
            <w:sz w:val="24"/>
            <w:szCs w:val="24"/>
            <w:lang w:val="en" w:eastAsia="en-US"/>
          </w:rPr>
          <w:t>v.14</w:t>
        </w:r>
        <w:proofErr w:type="gramEnd"/>
      </w:hyperlink>
      <w:r w:rsidRPr="00D108E0">
        <w:rPr>
          <w:rFonts w:eastAsia="Calibri"/>
          <w:sz w:val="24"/>
          <w:szCs w:val="24"/>
          <w:lang w:val="en" w:eastAsia="en-US"/>
        </w:rPr>
        <w:t>(3)</w:t>
      </w:r>
      <w:r w:rsidRPr="00D108E0">
        <w:rPr>
          <w:rFonts w:eastAsia="Calibri"/>
          <w:sz w:val="24"/>
          <w:szCs w:val="24"/>
          <w:lang w:eastAsia="en-US"/>
        </w:rPr>
        <w:t xml:space="preserve"> pp.256-266</w:t>
      </w:r>
    </w:p>
    <w:p w:rsidR="00D108E0" w:rsidRPr="00D108E0" w:rsidRDefault="00D108E0" w:rsidP="00D108E0">
      <w:pPr>
        <w:overflowPunct/>
        <w:autoSpaceDE/>
        <w:autoSpaceDN/>
        <w:adjustRightInd/>
        <w:spacing w:after="200" w:line="276" w:lineRule="auto"/>
        <w:textAlignment w:val="auto"/>
        <w:rPr>
          <w:rFonts w:eastAsia="Calibri"/>
          <w:sz w:val="24"/>
          <w:szCs w:val="24"/>
          <w:lang w:eastAsia="en-US"/>
        </w:rPr>
      </w:pPr>
      <w:r w:rsidRPr="00D108E0">
        <w:rPr>
          <w:rFonts w:eastAsia="Calibri"/>
          <w:color w:val="auto"/>
          <w:sz w:val="24"/>
          <w:szCs w:val="24"/>
          <w:lang w:eastAsia="en-US"/>
        </w:rPr>
        <w:t xml:space="preserve">More </w:t>
      </w:r>
      <w:proofErr w:type="gramStart"/>
      <w:r w:rsidRPr="00D108E0">
        <w:rPr>
          <w:rFonts w:eastAsia="Calibri"/>
          <w:color w:val="auto"/>
          <w:sz w:val="24"/>
          <w:szCs w:val="24"/>
          <w:lang w:eastAsia="en-US"/>
        </w:rPr>
        <w:t>Than</w:t>
      </w:r>
      <w:proofErr w:type="gramEnd"/>
      <w:r w:rsidRPr="00D108E0">
        <w:rPr>
          <w:rFonts w:eastAsia="Calibri"/>
          <w:color w:val="auto"/>
          <w:sz w:val="24"/>
          <w:szCs w:val="24"/>
          <w:lang w:eastAsia="en-US"/>
        </w:rPr>
        <w:t xml:space="preserve"> Words (2018). Available from </w:t>
      </w:r>
      <w:hyperlink r:id="rId23" w:history="1">
        <w:r w:rsidRPr="00D108E0">
          <w:rPr>
            <w:rFonts w:eastAsia="Calibri"/>
            <w:sz w:val="24"/>
            <w:szCs w:val="24"/>
            <w:lang w:eastAsia="en-US"/>
          </w:rPr>
          <w:t>www.cymru.gov.uk</w:t>
        </w:r>
      </w:hyperlink>
      <w:r w:rsidRPr="00D108E0">
        <w:rPr>
          <w:rFonts w:eastAsia="Calibri"/>
          <w:sz w:val="24"/>
          <w:szCs w:val="24"/>
          <w:lang w:eastAsia="en-US"/>
        </w:rPr>
        <w:t xml:space="preserve"> (Accessed electronically on 18.03.18)</w:t>
      </w:r>
    </w:p>
    <w:p w:rsidR="00D108E0" w:rsidRPr="00D108E0" w:rsidRDefault="00D108E0" w:rsidP="00D108E0">
      <w:pPr>
        <w:keepNext/>
        <w:overflowPunct/>
        <w:spacing w:before="100" w:after="100"/>
        <w:textAlignment w:val="auto"/>
        <w:outlineLvl w:val="1"/>
        <w:rPr>
          <w:rFonts w:eastAsia="Calibri"/>
          <w:bCs/>
          <w:i/>
          <w:kern w:val="36"/>
          <w:sz w:val="24"/>
          <w:szCs w:val="24"/>
          <w:lang w:eastAsia="en-US"/>
        </w:rPr>
      </w:pPr>
      <w:proofErr w:type="gramStart"/>
      <w:r w:rsidRPr="00D108E0">
        <w:rPr>
          <w:rFonts w:eastAsia="Calibri"/>
          <w:bCs/>
          <w:kern w:val="36"/>
          <w:sz w:val="24"/>
          <w:szCs w:val="24"/>
          <w:lang w:eastAsia="en-US"/>
        </w:rPr>
        <w:t xml:space="preserve">Morgan, R. (2010a) </w:t>
      </w:r>
      <w:r w:rsidRPr="00D108E0">
        <w:rPr>
          <w:rFonts w:eastAsia="Calibri"/>
          <w:bCs/>
          <w:i/>
          <w:kern w:val="36"/>
          <w:sz w:val="24"/>
          <w:szCs w:val="24"/>
          <w:lang w:eastAsia="en-US"/>
        </w:rPr>
        <w:t>Children's experience of the Children Act 1989.</w:t>
      </w:r>
      <w:proofErr w:type="gramEnd"/>
      <w:r w:rsidRPr="00D108E0">
        <w:rPr>
          <w:rFonts w:eastAsia="Calibri"/>
          <w:bCs/>
          <w:i/>
          <w:kern w:val="36"/>
          <w:sz w:val="24"/>
          <w:szCs w:val="24"/>
          <w:lang w:eastAsia="en-US"/>
        </w:rPr>
        <w:t xml:space="preserve"> </w:t>
      </w:r>
      <w:hyperlink r:id="rId24" w:history="1">
        <w:r w:rsidRPr="00D108E0">
          <w:rPr>
            <w:rFonts w:eastAsia="Calibri"/>
            <w:bCs/>
            <w:sz w:val="24"/>
            <w:szCs w:val="24"/>
            <w:lang w:eastAsia="en-US"/>
          </w:rPr>
          <w:t>Journal of Children's Services</w:t>
        </w:r>
      </w:hyperlink>
      <w:r w:rsidRPr="00D108E0">
        <w:rPr>
          <w:rFonts w:eastAsia="Calibri"/>
          <w:bCs/>
          <w:sz w:val="24"/>
          <w:szCs w:val="24"/>
          <w:lang w:eastAsia="en-US"/>
        </w:rPr>
        <w:t>; Bingley</w:t>
      </w:r>
      <w:hyperlink r:id="rId25" w:history="1">
        <w:r w:rsidRPr="00D108E0">
          <w:rPr>
            <w:rFonts w:eastAsia="Calibri"/>
            <w:sz w:val="24"/>
            <w:szCs w:val="24"/>
            <w:lang w:eastAsia="en-US"/>
          </w:rPr>
          <w:t xml:space="preserve"> </w:t>
        </w:r>
        <w:proofErr w:type="gramStart"/>
        <w:r w:rsidRPr="00D108E0">
          <w:rPr>
            <w:rFonts w:eastAsia="Calibri"/>
            <w:sz w:val="24"/>
            <w:szCs w:val="24"/>
            <w:lang w:eastAsia="en-US"/>
          </w:rPr>
          <w:t>v5(</w:t>
        </w:r>
        <w:proofErr w:type="gramEnd"/>
        <w:r w:rsidRPr="00D108E0">
          <w:rPr>
            <w:rFonts w:eastAsia="Calibri"/>
            <w:sz w:val="24"/>
            <w:szCs w:val="24"/>
            <w:lang w:eastAsia="en-US"/>
          </w:rPr>
          <w:t xml:space="preserve">3), </w:t>
        </w:r>
      </w:hyperlink>
      <w:r w:rsidRPr="00D108E0">
        <w:rPr>
          <w:rFonts w:eastAsia="Calibri"/>
          <w:sz w:val="24"/>
          <w:szCs w:val="24"/>
          <w:lang w:eastAsia="en-US"/>
        </w:rPr>
        <w:t xml:space="preserve">pp.6-13. </w:t>
      </w:r>
    </w:p>
    <w:p w:rsidR="00D108E0" w:rsidRPr="00D108E0" w:rsidRDefault="00D108E0" w:rsidP="00D108E0">
      <w:pPr>
        <w:overflowPunct/>
        <w:textAlignment w:val="auto"/>
        <w:rPr>
          <w:rFonts w:eastAsia="Calibri"/>
          <w:sz w:val="24"/>
          <w:szCs w:val="24"/>
          <w:lang w:eastAsia="en-US"/>
        </w:rPr>
      </w:pPr>
      <w:proofErr w:type="gramStart"/>
      <w:r w:rsidRPr="00D108E0">
        <w:rPr>
          <w:rFonts w:eastAsia="Calibri"/>
          <w:sz w:val="24"/>
          <w:szCs w:val="24"/>
          <w:lang w:eastAsia="en-US"/>
        </w:rPr>
        <w:t xml:space="preserve">Morgan R (2010b) </w:t>
      </w:r>
      <w:r w:rsidRPr="00D108E0">
        <w:rPr>
          <w:rFonts w:eastAsia="Calibri"/>
          <w:iCs/>
          <w:sz w:val="24"/>
          <w:szCs w:val="24"/>
          <w:lang w:eastAsia="en-US"/>
        </w:rPr>
        <w:t>Children on Rights and Responsibilities</w:t>
      </w:r>
      <w:r w:rsidRPr="00D108E0">
        <w:rPr>
          <w:rFonts w:eastAsia="Calibri"/>
          <w:sz w:val="24"/>
          <w:szCs w:val="24"/>
          <w:lang w:eastAsia="en-US"/>
        </w:rPr>
        <w:t>.</w:t>
      </w:r>
      <w:proofErr w:type="gramEnd"/>
    </w:p>
    <w:p w:rsidR="00D108E0" w:rsidRPr="00D108E0" w:rsidRDefault="00D108E0" w:rsidP="00D108E0">
      <w:pPr>
        <w:overflowPunct/>
        <w:autoSpaceDE/>
        <w:autoSpaceDN/>
        <w:adjustRightInd/>
        <w:spacing w:after="200" w:line="276" w:lineRule="auto"/>
        <w:textAlignment w:val="auto"/>
        <w:rPr>
          <w:rFonts w:eastAsia="Calibri"/>
          <w:sz w:val="24"/>
          <w:szCs w:val="24"/>
          <w:lang w:eastAsia="en-US"/>
        </w:rPr>
      </w:pPr>
      <w:r w:rsidRPr="00D108E0">
        <w:rPr>
          <w:rFonts w:eastAsia="Calibri"/>
          <w:sz w:val="24"/>
          <w:szCs w:val="24"/>
          <w:lang w:eastAsia="en-US"/>
        </w:rPr>
        <w:t>Ofsted; London</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proofErr w:type="gramStart"/>
      <w:r w:rsidRPr="00D108E0">
        <w:rPr>
          <w:rFonts w:eastAsia="Calibri"/>
          <w:sz w:val="24"/>
          <w:szCs w:val="24"/>
          <w:lang w:eastAsia="en-US"/>
        </w:rPr>
        <w:t xml:space="preserve">National Independent Safeguarding Board Wales (2016) </w:t>
      </w:r>
      <w:r w:rsidRPr="00D108E0">
        <w:rPr>
          <w:rFonts w:eastAsia="Calibri"/>
          <w:i/>
          <w:sz w:val="24"/>
          <w:szCs w:val="24"/>
          <w:lang w:eastAsia="en-US"/>
        </w:rPr>
        <w:t>About the Board.</w:t>
      </w:r>
      <w:proofErr w:type="gramEnd"/>
      <w:r w:rsidRPr="00D108E0">
        <w:rPr>
          <w:rFonts w:eastAsia="Calibri"/>
          <w:i/>
          <w:sz w:val="24"/>
          <w:szCs w:val="24"/>
          <w:lang w:eastAsia="en-US"/>
        </w:rPr>
        <w:t xml:space="preserve"> </w:t>
      </w:r>
      <w:r w:rsidRPr="00D108E0">
        <w:rPr>
          <w:rFonts w:eastAsia="Calibri"/>
          <w:sz w:val="24"/>
          <w:szCs w:val="24"/>
          <w:lang w:eastAsia="en-US"/>
        </w:rPr>
        <w:t xml:space="preserve">Available from </w:t>
      </w:r>
      <w:hyperlink r:id="rId26" w:history="1">
        <w:r w:rsidRPr="00D108E0">
          <w:rPr>
            <w:rFonts w:eastAsia="Calibri"/>
            <w:sz w:val="24"/>
            <w:szCs w:val="24"/>
            <w:lang w:eastAsia="en-US"/>
          </w:rPr>
          <w:t>http://safeguardingboard.wales/about-the-board/</w:t>
        </w:r>
      </w:hyperlink>
      <w:r w:rsidRPr="00D108E0">
        <w:rPr>
          <w:rFonts w:eastAsia="Calibri"/>
          <w:sz w:val="24"/>
          <w:szCs w:val="24"/>
          <w:lang w:eastAsia="en-US"/>
        </w:rPr>
        <w:t xml:space="preserve"> </w:t>
      </w:r>
      <w:r w:rsidRPr="00D108E0">
        <w:rPr>
          <w:rFonts w:eastAsia="Calibri"/>
          <w:color w:val="auto"/>
          <w:sz w:val="24"/>
          <w:szCs w:val="24"/>
          <w:lang w:eastAsia="en-US"/>
        </w:rPr>
        <w:t>(Accessed electronically on 30.08.18)</w:t>
      </w:r>
    </w:p>
    <w:p w:rsidR="00D108E0" w:rsidRPr="00D108E0" w:rsidRDefault="00D108E0" w:rsidP="00D108E0">
      <w:pPr>
        <w:overflowPunct/>
        <w:autoSpaceDE/>
        <w:autoSpaceDN/>
        <w:adjustRightInd/>
        <w:spacing w:after="200" w:line="276" w:lineRule="auto"/>
        <w:textAlignment w:val="auto"/>
        <w:rPr>
          <w:sz w:val="24"/>
          <w:szCs w:val="24"/>
          <w:lang w:val="en"/>
        </w:rPr>
      </w:pPr>
      <w:proofErr w:type="spellStart"/>
      <w:proofErr w:type="gramStart"/>
      <w:r w:rsidRPr="00D108E0">
        <w:rPr>
          <w:rFonts w:eastAsia="Calibri"/>
          <w:color w:val="auto"/>
          <w:sz w:val="24"/>
          <w:szCs w:val="24"/>
          <w:lang w:eastAsia="en-US"/>
        </w:rPr>
        <w:t>Newbigging</w:t>
      </w:r>
      <w:proofErr w:type="spellEnd"/>
      <w:r w:rsidRPr="00D108E0">
        <w:rPr>
          <w:rFonts w:eastAsia="Calibri"/>
          <w:color w:val="auto"/>
          <w:sz w:val="24"/>
          <w:szCs w:val="24"/>
          <w:lang w:eastAsia="en-US"/>
        </w:rPr>
        <w:t>, K. (2015)</w:t>
      </w:r>
      <w:r w:rsidRPr="00D108E0">
        <w:rPr>
          <w:rFonts w:eastAsia="Calibri"/>
          <w:sz w:val="24"/>
          <w:szCs w:val="24"/>
          <w:lang w:val="en" w:eastAsia="en-US"/>
        </w:rPr>
        <w:t xml:space="preserve"> Independent Mental Health Advocacy - The Right to Be Heard.</w:t>
      </w:r>
      <w:proofErr w:type="gramEnd"/>
      <w:r w:rsidRPr="00D108E0">
        <w:rPr>
          <w:rFonts w:eastAsia="Calibri"/>
          <w:color w:val="auto"/>
          <w:sz w:val="24"/>
          <w:szCs w:val="24"/>
          <w:lang w:eastAsia="en-US"/>
        </w:rPr>
        <w:t xml:space="preserve"> </w:t>
      </w:r>
      <w:hyperlink r:id="rId27" w:history="1">
        <w:r w:rsidRPr="00D108E0">
          <w:rPr>
            <w:sz w:val="24"/>
            <w:szCs w:val="24"/>
            <w:lang w:val="en"/>
          </w:rPr>
          <w:t>Jessica Kingsley Publishers</w:t>
        </w:r>
      </w:hyperlink>
      <w:r w:rsidRPr="00D108E0">
        <w:rPr>
          <w:sz w:val="24"/>
          <w:szCs w:val="24"/>
          <w:lang w:val="en"/>
        </w:rPr>
        <w:t>; London</w:t>
      </w:r>
    </w:p>
    <w:p w:rsidR="00D108E0" w:rsidRPr="00D108E0" w:rsidRDefault="00D108E0" w:rsidP="00D108E0">
      <w:pPr>
        <w:overflowPunct/>
        <w:autoSpaceDE/>
        <w:autoSpaceDN/>
        <w:adjustRightInd/>
        <w:spacing w:after="200" w:line="276" w:lineRule="auto"/>
        <w:jc w:val="both"/>
        <w:textAlignment w:val="auto"/>
        <w:rPr>
          <w:rFonts w:eastAsia="Calibri"/>
          <w:color w:val="auto"/>
          <w:sz w:val="24"/>
          <w:szCs w:val="24"/>
          <w:lang w:eastAsia="en-US"/>
        </w:rPr>
      </w:pPr>
      <w:r w:rsidRPr="00D108E0">
        <w:rPr>
          <w:rFonts w:eastAsia="Calibri"/>
          <w:color w:val="auto"/>
          <w:sz w:val="24"/>
          <w:szCs w:val="24"/>
          <w:lang w:eastAsia="en-US"/>
        </w:rPr>
        <w:t xml:space="preserve">NHS Wales Shared Services Partnership (2014) Available from </w:t>
      </w:r>
      <w:hyperlink r:id="rId28" w:history="1">
        <w:r w:rsidRPr="00D108E0">
          <w:rPr>
            <w:rFonts w:eastAsia="Calibri"/>
            <w:sz w:val="24"/>
            <w:szCs w:val="24"/>
            <w:lang w:eastAsia="en-US"/>
          </w:rPr>
          <w:t>www.nwssp.wales.nhs.uk</w:t>
        </w:r>
      </w:hyperlink>
      <w:r w:rsidRPr="00D108E0">
        <w:rPr>
          <w:rFonts w:eastAsia="Calibri"/>
          <w:color w:val="auto"/>
          <w:sz w:val="24"/>
          <w:szCs w:val="24"/>
          <w:lang w:eastAsia="en-US"/>
        </w:rPr>
        <w:t xml:space="preserve"> (Accessed electronically on 01.10.18)</w:t>
      </w:r>
    </w:p>
    <w:p w:rsidR="00D108E0" w:rsidRPr="00D108E0" w:rsidRDefault="00D108E0" w:rsidP="00D108E0">
      <w:pPr>
        <w:overflowPunct/>
        <w:autoSpaceDE/>
        <w:autoSpaceDN/>
        <w:adjustRightInd/>
        <w:spacing w:after="200" w:line="276" w:lineRule="auto"/>
        <w:textAlignment w:val="auto"/>
        <w:rPr>
          <w:rFonts w:eastAsia="Calibri"/>
          <w:sz w:val="24"/>
          <w:szCs w:val="24"/>
          <w:lang w:eastAsia="en-US"/>
        </w:rPr>
      </w:pPr>
      <w:r w:rsidRPr="00D108E0">
        <w:rPr>
          <w:rFonts w:eastAsia="Calibri"/>
          <w:color w:val="auto"/>
          <w:sz w:val="24"/>
          <w:szCs w:val="24"/>
          <w:lang w:eastAsia="en-US"/>
        </w:rPr>
        <w:lastRenderedPageBreak/>
        <w:t xml:space="preserve">North Wales Carer Shortage reaches ‘crisis point’ Daily Post Online (2018) Available from </w:t>
      </w:r>
      <w:hyperlink r:id="rId29" w:history="1">
        <w:r w:rsidRPr="00D108E0">
          <w:rPr>
            <w:rFonts w:eastAsia="Calibri"/>
            <w:sz w:val="24"/>
            <w:szCs w:val="24"/>
            <w:lang w:eastAsia="en-US"/>
          </w:rPr>
          <w:t>www.dalypost.co.uk</w:t>
        </w:r>
      </w:hyperlink>
      <w:r w:rsidRPr="00D108E0">
        <w:rPr>
          <w:rFonts w:eastAsia="Calibri"/>
          <w:sz w:val="24"/>
          <w:szCs w:val="24"/>
          <w:lang w:eastAsia="en-US"/>
        </w:rPr>
        <w:t xml:space="preserve"> (Accessed electronically on 02.10.18)</w:t>
      </w:r>
    </w:p>
    <w:p w:rsidR="00D108E0" w:rsidRPr="00D108E0" w:rsidRDefault="00D108E0" w:rsidP="00D108E0">
      <w:pPr>
        <w:rPr>
          <w:rFonts w:eastAsia="Calibri"/>
          <w:i/>
          <w:color w:val="auto"/>
          <w:sz w:val="24"/>
          <w:szCs w:val="24"/>
          <w:lang w:eastAsia="en-US"/>
        </w:rPr>
      </w:pPr>
      <w:r w:rsidRPr="00D108E0">
        <w:rPr>
          <w:rFonts w:eastAsia="Calibri"/>
          <w:sz w:val="24"/>
          <w:szCs w:val="24"/>
          <w:lang w:eastAsia="en-US"/>
        </w:rPr>
        <w:t xml:space="preserve">North Wales Safeguarding Adults Board (2016) </w:t>
      </w:r>
      <w:r w:rsidRPr="00D108E0">
        <w:rPr>
          <w:i/>
          <w:color w:val="auto"/>
          <w:sz w:val="24"/>
          <w:szCs w:val="24"/>
          <w:lang w:eastAsia="en-US"/>
        </w:rPr>
        <w:t>North Wales Regional Safeguarding Board Policy and Procedures to Support People who Self-Neglect</w:t>
      </w:r>
    </w:p>
    <w:p w:rsidR="00D108E0" w:rsidRPr="00D108E0" w:rsidRDefault="00D108E0" w:rsidP="00D108E0">
      <w:pPr>
        <w:overflowPunct/>
        <w:spacing w:before="100" w:after="100"/>
        <w:textAlignment w:val="auto"/>
        <w:rPr>
          <w:rFonts w:eastAsia="Calibri"/>
          <w:color w:val="auto"/>
          <w:sz w:val="24"/>
          <w:szCs w:val="24"/>
          <w:lang w:eastAsia="en-US"/>
        </w:rPr>
      </w:pPr>
      <w:r w:rsidRPr="00D108E0">
        <w:rPr>
          <w:rFonts w:eastAsia="Calibri"/>
          <w:sz w:val="24"/>
          <w:szCs w:val="24"/>
          <w:lang w:eastAsia="en-US"/>
        </w:rPr>
        <w:t xml:space="preserve">NSPCC Inform: An Introduction to Child Protection Legislation in the UK Available from </w:t>
      </w:r>
      <w:hyperlink r:id="rId30" w:history="1">
        <w:r w:rsidRPr="00D108E0">
          <w:rPr>
            <w:rFonts w:eastAsia="Calibri"/>
            <w:sz w:val="24"/>
            <w:szCs w:val="24"/>
            <w:lang w:eastAsia="en-US"/>
          </w:rPr>
          <w:t>www.erscb.org.uk</w:t>
        </w:r>
      </w:hyperlink>
      <w:r w:rsidRPr="00D108E0">
        <w:rPr>
          <w:rFonts w:eastAsia="Calibri"/>
          <w:sz w:val="24"/>
          <w:szCs w:val="24"/>
          <w:lang w:eastAsia="en-US"/>
        </w:rPr>
        <w:t xml:space="preserve"> (Accessed electronically on 04.10.18)</w:t>
      </w:r>
    </w:p>
    <w:p w:rsidR="00D108E0" w:rsidRPr="00D108E0" w:rsidRDefault="00D108E0" w:rsidP="00D108E0">
      <w:pPr>
        <w:overflowPunct/>
        <w:spacing w:before="100" w:after="100"/>
        <w:textAlignment w:val="auto"/>
        <w:rPr>
          <w:rFonts w:eastAsia="Calibri"/>
          <w:color w:val="auto"/>
          <w:sz w:val="24"/>
          <w:szCs w:val="24"/>
          <w:lang w:eastAsia="en-US"/>
        </w:rPr>
      </w:pPr>
      <w:r w:rsidRPr="00D108E0">
        <w:rPr>
          <w:rFonts w:eastAsia="Calibri"/>
          <w:color w:val="auto"/>
          <w:sz w:val="24"/>
          <w:szCs w:val="24"/>
          <w:lang w:eastAsia="en-US"/>
        </w:rPr>
        <w:t xml:space="preserve">Payne, M. (2005) </w:t>
      </w:r>
      <w:r w:rsidRPr="00D108E0">
        <w:rPr>
          <w:rFonts w:eastAsia="Calibri"/>
          <w:i/>
          <w:color w:val="auto"/>
          <w:sz w:val="24"/>
          <w:szCs w:val="24"/>
          <w:lang w:eastAsia="en-US"/>
        </w:rPr>
        <w:t>Modern Social Work Theory;</w:t>
      </w:r>
      <w:r w:rsidRPr="00D108E0">
        <w:rPr>
          <w:rFonts w:eastAsia="Calibri"/>
          <w:color w:val="auto"/>
          <w:sz w:val="24"/>
          <w:szCs w:val="24"/>
          <w:lang w:eastAsia="en-US"/>
        </w:rPr>
        <w:t xml:space="preserve"> 3</w:t>
      </w:r>
      <w:r w:rsidRPr="00D108E0">
        <w:rPr>
          <w:rFonts w:eastAsia="Calibri"/>
          <w:color w:val="auto"/>
          <w:sz w:val="24"/>
          <w:szCs w:val="24"/>
          <w:vertAlign w:val="superscript"/>
          <w:lang w:eastAsia="en-US"/>
        </w:rPr>
        <w:t>rd</w:t>
      </w:r>
      <w:r w:rsidRPr="00D108E0">
        <w:rPr>
          <w:rFonts w:eastAsia="Calibri"/>
          <w:color w:val="auto"/>
          <w:sz w:val="24"/>
          <w:szCs w:val="24"/>
          <w:lang w:eastAsia="en-US"/>
        </w:rPr>
        <w:t xml:space="preserve"> ed. Palgrave MacMillan: Basingstoke and New York</w:t>
      </w:r>
    </w:p>
    <w:p w:rsidR="00D108E0" w:rsidRPr="00D108E0" w:rsidRDefault="00D108E0" w:rsidP="00D108E0">
      <w:pPr>
        <w:overflowPunct/>
        <w:spacing w:before="100" w:after="100"/>
        <w:textAlignment w:val="auto"/>
        <w:rPr>
          <w:rFonts w:eastAsia="Calibri"/>
          <w:color w:val="auto"/>
          <w:sz w:val="24"/>
          <w:szCs w:val="24"/>
          <w:lang w:eastAsia="en-US"/>
        </w:rPr>
      </w:pPr>
      <w:r w:rsidRPr="00D108E0">
        <w:rPr>
          <w:rFonts w:eastAsia="Calibri"/>
          <w:color w:val="auto"/>
          <w:sz w:val="24"/>
          <w:szCs w:val="24"/>
          <w:lang w:eastAsia="en-US"/>
        </w:rPr>
        <w:t>Pearce, J. (2014)</w:t>
      </w:r>
      <w:r w:rsidRPr="00D108E0">
        <w:rPr>
          <w:rFonts w:eastAsia="Calibri"/>
          <w:i/>
          <w:color w:val="auto"/>
          <w:sz w:val="24"/>
          <w:szCs w:val="24"/>
          <w:lang w:eastAsia="en-US"/>
        </w:rPr>
        <w:t xml:space="preserve"> 'What's Going On' to Safeguard Children and Young People from Child Sexual Exploitation: A Review of Local Safeguarding Children Boards' Work to Protect Children from Sexual Exploitation</w:t>
      </w:r>
      <w:r w:rsidRPr="00D108E0">
        <w:rPr>
          <w:rFonts w:eastAsia="Calibri"/>
          <w:color w:val="auto"/>
          <w:sz w:val="24"/>
          <w:szCs w:val="24"/>
          <w:lang w:eastAsia="en-US"/>
        </w:rPr>
        <w:t xml:space="preserve">’ </w:t>
      </w:r>
      <w:hyperlink r:id="rId31" w:history="1">
        <w:r w:rsidRPr="00D108E0">
          <w:rPr>
            <w:rFonts w:eastAsia="Calibri"/>
            <w:sz w:val="24"/>
            <w:szCs w:val="24"/>
            <w:lang w:eastAsia="en-US"/>
          </w:rPr>
          <w:t>Child Abuse Review</w:t>
        </w:r>
      </w:hyperlink>
      <w:r w:rsidRPr="00D108E0">
        <w:rPr>
          <w:rFonts w:eastAsia="Calibri"/>
          <w:sz w:val="24"/>
          <w:szCs w:val="24"/>
          <w:lang w:eastAsia="en-US"/>
        </w:rPr>
        <w:t>, v23(3), pp159-170</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r w:rsidRPr="00D108E0">
        <w:rPr>
          <w:rFonts w:eastAsia="Calibri"/>
          <w:color w:val="auto"/>
          <w:sz w:val="24"/>
          <w:szCs w:val="24"/>
          <w:lang w:eastAsia="en-US"/>
        </w:rPr>
        <w:t xml:space="preserve">Person Centred Theory in Social Work Practice (2001) Available from </w:t>
      </w:r>
      <w:hyperlink r:id="rId32" w:history="1">
        <w:r w:rsidRPr="00D108E0">
          <w:rPr>
            <w:rFonts w:eastAsia="Calibri"/>
            <w:sz w:val="24"/>
            <w:szCs w:val="24"/>
            <w:lang w:eastAsia="en-US"/>
          </w:rPr>
          <w:t>www.socialworkresources.co.uk</w:t>
        </w:r>
      </w:hyperlink>
      <w:r w:rsidRPr="00D108E0">
        <w:rPr>
          <w:rFonts w:eastAsia="Calibri"/>
          <w:sz w:val="24"/>
          <w:szCs w:val="24"/>
          <w:lang w:eastAsia="en-US"/>
        </w:rPr>
        <w:t>. (</w:t>
      </w:r>
      <w:r w:rsidRPr="00D108E0">
        <w:rPr>
          <w:rFonts w:eastAsia="Calibri"/>
          <w:color w:val="auto"/>
          <w:sz w:val="24"/>
          <w:szCs w:val="24"/>
          <w:lang w:eastAsia="en-US"/>
        </w:rPr>
        <w:t>Accessed electronically on 22.06.18)</w:t>
      </w:r>
    </w:p>
    <w:p w:rsidR="00D108E0" w:rsidRPr="00D108E0" w:rsidRDefault="00D108E0" w:rsidP="00D108E0">
      <w:pPr>
        <w:overflowPunct/>
        <w:spacing w:before="100" w:after="100"/>
        <w:textAlignment w:val="auto"/>
        <w:rPr>
          <w:rFonts w:eastAsia="Calibri"/>
          <w:sz w:val="24"/>
          <w:szCs w:val="24"/>
          <w:lang w:eastAsia="en-US"/>
        </w:rPr>
      </w:pPr>
      <w:hyperlink r:id="rId33" w:history="1">
        <w:proofErr w:type="spellStart"/>
        <w:r w:rsidRPr="00D108E0">
          <w:rPr>
            <w:rFonts w:eastAsia="Calibri"/>
            <w:sz w:val="24"/>
            <w:szCs w:val="24"/>
            <w:lang w:eastAsia="en-US"/>
          </w:rPr>
          <w:t>Pithouse</w:t>
        </w:r>
        <w:proofErr w:type="spellEnd"/>
        <w:r w:rsidRPr="00D108E0">
          <w:rPr>
            <w:rFonts w:eastAsia="Calibri"/>
            <w:sz w:val="24"/>
            <w:szCs w:val="24"/>
            <w:lang w:eastAsia="en-US"/>
          </w:rPr>
          <w:t>, A. (2011)</w:t>
        </w:r>
        <w:r w:rsidRPr="00D108E0">
          <w:rPr>
            <w:rFonts w:eastAsia="Calibri"/>
            <w:bCs/>
            <w:i/>
            <w:kern w:val="36"/>
            <w:sz w:val="24"/>
            <w:szCs w:val="24"/>
            <w:lang w:eastAsia="en-US"/>
          </w:rPr>
          <w:t xml:space="preserve"> Devolution and Change Since the Children Act 1989: New Directions in Wales</w:t>
        </w:r>
        <w:r w:rsidRPr="00D108E0">
          <w:rPr>
            <w:rFonts w:eastAsia="Calibri"/>
            <w:sz w:val="24"/>
            <w:szCs w:val="24"/>
            <w:lang w:eastAsia="en-US"/>
          </w:rPr>
          <w:t>.</w:t>
        </w:r>
      </w:hyperlink>
      <w:r w:rsidRPr="00D108E0">
        <w:rPr>
          <w:rFonts w:eastAsia="Calibri"/>
          <w:sz w:val="24"/>
          <w:szCs w:val="24"/>
          <w:lang w:eastAsia="en-US"/>
        </w:rPr>
        <w:t xml:space="preserve"> </w:t>
      </w:r>
      <w:hyperlink r:id="rId34" w:history="1">
        <w:r w:rsidRPr="00D108E0">
          <w:rPr>
            <w:rFonts w:eastAsia="Calibri"/>
            <w:bCs/>
            <w:sz w:val="24"/>
            <w:szCs w:val="24"/>
            <w:lang w:eastAsia="en-US"/>
          </w:rPr>
          <w:t>Journal of Children's Services</w:t>
        </w:r>
      </w:hyperlink>
      <w:r w:rsidRPr="00D108E0">
        <w:rPr>
          <w:rFonts w:eastAsia="Calibri"/>
          <w:bCs/>
          <w:sz w:val="24"/>
          <w:szCs w:val="24"/>
          <w:lang w:eastAsia="en-US"/>
        </w:rPr>
        <w:t>; Bingley, v6 (3), pp.</w:t>
      </w:r>
      <w:r w:rsidRPr="00D108E0">
        <w:rPr>
          <w:rFonts w:eastAsia="Calibri"/>
          <w:sz w:val="24"/>
          <w:szCs w:val="24"/>
          <w:lang w:eastAsia="en-US"/>
        </w:rPr>
        <w:t>172-185</w:t>
      </w:r>
    </w:p>
    <w:p w:rsidR="00D108E0" w:rsidRPr="00D108E0" w:rsidRDefault="00D108E0" w:rsidP="00D108E0">
      <w:pPr>
        <w:overflowPunct/>
        <w:spacing w:before="100" w:after="100"/>
        <w:textAlignment w:val="auto"/>
        <w:rPr>
          <w:rFonts w:eastAsia="Calibri"/>
          <w:color w:val="auto"/>
          <w:sz w:val="24"/>
          <w:szCs w:val="24"/>
          <w:lang w:eastAsia="en-US"/>
        </w:rPr>
      </w:pPr>
      <w:r w:rsidRPr="00D108E0">
        <w:rPr>
          <w:rFonts w:eastAsia="Calibri"/>
          <w:color w:val="auto"/>
          <w:sz w:val="24"/>
          <w:szCs w:val="24"/>
          <w:lang w:eastAsia="en-US"/>
        </w:rPr>
        <w:t xml:space="preserve">Potting, M. et al. (2010) </w:t>
      </w:r>
      <w:r w:rsidRPr="00D108E0">
        <w:rPr>
          <w:rFonts w:eastAsia="Calibri"/>
          <w:i/>
          <w:color w:val="auto"/>
          <w:sz w:val="24"/>
          <w:szCs w:val="24"/>
          <w:lang w:eastAsia="en-US"/>
        </w:rPr>
        <w:t xml:space="preserve">Legitimising Social Work: </w:t>
      </w:r>
      <w:proofErr w:type="spellStart"/>
      <w:r w:rsidRPr="00D108E0">
        <w:rPr>
          <w:rFonts w:eastAsia="Calibri"/>
          <w:i/>
          <w:color w:val="auto"/>
          <w:sz w:val="24"/>
          <w:szCs w:val="24"/>
          <w:lang w:eastAsia="en-US"/>
        </w:rPr>
        <w:t>ThPractice</w:t>
      </w:r>
      <w:proofErr w:type="spellEnd"/>
      <w:r w:rsidRPr="00D108E0">
        <w:rPr>
          <w:rFonts w:eastAsia="Calibri"/>
          <w:i/>
          <w:color w:val="auto"/>
          <w:sz w:val="24"/>
          <w:szCs w:val="24"/>
          <w:lang w:eastAsia="en-US"/>
        </w:rPr>
        <w:t xml:space="preserve"> of Reflective Professionals.</w:t>
      </w:r>
      <w:r w:rsidRPr="00D108E0">
        <w:rPr>
          <w:rFonts w:eastAsia="Calibri"/>
          <w:color w:val="auto"/>
          <w:sz w:val="24"/>
          <w:szCs w:val="24"/>
          <w:lang w:eastAsia="en-US"/>
        </w:rPr>
        <w:t xml:space="preserve"> Journal of Social Intervention: Theory and Practice, </w:t>
      </w:r>
      <w:proofErr w:type="gramStart"/>
      <w:r w:rsidRPr="00D108E0">
        <w:rPr>
          <w:rFonts w:eastAsia="Calibri"/>
          <w:color w:val="auto"/>
          <w:sz w:val="24"/>
          <w:szCs w:val="24"/>
          <w:lang w:eastAsia="en-US"/>
        </w:rPr>
        <w:t>v19(</w:t>
      </w:r>
      <w:proofErr w:type="gramEnd"/>
      <w:r w:rsidRPr="00D108E0">
        <w:rPr>
          <w:rFonts w:eastAsia="Calibri"/>
          <w:color w:val="auto"/>
          <w:sz w:val="24"/>
          <w:szCs w:val="24"/>
          <w:lang w:eastAsia="en-US"/>
        </w:rPr>
        <w:t>3), pp.6–20.</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r w:rsidRPr="00D108E0">
        <w:rPr>
          <w:rFonts w:eastAsia="Calibri"/>
          <w:color w:val="auto"/>
          <w:sz w:val="24"/>
          <w:szCs w:val="24"/>
          <w:lang w:eastAsia="en-US"/>
        </w:rPr>
        <w:t>Reform of EU Data Protection Rules (2018) Available from ec.europa.eu (Accessed electronically on 04.10.18)</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r w:rsidRPr="00D108E0">
        <w:rPr>
          <w:rFonts w:eastAsia="Calibri"/>
          <w:color w:val="auto"/>
          <w:sz w:val="24"/>
          <w:szCs w:val="24"/>
          <w:lang w:eastAsia="en-US"/>
        </w:rPr>
        <w:t>Rogers, C. (1989) On Becoming a Person: A Therapists View of Psychotherapy. Constable: London</w:t>
      </w:r>
    </w:p>
    <w:p w:rsidR="00D108E0" w:rsidRPr="00D108E0" w:rsidRDefault="00D108E0" w:rsidP="00D108E0">
      <w:pPr>
        <w:overflowPunct/>
        <w:spacing w:before="100" w:after="100"/>
        <w:textAlignment w:val="auto"/>
        <w:rPr>
          <w:rFonts w:eastAsia="Calibri"/>
          <w:color w:val="auto"/>
          <w:sz w:val="24"/>
          <w:szCs w:val="24"/>
          <w:lang w:eastAsia="en-US"/>
        </w:rPr>
      </w:pPr>
      <w:proofErr w:type="spellStart"/>
      <w:proofErr w:type="gramStart"/>
      <w:r w:rsidRPr="00D108E0">
        <w:rPr>
          <w:rFonts w:eastAsia="Calibri"/>
          <w:color w:val="auto"/>
          <w:sz w:val="24"/>
          <w:szCs w:val="24"/>
          <w:lang w:eastAsia="en-US"/>
        </w:rPr>
        <w:t>Sikdar</w:t>
      </w:r>
      <w:proofErr w:type="spellEnd"/>
      <w:r w:rsidRPr="00D108E0">
        <w:rPr>
          <w:rFonts w:eastAsia="Calibri"/>
          <w:color w:val="auto"/>
          <w:sz w:val="24"/>
          <w:szCs w:val="24"/>
          <w:lang w:eastAsia="en-US"/>
        </w:rPr>
        <w:t>, S. (2006)</w:t>
      </w:r>
      <w:r w:rsidRPr="00D108E0">
        <w:rPr>
          <w:rFonts w:eastAsia="Calibri"/>
          <w:iCs/>
          <w:color w:val="auto"/>
          <w:sz w:val="24"/>
          <w:szCs w:val="24"/>
          <w:lang w:eastAsia="en-US"/>
        </w:rPr>
        <w:t xml:space="preserve"> </w:t>
      </w:r>
      <w:r w:rsidRPr="00D108E0">
        <w:rPr>
          <w:rFonts w:eastAsia="Calibri"/>
          <w:i/>
          <w:iCs/>
          <w:color w:val="auto"/>
          <w:sz w:val="24"/>
          <w:szCs w:val="24"/>
          <w:lang w:eastAsia="en-US"/>
        </w:rPr>
        <w:t>Mental Capacity Decisions and Discharge Decisions.</w:t>
      </w:r>
      <w:proofErr w:type="gramEnd"/>
      <w:r w:rsidRPr="00D108E0">
        <w:rPr>
          <w:rFonts w:eastAsia="Calibri"/>
          <w:i/>
          <w:iCs/>
          <w:color w:val="auto"/>
          <w:sz w:val="24"/>
          <w:szCs w:val="24"/>
          <w:lang w:eastAsia="en-US"/>
        </w:rPr>
        <w:t xml:space="preserve"> </w:t>
      </w:r>
      <w:r w:rsidRPr="00D108E0">
        <w:rPr>
          <w:rFonts w:eastAsia="Calibri"/>
          <w:iCs/>
          <w:color w:val="auto"/>
          <w:sz w:val="24"/>
          <w:szCs w:val="24"/>
          <w:lang w:eastAsia="en-US"/>
        </w:rPr>
        <w:t>Age and Ageing</w:t>
      </w:r>
      <w:r w:rsidRPr="00D108E0">
        <w:rPr>
          <w:rFonts w:eastAsia="Calibri"/>
          <w:color w:val="auto"/>
          <w:sz w:val="24"/>
          <w:szCs w:val="24"/>
          <w:lang w:eastAsia="en-US"/>
        </w:rPr>
        <w:t xml:space="preserve">, </w:t>
      </w:r>
      <w:proofErr w:type="gramStart"/>
      <w:r w:rsidRPr="00D108E0">
        <w:rPr>
          <w:rFonts w:eastAsia="Calibri"/>
          <w:color w:val="auto"/>
          <w:sz w:val="24"/>
          <w:szCs w:val="24"/>
          <w:lang w:eastAsia="en-US"/>
        </w:rPr>
        <w:t>v3(</w:t>
      </w:r>
      <w:proofErr w:type="gramEnd"/>
      <w:r w:rsidRPr="00D108E0">
        <w:rPr>
          <w:rFonts w:eastAsia="Calibri"/>
          <w:color w:val="auto"/>
          <w:sz w:val="24"/>
          <w:szCs w:val="24"/>
          <w:lang w:eastAsia="en-US"/>
        </w:rPr>
        <w:t>1), p.450</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proofErr w:type="gramStart"/>
      <w:r w:rsidRPr="00D108E0">
        <w:rPr>
          <w:rFonts w:eastAsia="Calibri"/>
          <w:color w:val="auto"/>
          <w:sz w:val="24"/>
          <w:szCs w:val="24"/>
          <w:lang w:eastAsia="en-US"/>
        </w:rPr>
        <w:t>Social Care Institute for Excellence (2018) Safeguarding Adults in Practice.</w:t>
      </w:r>
      <w:proofErr w:type="gramEnd"/>
      <w:r w:rsidRPr="00D108E0">
        <w:rPr>
          <w:rFonts w:eastAsia="Calibri"/>
          <w:color w:val="auto"/>
          <w:sz w:val="24"/>
          <w:szCs w:val="24"/>
          <w:lang w:eastAsia="en-US"/>
        </w:rPr>
        <w:t xml:space="preserve">  Available from </w:t>
      </w:r>
      <w:hyperlink r:id="rId35" w:history="1">
        <w:r w:rsidRPr="00D108E0">
          <w:rPr>
            <w:rFonts w:eastAsia="Calibri"/>
            <w:color w:val="auto"/>
            <w:sz w:val="24"/>
            <w:szCs w:val="24"/>
            <w:lang w:eastAsia="en-US"/>
          </w:rPr>
          <w:t>https://www.scie.org.uk/safeguarding/adults/practice/questions</w:t>
        </w:r>
      </w:hyperlink>
      <w:r w:rsidRPr="00D108E0">
        <w:rPr>
          <w:rFonts w:eastAsia="Calibri"/>
          <w:color w:val="auto"/>
          <w:sz w:val="24"/>
          <w:szCs w:val="24"/>
          <w:lang w:eastAsia="en-US"/>
        </w:rPr>
        <w:t xml:space="preserve"> (Accessed electronically on 09.10.18)</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proofErr w:type="gramStart"/>
      <w:r w:rsidRPr="00D108E0">
        <w:rPr>
          <w:rFonts w:eastAsia="Calibri"/>
          <w:color w:val="auto"/>
          <w:sz w:val="24"/>
          <w:szCs w:val="24"/>
          <w:lang w:eastAsia="en-US"/>
        </w:rPr>
        <w:t xml:space="preserve">Social Care Wales (2017) </w:t>
      </w:r>
      <w:r w:rsidRPr="00D108E0">
        <w:rPr>
          <w:rFonts w:eastAsia="Calibri"/>
          <w:i/>
          <w:color w:val="auto"/>
          <w:sz w:val="24"/>
          <w:szCs w:val="24"/>
          <w:lang w:eastAsia="en-US"/>
        </w:rPr>
        <w:t>Fitness to Practise; Codes of Practice and Guidance.</w:t>
      </w:r>
      <w:proofErr w:type="gramEnd"/>
      <w:r w:rsidRPr="00D108E0">
        <w:rPr>
          <w:rFonts w:eastAsia="Calibri"/>
          <w:color w:val="auto"/>
          <w:sz w:val="24"/>
          <w:szCs w:val="24"/>
          <w:lang w:eastAsia="en-US"/>
        </w:rPr>
        <w:t xml:space="preserve"> </w:t>
      </w:r>
      <w:proofErr w:type="gramStart"/>
      <w:r w:rsidRPr="00D108E0">
        <w:rPr>
          <w:rFonts w:eastAsia="Calibri"/>
          <w:color w:val="auto"/>
          <w:sz w:val="24"/>
          <w:szCs w:val="24"/>
          <w:lang w:eastAsia="en-US"/>
        </w:rPr>
        <w:t xml:space="preserve">Available from </w:t>
      </w:r>
      <w:hyperlink r:id="rId36" w:history="1">
        <w:r w:rsidRPr="00D108E0">
          <w:rPr>
            <w:rFonts w:eastAsia="Calibri"/>
            <w:color w:val="auto"/>
            <w:sz w:val="24"/>
            <w:szCs w:val="24"/>
            <w:lang w:eastAsia="en-US"/>
          </w:rPr>
          <w:t>https://socialcare.wales/landing-page/code-of-professional-practice-and-guidance?record-language-choice=en-cy</w:t>
        </w:r>
      </w:hyperlink>
      <w:r w:rsidRPr="00D108E0">
        <w:rPr>
          <w:rFonts w:eastAsia="Calibri"/>
          <w:color w:val="auto"/>
          <w:sz w:val="24"/>
          <w:szCs w:val="24"/>
          <w:lang w:eastAsia="en-US"/>
        </w:rPr>
        <w:t>.</w:t>
      </w:r>
      <w:proofErr w:type="gramEnd"/>
      <w:r w:rsidRPr="00D108E0">
        <w:rPr>
          <w:rFonts w:eastAsia="Calibri"/>
          <w:color w:val="auto"/>
          <w:sz w:val="24"/>
          <w:szCs w:val="24"/>
          <w:lang w:eastAsia="en-US"/>
        </w:rPr>
        <w:t xml:space="preserve"> (Accessed electronically on 14.11.17)</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r w:rsidRPr="00D108E0">
        <w:rPr>
          <w:rFonts w:eastAsia="Calibri"/>
          <w:color w:val="auto"/>
          <w:sz w:val="24"/>
          <w:szCs w:val="24"/>
          <w:lang w:eastAsia="en-US"/>
        </w:rPr>
        <w:t xml:space="preserve">Social Services and Wellbeing (Wales) Act (2014) Available from </w:t>
      </w:r>
      <w:hyperlink r:id="rId37" w:history="1">
        <w:r w:rsidRPr="00D108E0">
          <w:rPr>
            <w:rFonts w:eastAsia="Calibri"/>
            <w:sz w:val="24"/>
            <w:szCs w:val="24"/>
            <w:lang w:eastAsia="en-US"/>
          </w:rPr>
          <w:t>https://www.legislation.gov.uk/anaw/2014/4/contents</w:t>
        </w:r>
      </w:hyperlink>
      <w:r w:rsidRPr="00D108E0">
        <w:rPr>
          <w:rFonts w:eastAsia="Calibri"/>
          <w:sz w:val="24"/>
          <w:szCs w:val="24"/>
          <w:lang w:eastAsia="en-US"/>
        </w:rPr>
        <w:t xml:space="preserve">. </w:t>
      </w:r>
      <w:r w:rsidRPr="00D108E0">
        <w:rPr>
          <w:rFonts w:eastAsia="Calibri"/>
          <w:color w:val="auto"/>
          <w:sz w:val="24"/>
          <w:szCs w:val="24"/>
          <w:lang w:eastAsia="en-US"/>
        </w:rPr>
        <w:t xml:space="preserve">(Accessed electronically on 13.12.17) </w:t>
      </w:r>
    </w:p>
    <w:p w:rsidR="00D108E0" w:rsidRPr="00D108E0" w:rsidRDefault="00D108E0" w:rsidP="00D108E0">
      <w:pPr>
        <w:keepNext/>
        <w:overflowPunct/>
        <w:spacing w:before="100" w:after="100"/>
        <w:textAlignment w:val="auto"/>
        <w:outlineLvl w:val="1"/>
        <w:rPr>
          <w:rFonts w:eastAsia="Calibri"/>
          <w:color w:val="auto"/>
          <w:sz w:val="24"/>
          <w:szCs w:val="24"/>
          <w:lang w:eastAsia="en-US"/>
        </w:rPr>
      </w:pPr>
      <w:r w:rsidRPr="00D108E0">
        <w:rPr>
          <w:rFonts w:eastAsia="Calibri"/>
          <w:color w:val="auto"/>
          <w:sz w:val="24"/>
          <w:szCs w:val="24"/>
          <w:lang w:eastAsia="en-US"/>
        </w:rPr>
        <w:t xml:space="preserve">Taylor, H. (2016) </w:t>
      </w:r>
      <w:proofErr w:type="gramStart"/>
      <w:r w:rsidRPr="00D108E0">
        <w:rPr>
          <w:rFonts w:eastAsia="Calibri"/>
          <w:bCs/>
          <w:i/>
          <w:color w:val="auto"/>
          <w:kern w:val="36"/>
          <w:sz w:val="24"/>
          <w:szCs w:val="24"/>
          <w:lang w:eastAsia="en-US"/>
        </w:rPr>
        <w:t>What</w:t>
      </w:r>
      <w:proofErr w:type="gramEnd"/>
      <w:r w:rsidRPr="00D108E0">
        <w:rPr>
          <w:rFonts w:eastAsia="Calibri"/>
          <w:bCs/>
          <w:i/>
          <w:color w:val="auto"/>
          <w:kern w:val="36"/>
          <w:sz w:val="24"/>
          <w:szCs w:val="24"/>
          <w:lang w:eastAsia="en-US"/>
        </w:rPr>
        <w:t xml:space="preserve"> are Best Interests? </w:t>
      </w:r>
      <w:proofErr w:type="gramStart"/>
      <w:r w:rsidRPr="00D108E0">
        <w:rPr>
          <w:rFonts w:eastAsia="Calibri"/>
          <w:bCs/>
          <w:i/>
          <w:color w:val="auto"/>
          <w:kern w:val="36"/>
          <w:sz w:val="24"/>
          <w:szCs w:val="24"/>
          <w:lang w:eastAsia="en-US"/>
        </w:rPr>
        <w:t>A Critical Evaluation of ‘Best Interests Decision Making in Clinical Practice.</w:t>
      </w:r>
      <w:proofErr w:type="gramEnd"/>
      <w:r w:rsidRPr="00D108E0">
        <w:rPr>
          <w:rFonts w:eastAsia="Calibri"/>
          <w:bCs/>
          <w:i/>
          <w:color w:val="auto"/>
          <w:kern w:val="36"/>
          <w:sz w:val="24"/>
          <w:szCs w:val="24"/>
          <w:lang w:eastAsia="en-US"/>
        </w:rPr>
        <w:t xml:space="preserve"> </w:t>
      </w:r>
      <w:r w:rsidRPr="00D108E0">
        <w:rPr>
          <w:rFonts w:eastAsia="Calibri"/>
          <w:iCs/>
          <w:color w:val="auto"/>
          <w:sz w:val="24"/>
          <w:szCs w:val="24"/>
          <w:lang w:eastAsia="en-US"/>
        </w:rPr>
        <w:t>Medical Law Review</w:t>
      </w:r>
      <w:r w:rsidRPr="00D108E0">
        <w:rPr>
          <w:rFonts w:eastAsia="Calibri"/>
          <w:color w:val="auto"/>
          <w:sz w:val="24"/>
          <w:szCs w:val="24"/>
          <w:lang w:eastAsia="en-US"/>
        </w:rPr>
        <w:t xml:space="preserve">, </w:t>
      </w:r>
      <w:proofErr w:type="gramStart"/>
      <w:r w:rsidRPr="00D108E0">
        <w:rPr>
          <w:rFonts w:eastAsia="Calibri"/>
          <w:color w:val="auto"/>
          <w:sz w:val="24"/>
          <w:szCs w:val="24"/>
          <w:lang w:eastAsia="en-US"/>
        </w:rPr>
        <w:t>v24(</w:t>
      </w:r>
      <w:proofErr w:type="gramEnd"/>
      <w:r w:rsidRPr="00D108E0">
        <w:rPr>
          <w:rFonts w:eastAsia="Calibri"/>
          <w:color w:val="auto"/>
          <w:sz w:val="24"/>
          <w:szCs w:val="24"/>
          <w:lang w:eastAsia="en-US"/>
        </w:rPr>
        <w:t>2), pp176–205</w:t>
      </w:r>
    </w:p>
    <w:p w:rsidR="00D108E0" w:rsidRPr="00D108E0" w:rsidRDefault="00D108E0" w:rsidP="00D108E0">
      <w:pPr>
        <w:keepNext/>
        <w:overflowPunct/>
        <w:spacing w:before="100" w:after="100"/>
        <w:textAlignment w:val="auto"/>
        <w:outlineLvl w:val="1"/>
        <w:rPr>
          <w:rFonts w:eastAsia="Calibri"/>
          <w:color w:val="auto"/>
          <w:sz w:val="24"/>
          <w:szCs w:val="24"/>
          <w:lang w:eastAsia="en-US"/>
        </w:rPr>
      </w:pPr>
      <w:r w:rsidRPr="00D108E0">
        <w:rPr>
          <w:rFonts w:eastAsia="Calibri"/>
          <w:color w:val="auto"/>
          <w:sz w:val="24"/>
          <w:szCs w:val="24"/>
          <w:lang w:eastAsia="en-US"/>
        </w:rPr>
        <w:t xml:space="preserve">The Welsh National Standards (2016) available from </w:t>
      </w:r>
      <w:hyperlink r:id="rId38" w:history="1">
        <w:r w:rsidRPr="00D108E0">
          <w:rPr>
            <w:rFonts w:eastAsia="Calibri"/>
            <w:color w:val="auto"/>
            <w:sz w:val="24"/>
            <w:szCs w:val="24"/>
            <w:lang w:eastAsia="en-US"/>
          </w:rPr>
          <w:t>www.assembly.wales</w:t>
        </w:r>
      </w:hyperlink>
      <w:r w:rsidRPr="00D108E0">
        <w:rPr>
          <w:rFonts w:eastAsia="Calibri"/>
          <w:color w:val="auto"/>
          <w:sz w:val="24"/>
          <w:szCs w:val="24"/>
          <w:lang w:eastAsia="en-US"/>
        </w:rPr>
        <w:t>(Accessed electronically on 10.10.18)</w:t>
      </w:r>
    </w:p>
    <w:p w:rsidR="00D108E0" w:rsidRPr="00D108E0" w:rsidRDefault="00D108E0" w:rsidP="00D108E0">
      <w:pPr>
        <w:keepNext/>
        <w:overflowPunct/>
        <w:spacing w:before="100" w:after="100"/>
        <w:textAlignment w:val="auto"/>
        <w:outlineLvl w:val="1"/>
        <w:rPr>
          <w:rFonts w:eastAsia="Calibri"/>
          <w:bCs/>
          <w:i/>
          <w:color w:val="auto"/>
          <w:kern w:val="36"/>
          <w:sz w:val="24"/>
          <w:szCs w:val="24"/>
          <w:lang w:eastAsia="en-US"/>
        </w:rPr>
      </w:pPr>
      <w:proofErr w:type="gramStart"/>
      <w:r w:rsidRPr="00D108E0">
        <w:rPr>
          <w:rFonts w:eastAsia="Calibri"/>
          <w:color w:val="auto"/>
          <w:sz w:val="24"/>
          <w:szCs w:val="24"/>
          <w:lang w:eastAsia="en-US"/>
        </w:rPr>
        <w:t>Welsh Government.</w:t>
      </w:r>
      <w:proofErr w:type="gramEnd"/>
      <w:r w:rsidRPr="00D108E0">
        <w:rPr>
          <w:rFonts w:eastAsia="Calibri"/>
          <w:color w:val="auto"/>
          <w:sz w:val="24"/>
          <w:szCs w:val="24"/>
          <w:lang w:eastAsia="en-US"/>
        </w:rPr>
        <w:t xml:space="preserve"> (2017) Together for Young People: NHS Wales Specialist CAMHS Framework for Improvement. Available from </w:t>
      </w:r>
      <w:hyperlink r:id="rId39" w:history="1">
        <w:r w:rsidRPr="00D108E0">
          <w:rPr>
            <w:rFonts w:eastAsia="Calibri"/>
            <w:color w:val="auto"/>
            <w:sz w:val="24"/>
            <w:szCs w:val="24"/>
            <w:lang w:eastAsia="en-US"/>
          </w:rPr>
          <w:t>https://gov.wales/docs/dhss/publications/171027chidrenen.pdf</w:t>
        </w:r>
      </w:hyperlink>
      <w:r w:rsidRPr="00D108E0">
        <w:rPr>
          <w:rFonts w:eastAsia="Calibri"/>
          <w:color w:val="auto"/>
          <w:sz w:val="24"/>
          <w:szCs w:val="24"/>
          <w:lang w:eastAsia="en-US"/>
        </w:rPr>
        <w:t xml:space="preserve"> (Accessed electronically on 09.10.18)</w:t>
      </w: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proofErr w:type="gramStart"/>
      <w:r w:rsidRPr="00D108E0">
        <w:rPr>
          <w:rFonts w:eastAsia="Calibri"/>
          <w:color w:val="auto"/>
          <w:sz w:val="24"/>
          <w:szCs w:val="24"/>
          <w:lang w:eastAsia="en-US"/>
        </w:rPr>
        <w:t>White, S.</w:t>
      </w:r>
      <w:proofErr w:type="gramEnd"/>
      <w:r w:rsidRPr="00D108E0">
        <w:rPr>
          <w:rFonts w:eastAsia="Calibri"/>
          <w:color w:val="auto"/>
          <w:sz w:val="24"/>
          <w:szCs w:val="24"/>
          <w:lang w:eastAsia="en-US"/>
        </w:rPr>
        <w:t xml:space="preserve">  </w:t>
      </w:r>
      <w:proofErr w:type="spellStart"/>
      <w:proofErr w:type="gramStart"/>
      <w:r w:rsidRPr="00D108E0">
        <w:rPr>
          <w:rFonts w:eastAsia="Calibri"/>
          <w:color w:val="auto"/>
          <w:sz w:val="24"/>
          <w:szCs w:val="24"/>
          <w:lang w:eastAsia="en-US"/>
        </w:rPr>
        <w:t>Fook</w:t>
      </w:r>
      <w:proofErr w:type="spellEnd"/>
      <w:r w:rsidRPr="00D108E0">
        <w:rPr>
          <w:rFonts w:eastAsia="Calibri"/>
          <w:color w:val="auto"/>
          <w:sz w:val="24"/>
          <w:szCs w:val="24"/>
          <w:lang w:eastAsia="en-US"/>
        </w:rPr>
        <w:t xml:space="preserve">, J. &amp; Gardener, E. (2006) </w:t>
      </w:r>
      <w:r w:rsidRPr="00D108E0">
        <w:rPr>
          <w:rFonts w:eastAsia="Calibri"/>
          <w:i/>
          <w:color w:val="auto"/>
          <w:sz w:val="24"/>
          <w:szCs w:val="24"/>
          <w:lang w:eastAsia="en-US"/>
        </w:rPr>
        <w:t>Critical Reflection in Health and Social Care</w:t>
      </w:r>
      <w:r w:rsidRPr="00D108E0">
        <w:rPr>
          <w:rFonts w:eastAsia="Calibri"/>
          <w:color w:val="auto"/>
          <w:sz w:val="24"/>
          <w:szCs w:val="24"/>
          <w:lang w:eastAsia="en-US"/>
        </w:rPr>
        <w:t>.</w:t>
      </w:r>
      <w:proofErr w:type="gramEnd"/>
      <w:r w:rsidRPr="00D108E0">
        <w:rPr>
          <w:rFonts w:eastAsia="Calibri"/>
          <w:color w:val="auto"/>
          <w:sz w:val="24"/>
          <w:szCs w:val="24"/>
          <w:lang w:eastAsia="en-US"/>
        </w:rPr>
        <w:t xml:space="preserve"> Open University Press: Maidenhead</w:t>
      </w:r>
    </w:p>
    <w:p w:rsidR="00D108E0" w:rsidRPr="00D108E0" w:rsidRDefault="00D108E0" w:rsidP="00D108E0">
      <w:pPr>
        <w:overflowPunct/>
        <w:autoSpaceDE/>
        <w:autoSpaceDN/>
        <w:adjustRightInd/>
        <w:spacing w:after="200" w:line="276" w:lineRule="auto"/>
        <w:textAlignment w:val="auto"/>
        <w:rPr>
          <w:rFonts w:eastAsia="Calibri"/>
          <w:sz w:val="24"/>
          <w:szCs w:val="24"/>
          <w:lang w:val="en" w:eastAsia="en-US"/>
        </w:rPr>
      </w:pPr>
      <w:r w:rsidRPr="00D108E0">
        <w:rPr>
          <w:rFonts w:eastAsia="Calibri"/>
          <w:color w:val="auto"/>
          <w:sz w:val="24"/>
          <w:szCs w:val="24"/>
          <w:lang w:eastAsia="en-US"/>
        </w:rPr>
        <w:t xml:space="preserve">Whitehouse, R. (2010) </w:t>
      </w:r>
      <w:r w:rsidRPr="00D108E0">
        <w:rPr>
          <w:rFonts w:eastAsia="Calibri"/>
          <w:i/>
          <w:sz w:val="24"/>
          <w:szCs w:val="24"/>
          <w:lang w:val="en" w:eastAsia="en-US"/>
        </w:rPr>
        <w:t xml:space="preserve">Social Worker Suspended for Year </w:t>
      </w:r>
      <w:proofErr w:type="gramStart"/>
      <w:r w:rsidRPr="00D108E0">
        <w:rPr>
          <w:rFonts w:eastAsia="Calibri"/>
          <w:i/>
          <w:sz w:val="24"/>
          <w:szCs w:val="24"/>
          <w:lang w:val="en" w:eastAsia="en-US"/>
        </w:rPr>
        <w:t>After</w:t>
      </w:r>
      <w:proofErr w:type="gramEnd"/>
      <w:r w:rsidRPr="00D108E0">
        <w:rPr>
          <w:rFonts w:eastAsia="Calibri"/>
          <w:i/>
          <w:sz w:val="24"/>
          <w:szCs w:val="24"/>
          <w:lang w:val="en" w:eastAsia="en-US"/>
        </w:rPr>
        <w:t xml:space="preserve"> 'Misconduct' </w:t>
      </w:r>
      <w:r w:rsidRPr="00D108E0">
        <w:rPr>
          <w:rFonts w:eastAsia="Calibri"/>
          <w:sz w:val="24"/>
          <w:szCs w:val="24"/>
          <w:lang w:val="en" w:eastAsia="en-US"/>
        </w:rPr>
        <w:t>Cornish Guardian: Truro</w:t>
      </w:r>
    </w:p>
    <w:p w:rsidR="00D108E0" w:rsidRPr="00D108E0" w:rsidRDefault="00D108E0" w:rsidP="00D108E0">
      <w:pPr>
        <w:overflowPunct/>
        <w:textAlignment w:val="auto"/>
        <w:rPr>
          <w:rFonts w:eastAsia="Calibri"/>
          <w:color w:val="auto"/>
          <w:sz w:val="24"/>
          <w:szCs w:val="24"/>
          <w:lang w:eastAsia="en-US"/>
        </w:rPr>
      </w:pPr>
      <w:r w:rsidRPr="00D108E0">
        <w:rPr>
          <w:rFonts w:eastAsia="Calibri"/>
          <w:sz w:val="24"/>
          <w:szCs w:val="24"/>
          <w:lang w:eastAsia="en-US"/>
        </w:rPr>
        <w:t xml:space="preserve">Williams, J. (2017) </w:t>
      </w:r>
      <w:r w:rsidRPr="00D108E0">
        <w:rPr>
          <w:rFonts w:eastAsia="Calibri"/>
          <w:i/>
          <w:sz w:val="24"/>
          <w:szCs w:val="24"/>
          <w:lang w:eastAsia="en-US"/>
        </w:rPr>
        <w:t xml:space="preserve">"Adult safeguarding in Wales: one step in the right direction" </w:t>
      </w:r>
      <w:r w:rsidRPr="00D108E0">
        <w:rPr>
          <w:rFonts w:eastAsia="Calibri"/>
          <w:sz w:val="24"/>
          <w:szCs w:val="24"/>
          <w:lang w:eastAsia="en-US"/>
        </w:rPr>
        <w:t xml:space="preserve">The Journal of Adult Protection. Available from </w:t>
      </w:r>
      <w:hyperlink r:id="rId40" w:history="1">
        <w:r w:rsidRPr="00D108E0">
          <w:rPr>
            <w:rFonts w:eastAsia="Calibri"/>
            <w:color w:val="auto"/>
            <w:sz w:val="24"/>
            <w:szCs w:val="24"/>
            <w:lang w:eastAsia="en-US"/>
          </w:rPr>
          <w:t>https://doi.org/10.1108/JAP-05-2017-0021</w:t>
        </w:r>
      </w:hyperlink>
      <w:r w:rsidRPr="00D108E0">
        <w:rPr>
          <w:rFonts w:eastAsia="Calibri"/>
          <w:color w:val="auto"/>
          <w:sz w:val="24"/>
          <w:szCs w:val="24"/>
          <w:lang w:eastAsia="en-US"/>
        </w:rPr>
        <w:t xml:space="preserve"> (Accessed electronically on 09.10.18)</w:t>
      </w:r>
    </w:p>
    <w:p w:rsidR="00D108E0" w:rsidRPr="00D108E0" w:rsidRDefault="00D108E0" w:rsidP="00D108E0">
      <w:pPr>
        <w:overflowPunct/>
        <w:autoSpaceDE/>
        <w:autoSpaceDN/>
        <w:adjustRightInd/>
        <w:spacing w:after="200" w:line="276" w:lineRule="auto"/>
        <w:textAlignment w:val="auto"/>
        <w:rPr>
          <w:rFonts w:eastAsia="Calibri"/>
          <w:sz w:val="24"/>
          <w:szCs w:val="24"/>
          <w:lang w:val="en" w:eastAsia="en-US"/>
        </w:rPr>
      </w:pP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p>
    <w:p w:rsidR="00D108E0" w:rsidRPr="00D108E0" w:rsidRDefault="00D108E0" w:rsidP="00D108E0">
      <w:pPr>
        <w:overflowPunct/>
        <w:autoSpaceDE/>
        <w:autoSpaceDN/>
        <w:adjustRightInd/>
        <w:spacing w:after="200" w:line="276" w:lineRule="auto"/>
        <w:textAlignment w:val="auto"/>
        <w:rPr>
          <w:rFonts w:eastAsia="Calibri"/>
          <w:color w:val="auto"/>
          <w:sz w:val="24"/>
          <w:szCs w:val="24"/>
          <w:lang w:eastAsia="en-US"/>
        </w:rPr>
      </w:pPr>
    </w:p>
    <w:p w:rsidR="00D108E0" w:rsidRPr="00D108E0" w:rsidRDefault="00D108E0" w:rsidP="00D108E0">
      <w:pPr>
        <w:overflowPunct/>
        <w:autoSpaceDE/>
        <w:autoSpaceDN/>
        <w:adjustRightInd/>
        <w:spacing w:after="200" w:line="276" w:lineRule="auto"/>
        <w:textAlignment w:val="auto"/>
        <w:rPr>
          <w:rFonts w:eastAsia="Calibri"/>
          <w:color w:val="auto"/>
          <w:sz w:val="22"/>
          <w:szCs w:val="22"/>
          <w:lang w:eastAsia="en-US"/>
        </w:rPr>
      </w:pPr>
    </w:p>
    <w:p w:rsidR="00D108E0" w:rsidRPr="00D217BF" w:rsidRDefault="00D108E0" w:rsidP="00BB50E0">
      <w:pPr>
        <w:jc w:val="both"/>
        <w:rPr>
          <w:color w:val="auto"/>
          <w:sz w:val="24"/>
          <w:szCs w:val="24"/>
        </w:rPr>
      </w:pPr>
    </w:p>
    <w:sectPr w:rsidR="00D108E0" w:rsidRPr="00D217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206"/>
    <w:rsid w:val="00054DE6"/>
    <w:rsid w:val="000912B5"/>
    <w:rsid w:val="000B7324"/>
    <w:rsid w:val="00122EF7"/>
    <w:rsid w:val="001343F2"/>
    <w:rsid w:val="0013694A"/>
    <w:rsid w:val="001F52E3"/>
    <w:rsid w:val="00223A30"/>
    <w:rsid w:val="00257D7C"/>
    <w:rsid w:val="002F496F"/>
    <w:rsid w:val="0041650E"/>
    <w:rsid w:val="0041702E"/>
    <w:rsid w:val="0044076F"/>
    <w:rsid w:val="00444B6B"/>
    <w:rsid w:val="00467F35"/>
    <w:rsid w:val="004C2B7C"/>
    <w:rsid w:val="005273CF"/>
    <w:rsid w:val="00531EB5"/>
    <w:rsid w:val="005F0993"/>
    <w:rsid w:val="0060142E"/>
    <w:rsid w:val="006C4AE7"/>
    <w:rsid w:val="006C574E"/>
    <w:rsid w:val="006C5945"/>
    <w:rsid w:val="006F6D42"/>
    <w:rsid w:val="00856B91"/>
    <w:rsid w:val="009E74D7"/>
    <w:rsid w:val="009F4F92"/>
    <w:rsid w:val="00A01F25"/>
    <w:rsid w:val="00A56F3B"/>
    <w:rsid w:val="00A94675"/>
    <w:rsid w:val="00AC13D6"/>
    <w:rsid w:val="00B558E7"/>
    <w:rsid w:val="00B56162"/>
    <w:rsid w:val="00B6445A"/>
    <w:rsid w:val="00B9586C"/>
    <w:rsid w:val="00BB50E0"/>
    <w:rsid w:val="00C370A1"/>
    <w:rsid w:val="00CB0F12"/>
    <w:rsid w:val="00D108E0"/>
    <w:rsid w:val="00D217BF"/>
    <w:rsid w:val="00D401B5"/>
    <w:rsid w:val="00EB4FA3"/>
    <w:rsid w:val="00EC69CA"/>
    <w:rsid w:val="00F44AE6"/>
    <w:rsid w:val="00F61206"/>
    <w:rsid w:val="00FF7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206"/>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2B7C"/>
    <w:rPr>
      <w:rFonts w:ascii="Tahoma" w:hAnsi="Tahoma" w:cs="Tahoma"/>
      <w:sz w:val="16"/>
      <w:szCs w:val="16"/>
    </w:rPr>
  </w:style>
  <w:style w:type="character" w:customStyle="1" w:styleId="BalloonTextChar">
    <w:name w:val="Balloon Text Char"/>
    <w:basedOn w:val="DefaultParagraphFont"/>
    <w:link w:val="BalloonText"/>
    <w:uiPriority w:val="99"/>
    <w:semiHidden/>
    <w:rsid w:val="004C2B7C"/>
    <w:rPr>
      <w:rFonts w:ascii="Tahoma" w:eastAsia="Times New Roman" w:hAnsi="Tahoma" w:cs="Tahoma"/>
      <w:color w:val="000000"/>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206"/>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2B7C"/>
    <w:rPr>
      <w:rFonts w:ascii="Tahoma" w:hAnsi="Tahoma" w:cs="Tahoma"/>
      <w:sz w:val="16"/>
      <w:szCs w:val="16"/>
    </w:rPr>
  </w:style>
  <w:style w:type="character" w:customStyle="1" w:styleId="BalloonTextChar">
    <w:name w:val="Balloon Text Char"/>
    <w:basedOn w:val="DefaultParagraphFont"/>
    <w:link w:val="BalloonText"/>
    <w:uiPriority w:val="99"/>
    <w:semiHidden/>
    <w:rsid w:val="004C2B7C"/>
    <w:rPr>
      <w:rFonts w:ascii="Tahoma" w:eastAsia="Times New Roman" w:hAnsi="Tahoma" w:cs="Tahoma"/>
      <w:color w:val="000000"/>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contents" TargetMode="External"/><Relationship Id="rId13" Type="http://schemas.openxmlformats.org/officeDocument/2006/relationships/hyperlink" Target="https://publications.europa.eu/en/publication-detail?p_p_id=portal2012documentDetail_WAR_portal2012portlet&amp;p_p_lifecycle=1&amp;p_p_state=normal&amp;p_p_mode=view&amp;p_p_col_id=maincontentarea&amp;p_p_col_count=3&amp;_portal2012documentDetail_WAR_portal2012portlet_javax.portlet.action=author&amp;facet.author=COM,ECFIN,TASKF,OIL,GIW,OIB,REPRES_NLD,EPSO,REPRES_LVA,JLS,MARKT,MARE,REGIO,BEPA,PRESS,BDS,ELARG,PMO,REPRES_LIT,AGRI,REPRES_SPA_BCN,SPP,ECHO,REPRES_GBR_LON,REPRES_EST,FPI,REPRES_SPA_MAD,CASSTM,CNECT,DIGIT,HOME,ENER,REPRES_HUN,COMP,REPRES_CZE,REPRES_BGR,SCR,REPRES_MLT,REPRES_PRT,REPRES_CYP,REPRES_HRV,CLIMA,REPRES_SWE,REPRES_SVN,DEL_ACC,INFSO,ETHI,DG18,DG15,DG10,REPRES_DEU_MUC,REPRES_POL_WAW,ESTAT,DEVCO,DGT,EPSC,GROW,SANTE,NEAR,FISMA,JUST,COM_CAB,SCAD,REPRES_GBR,REPRES_POL,TASKF_A50_UK,REPRES_SPA,REPRES_FRA,REPRES_ITA,ACSHHPW,PC_BUDG,IAB,RSB,PC_CONJ,COM_COLL,ACSH,EVHAC,PC_MTE,REPRES_DEU,CERT,REPRES_SVK,JUSTI,REPRES_DEU_BON,SCIC,REPRES_FRA_PAR,SJ,SG,REPRES_POL_WRO,OLAF,REPRES_DEU_BER,CCSS,FSU,REPRES_IRL,HR,REPRES_LUX,REPRES_FIN,TAXUD,COMMU,SANCO,ENTR,AUDIT,IGS,REPRES_ITA_MIL,MOVE,BUDG,REPRES_ROU,RTD,IAS,BTL,BTB,CMT_EMPL,DG01B,DG01A,REPRES_BEL,REPRES_GBR_CDF,ENV,DG23,DG17,DG07,DG03,DG02,DG01,PUBL,REPRES_AUT,EMPL,EAC,TRADE,TREN,REPRES_ITA_ROM,RELEX,AIDCO,REPRES_GRC,REPRES_GBR_BEL,REPRES_FRA_MRS,REPRES_GBR_EDI,REPRES_DAN,JRC,DEV,SRSS,HAS,STECF,DPO&amp;language=en&amp;facet.collection=EUPub" TargetMode="External"/><Relationship Id="rId18" Type="http://schemas.openxmlformats.org/officeDocument/2006/relationships/hyperlink" Target="file://C:\Users\turvey1j\Desktop\CPEL\display.do?tabs=detailsTab&amp;ct=display&amp;fn=search&amp;doc=TN_sage_s10_1177_1468017306071175&amp;indx=21&amp;recIds=TN_sage_s10_1177_1468017306071175&amp;recIdxs=0&amp;elementId=0&amp;renderMode=poppedOut&amp;displayMode=full&amp;frbrVersion=&amp;frbg=&amp;ac=O3=213&amp;O6=17&amp;O9=1&amp;&amp;dscnt=0&amp;scp.scps=scope:(44WHELF_UWTSD),44WHELF_UWTSD_Ebsco,primo_central_multiple_fe&amp;tb=t&amp;mode=Basic&amp;vid=44WHELF_UWTSD_VU1&amp;srt=rank&amp;tab=tab1&amp;dum=true&amp;vl(freeText0)=social%20work%20power&amp;dstmp=1538650401737" TargetMode="External"/><Relationship Id="rId26" Type="http://schemas.openxmlformats.org/officeDocument/2006/relationships/hyperlink" Target="http://safeguardingboard.wales/about-the-board/" TargetMode="External"/><Relationship Id="rId39" Type="http://schemas.openxmlformats.org/officeDocument/2006/relationships/hyperlink" Target="https://gov.wales/docs/dhss/publications/171027chidrenen.pdf" TargetMode="External"/><Relationship Id="rId3" Type="http://schemas.microsoft.com/office/2007/relationships/stylesWithEffects" Target="stylesWithEffects.xml"/><Relationship Id="rId21" Type="http://schemas.openxmlformats.org/officeDocument/2006/relationships/hyperlink" Target="https://search-proquest-com.ezproxy.uwtsd.ac.uk/pubidlinkhandler/sng/pubtitle/International+Journal+of+Training+Research/$N/826332/DocView/1867824643/fulltext/E6E9C8F64C8E426FPQ/1?accountid=130472" TargetMode="External"/><Relationship Id="rId34" Type="http://schemas.openxmlformats.org/officeDocument/2006/relationships/hyperlink" Target="https://search-proquest-com.ezproxy.uwtsd.ac.uk/pubidlinkhandler/sng/pubtitle/Journal+of+Children$27s+Services/$N/1006509/DocView/1012099803/fulltext/8932FFB89C9B4132PQ/1?accountid=130472" TargetMode="External"/><Relationship Id="rId42" Type="http://schemas.openxmlformats.org/officeDocument/2006/relationships/theme" Target="theme/theme1.xml"/><Relationship Id="rId7" Type="http://schemas.openxmlformats.org/officeDocument/2006/relationships/hyperlink" Target="https://www.anncrafttrust.org/about/" TargetMode="External"/><Relationship Id="rId12" Type="http://schemas.openxmlformats.org/officeDocument/2006/relationships/hyperlink" Target="https://publications.europa.eu/en/publication-detail?p_p_id=portal2012documentDetail_WAR_portal2012portlet&amp;p_p_lifecycle=1&amp;p_p_state=normal&amp;p_p_mode=view&amp;p_p_col_id=maincontentarea&amp;p_p_col_count=3&amp;_portal2012documentDetail_WAR_portal2012portlet_javax.portlet.action=author&amp;facet.author=JUST&amp;language=en&amp;facet.collection=EUPub" TargetMode="External"/><Relationship Id="rId17" Type="http://schemas.openxmlformats.org/officeDocument/2006/relationships/hyperlink" Target="https://search-proquest-com.ezproxy.uwtsd.ac.uk/indexingvolumeissuelinkhandler/42345/Nursing+Times/02013Y05Y22$23May+22-May+28,+2013$3b++Vol.+109+$2820$29/109/20?accountid=130472" TargetMode="External"/><Relationship Id="rId25" Type="http://schemas.openxmlformats.org/officeDocument/2006/relationships/hyperlink" Target="https://search-proquest-com.ezproxy.uwtsd.ac.uk/indexingvolumeissuelinkhandler/1006509/Journal+of+Children$27s+Services/02010Y07Y01$232010$3b++Vol.+5+$283$29/5/3?accountid=130472" TargetMode="External"/><Relationship Id="rId33" Type="http://schemas.openxmlformats.org/officeDocument/2006/relationships/hyperlink" Target="https://search-proquest-com.ezproxy.uwtsd.ac.uk/indexinglinkhandler/sng/au/Pithouse,+Andrew/$N?accountid=130472" TargetMode="External"/><Relationship Id="rId38" Type="http://schemas.openxmlformats.org/officeDocument/2006/relationships/hyperlink" Target="http://www.assembly.wales" TargetMode="External"/><Relationship Id="rId2" Type="http://schemas.openxmlformats.org/officeDocument/2006/relationships/styles" Target="styles.xml"/><Relationship Id="rId16" Type="http://schemas.openxmlformats.org/officeDocument/2006/relationships/hyperlink" Target="https://search-proquest-com.ezproxy.uwtsd.ac.uk/pubidlinkhandler/sng/pubtitle/Nursing+Times/$N/42345/DocView/1535122333/fulltextwithgraphics/148897C615E548C7PQ/1?accountid=130472" TargetMode="External"/><Relationship Id="rId20" Type="http://schemas.openxmlformats.org/officeDocument/2006/relationships/hyperlink" Target="javascript:__doLinkPostBack('','mdb~~aph%7C%7Cjdb~~aphjnh%7C%7Css~~JN%20%22Journal%20of%20Criminal%20Law%22%7C%7Csl~~jh','');" TargetMode="External"/><Relationship Id="rId29" Type="http://schemas.openxmlformats.org/officeDocument/2006/relationships/hyperlink" Target="http://www.dalypost.co.uk"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legislation.gov.uk/ukpga/1998/29/section/2" TargetMode="External"/><Relationship Id="rId24" Type="http://schemas.openxmlformats.org/officeDocument/2006/relationships/hyperlink" Target="https://search-proquest-com.ezproxy.uwtsd.ac.uk/pubidlinkhandler/sng/pubtitle/Journal+of+Children$27s+Services/$N/1006509/PagePdf/1012103586/fulltextPDF/5CBF9587C79B4C22PQ/1?accountid=130472" TargetMode="External"/><Relationship Id="rId32" Type="http://schemas.openxmlformats.org/officeDocument/2006/relationships/hyperlink" Target="http://www.socialworkresources.co.uk" TargetMode="External"/><Relationship Id="rId37" Type="http://schemas.openxmlformats.org/officeDocument/2006/relationships/hyperlink" Target="https://www.legislation.gov.uk/anaw/2014/4/contents" TargetMode="External"/><Relationship Id="rId40" Type="http://schemas.openxmlformats.org/officeDocument/2006/relationships/hyperlink" Target="https://doi.org/10.1108/JAP-05-2017-0021" TargetMode="External"/><Relationship Id="rId5" Type="http://schemas.openxmlformats.org/officeDocument/2006/relationships/webSettings" Target="webSettings.xml"/><Relationship Id="rId15" Type="http://schemas.openxmlformats.org/officeDocument/2006/relationships/hyperlink" Target="https://search-proquest-com.ezproxy.uwtsd.ac.uk/pubidlinkhandler/sng/pubtitle/Social+Work/$N/40730/DocView/1115591185/fulltext/AA5DA818214E4AB3PQ/1?accountid=130472" TargetMode="External"/><Relationship Id="rId23" Type="http://schemas.openxmlformats.org/officeDocument/2006/relationships/hyperlink" Target="http://www.cymru.gov.uk" TargetMode="External"/><Relationship Id="rId28" Type="http://schemas.openxmlformats.org/officeDocument/2006/relationships/hyperlink" Target="http://www.nwssp.wales.nhs.uk" TargetMode="External"/><Relationship Id="rId36" Type="http://schemas.openxmlformats.org/officeDocument/2006/relationships/hyperlink" Target="https://socialcare.wales/landing-page/code-of-professional-practice-and-guidance?record-language-choice=en-cy" TargetMode="External"/><Relationship Id="rId10" Type="http://schemas.openxmlformats.org/officeDocument/2006/relationships/hyperlink" Target="http://www.legislation.gov.uk" TargetMode="External"/><Relationship Id="rId19" Type="http://schemas.openxmlformats.org/officeDocument/2006/relationships/hyperlink" Target="http://law.gov.wales/publicservices/social-care/Local-authority-responsibilities/Safeguarding/safeguarding-duties-to-investigate/?lang=en#/publicservices/social-care/Local-authority-responsibilities/Safeguarding/safeguarding-duties-to-investigate/?tab=overview&amp;lang=en" TargetMode="External"/><Relationship Id="rId31" Type="http://schemas.openxmlformats.org/officeDocument/2006/relationships/hyperlink" Target="javascript:__doLinkPostBack('','mdb~~aph%7C%7Cjdb~~aphjnh%7C%7Css~~JN%20%22Child%20Abuse%20Review%22%7C%7Csl~~jh','');" TargetMode="External"/><Relationship Id="rId4" Type="http://schemas.openxmlformats.org/officeDocument/2006/relationships/settings" Target="settings.xml"/><Relationship Id="rId9" Type="http://schemas.openxmlformats.org/officeDocument/2006/relationships/hyperlink" Target="http://www.nmc.org.uk" TargetMode="External"/><Relationship Id="rId14" Type="http://schemas.openxmlformats.org/officeDocument/2006/relationships/hyperlink" Target="https://www.gov.uk/government/publications/guide-to-the-general-data-protection-regulation" TargetMode="External"/><Relationship Id="rId22" Type="http://schemas.openxmlformats.org/officeDocument/2006/relationships/hyperlink" Target="https://search-proquest-com.ezproxy.uwtsd.ac.uk/indexingvolumeissuelinkhandler/826332/International+Journal+of+Training+Research/02016Y12Y01$23Dec+2016$3b++Vol.+14+$283$29/14/3?accountid=130472" TargetMode="External"/><Relationship Id="rId27" Type="http://schemas.openxmlformats.org/officeDocument/2006/relationships/hyperlink" Target="https://www-dawsonera-com.ezproxy.uwtsd.ac.uk/search?sType=ALL&amp;searchForType=0&amp;publisherSelect=114&amp;searchBy=0" TargetMode="External"/><Relationship Id="rId30" Type="http://schemas.openxmlformats.org/officeDocument/2006/relationships/hyperlink" Target="http://www.erscb.org.uk" TargetMode="External"/><Relationship Id="rId35" Type="http://schemas.openxmlformats.org/officeDocument/2006/relationships/hyperlink" Target="https://www.scie.org.uk/safeguarding/adults/practic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6581</Words>
  <Characters>37517</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44010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 Turvey</dc:creator>
  <cp:lastModifiedBy>Jamie Turvey</cp:lastModifiedBy>
  <cp:revision>2</cp:revision>
  <dcterms:created xsi:type="dcterms:W3CDTF">2019-02-07T11:29:00Z</dcterms:created>
  <dcterms:modified xsi:type="dcterms:W3CDTF">2019-02-07T11:29:00Z</dcterms:modified>
</cp:coreProperties>
</file>