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B7C3B4" w14:textId="7B6925B5" w:rsidR="00264EAA" w:rsidRPr="001E2E85" w:rsidRDefault="000713F0" w:rsidP="000713F0">
      <w:pPr>
        <w:spacing w:line="360" w:lineRule="auto"/>
        <w:jc w:val="both"/>
        <w:rPr>
          <w:rFonts w:ascii="Arial" w:hAnsi="Arial" w:cs="Arial"/>
          <w:b/>
          <w:bCs/>
          <w:sz w:val="28"/>
          <w:szCs w:val="28"/>
        </w:rPr>
      </w:pPr>
      <w:r w:rsidRPr="001E2E85">
        <w:rPr>
          <w:rFonts w:ascii="Arial" w:hAnsi="Arial" w:cs="Arial"/>
          <w:b/>
          <w:bCs/>
          <w:sz w:val="28"/>
          <w:szCs w:val="28"/>
        </w:rPr>
        <w:t>Name: Oscar Laureaga</w:t>
      </w:r>
    </w:p>
    <w:p w14:paraId="0B6F3916" w14:textId="2787C9D3" w:rsidR="000713F0" w:rsidRPr="001E2E85" w:rsidRDefault="000713F0" w:rsidP="000713F0">
      <w:pPr>
        <w:spacing w:line="360" w:lineRule="auto"/>
        <w:jc w:val="both"/>
        <w:rPr>
          <w:rFonts w:ascii="Arial" w:hAnsi="Arial" w:cs="Arial"/>
          <w:b/>
          <w:bCs/>
          <w:sz w:val="28"/>
          <w:szCs w:val="28"/>
        </w:rPr>
      </w:pPr>
      <w:r w:rsidRPr="001E2E85">
        <w:rPr>
          <w:rFonts w:ascii="Arial" w:hAnsi="Arial" w:cs="Arial"/>
          <w:b/>
          <w:bCs/>
          <w:sz w:val="28"/>
          <w:szCs w:val="28"/>
        </w:rPr>
        <w:t>Student ID Number: 2513366</w:t>
      </w:r>
    </w:p>
    <w:p w14:paraId="53F3BE20" w14:textId="4ED7C749" w:rsidR="000713F0" w:rsidRPr="001E2E85" w:rsidRDefault="000713F0" w:rsidP="000713F0">
      <w:pPr>
        <w:spacing w:line="360" w:lineRule="auto"/>
        <w:jc w:val="both"/>
        <w:rPr>
          <w:rFonts w:ascii="Arial" w:hAnsi="Arial" w:cs="Arial"/>
          <w:b/>
          <w:bCs/>
          <w:sz w:val="28"/>
          <w:szCs w:val="28"/>
        </w:rPr>
      </w:pPr>
      <w:r w:rsidRPr="001E2E85">
        <w:rPr>
          <w:rFonts w:ascii="Arial" w:hAnsi="Arial" w:cs="Arial"/>
          <w:b/>
          <w:bCs/>
          <w:sz w:val="28"/>
          <w:szCs w:val="28"/>
        </w:rPr>
        <w:t>Programme: BSc Health and Social Care</w:t>
      </w:r>
    </w:p>
    <w:p w14:paraId="27596FE2" w14:textId="4B7D7980" w:rsidR="000713F0" w:rsidRPr="001E2E85" w:rsidRDefault="000713F0" w:rsidP="000713F0">
      <w:pPr>
        <w:spacing w:line="360" w:lineRule="auto"/>
        <w:jc w:val="both"/>
        <w:rPr>
          <w:rFonts w:ascii="Arial" w:hAnsi="Arial" w:cs="Arial"/>
          <w:b/>
          <w:bCs/>
          <w:sz w:val="28"/>
          <w:szCs w:val="28"/>
        </w:rPr>
      </w:pPr>
      <w:r w:rsidRPr="001E2E85">
        <w:rPr>
          <w:rFonts w:ascii="Arial" w:hAnsi="Arial" w:cs="Arial"/>
          <w:b/>
          <w:bCs/>
          <w:sz w:val="28"/>
          <w:szCs w:val="28"/>
        </w:rPr>
        <w:t>Module: Introduction to Physiology</w:t>
      </w:r>
    </w:p>
    <w:p w14:paraId="68C8219E" w14:textId="60B6120F" w:rsidR="000713F0" w:rsidRPr="001E2E85" w:rsidRDefault="000713F0" w:rsidP="000713F0">
      <w:pPr>
        <w:spacing w:line="360" w:lineRule="auto"/>
        <w:jc w:val="both"/>
        <w:rPr>
          <w:rFonts w:ascii="Arial" w:hAnsi="Arial" w:cs="Arial"/>
          <w:b/>
          <w:bCs/>
          <w:sz w:val="28"/>
          <w:szCs w:val="28"/>
        </w:rPr>
      </w:pPr>
      <w:r w:rsidRPr="001E2E85">
        <w:rPr>
          <w:rFonts w:ascii="Arial" w:hAnsi="Arial" w:cs="Arial"/>
          <w:b/>
          <w:bCs/>
          <w:sz w:val="28"/>
          <w:szCs w:val="28"/>
        </w:rPr>
        <w:t>Module Code: BMHP5023</w:t>
      </w:r>
    </w:p>
    <w:p w14:paraId="753A830B" w14:textId="506195FB" w:rsidR="000713F0" w:rsidRPr="001E2E85" w:rsidRDefault="000713F0" w:rsidP="000713F0">
      <w:pPr>
        <w:spacing w:line="360" w:lineRule="auto"/>
        <w:jc w:val="both"/>
        <w:rPr>
          <w:rFonts w:ascii="Arial" w:hAnsi="Arial" w:cs="Arial"/>
          <w:b/>
          <w:bCs/>
          <w:sz w:val="28"/>
          <w:szCs w:val="28"/>
        </w:rPr>
      </w:pPr>
      <w:r w:rsidRPr="001E2E85">
        <w:rPr>
          <w:rFonts w:ascii="Arial" w:hAnsi="Arial" w:cs="Arial"/>
          <w:b/>
          <w:bCs/>
          <w:sz w:val="28"/>
          <w:szCs w:val="28"/>
        </w:rPr>
        <w:t>Lecturer: Robert Nartowski</w:t>
      </w:r>
    </w:p>
    <w:p w14:paraId="4BF9B7DF" w14:textId="74C3BF7B" w:rsidR="000713F0" w:rsidRPr="001E2E85" w:rsidRDefault="000713F0" w:rsidP="000713F0">
      <w:pPr>
        <w:spacing w:line="360" w:lineRule="auto"/>
        <w:jc w:val="both"/>
        <w:rPr>
          <w:rFonts w:ascii="Arial" w:hAnsi="Arial" w:cs="Arial"/>
          <w:b/>
          <w:bCs/>
          <w:sz w:val="28"/>
          <w:szCs w:val="28"/>
        </w:rPr>
      </w:pPr>
      <w:r w:rsidRPr="001E2E85">
        <w:rPr>
          <w:rFonts w:ascii="Arial" w:hAnsi="Arial" w:cs="Arial"/>
          <w:b/>
          <w:bCs/>
          <w:sz w:val="28"/>
          <w:szCs w:val="28"/>
        </w:rPr>
        <w:t>Assignment Title: Component 1: Written Assignment (Case Study Report)</w:t>
      </w:r>
    </w:p>
    <w:p w14:paraId="51AA8E55" w14:textId="2B1A44DE" w:rsidR="000713F0" w:rsidRPr="001E2E85" w:rsidRDefault="000713F0" w:rsidP="000713F0">
      <w:pPr>
        <w:spacing w:line="360" w:lineRule="auto"/>
        <w:jc w:val="both"/>
        <w:rPr>
          <w:rFonts w:ascii="Arial" w:hAnsi="Arial" w:cs="Arial"/>
          <w:b/>
          <w:bCs/>
          <w:sz w:val="28"/>
          <w:szCs w:val="28"/>
        </w:rPr>
      </w:pPr>
      <w:r w:rsidRPr="001E2E85">
        <w:rPr>
          <w:rFonts w:ascii="Arial" w:hAnsi="Arial" w:cs="Arial"/>
          <w:b/>
          <w:bCs/>
          <w:sz w:val="28"/>
          <w:szCs w:val="28"/>
        </w:rPr>
        <w:t>Submission Deadline: Monday 26</w:t>
      </w:r>
      <w:r w:rsidRPr="001E2E85">
        <w:rPr>
          <w:rFonts w:ascii="Arial" w:hAnsi="Arial" w:cs="Arial"/>
          <w:b/>
          <w:bCs/>
          <w:sz w:val="28"/>
          <w:szCs w:val="28"/>
          <w:vertAlign w:val="superscript"/>
        </w:rPr>
        <w:t>th</w:t>
      </w:r>
      <w:r w:rsidRPr="001E2E85">
        <w:rPr>
          <w:rFonts w:ascii="Arial" w:hAnsi="Arial" w:cs="Arial"/>
          <w:b/>
          <w:bCs/>
          <w:sz w:val="28"/>
          <w:szCs w:val="28"/>
        </w:rPr>
        <w:t xml:space="preserve"> October 2026</w:t>
      </w:r>
    </w:p>
    <w:p w14:paraId="6B24F395" w14:textId="128CCB57" w:rsidR="00B54815" w:rsidRPr="00984C10" w:rsidRDefault="00B54815">
      <w:pPr>
        <w:rPr>
          <w:rFonts w:ascii="Arial" w:hAnsi="Arial" w:cs="Arial"/>
          <w:sz w:val="28"/>
          <w:szCs w:val="28"/>
        </w:rPr>
      </w:pPr>
      <w:r w:rsidRPr="001E2E85">
        <w:rPr>
          <w:rFonts w:ascii="Arial" w:hAnsi="Arial" w:cs="Arial"/>
          <w:b/>
          <w:bCs/>
          <w:sz w:val="28"/>
          <w:szCs w:val="28"/>
        </w:rPr>
        <w:br w:type="page"/>
      </w:r>
    </w:p>
    <w:sdt>
      <w:sdtPr>
        <w:rPr>
          <w:rFonts w:ascii="Arial" w:hAnsi="Arial" w:cs="Arial"/>
          <w:color w:val="auto"/>
          <w:sz w:val="28"/>
          <w:szCs w:val="28"/>
        </w:rPr>
        <w:id w:val="2030602358"/>
        <w:docPartObj>
          <w:docPartGallery w:val="Table of Contents"/>
          <w:docPartUnique/>
        </w:docPartObj>
      </w:sdtPr>
      <w:sdtEndPr>
        <w:rPr>
          <w:rFonts w:eastAsiaTheme="minorHAnsi"/>
          <w:b/>
          <w:bCs/>
          <w:lang w:eastAsia="en-US"/>
        </w:rPr>
      </w:sdtEndPr>
      <w:sdtContent>
        <w:p w14:paraId="56487D28" w14:textId="5802515D" w:rsidR="00816CAD" w:rsidRPr="00816CAD" w:rsidRDefault="00D438FA" w:rsidP="00816CAD">
          <w:pPr>
            <w:pStyle w:val="TOCHeading"/>
            <w:jc w:val="center"/>
            <w:rPr>
              <w:rFonts w:ascii="Arial" w:hAnsi="Arial" w:cs="Arial"/>
              <w:b/>
              <w:bCs/>
              <w:color w:val="auto"/>
              <w:sz w:val="28"/>
              <w:szCs w:val="28"/>
            </w:rPr>
          </w:pPr>
          <w:r w:rsidRPr="00816CAD">
            <w:rPr>
              <w:rFonts w:ascii="Arial" w:hAnsi="Arial" w:cs="Arial"/>
              <w:b/>
              <w:bCs/>
              <w:color w:val="auto"/>
              <w:sz w:val="28"/>
              <w:szCs w:val="28"/>
            </w:rPr>
            <w:t>Table of Contents</w:t>
          </w:r>
        </w:p>
        <w:p w14:paraId="4A8D840F" w14:textId="3BC9DD00" w:rsidR="00B54815" w:rsidRPr="001E2E85" w:rsidRDefault="00B54815">
          <w:pPr>
            <w:pStyle w:val="TOC1"/>
            <w:tabs>
              <w:tab w:val="right" w:leader="dot" w:pos="9016"/>
            </w:tabs>
            <w:rPr>
              <w:rFonts w:ascii="Arial" w:hAnsi="Arial" w:cs="Arial"/>
              <w:noProof/>
              <w:kern w:val="2"/>
              <w:sz w:val="28"/>
              <w:szCs w:val="28"/>
              <w14:ligatures w14:val="standardContextual"/>
            </w:rPr>
          </w:pPr>
          <w:r w:rsidRPr="001E2E85">
            <w:rPr>
              <w:rFonts w:ascii="Arial" w:hAnsi="Arial" w:cs="Arial"/>
              <w:sz w:val="28"/>
              <w:szCs w:val="28"/>
            </w:rPr>
            <w:fldChar w:fldCharType="begin"/>
          </w:r>
          <w:r w:rsidRPr="001E2E85">
            <w:rPr>
              <w:rFonts w:ascii="Arial" w:hAnsi="Arial" w:cs="Arial"/>
              <w:sz w:val="28"/>
              <w:szCs w:val="28"/>
            </w:rPr>
            <w:instrText xml:space="preserve"> TOC \o "1-3" \h \z \u </w:instrText>
          </w:r>
          <w:r w:rsidRPr="001E2E85">
            <w:rPr>
              <w:rFonts w:ascii="Arial" w:hAnsi="Arial" w:cs="Arial"/>
              <w:sz w:val="28"/>
              <w:szCs w:val="28"/>
            </w:rPr>
            <w:fldChar w:fldCharType="separate"/>
          </w:r>
          <w:hyperlink w:anchor="_Toc243876078" w:history="1">
            <w:r w:rsidRPr="001E2E85">
              <w:rPr>
                <w:rStyle w:val="Hyperlink"/>
                <w:rFonts w:ascii="Arial" w:hAnsi="Arial" w:cs="Arial"/>
                <w:noProof/>
                <w:color w:val="auto"/>
                <w:sz w:val="28"/>
                <w:szCs w:val="28"/>
              </w:rPr>
              <w:t>Introduction</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_Toc243876078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3</w:t>
            </w:r>
            <w:r w:rsidRPr="001E2E85">
              <w:rPr>
                <w:rFonts w:ascii="Arial" w:hAnsi="Arial" w:cs="Arial"/>
                <w:noProof/>
                <w:webHidden/>
                <w:sz w:val="28"/>
                <w:szCs w:val="28"/>
              </w:rPr>
              <w:fldChar w:fldCharType="end"/>
            </w:r>
          </w:hyperlink>
        </w:p>
        <w:p w14:paraId="32100F3D" w14:textId="34EBD5D0" w:rsidR="00B54815" w:rsidRPr="001E2E85" w:rsidRDefault="00B54815">
          <w:pPr>
            <w:pStyle w:val="TOC2"/>
            <w:tabs>
              <w:tab w:val="right" w:leader="dot" w:pos="9016"/>
            </w:tabs>
            <w:rPr>
              <w:rFonts w:ascii="Arial" w:hAnsi="Arial" w:cs="Arial"/>
              <w:noProof/>
              <w:kern w:val="2"/>
              <w:sz w:val="28"/>
              <w:szCs w:val="28"/>
              <w14:ligatures w14:val="standardContextual"/>
            </w:rPr>
          </w:pPr>
          <w:hyperlink w:anchor="_Toc243876079" w:history="1">
            <w:r w:rsidRPr="001E2E85">
              <w:rPr>
                <w:rStyle w:val="Hyperlink"/>
                <w:rFonts w:ascii="Arial" w:hAnsi="Arial" w:cs="Arial"/>
                <w:noProof/>
                <w:color w:val="auto"/>
                <w:sz w:val="28"/>
                <w:szCs w:val="28"/>
              </w:rPr>
              <w:t>1.1 How the body controls blood glucose</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_Toc243876079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3</w:t>
            </w:r>
            <w:r w:rsidRPr="001E2E85">
              <w:rPr>
                <w:rFonts w:ascii="Arial" w:hAnsi="Arial" w:cs="Arial"/>
                <w:noProof/>
                <w:webHidden/>
                <w:sz w:val="28"/>
                <w:szCs w:val="28"/>
              </w:rPr>
              <w:fldChar w:fldCharType="end"/>
            </w:r>
          </w:hyperlink>
        </w:p>
        <w:p w14:paraId="2D255E32" w14:textId="13BCB7B3" w:rsidR="00B54815" w:rsidRPr="001E2E85" w:rsidRDefault="00B54815">
          <w:pPr>
            <w:pStyle w:val="TOC2"/>
            <w:tabs>
              <w:tab w:val="right" w:leader="dot" w:pos="9016"/>
            </w:tabs>
            <w:rPr>
              <w:rFonts w:ascii="Arial" w:hAnsi="Arial" w:cs="Arial"/>
              <w:noProof/>
              <w:kern w:val="2"/>
              <w:sz w:val="28"/>
              <w:szCs w:val="28"/>
              <w14:ligatures w14:val="standardContextual"/>
            </w:rPr>
          </w:pPr>
          <w:hyperlink w:anchor="_Toc243876080" w:history="1">
            <w:r w:rsidRPr="001E2E85">
              <w:rPr>
                <w:rStyle w:val="Hyperlink"/>
                <w:rFonts w:ascii="Arial" w:hAnsi="Arial" w:cs="Arial"/>
                <w:noProof/>
                <w:color w:val="auto"/>
                <w:sz w:val="28"/>
                <w:szCs w:val="28"/>
              </w:rPr>
              <w:t>1.2 How glucose and oxygen provide energy for cells</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_Toc243876080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4</w:t>
            </w:r>
            <w:r w:rsidRPr="001E2E85">
              <w:rPr>
                <w:rFonts w:ascii="Arial" w:hAnsi="Arial" w:cs="Arial"/>
                <w:noProof/>
                <w:webHidden/>
                <w:sz w:val="28"/>
                <w:szCs w:val="28"/>
              </w:rPr>
              <w:fldChar w:fldCharType="end"/>
            </w:r>
          </w:hyperlink>
        </w:p>
        <w:p w14:paraId="0D9B5F23" w14:textId="35C853F2" w:rsidR="00B54815" w:rsidRPr="001E2E85" w:rsidRDefault="00B54815">
          <w:pPr>
            <w:pStyle w:val="TOC1"/>
            <w:tabs>
              <w:tab w:val="right" w:leader="dot" w:pos="9016"/>
            </w:tabs>
            <w:rPr>
              <w:rFonts w:ascii="Arial" w:hAnsi="Arial" w:cs="Arial"/>
              <w:noProof/>
              <w:kern w:val="2"/>
              <w:sz w:val="28"/>
              <w:szCs w:val="28"/>
              <w14:ligatures w14:val="standardContextual"/>
            </w:rPr>
          </w:pPr>
          <w:hyperlink w:anchor="_Toc243876081" w:history="1">
            <w:r w:rsidRPr="001E2E85">
              <w:rPr>
                <w:rStyle w:val="Hyperlink"/>
                <w:rFonts w:ascii="Arial" w:hAnsi="Arial" w:cs="Arial"/>
                <w:noProof/>
                <w:color w:val="auto"/>
                <w:sz w:val="28"/>
                <w:szCs w:val="28"/>
              </w:rPr>
              <w:t>2. Pathophysiology and Impact of Type 2 Diabetes</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_Toc243876081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5</w:t>
            </w:r>
            <w:r w:rsidRPr="001E2E85">
              <w:rPr>
                <w:rFonts w:ascii="Arial" w:hAnsi="Arial" w:cs="Arial"/>
                <w:noProof/>
                <w:webHidden/>
                <w:sz w:val="28"/>
                <w:szCs w:val="28"/>
              </w:rPr>
              <w:fldChar w:fldCharType="end"/>
            </w:r>
          </w:hyperlink>
        </w:p>
        <w:p w14:paraId="1C9D7352" w14:textId="4FC055BD" w:rsidR="00B54815" w:rsidRPr="001E2E85" w:rsidRDefault="00B54815">
          <w:pPr>
            <w:pStyle w:val="TOC1"/>
            <w:tabs>
              <w:tab w:val="right" w:leader="dot" w:pos="9016"/>
            </w:tabs>
            <w:rPr>
              <w:rFonts w:ascii="Arial" w:hAnsi="Arial" w:cs="Arial"/>
              <w:noProof/>
              <w:kern w:val="2"/>
              <w:sz w:val="28"/>
              <w:szCs w:val="28"/>
              <w14:ligatures w14:val="standardContextual"/>
            </w:rPr>
          </w:pPr>
          <w:hyperlink w:anchor="_Toc243876082" w:history="1">
            <w:r w:rsidRPr="001E2E85">
              <w:rPr>
                <w:rStyle w:val="Hyperlink"/>
                <w:rFonts w:ascii="Arial" w:hAnsi="Arial" w:cs="Arial"/>
                <w:noProof/>
                <w:color w:val="auto"/>
                <w:sz w:val="28"/>
                <w:szCs w:val="28"/>
              </w:rPr>
              <w:t>3. Monitoring and Use of Health Data</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_Toc243876082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5</w:t>
            </w:r>
            <w:r w:rsidRPr="001E2E85">
              <w:rPr>
                <w:rFonts w:ascii="Arial" w:hAnsi="Arial" w:cs="Arial"/>
                <w:noProof/>
                <w:webHidden/>
                <w:sz w:val="28"/>
                <w:szCs w:val="28"/>
              </w:rPr>
              <w:fldChar w:fldCharType="end"/>
            </w:r>
          </w:hyperlink>
        </w:p>
        <w:p w14:paraId="5F5DCDB4" w14:textId="1C864301" w:rsidR="00B54815" w:rsidRPr="001E2E85" w:rsidRDefault="00B54815">
          <w:pPr>
            <w:pStyle w:val="TOC1"/>
            <w:tabs>
              <w:tab w:val="right" w:leader="dot" w:pos="9016"/>
            </w:tabs>
            <w:rPr>
              <w:rFonts w:ascii="Arial" w:hAnsi="Arial" w:cs="Arial"/>
              <w:noProof/>
              <w:kern w:val="2"/>
              <w:sz w:val="28"/>
              <w:szCs w:val="28"/>
              <w14:ligatures w14:val="standardContextual"/>
            </w:rPr>
          </w:pPr>
          <w:hyperlink w:anchor="_Toc243876083" w:history="1">
            <w:r w:rsidRPr="001E2E85">
              <w:rPr>
                <w:rStyle w:val="Hyperlink"/>
                <w:rFonts w:ascii="Arial" w:hAnsi="Arial" w:cs="Arial"/>
                <w:noProof/>
                <w:color w:val="auto"/>
                <w:sz w:val="28"/>
                <w:szCs w:val="28"/>
              </w:rPr>
              <w:t>4. Evidence-Based Lifestyle Recommendations</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_Toc243876083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6</w:t>
            </w:r>
            <w:r w:rsidRPr="001E2E85">
              <w:rPr>
                <w:rFonts w:ascii="Arial" w:hAnsi="Arial" w:cs="Arial"/>
                <w:noProof/>
                <w:webHidden/>
                <w:sz w:val="28"/>
                <w:szCs w:val="28"/>
              </w:rPr>
              <w:fldChar w:fldCharType="end"/>
            </w:r>
          </w:hyperlink>
        </w:p>
        <w:p w14:paraId="2CA96615" w14:textId="59CFAFB0" w:rsidR="00B54815" w:rsidRPr="001E2E85" w:rsidRDefault="00B54815">
          <w:pPr>
            <w:pStyle w:val="TOC2"/>
            <w:tabs>
              <w:tab w:val="right" w:leader="dot" w:pos="9016"/>
            </w:tabs>
            <w:rPr>
              <w:rFonts w:ascii="Arial" w:hAnsi="Arial" w:cs="Arial"/>
              <w:noProof/>
              <w:kern w:val="2"/>
              <w:sz w:val="28"/>
              <w:szCs w:val="28"/>
              <w14:ligatures w14:val="standardContextual"/>
            </w:rPr>
          </w:pPr>
          <w:hyperlink w:anchor="_Toc243876084" w:history="1">
            <w:r w:rsidRPr="001E2E85">
              <w:rPr>
                <w:rStyle w:val="Hyperlink"/>
                <w:rFonts w:ascii="Arial" w:hAnsi="Arial" w:cs="Arial"/>
                <w:noProof/>
                <w:color w:val="auto"/>
                <w:sz w:val="28"/>
                <w:szCs w:val="28"/>
              </w:rPr>
              <w:t>4.1 Healthy eating</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_Toc243876084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7</w:t>
            </w:r>
            <w:r w:rsidRPr="001E2E85">
              <w:rPr>
                <w:rFonts w:ascii="Arial" w:hAnsi="Arial" w:cs="Arial"/>
                <w:noProof/>
                <w:webHidden/>
                <w:sz w:val="28"/>
                <w:szCs w:val="28"/>
              </w:rPr>
              <w:fldChar w:fldCharType="end"/>
            </w:r>
          </w:hyperlink>
        </w:p>
        <w:p w14:paraId="79BDF87C" w14:textId="37A4979E" w:rsidR="00B54815" w:rsidRPr="001E2E85" w:rsidRDefault="00B54815">
          <w:pPr>
            <w:pStyle w:val="TOC2"/>
            <w:tabs>
              <w:tab w:val="right" w:leader="dot" w:pos="9016"/>
            </w:tabs>
            <w:rPr>
              <w:rFonts w:ascii="Arial" w:hAnsi="Arial" w:cs="Arial"/>
              <w:noProof/>
              <w:kern w:val="2"/>
              <w:sz w:val="28"/>
              <w:szCs w:val="28"/>
              <w14:ligatures w14:val="standardContextual"/>
            </w:rPr>
          </w:pPr>
          <w:hyperlink w:anchor="_Toc243876085" w:history="1">
            <w:r w:rsidRPr="001E2E85">
              <w:rPr>
                <w:rStyle w:val="Hyperlink"/>
                <w:rFonts w:ascii="Arial" w:hAnsi="Arial" w:cs="Arial"/>
                <w:noProof/>
                <w:color w:val="auto"/>
                <w:sz w:val="28"/>
                <w:szCs w:val="28"/>
              </w:rPr>
              <w:t>4.2 Physical activity</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_Toc243876085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7</w:t>
            </w:r>
            <w:r w:rsidRPr="001E2E85">
              <w:rPr>
                <w:rFonts w:ascii="Arial" w:hAnsi="Arial" w:cs="Arial"/>
                <w:noProof/>
                <w:webHidden/>
                <w:sz w:val="28"/>
                <w:szCs w:val="28"/>
              </w:rPr>
              <w:fldChar w:fldCharType="end"/>
            </w:r>
          </w:hyperlink>
        </w:p>
        <w:p w14:paraId="07F2AA7B" w14:textId="3D1272C0" w:rsidR="00B54815" w:rsidRPr="001E2E85" w:rsidRDefault="00B54815">
          <w:pPr>
            <w:pStyle w:val="TOC2"/>
            <w:tabs>
              <w:tab w:val="right" w:leader="dot" w:pos="9016"/>
            </w:tabs>
            <w:rPr>
              <w:rFonts w:ascii="Arial" w:hAnsi="Arial" w:cs="Arial"/>
              <w:noProof/>
              <w:kern w:val="2"/>
              <w:sz w:val="28"/>
              <w:szCs w:val="28"/>
              <w14:ligatures w14:val="standardContextual"/>
            </w:rPr>
          </w:pPr>
          <w:hyperlink w:anchor="_Toc243876086" w:history="1">
            <w:r w:rsidRPr="001E2E85">
              <w:rPr>
                <w:rStyle w:val="Hyperlink"/>
                <w:rFonts w:ascii="Arial" w:hAnsi="Arial" w:cs="Arial"/>
                <w:noProof/>
                <w:color w:val="auto"/>
                <w:sz w:val="28"/>
                <w:szCs w:val="28"/>
              </w:rPr>
              <w:t>4.3 Weight management</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_Toc243876086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7</w:t>
            </w:r>
            <w:r w:rsidRPr="001E2E85">
              <w:rPr>
                <w:rFonts w:ascii="Arial" w:hAnsi="Arial" w:cs="Arial"/>
                <w:noProof/>
                <w:webHidden/>
                <w:sz w:val="28"/>
                <w:szCs w:val="28"/>
              </w:rPr>
              <w:fldChar w:fldCharType="end"/>
            </w:r>
          </w:hyperlink>
        </w:p>
        <w:p w14:paraId="0382E6DC" w14:textId="4676380B" w:rsidR="00B54815" w:rsidRPr="001E2E85" w:rsidRDefault="00B54815">
          <w:pPr>
            <w:pStyle w:val="TOC2"/>
            <w:tabs>
              <w:tab w:val="right" w:leader="dot" w:pos="9016"/>
            </w:tabs>
            <w:rPr>
              <w:rFonts w:ascii="Arial" w:hAnsi="Arial" w:cs="Arial"/>
              <w:noProof/>
              <w:kern w:val="2"/>
              <w:sz w:val="28"/>
              <w:szCs w:val="28"/>
              <w14:ligatures w14:val="standardContextual"/>
            </w:rPr>
          </w:pPr>
          <w:hyperlink w:anchor="_Toc243876087" w:history="1">
            <w:r w:rsidRPr="001E2E85">
              <w:rPr>
                <w:rStyle w:val="Hyperlink"/>
                <w:rFonts w:ascii="Arial" w:hAnsi="Arial" w:cs="Arial"/>
                <w:noProof/>
                <w:color w:val="auto"/>
                <w:sz w:val="28"/>
                <w:szCs w:val="28"/>
              </w:rPr>
              <w:t>4.4 Stopping smoking</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_Toc243876087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8</w:t>
            </w:r>
            <w:r w:rsidRPr="001E2E85">
              <w:rPr>
                <w:rFonts w:ascii="Arial" w:hAnsi="Arial" w:cs="Arial"/>
                <w:noProof/>
                <w:webHidden/>
                <w:sz w:val="28"/>
                <w:szCs w:val="28"/>
              </w:rPr>
              <w:fldChar w:fldCharType="end"/>
            </w:r>
          </w:hyperlink>
        </w:p>
        <w:p w14:paraId="4FDF45E9" w14:textId="7ADC22BC" w:rsidR="00B54815" w:rsidRPr="001E2E85" w:rsidRDefault="00B54815">
          <w:pPr>
            <w:pStyle w:val="TOC2"/>
            <w:tabs>
              <w:tab w:val="right" w:leader="dot" w:pos="9016"/>
            </w:tabs>
            <w:rPr>
              <w:rFonts w:ascii="Arial" w:hAnsi="Arial" w:cs="Arial"/>
              <w:noProof/>
              <w:kern w:val="2"/>
              <w:sz w:val="28"/>
              <w:szCs w:val="28"/>
              <w14:ligatures w14:val="standardContextual"/>
            </w:rPr>
          </w:pPr>
          <w:hyperlink w:anchor="_Toc243876088" w:history="1">
            <w:r w:rsidRPr="001E2E85">
              <w:rPr>
                <w:rStyle w:val="Hyperlink"/>
                <w:rFonts w:ascii="Arial" w:hAnsi="Arial" w:cs="Arial"/>
                <w:noProof/>
                <w:color w:val="auto"/>
                <w:sz w:val="28"/>
                <w:szCs w:val="28"/>
              </w:rPr>
              <w:t>4.5 Education and emotional support.</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_Toc243876088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8</w:t>
            </w:r>
            <w:r w:rsidRPr="001E2E85">
              <w:rPr>
                <w:rFonts w:ascii="Arial" w:hAnsi="Arial" w:cs="Arial"/>
                <w:noProof/>
                <w:webHidden/>
                <w:sz w:val="28"/>
                <w:szCs w:val="28"/>
              </w:rPr>
              <w:fldChar w:fldCharType="end"/>
            </w:r>
          </w:hyperlink>
        </w:p>
        <w:p w14:paraId="4389DA21" w14:textId="6F8DAE3F" w:rsidR="00B54815" w:rsidRPr="001E2E85" w:rsidRDefault="00B54815">
          <w:pPr>
            <w:pStyle w:val="TOC2"/>
            <w:tabs>
              <w:tab w:val="right" w:leader="dot" w:pos="9016"/>
            </w:tabs>
            <w:rPr>
              <w:rFonts w:ascii="Arial" w:hAnsi="Arial" w:cs="Arial"/>
              <w:noProof/>
              <w:kern w:val="2"/>
              <w:sz w:val="28"/>
              <w:szCs w:val="28"/>
              <w14:ligatures w14:val="standardContextual"/>
            </w:rPr>
          </w:pPr>
          <w:hyperlink w:anchor="_Toc243876089" w:history="1">
            <w:r w:rsidRPr="001E2E85">
              <w:rPr>
                <w:rStyle w:val="Hyperlink"/>
                <w:rFonts w:ascii="Arial" w:hAnsi="Arial" w:cs="Arial"/>
                <w:noProof/>
                <w:color w:val="auto"/>
                <w:sz w:val="28"/>
                <w:szCs w:val="28"/>
              </w:rPr>
              <w:t>4.6 Medication and professional support</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_Toc243876089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8</w:t>
            </w:r>
            <w:r w:rsidRPr="001E2E85">
              <w:rPr>
                <w:rFonts w:ascii="Arial" w:hAnsi="Arial" w:cs="Arial"/>
                <w:noProof/>
                <w:webHidden/>
                <w:sz w:val="28"/>
                <w:szCs w:val="28"/>
              </w:rPr>
              <w:fldChar w:fldCharType="end"/>
            </w:r>
          </w:hyperlink>
        </w:p>
        <w:p w14:paraId="1A81FFB4" w14:textId="43EB4624" w:rsidR="00B54815" w:rsidRPr="001E2E85" w:rsidRDefault="00B54815">
          <w:pPr>
            <w:pStyle w:val="TOC1"/>
            <w:tabs>
              <w:tab w:val="right" w:leader="dot" w:pos="9016"/>
            </w:tabs>
            <w:rPr>
              <w:rFonts w:ascii="Arial" w:hAnsi="Arial" w:cs="Arial"/>
              <w:noProof/>
              <w:kern w:val="2"/>
              <w:sz w:val="28"/>
              <w:szCs w:val="28"/>
              <w14:ligatures w14:val="standardContextual"/>
            </w:rPr>
          </w:pPr>
          <w:hyperlink w:anchor="_Toc243876090" w:history="1">
            <w:r w:rsidRPr="001E2E85">
              <w:rPr>
                <w:rStyle w:val="Hyperlink"/>
                <w:rFonts w:ascii="Arial" w:hAnsi="Arial" w:cs="Arial"/>
                <w:noProof/>
                <w:color w:val="auto"/>
                <w:sz w:val="28"/>
                <w:szCs w:val="28"/>
              </w:rPr>
              <w:t>Conclusion</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_Toc243876090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9</w:t>
            </w:r>
            <w:r w:rsidRPr="001E2E85">
              <w:rPr>
                <w:rFonts w:ascii="Arial" w:hAnsi="Arial" w:cs="Arial"/>
                <w:noProof/>
                <w:webHidden/>
                <w:sz w:val="28"/>
                <w:szCs w:val="28"/>
              </w:rPr>
              <w:fldChar w:fldCharType="end"/>
            </w:r>
          </w:hyperlink>
        </w:p>
        <w:p w14:paraId="083B5C75" w14:textId="667524A7" w:rsidR="00B54815" w:rsidRPr="001E2E85" w:rsidRDefault="00B54815">
          <w:pPr>
            <w:pStyle w:val="TOC1"/>
            <w:tabs>
              <w:tab w:val="right" w:leader="dot" w:pos="9016"/>
            </w:tabs>
            <w:rPr>
              <w:rFonts w:ascii="Arial" w:hAnsi="Arial" w:cs="Arial"/>
              <w:noProof/>
              <w:kern w:val="2"/>
              <w:sz w:val="28"/>
              <w:szCs w:val="28"/>
              <w14:ligatures w14:val="standardContextual"/>
            </w:rPr>
          </w:pPr>
          <w:hyperlink w:anchor="_Toc243876091" w:history="1">
            <w:r w:rsidRPr="001E2E85">
              <w:rPr>
                <w:rStyle w:val="Hyperlink"/>
                <w:rFonts w:ascii="Arial" w:hAnsi="Arial" w:cs="Arial"/>
                <w:noProof/>
                <w:color w:val="auto"/>
                <w:sz w:val="28"/>
                <w:szCs w:val="28"/>
              </w:rPr>
              <w:t>Reference</w:t>
            </w:r>
            <w:r w:rsidRPr="001E2E85">
              <w:rPr>
                <w:rFonts w:ascii="Arial" w:hAnsi="Arial" w:cs="Arial"/>
                <w:noProof/>
                <w:webHidden/>
                <w:sz w:val="28"/>
                <w:szCs w:val="28"/>
              </w:rPr>
              <w:tab/>
            </w:r>
            <w:r w:rsidRPr="001E2E85">
              <w:rPr>
                <w:rFonts w:ascii="Arial" w:hAnsi="Arial" w:cs="Arial"/>
                <w:noProof/>
                <w:webHidden/>
                <w:sz w:val="28"/>
                <w:szCs w:val="28"/>
              </w:rPr>
              <w:fldChar w:fldCharType="begin"/>
            </w:r>
            <w:r w:rsidRPr="001E2E85">
              <w:rPr>
                <w:rFonts w:ascii="Arial" w:hAnsi="Arial" w:cs="Arial"/>
                <w:noProof/>
                <w:webHidden/>
                <w:sz w:val="28"/>
                <w:szCs w:val="28"/>
              </w:rPr>
              <w:instrText xml:space="preserve"> PAGEREF _Toc243876091 \h </w:instrText>
            </w:r>
            <w:r w:rsidRPr="001E2E85">
              <w:rPr>
                <w:rFonts w:ascii="Arial" w:hAnsi="Arial" w:cs="Arial"/>
                <w:noProof/>
                <w:webHidden/>
                <w:sz w:val="28"/>
                <w:szCs w:val="28"/>
              </w:rPr>
            </w:r>
            <w:r w:rsidRPr="001E2E85">
              <w:rPr>
                <w:rFonts w:ascii="Arial" w:hAnsi="Arial" w:cs="Arial"/>
                <w:noProof/>
                <w:webHidden/>
                <w:sz w:val="28"/>
                <w:szCs w:val="28"/>
              </w:rPr>
              <w:fldChar w:fldCharType="separate"/>
            </w:r>
            <w:r w:rsidRPr="001E2E85">
              <w:rPr>
                <w:rFonts w:ascii="Arial" w:hAnsi="Arial" w:cs="Arial"/>
                <w:noProof/>
                <w:webHidden/>
                <w:sz w:val="28"/>
                <w:szCs w:val="28"/>
              </w:rPr>
              <w:t>10</w:t>
            </w:r>
            <w:r w:rsidRPr="001E2E85">
              <w:rPr>
                <w:rFonts w:ascii="Arial" w:hAnsi="Arial" w:cs="Arial"/>
                <w:noProof/>
                <w:webHidden/>
                <w:sz w:val="28"/>
                <w:szCs w:val="28"/>
              </w:rPr>
              <w:fldChar w:fldCharType="end"/>
            </w:r>
          </w:hyperlink>
        </w:p>
        <w:p w14:paraId="2B6C74B1" w14:textId="0BF408C1" w:rsidR="00B54815" w:rsidRPr="001E2E85" w:rsidRDefault="00B54815">
          <w:pPr>
            <w:rPr>
              <w:rFonts w:ascii="Arial" w:hAnsi="Arial" w:cs="Arial"/>
              <w:sz w:val="28"/>
              <w:szCs w:val="28"/>
            </w:rPr>
          </w:pPr>
          <w:r w:rsidRPr="001E2E85">
            <w:rPr>
              <w:rFonts w:ascii="Arial" w:hAnsi="Arial" w:cs="Arial"/>
              <w:b/>
              <w:bCs/>
              <w:sz w:val="28"/>
              <w:szCs w:val="28"/>
            </w:rPr>
            <w:fldChar w:fldCharType="end"/>
          </w:r>
        </w:p>
      </w:sdtContent>
    </w:sdt>
    <w:p w14:paraId="37D69C51" w14:textId="77777777" w:rsidR="00816CAD" w:rsidRDefault="00816CAD">
      <w:pPr>
        <w:rPr>
          <w:rFonts w:ascii="Arial" w:hAnsi="Arial" w:cs="Arial"/>
          <w:b/>
          <w:bCs/>
          <w:sz w:val="28"/>
          <w:szCs w:val="28"/>
        </w:rPr>
      </w:pPr>
      <w:r>
        <w:rPr>
          <w:rFonts w:ascii="Arial" w:hAnsi="Arial" w:cs="Arial"/>
          <w:b/>
          <w:bCs/>
          <w:sz w:val="28"/>
          <w:szCs w:val="28"/>
        </w:rPr>
        <w:br w:type="page"/>
      </w:r>
    </w:p>
    <w:p w14:paraId="14D089B7" w14:textId="08016043" w:rsidR="007C2310" w:rsidRPr="001E2E85" w:rsidRDefault="007C2310" w:rsidP="00D52949">
      <w:pPr>
        <w:rPr>
          <w:rFonts w:ascii="Arial" w:hAnsi="Arial" w:cs="Arial"/>
          <w:b/>
          <w:bCs/>
          <w:sz w:val="28"/>
          <w:szCs w:val="28"/>
        </w:rPr>
      </w:pPr>
      <w:r w:rsidRPr="001E2E85">
        <w:rPr>
          <w:rFonts w:ascii="Arial" w:hAnsi="Arial" w:cs="Arial"/>
          <w:b/>
          <w:bCs/>
          <w:sz w:val="28"/>
          <w:szCs w:val="28"/>
        </w:rPr>
        <w:lastRenderedPageBreak/>
        <w:t>Introduction to Physiology Case Study Report: Type 2 Diabetes</w:t>
      </w:r>
    </w:p>
    <w:p w14:paraId="1F3FFAC3" w14:textId="2BF5ACF9" w:rsidR="007C2310" w:rsidRPr="001E2E85" w:rsidRDefault="007C2310" w:rsidP="00F11EB9">
      <w:pPr>
        <w:pStyle w:val="Heading1"/>
        <w:rPr>
          <w:rFonts w:ascii="Arial" w:hAnsi="Arial" w:cs="Arial"/>
          <w:color w:val="auto"/>
          <w:sz w:val="28"/>
          <w:szCs w:val="28"/>
        </w:rPr>
      </w:pPr>
      <w:bookmarkStart w:id="0" w:name="_Toc243876078"/>
      <w:r w:rsidRPr="001E2E85">
        <w:rPr>
          <w:rFonts w:ascii="Arial" w:hAnsi="Arial" w:cs="Arial"/>
          <w:color w:val="auto"/>
          <w:sz w:val="28"/>
          <w:szCs w:val="28"/>
        </w:rPr>
        <w:t>Introduction</w:t>
      </w:r>
      <w:bookmarkEnd w:id="0"/>
    </w:p>
    <w:p w14:paraId="7483D70A" w14:textId="0B8059D9" w:rsidR="007C2310" w:rsidRPr="001E2E85" w:rsidRDefault="007C2310" w:rsidP="00F473C1">
      <w:pPr>
        <w:spacing w:line="360" w:lineRule="auto"/>
        <w:ind w:firstLine="720"/>
        <w:jc w:val="both"/>
        <w:rPr>
          <w:rFonts w:ascii="Arial" w:hAnsi="Arial" w:cs="Arial"/>
          <w:sz w:val="28"/>
          <w:szCs w:val="28"/>
        </w:rPr>
      </w:pPr>
      <w:r w:rsidRPr="001E2E85">
        <w:rPr>
          <w:rFonts w:ascii="Arial" w:hAnsi="Arial" w:cs="Arial"/>
          <w:sz w:val="28"/>
          <w:szCs w:val="28"/>
        </w:rPr>
        <w:t>Diabetes Mellitus type 2 is a disease that is defined by an incapability of the body to manage the levels of sugar within the body. This is because sugar is the source of energy for the body. The body cannot use efficiently the insulin which is produced by the body, and lack of production of the required amount of insulin by the body in controlling blood glucose levels results in complications such as damage to the eyes, heart disease, kidney disorders, and blood vessels (WHO, 2024). The risk factors related to diabetes include obesity, physical inactivity, poor dietary habits, smoking, age, and genetic diabetes. But it is not a must for all the people having risk factors of diabetes to have diabetes. This report discusses the regulation of blood sugar levels in the body, utilization of glucose and oxygen in the body to produce energy, and the importance of checking the blood sugar level1. Anatomy and Physiology</w:t>
      </w:r>
    </w:p>
    <w:p w14:paraId="00DD906D" w14:textId="77777777" w:rsidR="007C2310" w:rsidRPr="00820316" w:rsidRDefault="007C2310" w:rsidP="00F11EB9">
      <w:pPr>
        <w:pStyle w:val="Heading2"/>
        <w:rPr>
          <w:rFonts w:ascii="Arial" w:hAnsi="Arial" w:cs="Arial"/>
          <w:b/>
          <w:bCs/>
          <w:color w:val="auto"/>
          <w:sz w:val="28"/>
          <w:szCs w:val="28"/>
        </w:rPr>
      </w:pPr>
      <w:bookmarkStart w:id="1" w:name="_Toc243876079"/>
      <w:r w:rsidRPr="00820316">
        <w:rPr>
          <w:rFonts w:ascii="Arial" w:hAnsi="Arial" w:cs="Arial"/>
          <w:b/>
          <w:bCs/>
          <w:color w:val="auto"/>
          <w:sz w:val="28"/>
          <w:szCs w:val="28"/>
        </w:rPr>
        <w:t>1.1 How the body controls blood glucose</w:t>
      </w:r>
      <w:bookmarkEnd w:id="1"/>
    </w:p>
    <w:p w14:paraId="4EFA4764" w14:textId="56038DE8" w:rsidR="007C2310" w:rsidRPr="001E2E85" w:rsidRDefault="007C2310" w:rsidP="00F473C1">
      <w:pPr>
        <w:spacing w:line="360" w:lineRule="auto"/>
        <w:ind w:firstLine="720"/>
        <w:jc w:val="both"/>
        <w:rPr>
          <w:rFonts w:ascii="Arial" w:hAnsi="Arial" w:cs="Arial"/>
          <w:sz w:val="28"/>
          <w:szCs w:val="28"/>
        </w:rPr>
      </w:pPr>
      <w:r w:rsidRPr="001E2E85">
        <w:rPr>
          <w:rFonts w:ascii="Arial" w:hAnsi="Arial" w:cs="Arial"/>
          <w:sz w:val="28"/>
          <w:szCs w:val="28"/>
        </w:rPr>
        <w:t>The pancreas in controlling the level of sugar in the body</w:t>
      </w:r>
      <w:r w:rsidR="00F473C1" w:rsidRPr="001E2E85">
        <w:rPr>
          <w:rFonts w:ascii="Arial" w:hAnsi="Arial" w:cs="Arial"/>
          <w:sz w:val="28"/>
          <w:szCs w:val="28"/>
        </w:rPr>
        <w:t>.</w:t>
      </w:r>
      <w:r w:rsidRPr="001E2E85">
        <w:rPr>
          <w:rFonts w:ascii="Arial" w:hAnsi="Arial" w:cs="Arial"/>
          <w:sz w:val="28"/>
          <w:szCs w:val="28"/>
        </w:rPr>
        <w:t xml:space="preserve"> The pancreas is an essential organ in controlling the level of sugar in the body. The pancreas has two major hormones which include insulin and glucagon. They have a major responsibility in controlling the level of sugar in the body. When one eats food containing carbohydrates, the carbohydrates break down to glucose.</w:t>
      </w:r>
    </w:p>
    <w:p w14:paraId="72919E18" w14:textId="5411D486" w:rsidR="007C2310" w:rsidRPr="001E2E85" w:rsidRDefault="007C2310" w:rsidP="00F473C1">
      <w:pPr>
        <w:spacing w:line="360" w:lineRule="auto"/>
        <w:ind w:firstLine="720"/>
        <w:jc w:val="both"/>
        <w:rPr>
          <w:rFonts w:ascii="Arial" w:hAnsi="Arial" w:cs="Arial"/>
          <w:sz w:val="28"/>
          <w:szCs w:val="28"/>
        </w:rPr>
      </w:pPr>
      <w:r w:rsidRPr="001E2E85">
        <w:rPr>
          <w:rFonts w:ascii="Arial" w:hAnsi="Arial" w:cs="Arial"/>
          <w:sz w:val="28"/>
          <w:szCs w:val="28"/>
        </w:rPr>
        <w:t xml:space="preserve">This glucose enters the blood stream hence increasing the blood glucose level. When glucose concentration increases, the pancreas begins producing insulin hormone. However, when there is low glucose concentration in the blood, the pancreas produces glucagon hormone. Glucagon </w:t>
      </w:r>
      <w:r w:rsidR="00240DB4" w:rsidRPr="001E2E85">
        <w:rPr>
          <w:rFonts w:ascii="Arial" w:hAnsi="Arial" w:cs="Arial"/>
          <w:sz w:val="28"/>
          <w:szCs w:val="28"/>
        </w:rPr>
        <w:t>influences</w:t>
      </w:r>
      <w:r w:rsidRPr="001E2E85">
        <w:rPr>
          <w:rFonts w:ascii="Arial" w:hAnsi="Arial" w:cs="Arial"/>
          <w:sz w:val="28"/>
          <w:szCs w:val="28"/>
        </w:rPr>
        <w:t xml:space="preserve"> the liver, which results in the production of glucose into the blood. Insulin resistance leads to Type 2 diabetes.</w:t>
      </w:r>
    </w:p>
    <w:p w14:paraId="576AF10F" w14:textId="77777777" w:rsidR="007C2310" w:rsidRPr="001E2E85" w:rsidRDefault="007C2310" w:rsidP="00240DB4">
      <w:pPr>
        <w:spacing w:line="360" w:lineRule="auto"/>
        <w:ind w:firstLine="720"/>
        <w:jc w:val="both"/>
        <w:rPr>
          <w:rFonts w:ascii="Arial" w:hAnsi="Arial" w:cs="Arial"/>
          <w:sz w:val="28"/>
          <w:szCs w:val="28"/>
        </w:rPr>
      </w:pPr>
      <w:r w:rsidRPr="001E2E85">
        <w:rPr>
          <w:rFonts w:ascii="Arial" w:hAnsi="Arial" w:cs="Arial"/>
          <w:sz w:val="28"/>
          <w:szCs w:val="28"/>
        </w:rPr>
        <w:lastRenderedPageBreak/>
        <w:t>To try and cope with this situation, the pancreas can increase the production of insulin. In certain cases, however, the amount of hormone that the pancreas produces might not be sufficient to control blood sugar (DeFronzo, 2009). As noted by the American Diabetes Association Professional Practice Committee (2025b), diabetes is identified using blood sugar readings and other medical tests. It is crucial to understand how insulin works since it will explain why people with type 2 diabetes need treatment.</w:t>
      </w:r>
    </w:p>
    <w:p w14:paraId="3CAEAD7B" w14:textId="77777777" w:rsidR="007C2310" w:rsidRPr="00820316" w:rsidRDefault="007C2310" w:rsidP="00F11EB9">
      <w:pPr>
        <w:pStyle w:val="Heading2"/>
        <w:rPr>
          <w:rFonts w:ascii="Arial" w:hAnsi="Arial" w:cs="Arial"/>
          <w:b/>
          <w:bCs/>
          <w:color w:val="auto"/>
          <w:sz w:val="28"/>
          <w:szCs w:val="28"/>
        </w:rPr>
      </w:pPr>
      <w:bookmarkStart w:id="2" w:name="_Toc243876080"/>
      <w:r w:rsidRPr="00820316">
        <w:rPr>
          <w:rFonts w:ascii="Arial" w:hAnsi="Arial" w:cs="Arial"/>
          <w:b/>
          <w:bCs/>
          <w:color w:val="auto"/>
          <w:sz w:val="28"/>
          <w:szCs w:val="28"/>
        </w:rPr>
        <w:t>1.2 How glucose and oxygen provide energy for cells</w:t>
      </w:r>
      <w:bookmarkEnd w:id="2"/>
    </w:p>
    <w:p w14:paraId="14422A24" w14:textId="77777777" w:rsidR="007C2310" w:rsidRPr="001E2E85" w:rsidRDefault="007C2310" w:rsidP="009A3327">
      <w:pPr>
        <w:spacing w:line="360" w:lineRule="auto"/>
        <w:ind w:firstLine="720"/>
        <w:jc w:val="both"/>
        <w:rPr>
          <w:rFonts w:ascii="Arial" w:hAnsi="Arial" w:cs="Arial"/>
          <w:sz w:val="28"/>
          <w:szCs w:val="28"/>
        </w:rPr>
      </w:pPr>
      <w:r w:rsidRPr="001E2E85">
        <w:rPr>
          <w:rFonts w:ascii="Arial" w:hAnsi="Arial" w:cs="Arial"/>
          <w:sz w:val="28"/>
          <w:szCs w:val="28"/>
        </w:rPr>
        <w:t>Energy is required for proper functioning of body cells. Energy is obtained by cellular respiration. In this process, energy is produced in the form of ATP using glucose and oxygen.</w:t>
      </w:r>
    </w:p>
    <w:p w14:paraId="4957747B"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The simple equation is:</w:t>
      </w:r>
    </w:p>
    <w:p w14:paraId="3B1C5E83"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b/>
          <w:bCs/>
          <w:sz w:val="28"/>
          <w:szCs w:val="28"/>
        </w:rPr>
        <w:t>Glucose + oxygen → carbon dioxide + water + energy (ATP)</w:t>
      </w:r>
    </w:p>
    <w:p w14:paraId="4A629A89" w14:textId="77777777" w:rsidR="007C2310" w:rsidRPr="001E2E85" w:rsidRDefault="007C2310" w:rsidP="009A3327">
      <w:pPr>
        <w:spacing w:line="360" w:lineRule="auto"/>
        <w:ind w:firstLine="720"/>
        <w:jc w:val="both"/>
        <w:rPr>
          <w:rFonts w:ascii="Arial" w:hAnsi="Arial" w:cs="Arial"/>
          <w:sz w:val="28"/>
          <w:szCs w:val="28"/>
        </w:rPr>
      </w:pPr>
      <w:r w:rsidRPr="001E2E85">
        <w:rPr>
          <w:rFonts w:ascii="Arial" w:hAnsi="Arial" w:cs="Arial"/>
          <w:sz w:val="28"/>
          <w:szCs w:val="28"/>
        </w:rPr>
        <w:t>In general, aerobic respiration takes place in the mitochondria, which are tiny organelles inside the cell. ATP acts as a source of energy for vital processes like movement of muscles, construction of tissues, and tissue repair. Oxygen is inhaled and enters the blood through the process of diffusion in the lungs. Oxygen is distributed all over the body through red blood cells. Glucose enters the blood and cells with the help of insulin.</w:t>
      </w:r>
    </w:p>
    <w:p w14:paraId="43CF5688" w14:textId="77777777" w:rsidR="007C2310" w:rsidRPr="001E2E85" w:rsidRDefault="007C2310" w:rsidP="003A2F25">
      <w:pPr>
        <w:spacing w:line="360" w:lineRule="auto"/>
        <w:ind w:firstLine="720"/>
        <w:jc w:val="both"/>
        <w:rPr>
          <w:rFonts w:ascii="Arial" w:hAnsi="Arial" w:cs="Arial"/>
          <w:sz w:val="28"/>
          <w:szCs w:val="28"/>
        </w:rPr>
      </w:pPr>
      <w:r w:rsidRPr="001E2E85">
        <w:rPr>
          <w:rFonts w:ascii="Arial" w:hAnsi="Arial" w:cs="Arial"/>
          <w:sz w:val="28"/>
          <w:szCs w:val="28"/>
        </w:rPr>
        <w:t>In the case of Type 2 diabetes, the development of insulin resistance will make it more difficult for the body to maintain its glucose level. The glucose could remain in the blood without being utilized. The energy balance of the body will be affected as a result. Very high levels of glucose in the blood can affect the blood vessels and nerves, blocking the transport of oxygen and nutrients to the tissue (World Health Organization, 2024)</w:t>
      </w:r>
    </w:p>
    <w:p w14:paraId="0437744E" w14:textId="77777777" w:rsidR="007C2310" w:rsidRPr="00820316" w:rsidRDefault="007C2310" w:rsidP="00F11EB9">
      <w:pPr>
        <w:pStyle w:val="Heading1"/>
        <w:rPr>
          <w:rFonts w:ascii="Arial" w:hAnsi="Arial" w:cs="Arial"/>
          <w:b/>
          <w:bCs/>
          <w:color w:val="auto"/>
          <w:sz w:val="28"/>
          <w:szCs w:val="28"/>
        </w:rPr>
      </w:pPr>
      <w:bookmarkStart w:id="3" w:name="_Toc243876081"/>
      <w:r w:rsidRPr="00820316">
        <w:rPr>
          <w:rFonts w:ascii="Arial" w:hAnsi="Arial" w:cs="Arial"/>
          <w:b/>
          <w:bCs/>
          <w:color w:val="auto"/>
          <w:sz w:val="28"/>
          <w:szCs w:val="28"/>
        </w:rPr>
        <w:lastRenderedPageBreak/>
        <w:t>2. Pathophysiology and Impact of Type 2 Diabetes</w:t>
      </w:r>
      <w:bookmarkEnd w:id="3"/>
    </w:p>
    <w:p w14:paraId="5E758018" w14:textId="77777777" w:rsidR="007C2310" w:rsidRPr="001E2E85" w:rsidRDefault="007C2310" w:rsidP="003A2F25">
      <w:pPr>
        <w:spacing w:line="360" w:lineRule="auto"/>
        <w:ind w:firstLine="720"/>
        <w:jc w:val="both"/>
        <w:rPr>
          <w:rFonts w:ascii="Arial" w:hAnsi="Arial" w:cs="Arial"/>
          <w:sz w:val="28"/>
          <w:szCs w:val="28"/>
        </w:rPr>
      </w:pPr>
      <w:r w:rsidRPr="001E2E85">
        <w:rPr>
          <w:rFonts w:ascii="Arial" w:hAnsi="Arial" w:cs="Arial"/>
          <w:sz w:val="28"/>
          <w:szCs w:val="28"/>
        </w:rPr>
        <w:t>Pathophysiology is defined as knowing how a disease impacts body processes. In Type 2 diabetes, the key issues are insulin resistance and decreasing capacity of the pancreas to manufacture sufficient insulin. Prolonged presence of high blood sugar levels will lead to various complications. The complications are heart disease, kidney disease, neuropathy, and retinopathy. Neuropathy may result in foot pain and foot numbness; poor blood flow results in foot problems because it hampers the process of healing. As per The UK Prospective Diabetes Study (UKPDS) Group (1998), improved blood glucose control may help reduce the complications related to diabetes. However, the management of diabetes is not limited to blood glucose control but includes other aspects like blood pressure, cholesterol, and body weight.</w:t>
      </w:r>
    </w:p>
    <w:p w14:paraId="5CBFF58E" w14:textId="77777777" w:rsidR="007C2310" w:rsidRPr="001E2E85" w:rsidRDefault="007C2310" w:rsidP="00B547E6">
      <w:pPr>
        <w:spacing w:line="360" w:lineRule="auto"/>
        <w:ind w:firstLine="720"/>
        <w:jc w:val="both"/>
        <w:rPr>
          <w:rFonts w:ascii="Arial" w:hAnsi="Arial" w:cs="Arial"/>
          <w:sz w:val="28"/>
          <w:szCs w:val="28"/>
        </w:rPr>
      </w:pPr>
      <w:r w:rsidRPr="001E2E85">
        <w:rPr>
          <w:rFonts w:ascii="Arial" w:hAnsi="Arial" w:cs="Arial"/>
          <w:sz w:val="28"/>
          <w:szCs w:val="28"/>
        </w:rPr>
        <w:t>This illness might affect a person’s normal daily routines. There is a need for them to change their diets, take medication, visit hospitals, and monitor their health status. Some people may even be afraid of their diagnosis. Health care professionals and other sources such as diabetic education can provide some support.</w:t>
      </w:r>
    </w:p>
    <w:p w14:paraId="4B3C2473" w14:textId="77777777" w:rsidR="007C2310" w:rsidRPr="00820316" w:rsidRDefault="007C2310" w:rsidP="00F11EB9">
      <w:pPr>
        <w:pStyle w:val="Heading1"/>
        <w:rPr>
          <w:rFonts w:ascii="Arial" w:hAnsi="Arial" w:cs="Arial"/>
          <w:b/>
          <w:bCs/>
          <w:color w:val="auto"/>
          <w:sz w:val="28"/>
          <w:szCs w:val="28"/>
        </w:rPr>
      </w:pPr>
      <w:bookmarkStart w:id="4" w:name="_Toc243876082"/>
      <w:r w:rsidRPr="00820316">
        <w:rPr>
          <w:rFonts w:ascii="Arial" w:hAnsi="Arial" w:cs="Arial"/>
          <w:b/>
          <w:bCs/>
          <w:color w:val="auto"/>
          <w:sz w:val="28"/>
          <w:szCs w:val="28"/>
        </w:rPr>
        <w:t>3. Monitoring and Use of Health Data</w:t>
      </w:r>
      <w:bookmarkEnd w:id="4"/>
    </w:p>
    <w:p w14:paraId="5D4F1DC7" w14:textId="77777777" w:rsidR="007C2310" w:rsidRPr="001E2E85" w:rsidRDefault="007C2310" w:rsidP="00B547E6">
      <w:pPr>
        <w:spacing w:line="360" w:lineRule="auto"/>
        <w:ind w:firstLine="720"/>
        <w:jc w:val="both"/>
        <w:rPr>
          <w:rFonts w:ascii="Arial" w:hAnsi="Arial" w:cs="Arial"/>
          <w:sz w:val="28"/>
          <w:szCs w:val="28"/>
        </w:rPr>
      </w:pPr>
      <w:r w:rsidRPr="001E2E85">
        <w:rPr>
          <w:rFonts w:ascii="Arial" w:hAnsi="Arial" w:cs="Arial"/>
          <w:sz w:val="28"/>
          <w:szCs w:val="28"/>
        </w:rPr>
        <w:t>Recording and measuring of blood glucose levels will help the patient and the health care professional to assess their status and control of diabetes. Blood glucose levels will show the impact of various aspects such as diet, exercise, illness and drugs on the levels of glucose in the body. The health care professional might recommend the use of finger prick or continuous monitoring of blood glucose depending on the requirements of the patients.</w:t>
      </w:r>
    </w:p>
    <w:p w14:paraId="3F363881" w14:textId="77777777" w:rsidR="007C2310" w:rsidRPr="001E2E85" w:rsidRDefault="007C2310" w:rsidP="00551B33">
      <w:pPr>
        <w:spacing w:line="360" w:lineRule="auto"/>
        <w:ind w:firstLine="720"/>
        <w:jc w:val="both"/>
        <w:rPr>
          <w:rFonts w:ascii="Arial" w:hAnsi="Arial" w:cs="Arial"/>
          <w:sz w:val="28"/>
          <w:szCs w:val="28"/>
        </w:rPr>
      </w:pPr>
      <w:r w:rsidRPr="001E2E85">
        <w:rPr>
          <w:rFonts w:ascii="Arial" w:hAnsi="Arial" w:cs="Arial"/>
          <w:sz w:val="28"/>
          <w:szCs w:val="28"/>
        </w:rPr>
        <w:t xml:space="preserve">However, it is not essential for everyone with Type 2 Diabetes to have the finger prick test. This test is especially important for certain </w:t>
      </w:r>
      <w:r w:rsidRPr="001E2E85">
        <w:rPr>
          <w:rFonts w:ascii="Arial" w:hAnsi="Arial" w:cs="Arial"/>
          <w:sz w:val="28"/>
          <w:szCs w:val="28"/>
        </w:rPr>
        <w:lastRenderedPageBreak/>
        <w:t xml:space="preserve">individuals who are using insulin therapy or other medications that may result in </w:t>
      </w:r>
      <w:proofErr w:type="spellStart"/>
      <w:r w:rsidRPr="001E2E85">
        <w:rPr>
          <w:rFonts w:ascii="Arial" w:hAnsi="Arial" w:cs="Arial"/>
          <w:sz w:val="28"/>
          <w:szCs w:val="28"/>
        </w:rPr>
        <w:t>hypoglycemia</w:t>
      </w:r>
      <w:proofErr w:type="spellEnd"/>
      <w:r w:rsidRPr="001E2E85">
        <w:rPr>
          <w:rFonts w:ascii="Arial" w:hAnsi="Arial" w:cs="Arial"/>
          <w:sz w:val="28"/>
          <w:szCs w:val="28"/>
        </w:rPr>
        <w:t>. The decision to conduct monitoring needs to be made by a healthcare professional (NICE, 2026). One more important test is HbA1c. This test, which is taken from the blood, provides information about the average blood glucose level for the past two to three months.</w:t>
      </w:r>
    </w:p>
    <w:p w14:paraId="1E228535" w14:textId="77777777" w:rsidR="007C2310" w:rsidRPr="001E2E85" w:rsidRDefault="007C2310" w:rsidP="00551B33">
      <w:pPr>
        <w:spacing w:line="360" w:lineRule="auto"/>
        <w:ind w:firstLine="720"/>
        <w:jc w:val="both"/>
        <w:rPr>
          <w:rFonts w:ascii="Arial" w:hAnsi="Arial" w:cs="Arial"/>
          <w:sz w:val="28"/>
          <w:szCs w:val="28"/>
        </w:rPr>
      </w:pPr>
      <w:r w:rsidRPr="001E2E85">
        <w:rPr>
          <w:rFonts w:ascii="Arial" w:hAnsi="Arial" w:cs="Arial"/>
          <w:sz w:val="28"/>
          <w:szCs w:val="28"/>
        </w:rPr>
        <w:t xml:space="preserve">According to Young et al. (2017), the practice of monitoring on its own does not appear to help in the management of glucose levels for all patients suffering from type 2 diabetes but not on insulin treatment. This suggests that there needs to be a specific goal behind monitoring, as well as recommendations on how the patient is supposed to act upon the results of monitoring. The same question was explored by </w:t>
      </w:r>
      <w:proofErr w:type="spellStart"/>
      <w:r w:rsidRPr="001E2E85">
        <w:rPr>
          <w:rFonts w:ascii="Arial" w:hAnsi="Arial" w:cs="Arial"/>
          <w:sz w:val="28"/>
          <w:szCs w:val="28"/>
        </w:rPr>
        <w:t>Mannucci</w:t>
      </w:r>
      <w:proofErr w:type="spellEnd"/>
      <w:r w:rsidRPr="001E2E85">
        <w:rPr>
          <w:rFonts w:ascii="Arial" w:hAnsi="Arial" w:cs="Arial"/>
          <w:sz w:val="28"/>
          <w:szCs w:val="28"/>
        </w:rPr>
        <w:t xml:space="preserve"> et al. (2018).</w:t>
      </w:r>
    </w:p>
    <w:p w14:paraId="2D5CFBA7" w14:textId="77777777" w:rsidR="007C2310" w:rsidRPr="001E2E85" w:rsidRDefault="007C2310" w:rsidP="004D3466">
      <w:pPr>
        <w:spacing w:line="360" w:lineRule="auto"/>
        <w:ind w:firstLine="720"/>
        <w:jc w:val="both"/>
        <w:rPr>
          <w:rFonts w:ascii="Arial" w:hAnsi="Arial" w:cs="Arial"/>
          <w:sz w:val="28"/>
          <w:szCs w:val="28"/>
        </w:rPr>
      </w:pPr>
      <w:r w:rsidRPr="001E2E85">
        <w:rPr>
          <w:rFonts w:ascii="Arial" w:hAnsi="Arial" w:cs="Arial"/>
          <w:sz w:val="28"/>
          <w:szCs w:val="28"/>
        </w:rPr>
        <w:t>Health data can be used to help healthcare practitioners recognize patterns, discuss treatments and suggest improvements together with the individual. Properly documented data may also enable informed decision making. Nevertheless, results must remain confidential and properly explained for patients to comprehend them.</w:t>
      </w:r>
    </w:p>
    <w:p w14:paraId="632EEE63" w14:textId="77777777" w:rsidR="007C2310" w:rsidRPr="00820316" w:rsidRDefault="007C2310" w:rsidP="00F11EB9">
      <w:pPr>
        <w:pStyle w:val="Heading1"/>
        <w:rPr>
          <w:rFonts w:ascii="Arial" w:hAnsi="Arial" w:cs="Arial"/>
          <w:b/>
          <w:bCs/>
          <w:color w:val="auto"/>
          <w:sz w:val="28"/>
          <w:szCs w:val="28"/>
        </w:rPr>
      </w:pPr>
      <w:bookmarkStart w:id="5" w:name="_Toc243876083"/>
      <w:r w:rsidRPr="00820316">
        <w:rPr>
          <w:rFonts w:ascii="Arial" w:hAnsi="Arial" w:cs="Arial"/>
          <w:b/>
          <w:bCs/>
          <w:color w:val="auto"/>
          <w:sz w:val="28"/>
          <w:szCs w:val="28"/>
        </w:rPr>
        <w:t>4. Evidence-Based Lifestyle Recommendations</w:t>
      </w:r>
      <w:bookmarkEnd w:id="5"/>
    </w:p>
    <w:p w14:paraId="16FC0D66" w14:textId="0307D039" w:rsidR="004D3466" w:rsidRPr="00820316" w:rsidRDefault="007C2310" w:rsidP="007C2310">
      <w:pPr>
        <w:spacing w:line="360" w:lineRule="auto"/>
        <w:jc w:val="both"/>
        <w:rPr>
          <w:rFonts w:ascii="Arial" w:hAnsi="Arial" w:cs="Arial"/>
          <w:sz w:val="28"/>
          <w:szCs w:val="28"/>
        </w:rPr>
      </w:pPr>
      <w:r w:rsidRPr="001E2E85">
        <w:rPr>
          <w:rFonts w:ascii="Arial" w:hAnsi="Arial" w:cs="Arial"/>
          <w:sz w:val="28"/>
          <w:szCs w:val="28"/>
        </w:rPr>
        <w:t xml:space="preserve">Lifestyle modifications are important for patients who are dealing with Type 2 Diabetes, reducing the complications that could arise. Such modifications </w:t>
      </w:r>
      <w:r w:rsidR="004D3466" w:rsidRPr="001E2E85">
        <w:rPr>
          <w:rFonts w:ascii="Arial" w:hAnsi="Arial" w:cs="Arial"/>
          <w:sz w:val="28"/>
          <w:szCs w:val="28"/>
        </w:rPr>
        <w:t>must</w:t>
      </w:r>
      <w:r w:rsidRPr="001E2E85">
        <w:rPr>
          <w:rFonts w:ascii="Arial" w:hAnsi="Arial" w:cs="Arial"/>
          <w:sz w:val="28"/>
          <w:szCs w:val="28"/>
        </w:rPr>
        <w:t xml:space="preserve"> be practical and appropriate for the patient.</w:t>
      </w:r>
    </w:p>
    <w:p w14:paraId="2AA5E046" w14:textId="74DE80B1" w:rsidR="007C2310" w:rsidRPr="00820316" w:rsidRDefault="007C2310" w:rsidP="00F11EB9">
      <w:pPr>
        <w:pStyle w:val="Heading2"/>
        <w:rPr>
          <w:rFonts w:ascii="Arial" w:hAnsi="Arial" w:cs="Arial"/>
          <w:b/>
          <w:bCs/>
          <w:color w:val="auto"/>
          <w:sz w:val="28"/>
          <w:szCs w:val="28"/>
        </w:rPr>
      </w:pPr>
      <w:bookmarkStart w:id="6" w:name="_Toc243876084"/>
      <w:r w:rsidRPr="00820316">
        <w:rPr>
          <w:rFonts w:ascii="Arial" w:hAnsi="Arial" w:cs="Arial"/>
          <w:b/>
          <w:bCs/>
          <w:color w:val="auto"/>
          <w:sz w:val="28"/>
          <w:szCs w:val="28"/>
        </w:rPr>
        <w:t>4.1 Healthy eating</w:t>
      </w:r>
      <w:bookmarkEnd w:id="6"/>
    </w:p>
    <w:p w14:paraId="38999F84" w14:textId="77777777" w:rsidR="007C2310" w:rsidRPr="001E2E85" w:rsidRDefault="007C2310" w:rsidP="004D3466">
      <w:pPr>
        <w:spacing w:line="360" w:lineRule="auto"/>
        <w:ind w:firstLine="720"/>
        <w:jc w:val="both"/>
        <w:rPr>
          <w:rFonts w:ascii="Arial" w:hAnsi="Arial" w:cs="Arial"/>
          <w:sz w:val="28"/>
          <w:szCs w:val="28"/>
        </w:rPr>
      </w:pPr>
      <w:r w:rsidRPr="001E2E85">
        <w:rPr>
          <w:rFonts w:ascii="Arial" w:hAnsi="Arial" w:cs="Arial"/>
          <w:sz w:val="28"/>
          <w:szCs w:val="28"/>
        </w:rPr>
        <w:t xml:space="preserve">Nutrition can also aid in managing the level of sugar in the bloodstream, making it easier for them to maintain their body weight in a healthy range. It is necessary for one to take a lot of foods such as vegetables, fruits, whole grains, beans, nuts, proteins, and many more. Sugary foods and beverages should not be taken. Carbohydrates will be </w:t>
      </w:r>
      <w:r w:rsidRPr="001E2E85">
        <w:rPr>
          <w:rFonts w:ascii="Arial" w:hAnsi="Arial" w:cs="Arial"/>
          <w:sz w:val="28"/>
          <w:szCs w:val="28"/>
        </w:rPr>
        <w:lastRenderedPageBreak/>
        <w:t xml:space="preserve">very essential since the body converts them to sugar. Eating foods high in </w:t>
      </w:r>
      <w:proofErr w:type="spellStart"/>
      <w:r w:rsidRPr="001E2E85">
        <w:rPr>
          <w:rFonts w:ascii="Arial" w:hAnsi="Arial" w:cs="Arial"/>
          <w:sz w:val="28"/>
          <w:szCs w:val="28"/>
        </w:rPr>
        <w:t>fiber</w:t>
      </w:r>
      <w:proofErr w:type="spellEnd"/>
      <w:r w:rsidRPr="001E2E85">
        <w:rPr>
          <w:rFonts w:ascii="Arial" w:hAnsi="Arial" w:cs="Arial"/>
          <w:sz w:val="28"/>
          <w:szCs w:val="28"/>
        </w:rPr>
        <w:t xml:space="preserve"> and controlling the amount of food taken will assist in keeping their blood sugar under control. It is however not everyone who will need the same diet plan because their culture, preferences, and medications must be considered.</w:t>
      </w:r>
    </w:p>
    <w:p w14:paraId="78896CBB" w14:textId="77777777" w:rsidR="007C2310" w:rsidRPr="00820316" w:rsidRDefault="007C2310" w:rsidP="00F11EB9">
      <w:pPr>
        <w:pStyle w:val="Heading2"/>
        <w:rPr>
          <w:rFonts w:ascii="Arial" w:hAnsi="Arial" w:cs="Arial"/>
          <w:b/>
          <w:bCs/>
          <w:color w:val="auto"/>
          <w:sz w:val="28"/>
          <w:szCs w:val="28"/>
        </w:rPr>
      </w:pPr>
      <w:bookmarkStart w:id="7" w:name="_Toc243876085"/>
      <w:r w:rsidRPr="00820316">
        <w:rPr>
          <w:rFonts w:ascii="Arial" w:hAnsi="Arial" w:cs="Arial"/>
          <w:b/>
          <w:bCs/>
          <w:color w:val="auto"/>
          <w:sz w:val="28"/>
          <w:szCs w:val="28"/>
        </w:rPr>
        <w:t>4.2 Physical activity</w:t>
      </w:r>
      <w:bookmarkEnd w:id="7"/>
    </w:p>
    <w:p w14:paraId="4B1D43B6" w14:textId="7312D2F8" w:rsidR="007C2310" w:rsidRPr="001E2E85" w:rsidRDefault="007C2310" w:rsidP="004D3466">
      <w:pPr>
        <w:spacing w:line="360" w:lineRule="auto"/>
        <w:ind w:firstLine="720"/>
        <w:jc w:val="both"/>
        <w:rPr>
          <w:rFonts w:ascii="Arial" w:hAnsi="Arial" w:cs="Arial"/>
          <w:sz w:val="28"/>
          <w:szCs w:val="28"/>
        </w:rPr>
      </w:pPr>
      <w:r w:rsidRPr="001E2E85">
        <w:rPr>
          <w:rFonts w:ascii="Arial" w:hAnsi="Arial" w:cs="Arial"/>
          <w:sz w:val="28"/>
          <w:szCs w:val="28"/>
        </w:rPr>
        <w:t xml:space="preserve">It could help the body become more sensitive to insulin. Moreover, physical activity could improve the health of the heart, as well as weight management and general health. Walking, swimming, cycling, dancing, and gardening could be some good examples. Physical activity has been listed as one of the crucial aspects of diabetes treatment by Colberg et al. (2016). An individual </w:t>
      </w:r>
      <w:r w:rsidR="004D3466" w:rsidRPr="001E2E85">
        <w:rPr>
          <w:rFonts w:ascii="Arial" w:hAnsi="Arial" w:cs="Arial"/>
          <w:sz w:val="28"/>
          <w:szCs w:val="28"/>
        </w:rPr>
        <w:t>must</w:t>
      </w:r>
      <w:r w:rsidRPr="001E2E85">
        <w:rPr>
          <w:rFonts w:ascii="Arial" w:hAnsi="Arial" w:cs="Arial"/>
          <w:sz w:val="28"/>
          <w:szCs w:val="28"/>
        </w:rPr>
        <w:t xml:space="preserve"> engage in at least 150 minutes of physical exercise per week if it is appropriate for their case. People who do not actively engage in any physical activities may start from minor physical exercises and gradually raise the intensity. Those individuals who have health issues making them incapable of performing physical activities can turn to specialists.</w:t>
      </w:r>
    </w:p>
    <w:p w14:paraId="3CBB67AC" w14:textId="77777777" w:rsidR="007C2310" w:rsidRPr="00820316" w:rsidRDefault="007C2310" w:rsidP="00F11EB9">
      <w:pPr>
        <w:pStyle w:val="Heading2"/>
        <w:rPr>
          <w:rFonts w:ascii="Arial" w:hAnsi="Arial" w:cs="Arial"/>
          <w:b/>
          <w:bCs/>
          <w:color w:val="auto"/>
          <w:sz w:val="28"/>
          <w:szCs w:val="28"/>
        </w:rPr>
      </w:pPr>
      <w:bookmarkStart w:id="8" w:name="_Toc243876086"/>
      <w:r w:rsidRPr="00820316">
        <w:rPr>
          <w:rFonts w:ascii="Arial" w:hAnsi="Arial" w:cs="Arial"/>
          <w:b/>
          <w:bCs/>
          <w:color w:val="auto"/>
          <w:sz w:val="28"/>
          <w:szCs w:val="28"/>
        </w:rPr>
        <w:t>4.3 Weight management</w:t>
      </w:r>
      <w:bookmarkEnd w:id="8"/>
    </w:p>
    <w:p w14:paraId="7C85010E" w14:textId="77777777" w:rsidR="007C2310" w:rsidRPr="001E2E85" w:rsidRDefault="007C2310" w:rsidP="00593B65">
      <w:pPr>
        <w:spacing w:line="360" w:lineRule="auto"/>
        <w:ind w:firstLine="720"/>
        <w:jc w:val="both"/>
        <w:rPr>
          <w:rFonts w:ascii="Arial" w:hAnsi="Arial" w:cs="Arial"/>
          <w:sz w:val="28"/>
          <w:szCs w:val="28"/>
        </w:rPr>
      </w:pPr>
      <w:r w:rsidRPr="001E2E85">
        <w:rPr>
          <w:rFonts w:ascii="Arial" w:hAnsi="Arial" w:cs="Arial"/>
          <w:sz w:val="28"/>
          <w:szCs w:val="28"/>
        </w:rPr>
        <w:t>However, for people who have excess body weight, even moderate weight loss will help in improving their insulin resistance as well as blood sugar levels. According to research carried out by The Diabetes Prevention Program Research Group in 2002, it was seen that the change in lifestyle through alteration in diet as well as exercise was effective in preventing the occurrence of Type 2 diabetes in patients at risk. However, it is also an endorsement for having healthy lifestyle habits.</w:t>
      </w:r>
    </w:p>
    <w:p w14:paraId="1586728B" w14:textId="77777777" w:rsidR="007C2310" w:rsidRPr="00820316" w:rsidRDefault="007C2310" w:rsidP="00F11EB9">
      <w:pPr>
        <w:pStyle w:val="Heading2"/>
        <w:rPr>
          <w:rFonts w:ascii="Arial" w:hAnsi="Arial" w:cs="Arial"/>
          <w:b/>
          <w:bCs/>
          <w:color w:val="auto"/>
          <w:sz w:val="28"/>
          <w:szCs w:val="28"/>
        </w:rPr>
      </w:pPr>
      <w:bookmarkStart w:id="9" w:name="_Toc243876087"/>
      <w:r w:rsidRPr="00820316">
        <w:rPr>
          <w:rFonts w:ascii="Arial" w:hAnsi="Arial" w:cs="Arial"/>
          <w:b/>
          <w:bCs/>
          <w:color w:val="auto"/>
          <w:sz w:val="28"/>
          <w:szCs w:val="28"/>
        </w:rPr>
        <w:t>4.4 Stopping smoking</w:t>
      </w:r>
      <w:bookmarkEnd w:id="9"/>
    </w:p>
    <w:p w14:paraId="61E50D18" w14:textId="77777777" w:rsidR="007C2310" w:rsidRPr="001E2E85" w:rsidRDefault="007C2310" w:rsidP="004F36B5">
      <w:pPr>
        <w:spacing w:line="360" w:lineRule="auto"/>
        <w:ind w:firstLine="720"/>
        <w:jc w:val="both"/>
        <w:rPr>
          <w:rFonts w:ascii="Arial" w:hAnsi="Arial" w:cs="Arial"/>
          <w:sz w:val="28"/>
          <w:szCs w:val="28"/>
        </w:rPr>
      </w:pPr>
      <w:r w:rsidRPr="001E2E85">
        <w:rPr>
          <w:rFonts w:ascii="Arial" w:hAnsi="Arial" w:cs="Arial"/>
          <w:sz w:val="28"/>
          <w:szCs w:val="28"/>
        </w:rPr>
        <w:t xml:space="preserve">Smoking leads to higher chances of developing heart conditions and other illnesses. People suffering from diabetes face higher risks of </w:t>
      </w:r>
      <w:r w:rsidRPr="001E2E85">
        <w:rPr>
          <w:rFonts w:ascii="Arial" w:hAnsi="Arial" w:cs="Arial"/>
          <w:sz w:val="28"/>
          <w:szCs w:val="28"/>
        </w:rPr>
        <w:lastRenderedPageBreak/>
        <w:t>developing heart problems; thus, one of the methods of improving their health condition is giving up on smoking. The professional help must be given by the healthcare professionals in the form of consultation, stop-smoking programs and the relevant drugs. The help should be provided without reproaching patients for inability to quit smoking.</w:t>
      </w:r>
    </w:p>
    <w:p w14:paraId="2B344051" w14:textId="77777777" w:rsidR="007C2310" w:rsidRPr="00820316" w:rsidRDefault="007C2310" w:rsidP="00F11EB9">
      <w:pPr>
        <w:pStyle w:val="Heading2"/>
        <w:rPr>
          <w:rFonts w:ascii="Arial" w:hAnsi="Arial" w:cs="Arial"/>
          <w:b/>
          <w:bCs/>
          <w:color w:val="auto"/>
          <w:sz w:val="28"/>
          <w:szCs w:val="28"/>
        </w:rPr>
      </w:pPr>
      <w:bookmarkStart w:id="10" w:name="_Toc243876088"/>
      <w:r w:rsidRPr="00820316">
        <w:rPr>
          <w:rFonts w:ascii="Arial" w:hAnsi="Arial" w:cs="Arial"/>
          <w:b/>
          <w:bCs/>
          <w:color w:val="auto"/>
          <w:sz w:val="28"/>
          <w:szCs w:val="28"/>
        </w:rPr>
        <w:t>4.5 Education and emotional support.</w:t>
      </w:r>
      <w:bookmarkEnd w:id="10"/>
    </w:p>
    <w:p w14:paraId="0E941ACD" w14:textId="77777777" w:rsidR="007C2310" w:rsidRPr="001E2E85" w:rsidRDefault="007C2310" w:rsidP="004F36B5">
      <w:pPr>
        <w:spacing w:line="360" w:lineRule="auto"/>
        <w:ind w:firstLine="720"/>
        <w:jc w:val="both"/>
        <w:rPr>
          <w:rFonts w:ascii="Arial" w:hAnsi="Arial" w:cs="Arial"/>
          <w:sz w:val="28"/>
          <w:szCs w:val="28"/>
        </w:rPr>
      </w:pPr>
      <w:r w:rsidRPr="001E2E85">
        <w:rPr>
          <w:rFonts w:ascii="Arial" w:hAnsi="Arial" w:cs="Arial"/>
          <w:sz w:val="28"/>
          <w:szCs w:val="28"/>
        </w:rPr>
        <w:t>It is necessary that proper education should be given to diabetic patients so that they are able to understand their disease, medications, diet, exercise, and outcomes. It would also help in recognizing any problems and taking medical help when required. As mentioned by the American Diabetes Association Professional Practice Committee (2025a), the patient-centred care approach, healthy diet, physical exercise, smoking cessation, and psychological well-being are essential in managing type 1 diabetes. It is necessary to develop an individualized treatment plan for each patient.</w:t>
      </w:r>
    </w:p>
    <w:p w14:paraId="62D4E6DD" w14:textId="77777777" w:rsidR="007C2310" w:rsidRPr="00820316" w:rsidRDefault="007C2310" w:rsidP="00F11EB9">
      <w:pPr>
        <w:pStyle w:val="Heading2"/>
        <w:rPr>
          <w:rFonts w:ascii="Arial" w:hAnsi="Arial" w:cs="Arial"/>
          <w:b/>
          <w:bCs/>
          <w:color w:val="auto"/>
          <w:sz w:val="28"/>
          <w:szCs w:val="28"/>
        </w:rPr>
      </w:pPr>
      <w:bookmarkStart w:id="11" w:name="_Toc243876089"/>
      <w:r w:rsidRPr="00820316">
        <w:rPr>
          <w:rFonts w:ascii="Arial" w:hAnsi="Arial" w:cs="Arial"/>
          <w:b/>
          <w:bCs/>
          <w:color w:val="auto"/>
          <w:sz w:val="28"/>
          <w:szCs w:val="28"/>
        </w:rPr>
        <w:t>4.6 Medication and professional support</w:t>
      </w:r>
      <w:bookmarkEnd w:id="11"/>
    </w:p>
    <w:p w14:paraId="1CA99590" w14:textId="68E9175D" w:rsidR="007C2310" w:rsidRPr="001E2E85" w:rsidRDefault="007C2310" w:rsidP="004F36B5">
      <w:pPr>
        <w:spacing w:line="360" w:lineRule="auto"/>
        <w:ind w:firstLine="720"/>
        <w:jc w:val="both"/>
        <w:rPr>
          <w:rFonts w:ascii="Arial" w:hAnsi="Arial" w:cs="Arial"/>
          <w:sz w:val="28"/>
          <w:szCs w:val="28"/>
        </w:rPr>
      </w:pPr>
      <w:r w:rsidRPr="001E2E85">
        <w:rPr>
          <w:rFonts w:ascii="Arial" w:hAnsi="Arial" w:cs="Arial"/>
          <w:sz w:val="28"/>
          <w:szCs w:val="28"/>
        </w:rPr>
        <w:t xml:space="preserve">Medication along with the change in lifestyle is required by some individuals to control Type 2 diabetes. This will depend upon the patient’s health condition, level of blood sugar, presence of any other disease in the body and his/her preference. Medicines should be taken according to the </w:t>
      </w:r>
      <w:r w:rsidR="00820316" w:rsidRPr="001E2E85">
        <w:rPr>
          <w:rFonts w:ascii="Arial" w:hAnsi="Arial" w:cs="Arial"/>
          <w:sz w:val="28"/>
          <w:szCs w:val="28"/>
        </w:rPr>
        <w:t>prescription,</w:t>
      </w:r>
      <w:r w:rsidRPr="001E2E85">
        <w:rPr>
          <w:rFonts w:ascii="Arial" w:hAnsi="Arial" w:cs="Arial"/>
          <w:sz w:val="28"/>
          <w:szCs w:val="28"/>
        </w:rPr>
        <w:t xml:space="preserve"> and any concerns must be raised with the healthcare professional.</w:t>
      </w:r>
    </w:p>
    <w:p w14:paraId="30DB70A8" w14:textId="77777777" w:rsidR="007C2310" w:rsidRPr="001E2E85" w:rsidRDefault="007C2310" w:rsidP="004F36B5">
      <w:pPr>
        <w:spacing w:line="360" w:lineRule="auto"/>
        <w:ind w:firstLine="720"/>
        <w:jc w:val="both"/>
        <w:rPr>
          <w:rFonts w:ascii="Arial" w:hAnsi="Arial" w:cs="Arial"/>
          <w:sz w:val="28"/>
          <w:szCs w:val="28"/>
        </w:rPr>
      </w:pPr>
      <w:r w:rsidRPr="001E2E85">
        <w:rPr>
          <w:rFonts w:ascii="Arial" w:hAnsi="Arial" w:cs="Arial"/>
          <w:sz w:val="28"/>
          <w:szCs w:val="28"/>
        </w:rPr>
        <w:t>Guidelines of management of treatment of Type 2 Diabetes in Adults were issued by NICE (National Institute for Health and Care Excellence) in the year 2026. Regular tests will help health care practitioners keep an eye on blood glucose level, blood pressure, cholesterol level, and condition of kidneys. Collaboration will help people get proper information.</w:t>
      </w:r>
    </w:p>
    <w:p w14:paraId="6D7DB179" w14:textId="77777777" w:rsidR="007C2310" w:rsidRPr="00820316" w:rsidRDefault="007C2310" w:rsidP="00F11EB9">
      <w:pPr>
        <w:pStyle w:val="Heading1"/>
        <w:rPr>
          <w:rFonts w:ascii="Arial" w:hAnsi="Arial" w:cs="Arial"/>
          <w:b/>
          <w:bCs/>
          <w:color w:val="auto"/>
          <w:sz w:val="28"/>
          <w:szCs w:val="28"/>
        </w:rPr>
      </w:pPr>
      <w:bookmarkStart w:id="12" w:name="_Toc243876090"/>
      <w:r w:rsidRPr="00820316">
        <w:rPr>
          <w:rFonts w:ascii="Arial" w:hAnsi="Arial" w:cs="Arial"/>
          <w:b/>
          <w:bCs/>
          <w:color w:val="auto"/>
          <w:sz w:val="28"/>
          <w:szCs w:val="28"/>
        </w:rPr>
        <w:lastRenderedPageBreak/>
        <w:t>Conclusion</w:t>
      </w:r>
      <w:bookmarkEnd w:id="12"/>
    </w:p>
    <w:p w14:paraId="0A0E6400" w14:textId="77777777" w:rsidR="007C2310" w:rsidRPr="001E2E85" w:rsidRDefault="007C2310" w:rsidP="004F36B5">
      <w:pPr>
        <w:spacing w:line="360" w:lineRule="auto"/>
        <w:ind w:firstLine="720"/>
        <w:jc w:val="both"/>
        <w:rPr>
          <w:rFonts w:ascii="Arial" w:hAnsi="Arial" w:cs="Arial"/>
          <w:sz w:val="28"/>
          <w:szCs w:val="28"/>
        </w:rPr>
      </w:pPr>
      <w:r w:rsidRPr="001E2E85">
        <w:rPr>
          <w:rFonts w:ascii="Arial" w:hAnsi="Arial" w:cs="Arial"/>
          <w:sz w:val="28"/>
          <w:szCs w:val="28"/>
        </w:rPr>
        <w:t xml:space="preserve">The reason why type 2 diabetes leads to an inability to control blood sugar is that cells become resistant to insulin and the pancreas does not produce enough insulin. Oxygen and glucose are needed for cellular respiration when energy in ATP form is produced. High concentration of blood glucose may cause damage to different organs of the body. Blood glucose level and HbA1c level can be monitored </w:t>
      </w:r>
      <w:proofErr w:type="gramStart"/>
      <w:r w:rsidRPr="001E2E85">
        <w:rPr>
          <w:rFonts w:ascii="Arial" w:hAnsi="Arial" w:cs="Arial"/>
          <w:sz w:val="28"/>
          <w:szCs w:val="28"/>
        </w:rPr>
        <w:t>in order to</w:t>
      </w:r>
      <w:proofErr w:type="gramEnd"/>
      <w:r w:rsidRPr="001E2E85">
        <w:rPr>
          <w:rFonts w:ascii="Arial" w:hAnsi="Arial" w:cs="Arial"/>
          <w:sz w:val="28"/>
          <w:szCs w:val="28"/>
        </w:rPr>
        <w:t xml:space="preserve"> assess the progression of diabetes, but the way and frequency of monitoring should vary according to the treatment program. There is research support for proper diet, regular exercise, weight loss, quitting smoking, education, and psychological assistance. Medical therapy might also be required.</w:t>
      </w:r>
    </w:p>
    <w:p w14:paraId="651EFCFC" w14:textId="30068A1A" w:rsidR="0035580D" w:rsidRPr="001E2E85" w:rsidRDefault="007C2310" w:rsidP="007C2310">
      <w:pPr>
        <w:spacing w:line="360" w:lineRule="auto"/>
        <w:jc w:val="both"/>
        <w:rPr>
          <w:rFonts w:ascii="Arial" w:hAnsi="Arial" w:cs="Arial"/>
          <w:b/>
          <w:bCs/>
          <w:sz w:val="28"/>
          <w:szCs w:val="28"/>
        </w:rPr>
      </w:pPr>
      <w:r w:rsidRPr="001E2E85">
        <w:rPr>
          <w:rFonts w:ascii="Arial" w:hAnsi="Arial" w:cs="Arial"/>
          <w:b/>
          <w:bCs/>
          <w:sz w:val="28"/>
          <w:szCs w:val="28"/>
        </w:rPr>
        <w:t> </w:t>
      </w:r>
    </w:p>
    <w:p w14:paraId="6B6C2CFB" w14:textId="76634824" w:rsidR="007C2310" w:rsidRPr="001E2E85" w:rsidRDefault="0035580D" w:rsidP="0035580D">
      <w:pPr>
        <w:rPr>
          <w:rFonts w:ascii="Arial" w:hAnsi="Arial" w:cs="Arial"/>
          <w:b/>
          <w:bCs/>
          <w:sz w:val="28"/>
          <w:szCs w:val="28"/>
        </w:rPr>
      </w:pPr>
      <w:r w:rsidRPr="001E2E85">
        <w:rPr>
          <w:rFonts w:ascii="Arial" w:hAnsi="Arial" w:cs="Arial"/>
          <w:b/>
          <w:bCs/>
          <w:sz w:val="28"/>
          <w:szCs w:val="28"/>
        </w:rPr>
        <w:br w:type="page"/>
      </w:r>
    </w:p>
    <w:p w14:paraId="70DC3718" w14:textId="1F68F0E9" w:rsidR="007C2310" w:rsidRPr="00820316" w:rsidRDefault="007C2310" w:rsidP="00820316">
      <w:pPr>
        <w:pStyle w:val="Heading1"/>
        <w:jc w:val="center"/>
        <w:rPr>
          <w:rFonts w:ascii="Arial" w:hAnsi="Arial" w:cs="Arial"/>
          <w:b/>
          <w:bCs/>
          <w:color w:val="auto"/>
          <w:sz w:val="28"/>
          <w:szCs w:val="28"/>
        </w:rPr>
      </w:pPr>
      <w:bookmarkStart w:id="13" w:name="_Toc243876091"/>
      <w:r w:rsidRPr="00820316">
        <w:rPr>
          <w:rFonts w:ascii="Arial" w:hAnsi="Arial" w:cs="Arial"/>
          <w:b/>
          <w:bCs/>
          <w:color w:val="auto"/>
          <w:sz w:val="28"/>
          <w:szCs w:val="28"/>
        </w:rPr>
        <w:lastRenderedPageBreak/>
        <w:t>Reference</w:t>
      </w:r>
      <w:bookmarkEnd w:id="13"/>
    </w:p>
    <w:p w14:paraId="4B3A94F8" w14:textId="2A1A9929"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 xml:space="preserve">American Diabetes Association Professional Practice Committee (2025a) ‘5. Facilitating positive health </w:t>
      </w:r>
      <w:r w:rsidR="00D54660" w:rsidRPr="001E2E85">
        <w:rPr>
          <w:rFonts w:ascii="Arial" w:hAnsi="Arial" w:cs="Arial"/>
          <w:sz w:val="28"/>
          <w:szCs w:val="28"/>
        </w:rPr>
        <w:t>behaviours</w:t>
      </w:r>
      <w:r w:rsidRPr="001E2E85">
        <w:rPr>
          <w:rFonts w:ascii="Arial" w:hAnsi="Arial" w:cs="Arial"/>
          <w:sz w:val="28"/>
          <w:szCs w:val="28"/>
        </w:rPr>
        <w:t xml:space="preserve"> and well-being to improve health outcomes: Standards of Care in Diabetes—2025’, </w:t>
      </w:r>
      <w:r w:rsidRPr="001E2E85">
        <w:rPr>
          <w:rFonts w:ascii="Arial" w:hAnsi="Arial" w:cs="Arial"/>
          <w:i/>
          <w:iCs/>
          <w:sz w:val="28"/>
          <w:szCs w:val="28"/>
        </w:rPr>
        <w:t>Diabetes Care</w:t>
      </w:r>
      <w:r w:rsidRPr="001E2E85">
        <w:rPr>
          <w:rFonts w:ascii="Arial" w:hAnsi="Arial" w:cs="Arial"/>
          <w:sz w:val="28"/>
          <w:szCs w:val="28"/>
        </w:rPr>
        <w:t>, 48(Suppl. 1), pp. S86–S127. Available at</w:t>
      </w:r>
      <w:r w:rsidRPr="001E2E85">
        <w:rPr>
          <w:rFonts w:ascii="Arial" w:hAnsi="Arial" w:cs="Arial"/>
          <w:sz w:val="28"/>
          <w:szCs w:val="28"/>
          <w:shd w:val="clear" w:color="auto" w:fill="FFFFFF" w:themeFill="background1"/>
        </w:rPr>
        <w:t>: </w:t>
      </w:r>
      <w:hyperlink r:id="rId7" w:tooltip="https://doi.org/10.2337/dc25-S005" w:history="1">
        <w:r w:rsidRPr="001E2E85">
          <w:rPr>
            <w:rStyle w:val="Hyperlink"/>
            <w:rFonts w:ascii="Arial" w:hAnsi="Arial" w:cs="Arial"/>
            <w:color w:val="auto"/>
            <w:sz w:val="28"/>
            <w:szCs w:val="28"/>
            <w:shd w:val="clear" w:color="auto" w:fill="FFFFFF" w:themeFill="background1"/>
          </w:rPr>
          <w:t>https://doi.org/10.2337/dc25-S005</w:t>
        </w:r>
      </w:hyperlink>
      <w:r w:rsidRPr="001E2E85">
        <w:rPr>
          <w:rFonts w:ascii="Arial" w:hAnsi="Arial" w:cs="Arial"/>
          <w:sz w:val="28"/>
          <w:szCs w:val="28"/>
          <w:shd w:val="clear" w:color="auto" w:fill="FFFFFF" w:themeFill="background1"/>
        </w:rPr>
        <w:t> </w:t>
      </w:r>
      <w:r w:rsidRPr="001E2E85">
        <w:rPr>
          <w:rFonts w:ascii="Arial" w:hAnsi="Arial" w:cs="Arial"/>
          <w:sz w:val="28"/>
          <w:szCs w:val="28"/>
        </w:rPr>
        <w:t>(Accessed: 21 October 2026).</w:t>
      </w:r>
    </w:p>
    <w:p w14:paraId="2171D4AC"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American Diabetes Association Professional Practice Committee (2025b) ‘2. Diagnosis and classification of diabetes: Standards of Care in Diabetes—2025’, </w:t>
      </w:r>
      <w:r w:rsidRPr="001E2E85">
        <w:rPr>
          <w:rFonts w:ascii="Arial" w:hAnsi="Arial" w:cs="Arial"/>
          <w:i/>
          <w:iCs/>
          <w:sz w:val="28"/>
          <w:szCs w:val="28"/>
        </w:rPr>
        <w:t>Diabetes Care</w:t>
      </w:r>
      <w:r w:rsidRPr="001E2E85">
        <w:rPr>
          <w:rFonts w:ascii="Arial" w:hAnsi="Arial" w:cs="Arial"/>
          <w:sz w:val="28"/>
          <w:szCs w:val="28"/>
        </w:rPr>
        <w:t>, 48(Suppl. 1), pp. S27–S49. Available at: </w:t>
      </w:r>
      <w:hyperlink r:id="rId8" w:tooltip="https://doi.org/10.2337/dc25-S002" w:history="1">
        <w:r w:rsidRPr="001E2E85">
          <w:rPr>
            <w:rStyle w:val="Hyperlink"/>
            <w:rFonts w:ascii="Arial" w:hAnsi="Arial" w:cs="Arial"/>
            <w:color w:val="auto"/>
            <w:sz w:val="28"/>
            <w:szCs w:val="28"/>
          </w:rPr>
          <w:t>https://doi.org/10.2337/dc25-S002</w:t>
        </w:r>
      </w:hyperlink>
      <w:r w:rsidRPr="001E2E85">
        <w:rPr>
          <w:rFonts w:ascii="Arial" w:hAnsi="Arial" w:cs="Arial"/>
          <w:sz w:val="28"/>
          <w:szCs w:val="28"/>
        </w:rPr>
        <w:t> (Accessed: 21 October 2026).</w:t>
      </w:r>
    </w:p>
    <w:p w14:paraId="26F89783"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Colberg, S.R. et al. (2016) ‘Physical activity/exercise and diabetes: A position statement of the American Diabetes Association’, </w:t>
      </w:r>
      <w:r w:rsidRPr="001E2E85">
        <w:rPr>
          <w:rFonts w:ascii="Arial" w:hAnsi="Arial" w:cs="Arial"/>
          <w:i/>
          <w:iCs/>
          <w:sz w:val="28"/>
          <w:szCs w:val="28"/>
        </w:rPr>
        <w:t>Diabetes Care</w:t>
      </w:r>
      <w:r w:rsidRPr="001E2E85">
        <w:rPr>
          <w:rFonts w:ascii="Arial" w:hAnsi="Arial" w:cs="Arial"/>
          <w:sz w:val="28"/>
          <w:szCs w:val="28"/>
        </w:rPr>
        <w:t>, 39(11), pp. 2065–2079. Available at: </w:t>
      </w:r>
      <w:hyperlink r:id="rId9" w:tooltip="https://doi.org/10.2337/dc16-1728" w:history="1">
        <w:r w:rsidRPr="001E2E85">
          <w:rPr>
            <w:rStyle w:val="Hyperlink"/>
            <w:rFonts w:ascii="Arial" w:hAnsi="Arial" w:cs="Arial"/>
            <w:color w:val="auto"/>
            <w:sz w:val="28"/>
            <w:szCs w:val="28"/>
          </w:rPr>
          <w:t>https://doi.org/10.2337/dc16-1728</w:t>
        </w:r>
      </w:hyperlink>
      <w:r w:rsidRPr="001E2E85">
        <w:rPr>
          <w:rFonts w:ascii="Arial" w:hAnsi="Arial" w:cs="Arial"/>
          <w:sz w:val="28"/>
          <w:szCs w:val="28"/>
        </w:rPr>
        <w:t> (Accessed: 21 October 2026).</w:t>
      </w:r>
    </w:p>
    <w:p w14:paraId="29D94BF1"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 xml:space="preserve">Davies, M.J. et al. (2022) ‘Management of </w:t>
      </w:r>
      <w:proofErr w:type="spellStart"/>
      <w:r w:rsidRPr="001E2E85">
        <w:rPr>
          <w:rFonts w:ascii="Arial" w:hAnsi="Arial" w:cs="Arial"/>
          <w:sz w:val="28"/>
          <w:szCs w:val="28"/>
        </w:rPr>
        <w:t>hyperglycemia</w:t>
      </w:r>
      <w:proofErr w:type="spellEnd"/>
      <w:r w:rsidRPr="001E2E85">
        <w:rPr>
          <w:rFonts w:ascii="Arial" w:hAnsi="Arial" w:cs="Arial"/>
          <w:sz w:val="28"/>
          <w:szCs w:val="28"/>
        </w:rPr>
        <w:t xml:space="preserve"> in type 2 diabetes, 2022. A consensus report by the American Diabetes Association (ADA) and the European Association for the Study of Diabetes (EASD)’, </w:t>
      </w:r>
      <w:r w:rsidRPr="001E2E85">
        <w:rPr>
          <w:rFonts w:ascii="Arial" w:hAnsi="Arial" w:cs="Arial"/>
          <w:i/>
          <w:iCs/>
          <w:sz w:val="28"/>
          <w:szCs w:val="28"/>
        </w:rPr>
        <w:t>Diabetes Care</w:t>
      </w:r>
      <w:r w:rsidRPr="001E2E85">
        <w:rPr>
          <w:rFonts w:ascii="Arial" w:hAnsi="Arial" w:cs="Arial"/>
          <w:sz w:val="28"/>
          <w:szCs w:val="28"/>
        </w:rPr>
        <w:t>, 45(11), pp. 2753–2786. Available at: </w:t>
      </w:r>
      <w:hyperlink r:id="rId10" w:tooltip="https://doi.org/10.2337/dci22-0034" w:history="1">
        <w:r w:rsidRPr="001E2E85">
          <w:rPr>
            <w:rStyle w:val="Hyperlink"/>
            <w:rFonts w:ascii="Arial" w:hAnsi="Arial" w:cs="Arial"/>
            <w:color w:val="auto"/>
            <w:sz w:val="28"/>
            <w:szCs w:val="28"/>
          </w:rPr>
          <w:t>https://doi.org/10.2337/dci22-0034</w:t>
        </w:r>
      </w:hyperlink>
      <w:r w:rsidRPr="001E2E85">
        <w:rPr>
          <w:rFonts w:ascii="Arial" w:hAnsi="Arial" w:cs="Arial"/>
          <w:sz w:val="28"/>
          <w:szCs w:val="28"/>
        </w:rPr>
        <w:t> (Accessed: 21 October 2026).</w:t>
      </w:r>
    </w:p>
    <w:p w14:paraId="10431DBE"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DeFronzo, R.A. (2009) ‘From the triumvirate to the ominous octet: A new paradigm for the treatment of type 2 diabetes mellitus’, </w:t>
      </w:r>
      <w:r w:rsidRPr="001E2E85">
        <w:rPr>
          <w:rFonts w:ascii="Arial" w:hAnsi="Arial" w:cs="Arial"/>
          <w:i/>
          <w:iCs/>
          <w:sz w:val="28"/>
          <w:szCs w:val="28"/>
        </w:rPr>
        <w:t>Diabetes</w:t>
      </w:r>
      <w:r w:rsidRPr="001E2E85">
        <w:rPr>
          <w:rFonts w:ascii="Arial" w:hAnsi="Arial" w:cs="Arial"/>
          <w:sz w:val="28"/>
          <w:szCs w:val="28"/>
        </w:rPr>
        <w:t>, 58(4), pp. 773–795. Available at: </w:t>
      </w:r>
      <w:hyperlink r:id="rId11" w:tooltip="https://doi.org/10.2337/db09-9028" w:history="1">
        <w:r w:rsidRPr="001E2E85">
          <w:rPr>
            <w:rStyle w:val="Hyperlink"/>
            <w:rFonts w:ascii="Arial" w:hAnsi="Arial" w:cs="Arial"/>
            <w:color w:val="auto"/>
            <w:sz w:val="28"/>
            <w:szCs w:val="28"/>
          </w:rPr>
          <w:t>https://doi.org/10.2337/db09-9028</w:t>
        </w:r>
      </w:hyperlink>
      <w:r w:rsidRPr="001E2E85">
        <w:rPr>
          <w:rFonts w:ascii="Arial" w:hAnsi="Arial" w:cs="Arial"/>
          <w:sz w:val="28"/>
          <w:szCs w:val="28"/>
        </w:rPr>
        <w:t> (Accessed: 21 October 2026).</w:t>
      </w:r>
    </w:p>
    <w:p w14:paraId="79D8B68C"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Diabetes Prevention Program Research Group (2002) ‘Reduction in the incidence of type 2 diabetes with lifestyle intervention or metformin’, </w:t>
      </w:r>
      <w:r w:rsidRPr="001E2E85">
        <w:rPr>
          <w:rFonts w:ascii="Arial" w:hAnsi="Arial" w:cs="Arial"/>
          <w:i/>
          <w:iCs/>
          <w:sz w:val="28"/>
          <w:szCs w:val="28"/>
        </w:rPr>
        <w:t>New England Journal of Medicine</w:t>
      </w:r>
      <w:r w:rsidRPr="001E2E85">
        <w:rPr>
          <w:rFonts w:ascii="Arial" w:hAnsi="Arial" w:cs="Arial"/>
          <w:sz w:val="28"/>
          <w:szCs w:val="28"/>
        </w:rPr>
        <w:t>, 346(6), pp. 393–403. Available at: </w:t>
      </w:r>
      <w:hyperlink r:id="rId12" w:tooltip="https://doi.org/10.1056/NEJMoa012512" w:history="1">
        <w:r w:rsidRPr="001E2E85">
          <w:rPr>
            <w:rStyle w:val="Hyperlink"/>
            <w:rFonts w:ascii="Arial" w:hAnsi="Arial" w:cs="Arial"/>
            <w:color w:val="auto"/>
            <w:sz w:val="28"/>
            <w:szCs w:val="28"/>
          </w:rPr>
          <w:t>https://doi.org/10.1056/NEJMoa012512</w:t>
        </w:r>
      </w:hyperlink>
      <w:r w:rsidRPr="001E2E85">
        <w:rPr>
          <w:rFonts w:ascii="Arial" w:hAnsi="Arial" w:cs="Arial"/>
          <w:sz w:val="28"/>
          <w:szCs w:val="28"/>
        </w:rPr>
        <w:t> (Accessed: 21 October 2026).</w:t>
      </w:r>
    </w:p>
    <w:p w14:paraId="09DFFF5D"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lastRenderedPageBreak/>
        <w:t>Evert, A.B. et al. (2019) ‘Nutrition therapy for adults with diabetes or prediabetes: A consensus report’, </w:t>
      </w:r>
      <w:r w:rsidRPr="001E2E85">
        <w:rPr>
          <w:rFonts w:ascii="Arial" w:hAnsi="Arial" w:cs="Arial"/>
          <w:i/>
          <w:iCs/>
          <w:sz w:val="28"/>
          <w:szCs w:val="28"/>
        </w:rPr>
        <w:t>Diabetes Care</w:t>
      </w:r>
      <w:r w:rsidRPr="001E2E85">
        <w:rPr>
          <w:rFonts w:ascii="Arial" w:hAnsi="Arial" w:cs="Arial"/>
          <w:sz w:val="28"/>
          <w:szCs w:val="28"/>
        </w:rPr>
        <w:t>, 42(5), pp. 731–754. Available at: </w:t>
      </w:r>
      <w:hyperlink r:id="rId13" w:tooltip="https://doi.org/10.2337/dci19-0014" w:history="1">
        <w:r w:rsidRPr="001E2E85">
          <w:rPr>
            <w:rStyle w:val="Hyperlink"/>
            <w:rFonts w:ascii="Arial" w:hAnsi="Arial" w:cs="Arial"/>
            <w:color w:val="auto"/>
            <w:sz w:val="28"/>
            <w:szCs w:val="28"/>
          </w:rPr>
          <w:t>https://doi.org/10.2337/dci19-0014</w:t>
        </w:r>
      </w:hyperlink>
      <w:r w:rsidRPr="001E2E85">
        <w:rPr>
          <w:rFonts w:ascii="Arial" w:hAnsi="Arial" w:cs="Arial"/>
          <w:sz w:val="28"/>
          <w:szCs w:val="28"/>
        </w:rPr>
        <w:t> (Accessed: 20 October 2026).</w:t>
      </w:r>
    </w:p>
    <w:p w14:paraId="715458D7"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 xml:space="preserve">Mannucci, E., Antenore, A., Giorgino, F. and </w:t>
      </w:r>
      <w:proofErr w:type="spellStart"/>
      <w:r w:rsidRPr="001E2E85">
        <w:rPr>
          <w:rFonts w:ascii="Arial" w:hAnsi="Arial" w:cs="Arial"/>
          <w:sz w:val="28"/>
          <w:szCs w:val="28"/>
        </w:rPr>
        <w:t>Scavini</w:t>
      </w:r>
      <w:proofErr w:type="spellEnd"/>
      <w:r w:rsidRPr="001E2E85">
        <w:rPr>
          <w:rFonts w:ascii="Arial" w:hAnsi="Arial" w:cs="Arial"/>
          <w:sz w:val="28"/>
          <w:szCs w:val="28"/>
        </w:rPr>
        <w:t>, M. (2018) ‘Effects of structured versus unstructured self-monitoring of blood glucose on glucose control in patients with non-insulin-treated type 2 diabetes: A meta-analysis of randomized controlled trials’, </w:t>
      </w:r>
      <w:r w:rsidRPr="001E2E85">
        <w:rPr>
          <w:rFonts w:ascii="Arial" w:hAnsi="Arial" w:cs="Arial"/>
          <w:i/>
          <w:iCs/>
          <w:sz w:val="28"/>
          <w:szCs w:val="28"/>
        </w:rPr>
        <w:t>Journal of Diabetes Science and Technology</w:t>
      </w:r>
      <w:r w:rsidRPr="001E2E85">
        <w:rPr>
          <w:rFonts w:ascii="Arial" w:hAnsi="Arial" w:cs="Arial"/>
          <w:sz w:val="28"/>
          <w:szCs w:val="28"/>
        </w:rPr>
        <w:t>, 12(1), pp. 183–189. Available at: </w:t>
      </w:r>
      <w:hyperlink r:id="rId14" w:tooltip="https://doi.org/10.1177/1932296817719290" w:history="1">
        <w:r w:rsidRPr="001E2E85">
          <w:rPr>
            <w:rStyle w:val="Hyperlink"/>
            <w:rFonts w:ascii="Arial" w:hAnsi="Arial" w:cs="Arial"/>
            <w:color w:val="auto"/>
            <w:sz w:val="28"/>
            <w:szCs w:val="28"/>
          </w:rPr>
          <w:t>https://doi.org/10.1177/1932296817719290</w:t>
        </w:r>
      </w:hyperlink>
      <w:r w:rsidRPr="001E2E85">
        <w:rPr>
          <w:rFonts w:ascii="Arial" w:hAnsi="Arial" w:cs="Arial"/>
          <w:sz w:val="28"/>
          <w:szCs w:val="28"/>
        </w:rPr>
        <w:t> (Accessed: 20 October 2026).</w:t>
      </w:r>
    </w:p>
    <w:p w14:paraId="4BE129F0"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National Institute for Health and Care Excellence (NICE) (2026) </w:t>
      </w:r>
      <w:r w:rsidRPr="001E2E85">
        <w:rPr>
          <w:rFonts w:ascii="Arial" w:hAnsi="Arial" w:cs="Arial"/>
          <w:i/>
          <w:iCs/>
          <w:sz w:val="28"/>
          <w:szCs w:val="28"/>
        </w:rPr>
        <w:t>Type 2 diabetes in adults: management</w:t>
      </w:r>
      <w:r w:rsidRPr="001E2E85">
        <w:rPr>
          <w:rFonts w:ascii="Arial" w:hAnsi="Arial" w:cs="Arial"/>
          <w:sz w:val="28"/>
          <w:szCs w:val="28"/>
        </w:rPr>
        <w:t>. NICE guideline NG28. Available at: </w:t>
      </w:r>
      <w:hyperlink r:id="rId15" w:tooltip="https://www.nice.org.uk/guidance/ng28" w:history="1">
        <w:r w:rsidRPr="001E2E85">
          <w:rPr>
            <w:rStyle w:val="Hyperlink"/>
            <w:rFonts w:ascii="Arial" w:hAnsi="Arial" w:cs="Arial"/>
            <w:color w:val="auto"/>
            <w:sz w:val="28"/>
            <w:szCs w:val="28"/>
          </w:rPr>
          <w:t>https://www.nice.org.uk/guidance/ng28</w:t>
        </w:r>
      </w:hyperlink>
      <w:r w:rsidRPr="001E2E85">
        <w:rPr>
          <w:rFonts w:ascii="Arial" w:hAnsi="Arial" w:cs="Arial"/>
          <w:sz w:val="28"/>
          <w:szCs w:val="28"/>
        </w:rPr>
        <w:t> (Accessed: 20 October 2026).</w:t>
      </w:r>
    </w:p>
    <w:p w14:paraId="1812C384" w14:textId="1C01E051"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 xml:space="preserve">UK Prospective Diabetes Study (UKPDS) Group (1998) ‘Intensive blood-glucose control with </w:t>
      </w:r>
      <w:r w:rsidR="00D54660" w:rsidRPr="001E2E85">
        <w:rPr>
          <w:rFonts w:ascii="Arial" w:hAnsi="Arial" w:cs="Arial"/>
          <w:sz w:val="28"/>
          <w:szCs w:val="28"/>
        </w:rPr>
        <w:t>sulphonyl Reas</w:t>
      </w:r>
      <w:r w:rsidRPr="001E2E85">
        <w:rPr>
          <w:rFonts w:ascii="Arial" w:hAnsi="Arial" w:cs="Arial"/>
          <w:sz w:val="28"/>
          <w:szCs w:val="28"/>
        </w:rPr>
        <w:t xml:space="preserve"> or insulin compared with conventional treatment and risk of complications in patients with type 2 diabetes’, </w:t>
      </w:r>
      <w:r w:rsidRPr="001E2E85">
        <w:rPr>
          <w:rFonts w:ascii="Arial" w:hAnsi="Arial" w:cs="Arial"/>
          <w:i/>
          <w:iCs/>
          <w:sz w:val="28"/>
          <w:szCs w:val="28"/>
        </w:rPr>
        <w:t>The Lancet</w:t>
      </w:r>
      <w:r w:rsidRPr="001E2E85">
        <w:rPr>
          <w:rFonts w:ascii="Arial" w:hAnsi="Arial" w:cs="Arial"/>
          <w:sz w:val="28"/>
          <w:szCs w:val="28"/>
        </w:rPr>
        <w:t>, 352(9131), pp. 837–853. Available at: </w:t>
      </w:r>
      <w:hyperlink r:id="rId16" w:tooltip="https://doi.org/10.1016/S0140-6736(98)07019-6" w:history="1">
        <w:r w:rsidRPr="001E2E85">
          <w:rPr>
            <w:rStyle w:val="Hyperlink"/>
            <w:rFonts w:ascii="Arial" w:hAnsi="Arial" w:cs="Arial"/>
            <w:color w:val="auto"/>
            <w:sz w:val="28"/>
            <w:szCs w:val="28"/>
          </w:rPr>
          <w:t>https://doi.org/10.1016/S0140-6736(98)07019-6</w:t>
        </w:r>
      </w:hyperlink>
      <w:r w:rsidRPr="001E2E85">
        <w:rPr>
          <w:rFonts w:ascii="Arial" w:hAnsi="Arial" w:cs="Arial"/>
          <w:sz w:val="28"/>
          <w:szCs w:val="28"/>
        </w:rPr>
        <w:t> (Accessed: 20 October 2026).</w:t>
      </w:r>
    </w:p>
    <w:p w14:paraId="22E364F0"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World Health Organization (2024) </w:t>
      </w:r>
      <w:r w:rsidRPr="001E2E85">
        <w:rPr>
          <w:rFonts w:ascii="Arial" w:hAnsi="Arial" w:cs="Arial"/>
          <w:i/>
          <w:iCs/>
          <w:sz w:val="28"/>
          <w:szCs w:val="28"/>
        </w:rPr>
        <w:t>Diabetes</w:t>
      </w:r>
      <w:r w:rsidRPr="001E2E85">
        <w:rPr>
          <w:rFonts w:ascii="Arial" w:hAnsi="Arial" w:cs="Arial"/>
          <w:sz w:val="28"/>
          <w:szCs w:val="28"/>
        </w:rPr>
        <w:t>. Available at: </w:t>
      </w:r>
      <w:hyperlink r:id="rId17" w:tooltip="https://www.who.int/news-room/fact-sheets/detail/diabetes" w:history="1">
        <w:r w:rsidRPr="001E2E85">
          <w:rPr>
            <w:rStyle w:val="Hyperlink"/>
            <w:rFonts w:ascii="Arial" w:hAnsi="Arial" w:cs="Arial"/>
            <w:color w:val="auto"/>
            <w:sz w:val="28"/>
            <w:szCs w:val="28"/>
          </w:rPr>
          <w:t>https://www.who.int/news-room/fact-sheets/detail/diabetes</w:t>
        </w:r>
      </w:hyperlink>
      <w:r w:rsidRPr="001E2E85">
        <w:rPr>
          <w:rFonts w:ascii="Arial" w:hAnsi="Arial" w:cs="Arial"/>
          <w:sz w:val="28"/>
          <w:szCs w:val="28"/>
        </w:rPr>
        <w:t>(Accessed: 26 October 2026).</w:t>
      </w:r>
    </w:p>
    <w:p w14:paraId="08A417B1" w14:textId="77777777" w:rsidR="007C2310" w:rsidRPr="001E2E85" w:rsidRDefault="007C2310" w:rsidP="007C2310">
      <w:pPr>
        <w:spacing w:line="360" w:lineRule="auto"/>
        <w:jc w:val="both"/>
        <w:rPr>
          <w:rFonts w:ascii="Arial" w:hAnsi="Arial" w:cs="Arial"/>
          <w:sz w:val="28"/>
          <w:szCs w:val="28"/>
        </w:rPr>
      </w:pPr>
      <w:r w:rsidRPr="001E2E85">
        <w:rPr>
          <w:rFonts w:ascii="Arial" w:hAnsi="Arial" w:cs="Arial"/>
          <w:sz w:val="28"/>
          <w:szCs w:val="28"/>
        </w:rPr>
        <w:t>Young, L.A. et al. (2017) ‘Glucose self-monitoring in non-insulin-treated patients with type 2 diabetes in primary care settings: A randomized trial’, </w:t>
      </w:r>
      <w:r w:rsidRPr="001E2E85">
        <w:rPr>
          <w:rFonts w:ascii="Arial" w:hAnsi="Arial" w:cs="Arial"/>
          <w:i/>
          <w:iCs/>
          <w:sz w:val="28"/>
          <w:szCs w:val="28"/>
        </w:rPr>
        <w:t>JAMA Internal Medicine</w:t>
      </w:r>
      <w:r w:rsidRPr="001E2E85">
        <w:rPr>
          <w:rFonts w:ascii="Arial" w:hAnsi="Arial" w:cs="Arial"/>
          <w:sz w:val="28"/>
          <w:szCs w:val="28"/>
        </w:rPr>
        <w:t xml:space="preserve">, 177(7), pp. 920–929. Available </w:t>
      </w:r>
      <w:r w:rsidRPr="001E2E85">
        <w:rPr>
          <w:rFonts w:ascii="Arial" w:hAnsi="Arial" w:cs="Arial"/>
          <w:sz w:val="28"/>
          <w:szCs w:val="28"/>
        </w:rPr>
        <w:lastRenderedPageBreak/>
        <w:t>at: </w:t>
      </w:r>
      <w:hyperlink r:id="rId18" w:tooltip="https://doi.org/10.1001/jamainternmed.2017.1233" w:history="1">
        <w:r w:rsidRPr="001E2E85">
          <w:rPr>
            <w:rStyle w:val="Hyperlink"/>
            <w:rFonts w:ascii="Arial" w:hAnsi="Arial" w:cs="Arial"/>
            <w:color w:val="auto"/>
            <w:sz w:val="28"/>
            <w:szCs w:val="28"/>
          </w:rPr>
          <w:t>https://doi.org/10.1001/jamainternmed.2017.1233</w:t>
        </w:r>
      </w:hyperlink>
      <w:r w:rsidRPr="001E2E85">
        <w:rPr>
          <w:rFonts w:ascii="Arial" w:hAnsi="Arial" w:cs="Arial"/>
          <w:sz w:val="28"/>
          <w:szCs w:val="28"/>
        </w:rPr>
        <w:t> (Accessed: 21 October 2026).</w:t>
      </w:r>
    </w:p>
    <w:p w14:paraId="2B758E9D" w14:textId="77777777" w:rsidR="00F518CD" w:rsidRPr="001E2E85" w:rsidRDefault="00F518CD" w:rsidP="000713F0">
      <w:pPr>
        <w:spacing w:line="360" w:lineRule="auto"/>
        <w:jc w:val="both"/>
        <w:rPr>
          <w:rFonts w:ascii="Arial" w:hAnsi="Arial" w:cs="Arial"/>
          <w:sz w:val="28"/>
          <w:szCs w:val="28"/>
        </w:rPr>
      </w:pPr>
    </w:p>
    <w:sectPr w:rsidR="00F518CD" w:rsidRPr="001E2E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D8C54" w14:textId="77777777" w:rsidR="008B7ECE" w:rsidRDefault="008B7ECE" w:rsidP="00D438FA">
      <w:pPr>
        <w:spacing w:after="0" w:line="240" w:lineRule="auto"/>
      </w:pPr>
      <w:r>
        <w:separator/>
      </w:r>
    </w:p>
  </w:endnote>
  <w:endnote w:type="continuationSeparator" w:id="0">
    <w:p w14:paraId="1A21A803" w14:textId="77777777" w:rsidR="008B7ECE" w:rsidRDefault="008B7ECE" w:rsidP="00D438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A451D" w14:textId="77777777" w:rsidR="008B7ECE" w:rsidRDefault="008B7ECE" w:rsidP="00D438FA">
      <w:pPr>
        <w:spacing w:after="0" w:line="240" w:lineRule="auto"/>
      </w:pPr>
      <w:r>
        <w:separator/>
      </w:r>
    </w:p>
  </w:footnote>
  <w:footnote w:type="continuationSeparator" w:id="0">
    <w:p w14:paraId="68AEDD47" w14:textId="77777777" w:rsidR="008B7ECE" w:rsidRDefault="008B7ECE" w:rsidP="00D438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3F0"/>
    <w:rsid w:val="00002BA0"/>
    <w:rsid w:val="000713F0"/>
    <w:rsid w:val="00117BBB"/>
    <w:rsid w:val="00166E01"/>
    <w:rsid w:val="001A6D9A"/>
    <w:rsid w:val="001E2E85"/>
    <w:rsid w:val="00240DB4"/>
    <w:rsid w:val="00264EAA"/>
    <w:rsid w:val="00293F9C"/>
    <w:rsid w:val="0035580D"/>
    <w:rsid w:val="003A2F25"/>
    <w:rsid w:val="004D3466"/>
    <w:rsid w:val="004F36B5"/>
    <w:rsid w:val="00551B33"/>
    <w:rsid w:val="00593B65"/>
    <w:rsid w:val="00634C6E"/>
    <w:rsid w:val="00737AF7"/>
    <w:rsid w:val="007C2310"/>
    <w:rsid w:val="007C44B7"/>
    <w:rsid w:val="00816CAD"/>
    <w:rsid w:val="00820316"/>
    <w:rsid w:val="00883916"/>
    <w:rsid w:val="00886F8D"/>
    <w:rsid w:val="008B7ECE"/>
    <w:rsid w:val="00984C10"/>
    <w:rsid w:val="009A3327"/>
    <w:rsid w:val="009B6EE6"/>
    <w:rsid w:val="009E333F"/>
    <w:rsid w:val="00AA7444"/>
    <w:rsid w:val="00AC219C"/>
    <w:rsid w:val="00B2689F"/>
    <w:rsid w:val="00B547E6"/>
    <w:rsid w:val="00B54815"/>
    <w:rsid w:val="00C018A8"/>
    <w:rsid w:val="00CF5B1C"/>
    <w:rsid w:val="00D10889"/>
    <w:rsid w:val="00D438FA"/>
    <w:rsid w:val="00D52949"/>
    <w:rsid w:val="00D54660"/>
    <w:rsid w:val="00DA102A"/>
    <w:rsid w:val="00DE47BC"/>
    <w:rsid w:val="00DE7093"/>
    <w:rsid w:val="00F11EB9"/>
    <w:rsid w:val="00F420C4"/>
    <w:rsid w:val="00F473C1"/>
    <w:rsid w:val="00F518CD"/>
    <w:rsid w:val="00FC1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B998D"/>
  <w15:chartTrackingRefBased/>
  <w15:docId w15:val="{9FA75FE5-76BE-43F4-B971-BB726DE59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3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713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13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13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13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13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13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13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13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3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713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713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713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13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13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13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13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13F0"/>
    <w:rPr>
      <w:rFonts w:eastAsiaTheme="majorEastAsia" w:cstheme="majorBidi"/>
      <w:color w:val="272727" w:themeColor="text1" w:themeTint="D8"/>
    </w:rPr>
  </w:style>
  <w:style w:type="paragraph" w:styleId="Title">
    <w:name w:val="Title"/>
    <w:basedOn w:val="Normal"/>
    <w:next w:val="Normal"/>
    <w:link w:val="TitleChar"/>
    <w:uiPriority w:val="10"/>
    <w:qFormat/>
    <w:rsid w:val="000713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3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3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13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13F0"/>
    <w:pPr>
      <w:spacing w:before="160"/>
      <w:jc w:val="center"/>
    </w:pPr>
    <w:rPr>
      <w:i/>
      <w:iCs/>
      <w:color w:val="404040" w:themeColor="text1" w:themeTint="BF"/>
    </w:rPr>
  </w:style>
  <w:style w:type="character" w:customStyle="1" w:styleId="QuoteChar">
    <w:name w:val="Quote Char"/>
    <w:basedOn w:val="DefaultParagraphFont"/>
    <w:link w:val="Quote"/>
    <w:uiPriority w:val="29"/>
    <w:rsid w:val="000713F0"/>
    <w:rPr>
      <w:i/>
      <w:iCs/>
      <w:color w:val="404040" w:themeColor="text1" w:themeTint="BF"/>
    </w:rPr>
  </w:style>
  <w:style w:type="paragraph" w:styleId="ListParagraph">
    <w:name w:val="List Paragraph"/>
    <w:basedOn w:val="Normal"/>
    <w:uiPriority w:val="34"/>
    <w:qFormat/>
    <w:rsid w:val="000713F0"/>
    <w:pPr>
      <w:ind w:left="720"/>
      <w:contextualSpacing/>
    </w:pPr>
  </w:style>
  <w:style w:type="character" w:styleId="IntenseEmphasis">
    <w:name w:val="Intense Emphasis"/>
    <w:basedOn w:val="DefaultParagraphFont"/>
    <w:uiPriority w:val="21"/>
    <w:qFormat/>
    <w:rsid w:val="000713F0"/>
    <w:rPr>
      <w:i/>
      <w:iCs/>
      <w:color w:val="2F5496" w:themeColor="accent1" w:themeShade="BF"/>
    </w:rPr>
  </w:style>
  <w:style w:type="paragraph" w:styleId="IntenseQuote">
    <w:name w:val="Intense Quote"/>
    <w:basedOn w:val="Normal"/>
    <w:next w:val="Normal"/>
    <w:link w:val="IntenseQuoteChar"/>
    <w:uiPriority w:val="30"/>
    <w:qFormat/>
    <w:rsid w:val="000713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13F0"/>
    <w:rPr>
      <w:i/>
      <w:iCs/>
      <w:color w:val="2F5496" w:themeColor="accent1" w:themeShade="BF"/>
    </w:rPr>
  </w:style>
  <w:style w:type="character" w:styleId="IntenseReference">
    <w:name w:val="Intense Reference"/>
    <w:basedOn w:val="DefaultParagraphFont"/>
    <w:uiPriority w:val="32"/>
    <w:qFormat/>
    <w:rsid w:val="000713F0"/>
    <w:rPr>
      <w:b/>
      <w:bCs/>
      <w:smallCaps/>
      <w:color w:val="2F5496" w:themeColor="accent1" w:themeShade="BF"/>
      <w:spacing w:val="5"/>
    </w:rPr>
  </w:style>
  <w:style w:type="character" w:styleId="Hyperlink">
    <w:name w:val="Hyperlink"/>
    <w:basedOn w:val="DefaultParagraphFont"/>
    <w:uiPriority w:val="99"/>
    <w:unhideWhenUsed/>
    <w:rsid w:val="007C2310"/>
    <w:rPr>
      <w:color w:val="0563C1" w:themeColor="hyperlink"/>
      <w:u w:val="single"/>
    </w:rPr>
  </w:style>
  <w:style w:type="character" w:styleId="UnresolvedMention">
    <w:name w:val="Unresolved Mention"/>
    <w:basedOn w:val="DefaultParagraphFont"/>
    <w:uiPriority w:val="99"/>
    <w:semiHidden/>
    <w:unhideWhenUsed/>
    <w:rsid w:val="007C2310"/>
    <w:rPr>
      <w:color w:val="605E5C"/>
      <w:shd w:val="clear" w:color="auto" w:fill="E1DFDD"/>
    </w:rPr>
  </w:style>
  <w:style w:type="table" w:styleId="TableGrid">
    <w:name w:val="Table Grid"/>
    <w:basedOn w:val="TableNormal"/>
    <w:uiPriority w:val="39"/>
    <w:rsid w:val="009B6E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10889"/>
    <w:pPr>
      <w:spacing w:before="240" w:after="0"/>
      <w:outlineLvl w:val="9"/>
    </w:pPr>
    <w:rPr>
      <w:sz w:val="32"/>
      <w:szCs w:val="32"/>
      <w:lang w:eastAsia="en-GB"/>
    </w:rPr>
  </w:style>
  <w:style w:type="paragraph" w:styleId="TOC2">
    <w:name w:val="toc 2"/>
    <w:basedOn w:val="Normal"/>
    <w:next w:val="Normal"/>
    <w:autoRedefine/>
    <w:uiPriority w:val="39"/>
    <w:unhideWhenUsed/>
    <w:rsid w:val="00D10889"/>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D10889"/>
    <w:pPr>
      <w:spacing w:after="100"/>
    </w:pPr>
    <w:rPr>
      <w:rFonts w:eastAsiaTheme="minorEastAsia" w:cs="Times New Roman"/>
      <w:lang w:eastAsia="en-GB"/>
    </w:rPr>
  </w:style>
  <w:style w:type="paragraph" w:styleId="TOC3">
    <w:name w:val="toc 3"/>
    <w:basedOn w:val="Normal"/>
    <w:next w:val="Normal"/>
    <w:autoRedefine/>
    <w:uiPriority w:val="39"/>
    <w:unhideWhenUsed/>
    <w:rsid w:val="00D10889"/>
    <w:pPr>
      <w:spacing w:after="100"/>
      <w:ind w:left="440"/>
    </w:pPr>
    <w:rPr>
      <w:rFonts w:eastAsiaTheme="minorEastAsia" w:cs="Times New Roman"/>
      <w:lang w:eastAsia="en-GB"/>
    </w:rPr>
  </w:style>
  <w:style w:type="paragraph" w:styleId="Header">
    <w:name w:val="header"/>
    <w:basedOn w:val="Normal"/>
    <w:link w:val="HeaderChar"/>
    <w:uiPriority w:val="99"/>
    <w:unhideWhenUsed/>
    <w:rsid w:val="00D438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8FA"/>
  </w:style>
  <w:style w:type="paragraph" w:styleId="Footer">
    <w:name w:val="footer"/>
    <w:basedOn w:val="Normal"/>
    <w:link w:val="FooterChar"/>
    <w:uiPriority w:val="99"/>
    <w:unhideWhenUsed/>
    <w:rsid w:val="00D438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8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37/dc25-S002" TargetMode="External"/><Relationship Id="rId13" Type="http://schemas.openxmlformats.org/officeDocument/2006/relationships/hyperlink" Target="https://doi.org/10.2337/dci19-0014" TargetMode="External"/><Relationship Id="rId18" Type="http://schemas.openxmlformats.org/officeDocument/2006/relationships/hyperlink" Target="https://doi.org/10.1001/jamainternmed.2017.1233" TargetMode="External"/><Relationship Id="rId3" Type="http://schemas.openxmlformats.org/officeDocument/2006/relationships/settings" Target="settings.xml"/><Relationship Id="rId7" Type="http://schemas.openxmlformats.org/officeDocument/2006/relationships/hyperlink" Target="https://doi.org/10.2337/dc25-S005" TargetMode="External"/><Relationship Id="rId12" Type="http://schemas.openxmlformats.org/officeDocument/2006/relationships/hyperlink" Target="https://doi.org/10.1056/NEJMoa012512" TargetMode="External"/><Relationship Id="rId17" Type="http://schemas.openxmlformats.org/officeDocument/2006/relationships/hyperlink" Target="https://www.who.int/news-room/fact-sheets/detail/diabetes" TargetMode="External"/><Relationship Id="rId2" Type="http://schemas.openxmlformats.org/officeDocument/2006/relationships/styles" Target="styles.xml"/><Relationship Id="rId16" Type="http://schemas.openxmlformats.org/officeDocument/2006/relationships/hyperlink" Target="https://doi.org/10.1016/S0140-6736(98)07019-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337/db09-9028" TargetMode="External"/><Relationship Id="rId5" Type="http://schemas.openxmlformats.org/officeDocument/2006/relationships/footnotes" Target="footnotes.xml"/><Relationship Id="rId15" Type="http://schemas.openxmlformats.org/officeDocument/2006/relationships/hyperlink" Target="https://www.nice.org.uk/guidance/ng28" TargetMode="External"/><Relationship Id="rId10" Type="http://schemas.openxmlformats.org/officeDocument/2006/relationships/hyperlink" Target="https://doi.org/10.2337/dci22-003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337/dc16-1728" TargetMode="External"/><Relationship Id="rId14" Type="http://schemas.openxmlformats.org/officeDocument/2006/relationships/hyperlink" Target="https://doi.org/10.1177/19322968177192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5AA403-70B9-4BB1-B316-23A2B89B8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Pauline Grace Laureaga</dc:creator>
  <cp:keywords/>
  <dc:description/>
  <cp:lastModifiedBy>Pauline Grace Laureaga</cp:lastModifiedBy>
  <cp:revision>2</cp:revision>
  <dcterms:created xsi:type="dcterms:W3CDTF">2026-10-26T03:58:00Z</dcterms:created>
  <dcterms:modified xsi:type="dcterms:W3CDTF">2026-10-26T03:58:00Z</dcterms:modified>
</cp:coreProperties>
</file>