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30854F7" w14:textId="69D26DD2" w:rsidR="1CCC419F" w:rsidRDefault="3CB66EB7" w:rsidP="3CB66EB7">
      <w:pPr>
        <w:spacing w:line="360" w:lineRule="auto"/>
        <w:jc w:val="center"/>
        <w:rPr>
          <w:rFonts w:ascii="Arial" w:hAnsi="Arial" w:cs="Arial"/>
          <w:b/>
          <w:bCs/>
          <w:sz w:val="28"/>
          <w:szCs w:val="28"/>
          <w:u w:val="single"/>
          <w:lang w:val="en-GB"/>
        </w:rPr>
      </w:pPr>
      <w:bookmarkStart w:id="0" w:name="_GoBack"/>
      <w:bookmarkEnd w:id="0"/>
      <w:r w:rsidRPr="3CB66EB7">
        <w:rPr>
          <w:rFonts w:ascii="Arial" w:hAnsi="Arial" w:cs="Arial"/>
          <w:b/>
          <w:bCs/>
          <w:sz w:val="28"/>
          <w:szCs w:val="28"/>
          <w:u w:val="single"/>
          <w:lang w:val="en-GB"/>
        </w:rPr>
        <w:t>The effectiveness of using Mini Plenaries to increase the involvement and engagement of pupils in Year 5 and 6.</w:t>
      </w:r>
    </w:p>
    <w:p w14:paraId="5563F576" w14:textId="7429A626" w:rsidR="3CB66EB7" w:rsidRDefault="3CB66EB7" w:rsidP="3CB66EB7">
      <w:pPr>
        <w:spacing w:line="360" w:lineRule="auto"/>
        <w:jc w:val="center"/>
        <w:rPr>
          <w:rFonts w:ascii="Arial" w:hAnsi="Arial" w:cs="Arial"/>
          <w:b/>
          <w:bCs/>
          <w:sz w:val="28"/>
          <w:szCs w:val="28"/>
          <w:u w:val="single"/>
          <w:lang w:val="en-GB"/>
        </w:rPr>
      </w:pPr>
    </w:p>
    <w:p w14:paraId="18B70850" w14:textId="43D34D91" w:rsidR="3CB66EB7" w:rsidRDefault="3CB66EB7" w:rsidP="3CB66EB7">
      <w:pPr>
        <w:spacing w:line="360" w:lineRule="auto"/>
        <w:jc w:val="center"/>
        <w:rPr>
          <w:rFonts w:ascii="Arial" w:hAnsi="Arial" w:cs="Arial"/>
          <w:b/>
          <w:bCs/>
          <w:sz w:val="28"/>
          <w:szCs w:val="28"/>
          <w:u w:val="single"/>
          <w:lang w:val="en-GB"/>
        </w:rPr>
      </w:pPr>
    </w:p>
    <w:tbl>
      <w:tblPr>
        <w:tblStyle w:val="TableGrid"/>
        <w:tblW w:w="0" w:type="auto"/>
        <w:tblLayout w:type="fixed"/>
        <w:tblLook w:val="06A0" w:firstRow="1" w:lastRow="0" w:firstColumn="1" w:lastColumn="0" w:noHBand="1" w:noVBand="1"/>
      </w:tblPr>
      <w:tblGrid>
        <w:gridCol w:w="3007"/>
        <w:gridCol w:w="3007"/>
        <w:gridCol w:w="3007"/>
      </w:tblGrid>
      <w:tr w:rsidR="3CB66EB7" w14:paraId="4B052F55" w14:textId="77777777" w:rsidTr="28239F2E">
        <w:tc>
          <w:tcPr>
            <w:tcW w:w="3007" w:type="dxa"/>
          </w:tcPr>
          <w:p w14:paraId="239A6F5C" w14:textId="3BF366E5" w:rsidR="3CB66EB7" w:rsidRDefault="3CB66EB7" w:rsidP="3CB66EB7">
            <w:pPr>
              <w:rPr>
                <w:rFonts w:ascii="Arial" w:hAnsi="Arial" w:cs="Arial"/>
                <w:b/>
                <w:bCs/>
                <w:sz w:val="28"/>
                <w:szCs w:val="28"/>
                <w:lang w:val="en-GB"/>
              </w:rPr>
            </w:pPr>
          </w:p>
        </w:tc>
        <w:tc>
          <w:tcPr>
            <w:tcW w:w="3007" w:type="dxa"/>
          </w:tcPr>
          <w:p w14:paraId="3F120A9A" w14:textId="3B9408F4" w:rsidR="3CB66EB7" w:rsidRDefault="3CB66EB7" w:rsidP="3CB66EB7">
            <w:pPr>
              <w:rPr>
                <w:rFonts w:ascii="Arial" w:hAnsi="Arial" w:cs="Arial"/>
                <w:b/>
                <w:bCs/>
                <w:sz w:val="28"/>
                <w:szCs w:val="28"/>
                <w:lang w:val="en-GB"/>
              </w:rPr>
            </w:pPr>
            <w:r w:rsidRPr="3CB66EB7">
              <w:rPr>
                <w:rFonts w:ascii="Arial" w:hAnsi="Arial" w:cs="Arial"/>
                <w:b/>
                <w:bCs/>
                <w:sz w:val="28"/>
                <w:szCs w:val="28"/>
                <w:lang w:val="en-GB"/>
              </w:rPr>
              <w:t>The target:</w:t>
            </w:r>
          </w:p>
        </w:tc>
        <w:tc>
          <w:tcPr>
            <w:tcW w:w="3007" w:type="dxa"/>
          </w:tcPr>
          <w:p w14:paraId="4FAACFD1" w14:textId="116B01FE" w:rsidR="3CB66EB7" w:rsidRDefault="3CB66EB7" w:rsidP="3CB66EB7">
            <w:pPr>
              <w:rPr>
                <w:rFonts w:ascii="Arial" w:hAnsi="Arial" w:cs="Arial"/>
                <w:b/>
                <w:bCs/>
                <w:sz w:val="28"/>
                <w:szCs w:val="28"/>
                <w:lang w:val="en-GB"/>
              </w:rPr>
            </w:pPr>
            <w:r w:rsidRPr="3CB66EB7">
              <w:rPr>
                <w:rFonts w:ascii="Arial" w:hAnsi="Arial" w:cs="Arial"/>
                <w:b/>
                <w:bCs/>
                <w:sz w:val="28"/>
                <w:szCs w:val="28"/>
                <w:lang w:val="en-GB"/>
              </w:rPr>
              <w:t>How did I complete the target?</w:t>
            </w:r>
          </w:p>
        </w:tc>
      </w:tr>
      <w:tr w:rsidR="3CB66EB7" w14:paraId="6036F22D" w14:textId="77777777" w:rsidTr="28239F2E">
        <w:tc>
          <w:tcPr>
            <w:tcW w:w="3007" w:type="dxa"/>
          </w:tcPr>
          <w:p w14:paraId="30BC7885" w14:textId="4041A342" w:rsidR="3CB66EB7" w:rsidRDefault="3CB66EB7" w:rsidP="3CB66EB7">
            <w:pPr>
              <w:rPr>
                <w:rFonts w:ascii="Arial" w:hAnsi="Arial" w:cs="Arial"/>
                <w:b/>
                <w:bCs/>
                <w:sz w:val="28"/>
                <w:szCs w:val="28"/>
                <w:lang w:val="en-GB"/>
              </w:rPr>
            </w:pPr>
            <w:r w:rsidRPr="3CB66EB7">
              <w:rPr>
                <w:rFonts w:ascii="Arial" w:hAnsi="Arial" w:cs="Arial"/>
                <w:b/>
                <w:bCs/>
                <w:sz w:val="28"/>
                <w:szCs w:val="28"/>
                <w:lang w:val="en-GB"/>
              </w:rPr>
              <w:t>Target 1</w:t>
            </w:r>
          </w:p>
        </w:tc>
        <w:tc>
          <w:tcPr>
            <w:tcW w:w="3007" w:type="dxa"/>
          </w:tcPr>
          <w:p w14:paraId="6EEDCD2D" w14:textId="09D05FF5" w:rsidR="3CB66EB7" w:rsidRDefault="6EDC648B" w:rsidP="6EDC648B">
            <w:pPr>
              <w:rPr>
                <w:rFonts w:ascii="Arial" w:eastAsia="Arial" w:hAnsi="Arial" w:cs="Arial"/>
                <w:lang w:val="en-GB"/>
              </w:rPr>
            </w:pPr>
            <w:r w:rsidRPr="6EDC648B">
              <w:rPr>
                <w:rFonts w:ascii="Arial" w:eastAsia="Arial" w:hAnsi="Arial" w:cs="Arial"/>
                <w:lang w:val="en-GB"/>
              </w:rPr>
              <w:t>Occasional referencing errors and missing or incomplete references within the Reference List can be easily improved by systematically following the Harvard Referencing Guide.</w:t>
            </w:r>
          </w:p>
        </w:tc>
        <w:tc>
          <w:tcPr>
            <w:tcW w:w="3007" w:type="dxa"/>
          </w:tcPr>
          <w:p w14:paraId="2BA31A61" w14:textId="7A683E4E" w:rsidR="3CB66EB7" w:rsidRDefault="6EDC648B" w:rsidP="6EDC648B">
            <w:pPr>
              <w:rPr>
                <w:rFonts w:ascii="Arial" w:hAnsi="Arial" w:cs="Arial"/>
                <w:lang w:val="en-GB"/>
              </w:rPr>
            </w:pPr>
            <w:r w:rsidRPr="6EDC648B">
              <w:rPr>
                <w:rFonts w:ascii="Arial" w:hAnsi="Arial" w:cs="Arial"/>
                <w:lang w:val="en-GB"/>
              </w:rPr>
              <w:t xml:space="preserve">The Harvard Referencing Guide was used to reference correctly. </w:t>
            </w:r>
          </w:p>
        </w:tc>
      </w:tr>
      <w:tr w:rsidR="3CB66EB7" w14:paraId="3C20D952" w14:textId="77777777" w:rsidTr="28239F2E">
        <w:tc>
          <w:tcPr>
            <w:tcW w:w="3007" w:type="dxa"/>
          </w:tcPr>
          <w:p w14:paraId="668F9221" w14:textId="4C729DB5" w:rsidR="3CB66EB7" w:rsidRDefault="3CB66EB7" w:rsidP="3CB66EB7">
            <w:pPr>
              <w:rPr>
                <w:rFonts w:ascii="Arial" w:hAnsi="Arial" w:cs="Arial"/>
                <w:b/>
                <w:bCs/>
                <w:sz w:val="28"/>
                <w:szCs w:val="28"/>
                <w:lang w:val="en-GB"/>
              </w:rPr>
            </w:pPr>
            <w:r w:rsidRPr="3CB66EB7">
              <w:rPr>
                <w:rFonts w:ascii="Arial" w:hAnsi="Arial" w:cs="Arial"/>
                <w:b/>
                <w:bCs/>
                <w:sz w:val="28"/>
                <w:szCs w:val="28"/>
                <w:lang w:val="en-GB"/>
              </w:rPr>
              <w:t>Target 2</w:t>
            </w:r>
          </w:p>
        </w:tc>
        <w:tc>
          <w:tcPr>
            <w:tcW w:w="3007" w:type="dxa"/>
          </w:tcPr>
          <w:p w14:paraId="5F0C247A" w14:textId="49EF3233" w:rsidR="3CB66EB7" w:rsidRDefault="28239F2E" w:rsidP="6EDC648B">
            <w:pPr>
              <w:rPr>
                <w:rFonts w:ascii="Arial" w:eastAsia="Arial" w:hAnsi="Arial" w:cs="Arial"/>
                <w:lang w:val="en-GB"/>
              </w:rPr>
            </w:pPr>
            <w:r w:rsidRPr="28239F2E">
              <w:rPr>
                <w:rFonts w:ascii="Arial" w:eastAsia="Arial" w:hAnsi="Arial" w:cs="Arial"/>
                <w:lang w:val="en-GB"/>
              </w:rPr>
              <w:t>Aim to consistently support personal standpoints through reference to your reading.</w:t>
            </w:r>
          </w:p>
        </w:tc>
        <w:tc>
          <w:tcPr>
            <w:tcW w:w="3007" w:type="dxa"/>
          </w:tcPr>
          <w:p w14:paraId="5F24FF06" w14:textId="1DCB9CE4" w:rsidR="3CB66EB7" w:rsidRDefault="28239F2E" w:rsidP="28239F2E">
            <w:pPr>
              <w:rPr>
                <w:rFonts w:ascii="Arial" w:hAnsi="Arial" w:cs="Arial"/>
                <w:lang w:val="en-GB"/>
              </w:rPr>
            </w:pPr>
            <w:r w:rsidRPr="28239F2E">
              <w:rPr>
                <w:rFonts w:ascii="Arial" w:hAnsi="Arial" w:cs="Arial"/>
                <w:lang w:val="en-GB"/>
              </w:rPr>
              <w:t>A wide range of literature has been used within this assignment. The literature has been compared and contrasted against my findings.</w:t>
            </w:r>
          </w:p>
        </w:tc>
      </w:tr>
    </w:tbl>
    <w:p w14:paraId="0DFD8218" w14:textId="69C1AC95" w:rsidR="3CB66EB7" w:rsidRDefault="3CB66EB7" w:rsidP="3CB66EB7">
      <w:pPr>
        <w:spacing w:line="360" w:lineRule="auto"/>
        <w:jc w:val="center"/>
        <w:rPr>
          <w:rFonts w:ascii="Arial" w:hAnsi="Arial" w:cs="Arial"/>
          <w:b/>
          <w:bCs/>
          <w:sz w:val="28"/>
          <w:szCs w:val="28"/>
          <w:u w:val="single"/>
          <w:lang w:val="en-GB"/>
        </w:rPr>
      </w:pPr>
    </w:p>
    <w:p w14:paraId="3AD346C1" w14:textId="3F56A86C" w:rsidR="3CB66EB7" w:rsidRDefault="3CB66EB7" w:rsidP="3CB66EB7">
      <w:pPr>
        <w:spacing w:line="360" w:lineRule="auto"/>
        <w:jc w:val="center"/>
        <w:rPr>
          <w:rFonts w:ascii="Arial" w:hAnsi="Arial" w:cs="Arial"/>
          <w:b/>
          <w:bCs/>
          <w:sz w:val="28"/>
          <w:szCs w:val="28"/>
          <w:u w:val="single"/>
          <w:lang w:val="en-GB"/>
        </w:rPr>
      </w:pPr>
    </w:p>
    <w:p w14:paraId="34712F23" w14:textId="38D4F8F7" w:rsidR="00ED250E" w:rsidRPr="00422C60" w:rsidRDefault="1CCC419F" w:rsidP="1CCC419F">
      <w:pPr>
        <w:spacing w:line="360" w:lineRule="auto"/>
        <w:rPr>
          <w:rFonts w:ascii="Arial" w:hAnsi="Arial" w:cs="Arial"/>
          <w:b/>
          <w:bCs/>
          <w:color w:val="00B050"/>
          <w:sz w:val="28"/>
          <w:szCs w:val="28"/>
          <w:u w:val="single"/>
          <w:lang w:val="en-GB"/>
        </w:rPr>
      </w:pPr>
      <w:r w:rsidRPr="1CCC419F">
        <w:rPr>
          <w:rFonts w:ascii="Arial" w:hAnsi="Arial" w:cs="Arial"/>
          <w:b/>
          <w:bCs/>
          <w:sz w:val="28"/>
          <w:szCs w:val="28"/>
          <w:u w:val="single"/>
          <w:lang w:val="en-GB"/>
        </w:rPr>
        <w:t>Introduction</w:t>
      </w:r>
    </w:p>
    <w:p w14:paraId="752A2B2D" w14:textId="01223402" w:rsidR="00ED250E" w:rsidRDefault="1CCC419F" w:rsidP="1CCC419F">
      <w:pPr>
        <w:spacing w:line="360" w:lineRule="auto"/>
        <w:jc w:val="both"/>
        <w:rPr>
          <w:rFonts w:ascii="Arial" w:eastAsia="Arial" w:hAnsi="Arial" w:cs="Arial"/>
          <w:sz w:val="22"/>
          <w:szCs w:val="22"/>
          <w:lang w:val="en-GB"/>
        </w:rPr>
      </w:pPr>
      <w:r w:rsidRPr="1CCC419F">
        <w:rPr>
          <w:rFonts w:ascii="Arial" w:eastAsia="Arial" w:hAnsi="Arial" w:cs="Arial"/>
          <w:sz w:val="22"/>
          <w:szCs w:val="22"/>
          <w:lang w:val="en-GB"/>
        </w:rPr>
        <w:t xml:space="preserve">This research project aims to examine the effectiveness of using Mini Plenaries to increase the involvement and engagement of pupils in a year 5 and 6 classroom. The research will take place in two different primary schools and will include children aged between 9 and 11 years old. My initial interest and idea for this study derived from my own personal experience whilst teaching a year 2 classroom. At the start of my teaching experience, it was difficult to gain complete concentration from the children whilst teaching. Through research, I found the strategy of ‘Mini Plenaries’ and wished to further my understanding and knowledge by using this in my research project. The whole class participated in the research and a small sample were selected to partake in a semi-structure interview, this remained the same in both schools. These participants were questioned and asked to provide their opinions on the effectiveness of mini plenaries after the lesson. The participants responses, alongside my findings, were used to critique and carefully consider the effectiveness of mini plenaries in order to reach a conclusion. </w:t>
      </w:r>
    </w:p>
    <w:p w14:paraId="6DC758E7" w14:textId="77777777" w:rsidR="00F65C9A" w:rsidRDefault="00F65C9A" w:rsidP="1CCC419F">
      <w:pPr>
        <w:spacing w:line="360" w:lineRule="auto"/>
        <w:rPr>
          <w:rFonts w:ascii="Arial" w:eastAsia="Arial" w:hAnsi="Arial" w:cs="Arial"/>
          <w:sz w:val="22"/>
          <w:szCs w:val="22"/>
          <w:lang w:val="en-GB"/>
        </w:rPr>
      </w:pPr>
    </w:p>
    <w:p w14:paraId="13AA83FE" w14:textId="3CCB9606" w:rsidR="00F65C9A" w:rsidRPr="00320600" w:rsidRDefault="1CCC419F" w:rsidP="1CCC419F">
      <w:pPr>
        <w:spacing w:line="360" w:lineRule="auto"/>
        <w:rPr>
          <w:rFonts w:ascii="Arial" w:eastAsia="Arial" w:hAnsi="Arial" w:cs="Arial"/>
          <w:b/>
          <w:bCs/>
          <w:color w:val="00B050"/>
          <w:sz w:val="28"/>
          <w:szCs w:val="28"/>
          <w:u w:val="single"/>
          <w:lang w:val="en-GB"/>
        </w:rPr>
      </w:pPr>
      <w:r w:rsidRPr="1CCC419F">
        <w:rPr>
          <w:rFonts w:ascii="Arial" w:eastAsia="Arial" w:hAnsi="Arial" w:cs="Arial"/>
          <w:b/>
          <w:bCs/>
          <w:sz w:val="28"/>
          <w:szCs w:val="28"/>
          <w:u w:val="single"/>
          <w:lang w:val="en-GB"/>
        </w:rPr>
        <w:t>Research Context</w:t>
      </w:r>
    </w:p>
    <w:p w14:paraId="769B682C" w14:textId="50C52777" w:rsidR="002F1065" w:rsidRDefault="1CCC419F" w:rsidP="1CCC419F">
      <w:pPr>
        <w:spacing w:line="360" w:lineRule="auto"/>
        <w:jc w:val="both"/>
        <w:rPr>
          <w:rFonts w:ascii="Arial" w:eastAsia="Arial" w:hAnsi="Arial" w:cs="Arial"/>
          <w:sz w:val="22"/>
          <w:szCs w:val="22"/>
          <w:lang w:val="en-GB"/>
        </w:rPr>
      </w:pPr>
      <w:r w:rsidRPr="1CCC419F">
        <w:rPr>
          <w:rFonts w:ascii="Arial" w:eastAsia="Arial" w:hAnsi="Arial" w:cs="Arial"/>
          <w:sz w:val="22"/>
          <w:szCs w:val="22"/>
          <w:lang w:val="en-GB"/>
        </w:rPr>
        <w:lastRenderedPageBreak/>
        <w:t xml:space="preserve">As stated previously, my teaching and research took place in a year 6 classroom with children ages 10-11. My research partner and I arranged many meetings to discuss our research question prior to any research being carried out. We discussed the lessons in which we would teach and spent time carefully selecting the appropriate mini plenary activities to suit the children’s individual needs and learning styles, considering the children in our class. I believed that completing this research with my year 6 classroom would be useful and necessary, in hope that it would provide an opportunity to increase the engagement of children and to continue to use this strategy in the future. The pupils’ engagement was carefully marked against the Leuven Scale of Involvement, this took place before, during and after the mini plenaries. </w:t>
      </w:r>
    </w:p>
    <w:p w14:paraId="4BA0796E" w14:textId="607A74CC" w:rsidR="00F65C9A" w:rsidRDefault="00F65C9A" w:rsidP="1CCC419F">
      <w:pPr>
        <w:spacing w:line="360" w:lineRule="auto"/>
        <w:jc w:val="both"/>
        <w:rPr>
          <w:rFonts w:ascii="Arial" w:eastAsia="Arial" w:hAnsi="Arial" w:cs="Arial"/>
          <w:color w:val="FF0000"/>
          <w:sz w:val="22"/>
          <w:szCs w:val="22"/>
          <w:lang w:val="en-GB"/>
        </w:rPr>
      </w:pPr>
    </w:p>
    <w:p w14:paraId="665F3D3C" w14:textId="0F3EE947" w:rsidR="00F65C9A" w:rsidRPr="00320600" w:rsidRDefault="552FF72F" w:rsidP="552FF72F">
      <w:pPr>
        <w:spacing w:line="360" w:lineRule="auto"/>
        <w:rPr>
          <w:rFonts w:ascii="Arial" w:eastAsia="Arial" w:hAnsi="Arial" w:cs="Arial"/>
          <w:b/>
          <w:bCs/>
          <w:color w:val="FF0000"/>
          <w:sz w:val="28"/>
          <w:szCs w:val="28"/>
          <w:u w:val="single"/>
          <w:lang w:val="en-GB"/>
        </w:rPr>
      </w:pPr>
      <w:r w:rsidRPr="552FF72F">
        <w:rPr>
          <w:rFonts w:ascii="Arial" w:eastAsia="Arial" w:hAnsi="Arial" w:cs="Arial"/>
          <w:b/>
          <w:bCs/>
          <w:sz w:val="28"/>
          <w:szCs w:val="28"/>
          <w:u w:val="single"/>
          <w:lang w:val="en-GB"/>
        </w:rPr>
        <w:t xml:space="preserve">Literature Review </w:t>
      </w:r>
    </w:p>
    <w:p w14:paraId="3A79D31E" w14:textId="1CFE30A3" w:rsidR="1A7A1CA6" w:rsidRDefault="1A7A1CA6" w:rsidP="1CCC419F">
      <w:pPr>
        <w:spacing w:line="360" w:lineRule="auto"/>
        <w:rPr>
          <w:rFonts w:ascii="Arial" w:eastAsia="Arial" w:hAnsi="Arial" w:cs="Arial"/>
          <w:b/>
          <w:bCs/>
          <w:sz w:val="22"/>
          <w:szCs w:val="22"/>
          <w:u w:val="single"/>
          <w:lang w:val="en-GB"/>
        </w:rPr>
      </w:pPr>
    </w:p>
    <w:p w14:paraId="5A22B1F4" w14:textId="6451FD98" w:rsidR="552FF72F" w:rsidRDefault="552FF72F" w:rsidP="552FF72F">
      <w:pPr>
        <w:spacing w:line="360" w:lineRule="auto"/>
        <w:jc w:val="both"/>
        <w:rPr>
          <w:rFonts w:ascii="Arial" w:eastAsia="Arial" w:hAnsi="Arial" w:cs="Arial"/>
          <w:sz w:val="22"/>
          <w:szCs w:val="22"/>
          <w:lang w:val="en-GB"/>
        </w:rPr>
      </w:pPr>
      <w:r w:rsidRPr="552FF72F">
        <w:rPr>
          <w:rFonts w:ascii="Arial" w:eastAsia="Arial" w:hAnsi="Arial" w:cs="Arial"/>
          <w:sz w:val="22"/>
          <w:szCs w:val="22"/>
          <w:lang w:val="en-GB"/>
        </w:rPr>
        <w:t>In order to gain a deeper understanding of mini plenaries in practice it was important to explore and critique the relevant literature. A wide range of literature will be used which will allow the researchers to compare the findings and results from this project with literature. By thoroughly researching, it was found that there is limited literature in relation to Mini-Plenaries, therefore, this literature review involves literature on mini-plenaries, assessment for learning and pupils’ involvement and engagement in learning.</w:t>
      </w:r>
    </w:p>
    <w:p w14:paraId="2A4BBC62" w14:textId="1100B19C" w:rsidR="552FF72F" w:rsidRDefault="552FF72F" w:rsidP="552FF72F">
      <w:pPr>
        <w:spacing w:line="360" w:lineRule="auto"/>
        <w:rPr>
          <w:rFonts w:ascii="Arial" w:eastAsia="Arial" w:hAnsi="Arial" w:cs="Arial"/>
          <w:sz w:val="22"/>
          <w:szCs w:val="22"/>
          <w:lang w:val="en-GB"/>
        </w:rPr>
      </w:pPr>
    </w:p>
    <w:p w14:paraId="514EA4D1" w14:textId="0F308D62" w:rsidR="1A7A1CA6" w:rsidRDefault="552FF72F" w:rsidP="1CCC419F">
      <w:pPr>
        <w:spacing w:line="360" w:lineRule="auto"/>
        <w:jc w:val="both"/>
        <w:rPr>
          <w:rFonts w:ascii="Arial" w:eastAsia="Arial" w:hAnsi="Arial" w:cs="Arial"/>
          <w:sz w:val="22"/>
          <w:szCs w:val="22"/>
          <w:lang w:val="en-GB"/>
        </w:rPr>
      </w:pPr>
      <w:r w:rsidRPr="552FF72F">
        <w:rPr>
          <w:rFonts w:ascii="Arial" w:eastAsia="Arial" w:hAnsi="Arial" w:cs="Arial"/>
          <w:sz w:val="22"/>
          <w:szCs w:val="22"/>
          <w:lang w:val="en-GB"/>
        </w:rPr>
        <w:t xml:space="preserve">As previously stated, my initial interest in the use of mini plenaries began through researching strategies that would support and increase children’s involvement in learning. This then led to our research questions </w:t>
      </w:r>
      <w:r w:rsidRPr="552FF72F">
        <w:rPr>
          <w:rFonts w:ascii="Arial" w:eastAsia="Arial" w:hAnsi="Arial" w:cs="Arial"/>
          <w:i/>
          <w:iCs/>
          <w:sz w:val="22"/>
          <w:szCs w:val="22"/>
          <w:lang w:val="en-GB"/>
        </w:rPr>
        <w:t xml:space="preserve">‘How effective are mini plenaries in retaining the engagement of year 5 and 6 pupils’. </w:t>
      </w:r>
      <w:r w:rsidRPr="552FF72F">
        <w:rPr>
          <w:rFonts w:ascii="Arial" w:eastAsia="Arial" w:hAnsi="Arial" w:cs="Arial"/>
          <w:sz w:val="22"/>
          <w:szCs w:val="22"/>
          <w:lang w:val="en-GB"/>
        </w:rPr>
        <w:t xml:space="preserve">I have gained a deeper and insight to mini plenaries by reading books, journal articles and many government documents. </w:t>
      </w:r>
      <w:r w:rsidRPr="552FF72F">
        <w:rPr>
          <w:rFonts w:ascii="Arial" w:eastAsia="Arial" w:hAnsi="Arial" w:cs="Arial"/>
          <w:color w:val="000000" w:themeColor="text1"/>
          <w:sz w:val="22"/>
          <w:szCs w:val="22"/>
          <w:lang w:val="en-GB"/>
        </w:rPr>
        <w:t>Mini plenaries are recognised as an effective pedagogical strategy in which supports and reminds children of their learning which normally takes place during the lesson (Joyce-Gibbson, 2016). Mini plenaries have been described as an ‘improvised form of scaffolding’ which is delivered to the whole class (J</w:t>
      </w:r>
      <w:r w:rsidRPr="552FF72F">
        <w:rPr>
          <w:rFonts w:ascii="Arial" w:eastAsia="Arial" w:hAnsi="Arial" w:cs="Arial"/>
          <w:sz w:val="22"/>
          <w:szCs w:val="22"/>
          <w:lang w:val="en-GB"/>
        </w:rPr>
        <w:t xml:space="preserve">oyce-Gibbons, 2017, p.55). </w:t>
      </w:r>
      <w:r w:rsidRPr="552FF72F">
        <w:rPr>
          <w:rFonts w:ascii="Arial" w:eastAsia="Arial" w:hAnsi="Arial" w:cs="Arial"/>
          <w:color w:val="000000" w:themeColor="text1"/>
          <w:sz w:val="22"/>
          <w:szCs w:val="22"/>
          <w:lang w:val="en-GB"/>
        </w:rPr>
        <w:t>This strategy allows the teacher to scaffold the learning by modelling the articulation and reflection which is needed to progress towards the solution of the problem (Quintana et al, 2004). Joyce-Gibbson (2016) state that mini plenaries contribute to the pupils’ learning as a form of scaffolding. During the process the teacher focuses on the pupils’ responses in order to assess their knowledge and understanding, but also to plan for their future learning (O’Connor &amp; Michaels, 1993). Similarly, Beadle (2013) states that mini plenaries can be used to clarify ke</w:t>
      </w:r>
      <w:r w:rsidRPr="552FF72F">
        <w:rPr>
          <w:rFonts w:ascii="Arial" w:eastAsia="Arial" w:hAnsi="Arial" w:cs="Arial"/>
          <w:sz w:val="22"/>
          <w:szCs w:val="22"/>
          <w:lang w:val="en-GB"/>
        </w:rPr>
        <w:t xml:space="preserve">y points from the lesson and act as a form of assessment for learning which provides feedback on learning, however, Beadle (2013) states that mini plenaries should be used effectively and not as a tick in the box exercise. Webb (2013) states that involving pupils to reflect on their own practice and to engage in whole-class discussions can increase their overall academic performance. </w:t>
      </w:r>
    </w:p>
    <w:p w14:paraId="31E39B08" w14:textId="1AFA1BE0" w:rsidR="1CCC419F" w:rsidRDefault="1CCC419F" w:rsidP="28239F2E">
      <w:pPr>
        <w:spacing w:line="360" w:lineRule="auto"/>
        <w:jc w:val="both"/>
        <w:rPr>
          <w:rFonts w:ascii="Arial" w:eastAsia="Arial" w:hAnsi="Arial" w:cs="Arial"/>
          <w:sz w:val="22"/>
          <w:szCs w:val="22"/>
          <w:lang w:val="en-GB"/>
        </w:rPr>
      </w:pPr>
    </w:p>
    <w:p w14:paraId="2DBDC27E" w14:textId="2463264A" w:rsidR="1CCC419F" w:rsidRDefault="552FF72F" w:rsidP="28239F2E">
      <w:pPr>
        <w:spacing w:line="360" w:lineRule="auto"/>
        <w:jc w:val="both"/>
        <w:rPr>
          <w:rFonts w:ascii="Arial" w:eastAsia="Arial" w:hAnsi="Arial" w:cs="Arial"/>
          <w:color w:val="00B0F0"/>
          <w:sz w:val="22"/>
          <w:szCs w:val="22"/>
        </w:rPr>
      </w:pPr>
      <w:r w:rsidRPr="552FF72F">
        <w:rPr>
          <w:rFonts w:ascii="Arial" w:eastAsia="Arial" w:hAnsi="Arial" w:cs="Arial"/>
          <w:sz w:val="22"/>
          <w:szCs w:val="22"/>
          <w:lang w:val="en-GB"/>
        </w:rPr>
        <w:t xml:space="preserve">Mini plenaries can be used as a strategy of formative assessment (AFL) which are effectively used to assess and review the pupils learning during a lesson and provides an opportunity for self-reflection </w:t>
      </w:r>
      <w:r w:rsidRPr="552FF72F">
        <w:rPr>
          <w:rFonts w:ascii="Arial" w:eastAsia="Arial" w:hAnsi="Arial" w:cs="Arial"/>
          <w:color w:val="FF0000"/>
          <w:sz w:val="22"/>
          <w:szCs w:val="22"/>
          <w:lang w:val="en-GB"/>
        </w:rPr>
        <w:t xml:space="preserve">(REFERENCE). </w:t>
      </w:r>
      <w:r w:rsidRPr="552FF72F">
        <w:rPr>
          <w:rFonts w:ascii="Arial" w:eastAsia="Arial" w:hAnsi="Arial" w:cs="Arial"/>
          <w:sz w:val="22"/>
          <w:szCs w:val="22"/>
          <w:lang w:val="en-GB"/>
        </w:rPr>
        <w:t>Harlen &amp; James (1997) defines Formative Assessment as the process of provided feedback about the pupils’ understanding in order to determine the way forward for learning. The information learnt from the lesson is fed back to the class during the mini plenary sessions, pupils use this to improve their performance of the system in some way (Wiliam &amp; Leahy, 2007, p. 31).</w:t>
      </w:r>
    </w:p>
    <w:p w14:paraId="1FA95D4C" w14:textId="20B86E36" w:rsidR="1CCC419F" w:rsidRDefault="1CCC419F" w:rsidP="28239F2E">
      <w:pPr>
        <w:spacing w:line="360" w:lineRule="auto"/>
        <w:jc w:val="both"/>
        <w:rPr>
          <w:rFonts w:ascii="Arial" w:eastAsia="Arial" w:hAnsi="Arial" w:cs="Arial"/>
          <w:sz w:val="22"/>
          <w:szCs w:val="22"/>
          <w:lang w:val="en-GB"/>
        </w:rPr>
      </w:pPr>
    </w:p>
    <w:p w14:paraId="7D5ED134" w14:textId="0A28DAA4" w:rsidR="28239F2E" w:rsidRDefault="552FF72F" w:rsidP="552FF72F">
      <w:pPr>
        <w:spacing w:line="360" w:lineRule="auto"/>
        <w:jc w:val="both"/>
        <w:rPr>
          <w:rFonts w:ascii="Arial" w:eastAsia="Arial" w:hAnsi="Arial" w:cs="Arial"/>
          <w:color w:val="000000" w:themeColor="text1"/>
          <w:sz w:val="22"/>
          <w:szCs w:val="22"/>
          <w:lang w:val="en-GB"/>
        </w:rPr>
      </w:pPr>
      <w:r w:rsidRPr="552FF72F">
        <w:rPr>
          <w:rFonts w:ascii="Arial" w:eastAsia="Arial" w:hAnsi="Arial" w:cs="Arial"/>
          <w:sz w:val="22"/>
          <w:szCs w:val="22"/>
          <w:lang w:val="en-GB"/>
        </w:rPr>
        <w:t xml:space="preserve">Research about engagement in the classroom describes both psychological and behavioural characteristics (Finn &amp; Rock 1997; Brewster &amp; Fager 2000; Marks 2000). A pupil may show characteristics of being engaged by showing curiosity, motivation, interest and enjoyment which leads to wanting to thrive in their learning (Jablon and Wilkinson, 2006). Children’s engagement and involvement plays a crucial part to their success as learners, however, according to research strategies for promoting pupil engagement are not emphasized enough, or even present in the majority of schools (Marks 2000; McDermott, Mordell, &amp; Stolzfus, 2001). Although, this point is contradicted by OFSTED (2003), which states that teachers are becoming more flexible and creative by using effective engagement strategies such as mini plenaries in their lessons, to review progress, clarify misunderstandings and increase pupils’ confidence. Jablon (2000), recognises the need to use engagement strategies in practice as these strategies could increase pupil achievement massively. Research suggests that children with a low level of engagement and involvement are actually at risk of using disruptive behaviour, absenteeism and eventually dropping out of school, therefor, there is an increasing need to use engagement strategies within practice to prevent this (Roderick &amp; Engle, 2001). It has been said by educationists that engaging disengaged pupils can be one of the biggest challenges that face teachers as statistics shows that between 25% and 66% of pupils are considered to be disengaged (Cothran &amp; Ennis, 2000; Willms, 2003). It has been argued by many researchers that if we do not change our pedagogy, curriculum and strategies, we will fail our pupils and risk jeopardize our future (Willms, 2003; Robinson, 2009; Tapscott, 1998; Prensky, 2005; Gilbert, 2007). Mayer and Wittrock (1996) found the process of mini plenaries to be effective as pupils are able to apply what has been learnt and how they are able to use this learning to move forward. Moreover, the student performs the task because he or she perceives the task to be associated with a near-term end that he or she values. (2001, 64). </w:t>
      </w:r>
    </w:p>
    <w:p w14:paraId="797CC40D" w14:textId="5DDCD32A" w:rsidR="621E6EFA" w:rsidRDefault="621E6EFA" w:rsidP="1CCC419F">
      <w:pPr>
        <w:spacing w:line="360" w:lineRule="auto"/>
        <w:rPr>
          <w:rFonts w:ascii="Arial" w:eastAsia="Arial" w:hAnsi="Arial" w:cs="Arial"/>
          <w:color w:val="231F20"/>
          <w:sz w:val="22"/>
          <w:szCs w:val="22"/>
          <w:lang w:val="en-GB"/>
        </w:rPr>
      </w:pPr>
    </w:p>
    <w:p w14:paraId="4ABD0A4F" w14:textId="786CB392" w:rsidR="00F65C9A" w:rsidRDefault="00F65C9A" w:rsidP="1CCC419F">
      <w:pPr>
        <w:spacing w:line="360" w:lineRule="auto"/>
        <w:rPr>
          <w:rFonts w:ascii="Arial" w:eastAsia="Arial" w:hAnsi="Arial" w:cs="Arial"/>
          <w:color w:val="231F20"/>
          <w:sz w:val="22"/>
          <w:szCs w:val="22"/>
          <w:lang w:val="en-GB"/>
        </w:rPr>
      </w:pPr>
    </w:p>
    <w:p w14:paraId="51415024" w14:textId="49F842B0" w:rsidR="00F65C9A" w:rsidRDefault="1CCC419F" w:rsidP="1CCC419F">
      <w:pPr>
        <w:spacing w:line="360" w:lineRule="auto"/>
        <w:rPr>
          <w:rFonts w:ascii="Arial" w:eastAsia="Arial" w:hAnsi="Arial" w:cs="Arial"/>
          <w:b/>
          <w:bCs/>
          <w:color w:val="FF0000"/>
          <w:sz w:val="28"/>
          <w:szCs w:val="28"/>
          <w:u w:val="single"/>
          <w:lang w:val="en-GB"/>
        </w:rPr>
      </w:pPr>
      <w:r w:rsidRPr="1CCC419F">
        <w:rPr>
          <w:rFonts w:ascii="Arial" w:eastAsia="Arial" w:hAnsi="Arial" w:cs="Arial"/>
          <w:b/>
          <w:bCs/>
          <w:sz w:val="28"/>
          <w:szCs w:val="28"/>
          <w:u w:val="single"/>
          <w:lang w:val="en-GB"/>
        </w:rPr>
        <w:t>Methodology</w:t>
      </w:r>
    </w:p>
    <w:p w14:paraId="23ED64BF" w14:textId="32A14251" w:rsidR="0219EC8F" w:rsidRDefault="552FF72F" w:rsidP="28239F2E">
      <w:pPr>
        <w:spacing w:line="360" w:lineRule="auto"/>
        <w:jc w:val="both"/>
        <w:rPr>
          <w:rFonts w:ascii="Arial" w:eastAsia="Arial" w:hAnsi="Arial" w:cs="Arial"/>
          <w:sz w:val="22"/>
          <w:szCs w:val="22"/>
          <w:lang w:val="en-GB"/>
        </w:rPr>
      </w:pPr>
      <w:r w:rsidRPr="552FF72F">
        <w:rPr>
          <w:rFonts w:ascii="Arial" w:eastAsia="Arial" w:hAnsi="Arial" w:cs="Arial"/>
          <w:sz w:val="22"/>
          <w:szCs w:val="22"/>
          <w:lang w:val="en-GB"/>
        </w:rPr>
        <w:t xml:space="preserve">The methodology used in this research project is a lesson study research, which is a form of action research </w:t>
      </w:r>
      <w:r w:rsidRPr="552FF72F">
        <w:rPr>
          <w:rFonts w:ascii="Arial" w:eastAsia="Arial" w:hAnsi="Arial" w:cs="Arial"/>
          <w:color w:val="000000" w:themeColor="text1"/>
          <w:sz w:val="22"/>
          <w:szCs w:val="22"/>
          <w:lang w:val="en-GB"/>
        </w:rPr>
        <w:t>(Austin, 2017). A lesson study involves a group of teachers that meet regularly to implement and test a research lesson (Stingler and Hiebert, 1999).</w:t>
      </w:r>
      <w:r w:rsidRPr="552FF72F">
        <w:rPr>
          <w:rFonts w:ascii="Arial" w:eastAsia="Arial" w:hAnsi="Arial" w:cs="Arial"/>
          <w:sz w:val="22"/>
          <w:szCs w:val="22"/>
          <w:lang w:val="en-GB"/>
        </w:rPr>
        <w:t xml:space="preserve"> Research lessons are real life classroom lessons that are taught to the students but focus on a specific area of research, these lessons are carefully planned by teachers, observed by oth</w:t>
      </w:r>
      <w:r w:rsidRPr="552FF72F">
        <w:rPr>
          <w:rFonts w:ascii="Arial" w:eastAsia="Arial" w:hAnsi="Arial" w:cs="Arial"/>
          <w:color w:val="000000" w:themeColor="text1"/>
          <w:sz w:val="22"/>
          <w:szCs w:val="22"/>
          <w:lang w:val="en-GB"/>
        </w:rPr>
        <w:t>ers and recorded for analysis and reflection (Lewis &amp; Tsuchida, 1998). Dudley (2016) defines a Lesson Study as a form of classroom action research which mainly relies on the development of the teachers’ pedagogy. This is also supported by Cerbin and Kopp (2006), whi</w:t>
      </w:r>
      <w:r w:rsidRPr="552FF72F">
        <w:rPr>
          <w:rFonts w:ascii="Arial" w:eastAsia="Arial" w:hAnsi="Arial" w:cs="Arial"/>
          <w:sz w:val="22"/>
          <w:szCs w:val="22"/>
          <w:lang w:val="en-GB"/>
        </w:rPr>
        <w:t>ch state that this model is a professional development model, the aim of which is to improve teaching practice’. Careful planning must be completed prior to the lesson and opportunities to build on strategies to improve the pupils learning and teachers’ pedagogy (Lewis et al., 2004).</w:t>
      </w:r>
      <w:r w:rsidRPr="552FF72F">
        <w:rPr>
          <w:rFonts w:ascii="Arial" w:eastAsia="Arial" w:hAnsi="Arial" w:cs="Arial"/>
          <w:color w:val="000000" w:themeColor="text1"/>
          <w:sz w:val="22"/>
          <w:szCs w:val="22"/>
          <w:lang w:val="en-GB"/>
        </w:rPr>
        <w:t xml:space="preserve"> The lesson study approach originated in Japan as Japanese teachers strongly believe ‘that the most effective place to improve their teaching is in the context of a classroom lesson’ (Stigler &amp; Hiebert, 1999). Japanese teachers highly credit the use of lesson studies as it provides an improvement for teaching practice (Lewis, 2000).  </w:t>
      </w:r>
    </w:p>
    <w:p w14:paraId="08308F39" w14:textId="103B23A9" w:rsidR="0219EC8F" w:rsidRDefault="0219EC8F" w:rsidP="1CCC419F">
      <w:pPr>
        <w:spacing w:line="360" w:lineRule="auto"/>
        <w:jc w:val="both"/>
        <w:rPr>
          <w:rFonts w:ascii="Arial" w:eastAsia="Arial" w:hAnsi="Arial" w:cs="Arial"/>
          <w:color w:val="FF0000"/>
          <w:sz w:val="22"/>
          <w:szCs w:val="22"/>
          <w:lang w:val="en-GB"/>
        </w:rPr>
      </w:pPr>
    </w:p>
    <w:p w14:paraId="62B4B333" w14:textId="03C96064" w:rsidR="3FA84974" w:rsidRDefault="1CCC419F" w:rsidP="1CCC419F">
      <w:pPr>
        <w:spacing w:line="360" w:lineRule="auto"/>
        <w:jc w:val="both"/>
        <w:rPr>
          <w:rFonts w:ascii="Arial" w:eastAsia="Arial" w:hAnsi="Arial" w:cs="Arial"/>
          <w:color w:val="000000" w:themeColor="text1"/>
          <w:sz w:val="22"/>
          <w:szCs w:val="22"/>
          <w:lang w:val="en-GB"/>
        </w:rPr>
      </w:pPr>
      <w:r w:rsidRPr="1CCC419F">
        <w:rPr>
          <w:rFonts w:ascii="Arial" w:eastAsia="Arial" w:hAnsi="Arial" w:cs="Arial"/>
          <w:color w:val="000000" w:themeColor="text1"/>
          <w:sz w:val="22"/>
          <w:szCs w:val="22"/>
          <w:lang w:val="en-GB"/>
        </w:rPr>
        <w:t xml:space="preserve">The researcher took the role of an observer whilst the other researcher taught the lesson. As the observer, it was important for the researcher to focus mainly on the three selected children by watching, listening and recording their attitudes towards learning (Jablon, 2010). The observation method allows the observer to observe children whilst they are learning and to understand their strengths, how the pupils are developing and what support is needed in order to take the learning forward (Welsh Government, 2011). However, it is important for the observer to remain aware of the affect that the observer may have on the pupils as they are likely to behave differently when knowing that they are being observed (Denscombe, 2007). This point is also argued by Bruce and Meggit (2006) stating that observation give a vague representation of children’s behaviours. However, Flick (2007) argues that the classroom is a natural environment where children feel safe and comfortable, which should provide honest and reliable results as the observer is not demanding the participants to do anything out of the ordinary.   </w:t>
      </w:r>
    </w:p>
    <w:p w14:paraId="2AB793FF" w14:textId="1530E122" w:rsidR="3FA84974" w:rsidRDefault="3FA84974" w:rsidP="1CCC419F">
      <w:pPr>
        <w:spacing w:line="360" w:lineRule="auto"/>
        <w:jc w:val="both"/>
        <w:rPr>
          <w:rFonts w:ascii="Arial" w:eastAsia="Arial" w:hAnsi="Arial" w:cs="Arial"/>
          <w:sz w:val="22"/>
          <w:szCs w:val="22"/>
          <w:lang w:val="en-GB"/>
        </w:rPr>
      </w:pPr>
    </w:p>
    <w:p w14:paraId="368304BD" w14:textId="2F794254" w:rsidR="3FA84974" w:rsidRDefault="552FF72F" w:rsidP="1CCC419F">
      <w:pPr>
        <w:spacing w:line="360" w:lineRule="auto"/>
        <w:jc w:val="both"/>
        <w:rPr>
          <w:rFonts w:ascii="Arial" w:eastAsia="Arial" w:hAnsi="Arial" w:cs="Arial"/>
          <w:sz w:val="22"/>
          <w:szCs w:val="22"/>
          <w:lang w:val="en-GB"/>
        </w:rPr>
      </w:pPr>
      <w:r w:rsidRPr="552FF72F">
        <w:rPr>
          <w:rFonts w:ascii="Arial" w:eastAsia="Arial" w:hAnsi="Arial" w:cs="Arial"/>
          <w:sz w:val="22"/>
          <w:szCs w:val="22"/>
          <w:lang w:val="en-GB"/>
        </w:rPr>
        <w:t xml:space="preserve">According to Tassoni et al.,(2007), in order to effectively observe, the observation should be linked to theoretical findings. In order to assess the children’s involvement, we decided to use ‘The Leuven Scale of Involvement’ </w:t>
      </w:r>
      <w:r w:rsidRPr="552FF72F">
        <w:rPr>
          <w:rFonts w:ascii="Arial" w:eastAsia="Arial" w:hAnsi="Arial" w:cs="Arial"/>
          <w:i/>
          <w:iCs/>
          <w:sz w:val="22"/>
          <w:szCs w:val="22"/>
          <w:lang w:val="en-GB"/>
        </w:rPr>
        <w:t>(Appendix 3)</w:t>
      </w:r>
      <w:r w:rsidRPr="552FF72F">
        <w:rPr>
          <w:rFonts w:ascii="Arial" w:eastAsia="Arial" w:hAnsi="Arial" w:cs="Arial"/>
          <w:sz w:val="22"/>
          <w:szCs w:val="22"/>
          <w:lang w:val="en-GB"/>
        </w:rPr>
        <w:t xml:space="preserve"> to assess the children before, during and after the mini plenaries. According to the Pioneer Ferre Laevers, ‘Involvement is about concentration. Being totally focused on something, wanting to get that contact with the reality around you. And from within there is a motivation to do that, a fascination – you want to continue to have that sense of contact with reality and in your actions to take it in’ (Cited Arnerich, 2018, p.112). We must better understand individual needs and the best way to engage pupils in their learning (Taylor &amp; Parsons, 2011). In order to support this statement, the observer made notes on the participant before, during and after in order to understand how to engage these children within the lesson. </w:t>
      </w:r>
    </w:p>
    <w:p w14:paraId="1E563175" w14:textId="6791F35D" w:rsidR="67A9E1E4" w:rsidRDefault="67A9E1E4" w:rsidP="1CCC419F">
      <w:pPr>
        <w:spacing w:line="360" w:lineRule="auto"/>
        <w:jc w:val="both"/>
        <w:rPr>
          <w:rFonts w:ascii="Arial" w:eastAsia="Arial" w:hAnsi="Arial" w:cs="Arial"/>
          <w:sz w:val="22"/>
          <w:szCs w:val="22"/>
          <w:lang w:val="en-GB"/>
        </w:rPr>
      </w:pPr>
    </w:p>
    <w:p w14:paraId="49987A83" w14:textId="6C074327" w:rsidR="0219EC8F" w:rsidRDefault="552FF72F" w:rsidP="1CCC419F">
      <w:pPr>
        <w:spacing w:line="360" w:lineRule="auto"/>
        <w:jc w:val="both"/>
        <w:rPr>
          <w:rFonts w:ascii="Arial" w:eastAsia="Arial" w:hAnsi="Arial" w:cs="Arial"/>
          <w:sz w:val="22"/>
          <w:szCs w:val="22"/>
          <w:lang w:val="en-GB"/>
        </w:rPr>
      </w:pPr>
      <w:r w:rsidRPr="552FF72F">
        <w:rPr>
          <w:rFonts w:ascii="Arial" w:eastAsia="Arial" w:hAnsi="Arial" w:cs="Arial"/>
          <w:sz w:val="22"/>
          <w:szCs w:val="22"/>
          <w:lang w:val="en-GB"/>
        </w:rPr>
        <w:t xml:space="preserve">Participants partook in a semi-structured interviewed after engaging in the lesson study process. The classroom teacher selected three children to partake in the semi structured interviews at random. All participants completed a consent form prior to participating </w:t>
      </w:r>
      <w:r w:rsidRPr="552FF72F">
        <w:rPr>
          <w:rFonts w:ascii="Arial" w:eastAsia="Arial" w:hAnsi="Arial" w:cs="Arial"/>
          <w:i/>
          <w:iCs/>
          <w:sz w:val="22"/>
          <w:szCs w:val="22"/>
          <w:lang w:val="en-GB"/>
        </w:rPr>
        <w:t>(Appendix 5A.2)</w:t>
      </w:r>
      <w:r w:rsidRPr="552FF72F">
        <w:rPr>
          <w:rFonts w:ascii="Arial" w:eastAsia="Arial" w:hAnsi="Arial" w:cs="Arial"/>
          <w:sz w:val="22"/>
          <w:szCs w:val="22"/>
          <w:lang w:val="en-GB"/>
        </w:rPr>
        <w:t>. It was decided that Convenience sampling would be used for this research. Convenience sampling is a type of non-probability sampling, a method that requires a group of people that are available and willing to participate in the research (Martella et al., 2013). It was decided that the use of Semi Structured Interviews would be appropriate for interviewing children as this method involves predetermined questions and allows the interviewer to be flexible and address new ideas and issues that emerge during the interview (Wilson, 2009). This method also allows a face-to-face discussion where the interviewer can whiteness the participants tone of voice and body language which would not have been possible with questionnaires (Bell, 2008). However, due to the interviews being semi-structured there is possibility of interviewer bias (Mitchell and Jolley, 2010), in order to prevent this, all interviews were recorded and listened to with an objective perspective.</w:t>
      </w:r>
    </w:p>
    <w:p w14:paraId="2E28D049" w14:textId="3AB86A16" w:rsidR="0219EC8F" w:rsidRDefault="0219EC8F" w:rsidP="1CCC419F">
      <w:pPr>
        <w:spacing w:line="360" w:lineRule="auto"/>
        <w:jc w:val="both"/>
        <w:rPr>
          <w:rFonts w:ascii="Arial" w:eastAsia="Arial" w:hAnsi="Arial" w:cs="Arial"/>
          <w:sz w:val="22"/>
          <w:szCs w:val="22"/>
          <w:lang w:val="en-GB"/>
        </w:rPr>
      </w:pPr>
    </w:p>
    <w:p w14:paraId="49ABB2D3" w14:textId="791ABAA2" w:rsidR="0219EC8F" w:rsidRDefault="1CCC419F" w:rsidP="1CCC419F">
      <w:pPr>
        <w:spacing w:line="360" w:lineRule="auto"/>
        <w:jc w:val="both"/>
        <w:rPr>
          <w:rFonts w:ascii="Arial" w:eastAsia="Arial" w:hAnsi="Arial" w:cs="Arial"/>
          <w:sz w:val="22"/>
          <w:szCs w:val="22"/>
          <w:lang w:val="en-GB"/>
        </w:rPr>
      </w:pPr>
      <w:r w:rsidRPr="1CCC419F">
        <w:rPr>
          <w:rFonts w:ascii="Arial" w:eastAsia="Arial" w:hAnsi="Arial" w:cs="Arial"/>
          <w:sz w:val="22"/>
          <w:szCs w:val="22"/>
          <w:lang w:val="en-GB"/>
        </w:rPr>
        <w:t>A qualitative approach was chosen to gain an in-depth understanding of how the children’s involvement levels may differ before and after the mini plenary. It was believed that a qualitative method would be appropriate during this lesson study as it allows the researcher to use descriptive language and answer complex qu</w:t>
      </w:r>
      <w:r w:rsidRPr="1CCC419F">
        <w:rPr>
          <w:rFonts w:ascii="Arial" w:eastAsia="Arial" w:hAnsi="Arial" w:cs="Arial"/>
          <w:color w:val="000000" w:themeColor="text1"/>
          <w:sz w:val="22"/>
          <w:szCs w:val="22"/>
          <w:lang w:val="en-GB"/>
        </w:rPr>
        <w:t xml:space="preserve">estions in this area of research (Cottrel and Mckenzie, 2011). If the researcher had taken a quantitative approach, the data collected would be in a numerical form (Aliaga &amp; Gunderson, 2002), which would not have provided the researcher with a clear rationale behind the responses of the participants. </w:t>
      </w:r>
    </w:p>
    <w:p w14:paraId="07CD3925" w14:textId="5B06CE22" w:rsidR="67A9E1E4" w:rsidRDefault="67A9E1E4" w:rsidP="1CCC419F">
      <w:pPr>
        <w:spacing w:line="360" w:lineRule="auto"/>
        <w:jc w:val="both"/>
        <w:rPr>
          <w:rFonts w:ascii="Arial" w:eastAsia="Arial" w:hAnsi="Arial" w:cs="Arial"/>
          <w:sz w:val="22"/>
          <w:szCs w:val="22"/>
          <w:lang w:val="en-GB"/>
        </w:rPr>
      </w:pPr>
    </w:p>
    <w:p w14:paraId="71034B8D" w14:textId="4A16A51D" w:rsidR="0055109D" w:rsidRDefault="1CCC419F" w:rsidP="1CCC419F">
      <w:pPr>
        <w:spacing w:line="360" w:lineRule="auto"/>
        <w:rPr>
          <w:rFonts w:ascii="Arial" w:eastAsia="Arial" w:hAnsi="Arial" w:cs="Arial"/>
          <w:b/>
          <w:bCs/>
          <w:color w:val="00B050"/>
          <w:sz w:val="28"/>
          <w:szCs w:val="28"/>
          <w:u w:val="single"/>
          <w:lang w:val="en-GB"/>
        </w:rPr>
      </w:pPr>
      <w:r w:rsidRPr="1CCC419F">
        <w:rPr>
          <w:rFonts w:ascii="Arial" w:eastAsia="Arial" w:hAnsi="Arial" w:cs="Arial"/>
          <w:b/>
          <w:bCs/>
          <w:sz w:val="28"/>
          <w:szCs w:val="28"/>
          <w:u w:val="single"/>
          <w:lang w:val="en-GB"/>
        </w:rPr>
        <w:t xml:space="preserve">Ethical Considerations </w:t>
      </w:r>
    </w:p>
    <w:p w14:paraId="1BD06EB8" w14:textId="793CBE82" w:rsidR="0055109D" w:rsidRDefault="552FF72F" w:rsidP="1CCC419F">
      <w:pPr>
        <w:spacing w:line="360" w:lineRule="auto"/>
        <w:jc w:val="both"/>
        <w:rPr>
          <w:rFonts w:ascii="Arial" w:eastAsia="Arial" w:hAnsi="Arial" w:cs="Arial"/>
          <w:sz w:val="22"/>
          <w:szCs w:val="22"/>
          <w:lang w:val="en-GB"/>
        </w:rPr>
      </w:pPr>
      <w:r w:rsidRPr="552FF72F">
        <w:rPr>
          <w:rFonts w:ascii="Arial" w:eastAsia="Arial" w:hAnsi="Arial" w:cs="Arial"/>
          <w:sz w:val="22"/>
          <w:szCs w:val="22"/>
          <w:lang w:val="en-GB"/>
        </w:rPr>
        <w:t xml:space="preserve">Prior to completing any research, an Ethics Approval Form was completed and approved by University of Wales Trinity Saint David (UWTSD), Swansea. This completed form, fully informed the University of the research in which I intend to carry out with my research partner. One of the most important ethical rules governing research is that consent from the participants must be received by the researcher, before the participants can partake in the study </w:t>
      </w:r>
      <w:r w:rsidRPr="552FF72F">
        <w:rPr>
          <w:rFonts w:ascii="Arial" w:eastAsia="Arial" w:hAnsi="Arial" w:cs="Arial"/>
          <w:i/>
          <w:iCs/>
          <w:sz w:val="22"/>
          <w:szCs w:val="22"/>
          <w:lang w:val="en-GB"/>
        </w:rPr>
        <w:t>(Appendix 5).</w:t>
      </w:r>
      <w:r w:rsidRPr="552FF72F">
        <w:rPr>
          <w:rFonts w:ascii="Arial" w:eastAsia="Arial" w:hAnsi="Arial" w:cs="Arial"/>
          <w:sz w:val="22"/>
          <w:szCs w:val="22"/>
          <w:lang w:val="en-GB"/>
        </w:rPr>
        <w:t xml:space="preserve"> The consent forms provide the participants with details about what is expected from the study and how this information will be used (Anderson and Arsenault, 1998). In order to gain consent from the participants, information and consent letters were sent to the parents of the participants, followed by a child friendly consent form in which the participants were asked to complete. The participants were fully aware that they had the right to withdraw from the study at any time. It was also explained that if they did wish to withdraw from the study, all data collected from the participant would not be considered within the research project and the findings would be destroyed (Cohen, Manion and Morison, 2011). </w:t>
      </w:r>
    </w:p>
    <w:p w14:paraId="0A608F7C" w14:textId="1F6CF405" w:rsidR="1CCC419F" w:rsidRDefault="1CCC419F" w:rsidP="1CCC419F">
      <w:pPr>
        <w:spacing w:line="360" w:lineRule="auto"/>
        <w:jc w:val="both"/>
        <w:rPr>
          <w:rFonts w:ascii="Arial" w:eastAsia="Arial" w:hAnsi="Arial" w:cs="Arial"/>
          <w:sz w:val="22"/>
          <w:szCs w:val="22"/>
          <w:lang w:val="en-GB"/>
        </w:rPr>
      </w:pPr>
    </w:p>
    <w:p w14:paraId="10799CFA" w14:textId="7C6DD8DD" w:rsidR="0055109D" w:rsidRDefault="552FF72F" w:rsidP="552FF72F">
      <w:pPr>
        <w:spacing w:line="360" w:lineRule="auto"/>
        <w:rPr>
          <w:rFonts w:ascii="Arial" w:eastAsia="Arial" w:hAnsi="Arial" w:cs="Arial"/>
          <w:b/>
          <w:bCs/>
          <w:color w:val="FF0000"/>
          <w:sz w:val="28"/>
          <w:szCs w:val="28"/>
          <w:u w:val="single"/>
          <w:lang w:val="en-GB"/>
        </w:rPr>
      </w:pPr>
      <w:r w:rsidRPr="552FF72F">
        <w:rPr>
          <w:rFonts w:ascii="Arial" w:eastAsia="Arial" w:hAnsi="Arial" w:cs="Arial"/>
          <w:b/>
          <w:bCs/>
          <w:sz w:val="28"/>
          <w:szCs w:val="28"/>
          <w:u w:val="single"/>
          <w:lang w:val="en-GB"/>
        </w:rPr>
        <w:t xml:space="preserve">Lesson Studies </w:t>
      </w:r>
    </w:p>
    <w:p w14:paraId="437E186C" w14:textId="42408E22" w:rsidR="1CCC419F" w:rsidRDefault="552FF72F" w:rsidP="1CCC419F">
      <w:pPr>
        <w:spacing w:line="360" w:lineRule="auto"/>
        <w:rPr>
          <w:rFonts w:ascii="Arial" w:eastAsia="Arial" w:hAnsi="Arial" w:cs="Arial"/>
          <w:sz w:val="22"/>
          <w:szCs w:val="22"/>
          <w:u w:val="single"/>
          <w:lang w:val="en-GB"/>
        </w:rPr>
      </w:pPr>
      <w:r w:rsidRPr="552FF72F">
        <w:rPr>
          <w:rFonts w:ascii="Arial" w:eastAsia="Arial" w:hAnsi="Arial" w:cs="Arial"/>
          <w:sz w:val="22"/>
          <w:szCs w:val="22"/>
          <w:u w:val="single"/>
          <w:lang w:val="en-GB"/>
        </w:rPr>
        <w:t xml:space="preserve">Lesson Study One </w:t>
      </w:r>
    </w:p>
    <w:p w14:paraId="56F1BAF5" w14:textId="30E0DD50" w:rsidR="0055109D" w:rsidRDefault="552FF72F" w:rsidP="1CCC419F">
      <w:pPr>
        <w:spacing w:line="360" w:lineRule="auto"/>
        <w:jc w:val="both"/>
        <w:rPr>
          <w:rFonts w:ascii="Arial" w:eastAsia="Arial" w:hAnsi="Arial" w:cs="Arial"/>
          <w:sz w:val="22"/>
          <w:szCs w:val="22"/>
          <w:lang w:val="en-GB"/>
        </w:rPr>
      </w:pPr>
      <w:r w:rsidRPr="552FF72F">
        <w:rPr>
          <w:rFonts w:ascii="Arial" w:eastAsia="Arial" w:hAnsi="Arial" w:cs="Arial"/>
          <w:sz w:val="22"/>
          <w:szCs w:val="22"/>
          <w:lang w:val="en-GB"/>
        </w:rPr>
        <w:t xml:space="preserve">My lesson was taught within a year 6 classroom with children aged between 10 and 11 years old. The lesson focused on grammar skills which was a language-based welsh lesson, the lesson was taught through the medium of Welsh. However, my research partner taught through the medium of English as English is the language of School B. It was decided that a similar lesson would be taught in both schools (language lesson), but the mini plenaries would remain the same in both lessons. Although, the lessons were taught through different languages, we were able to plan and structure our lessons in the same way and used the same mini plenary activities within the lesson. My research partner played the role of an observer as I taught this lesson. </w:t>
      </w:r>
    </w:p>
    <w:p w14:paraId="6A5B51F3" w14:textId="63BB5162" w:rsidR="28239F2E" w:rsidRDefault="28239F2E" w:rsidP="28239F2E">
      <w:pPr>
        <w:spacing w:line="360" w:lineRule="auto"/>
        <w:jc w:val="both"/>
        <w:rPr>
          <w:rFonts w:ascii="Arial" w:eastAsia="Arial" w:hAnsi="Arial" w:cs="Arial"/>
          <w:sz w:val="22"/>
          <w:szCs w:val="22"/>
          <w:lang w:val="en-GB"/>
        </w:rPr>
      </w:pPr>
    </w:p>
    <w:p w14:paraId="07D33181" w14:textId="1B045228" w:rsidR="1CCC419F" w:rsidRDefault="552FF72F" w:rsidP="552FF72F">
      <w:pPr>
        <w:spacing w:line="360" w:lineRule="auto"/>
        <w:jc w:val="both"/>
        <w:rPr>
          <w:rFonts w:ascii="Arial" w:eastAsia="Arial" w:hAnsi="Arial" w:cs="Arial"/>
          <w:sz w:val="22"/>
          <w:szCs w:val="22"/>
          <w:lang w:val="en-GB"/>
        </w:rPr>
      </w:pPr>
      <w:r w:rsidRPr="552FF72F">
        <w:rPr>
          <w:rFonts w:ascii="Arial" w:eastAsia="Arial" w:hAnsi="Arial" w:cs="Arial"/>
          <w:sz w:val="22"/>
          <w:szCs w:val="22"/>
          <w:lang w:val="en-GB"/>
        </w:rPr>
        <w:t>The lesson began by clearly stating the Lesson Objective and Success Criteria. The first activity required the pupils to engage and interact with each other in order to complete the task. A questioning activity; ‘Think, Pair, Share’ was used to question and assess the pupils on their currently knowledge and understanding around the topic. Firstly, the pupils were given time to think about what they already know, then the pupils were asked to discuss what they know with a partner making note on a piece of A4 paper (</w:t>
      </w:r>
      <w:r w:rsidRPr="552FF72F">
        <w:rPr>
          <w:rFonts w:ascii="Arial" w:eastAsia="Arial" w:hAnsi="Arial" w:cs="Arial"/>
          <w:i/>
          <w:iCs/>
          <w:sz w:val="22"/>
          <w:szCs w:val="22"/>
          <w:lang w:val="en-GB"/>
        </w:rPr>
        <w:t>Appendix 6).</w:t>
      </w:r>
      <w:r w:rsidRPr="552FF72F">
        <w:rPr>
          <w:rFonts w:ascii="Arial" w:eastAsia="Arial" w:hAnsi="Arial" w:cs="Arial"/>
          <w:sz w:val="22"/>
          <w:szCs w:val="22"/>
          <w:lang w:val="en-GB"/>
        </w:rPr>
        <w:t xml:space="preserve"> After receiving time to discuss and make not as pairs, the pupils were asked to share their understanding of the topic with the class. The pupils’ engagement levels were assessed by my research partner at the beginning of the lesson. All pupils appeared to be listening through the lesson introduction although the researcher further assessed and analysed learning behaviours through the lesson by using the Leuven Scale of Involvement </w:t>
      </w:r>
      <w:r w:rsidRPr="552FF72F">
        <w:rPr>
          <w:rFonts w:ascii="Arial" w:eastAsia="Arial" w:hAnsi="Arial" w:cs="Arial"/>
          <w:i/>
          <w:iCs/>
          <w:sz w:val="22"/>
          <w:szCs w:val="22"/>
          <w:lang w:val="en-GB"/>
        </w:rPr>
        <w:t>(Appendix 5)</w:t>
      </w:r>
      <w:r w:rsidRPr="552FF72F">
        <w:rPr>
          <w:rFonts w:ascii="Arial" w:eastAsia="Arial" w:hAnsi="Arial" w:cs="Arial"/>
          <w:sz w:val="22"/>
          <w:szCs w:val="22"/>
          <w:lang w:val="en-GB"/>
        </w:rPr>
        <w:t xml:space="preserve">. All children were encouraged to stay on-task, but the researcher mainly focused on the engagement of the selected three participants. After giving clear instructions the children went ahead to complete their written task. The researcher and I realised that some children were discussing the task with a partner or small group and some raised their hand to ask the teacher (myself) some questions regarding the task. Half-way through the lesson, I asked for the children’s attention in order to begin the mini plenary. During the mini plenary, many questioning techniques were used to assess the children’s understanding. This was an opportunity for the children to ask questions and for other to answer and share their understanding with the peers, this was an effective way for the children to take lead in their learning and to learn from their peers instead of the questions being answered by the teacher. The children also partook is a short activity which involved re visiting the ‘Think, Pair, Share’ task which started the lesson. The pupils were asked to work in their pairs, read over the notes made on the A4 paper and add to this using what they now know about the topic. They were also asked to use a different colour pen whilst adding their new notes in order to differentiate between what they knew before and what they now know. It was clear that all pupils were fully aware of the expectations of the lesson before starting the task, this was assessed by asking the children to show their understanding by showing ‘thumbs up or thumbs down’ which is an assessment for learning strategy. </w:t>
      </w:r>
    </w:p>
    <w:p w14:paraId="4A0A55DB" w14:textId="0781F817" w:rsidR="1CCC419F" w:rsidRDefault="1CCC419F" w:rsidP="552FF72F">
      <w:pPr>
        <w:spacing w:line="360" w:lineRule="auto"/>
        <w:jc w:val="both"/>
        <w:rPr>
          <w:rFonts w:ascii="Arial" w:eastAsia="Arial" w:hAnsi="Arial" w:cs="Arial"/>
          <w:sz w:val="22"/>
          <w:szCs w:val="22"/>
          <w:lang w:val="en-GB"/>
        </w:rPr>
      </w:pPr>
    </w:p>
    <w:p w14:paraId="3B4C50DD" w14:textId="152D9EB6" w:rsidR="1CCC419F" w:rsidRDefault="552FF72F" w:rsidP="1CCC419F">
      <w:pPr>
        <w:spacing w:line="360" w:lineRule="auto"/>
        <w:jc w:val="both"/>
        <w:rPr>
          <w:rFonts w:ascii="Arial" w:eastAsia="Arial" w:hAnsi="Arial" w:cs="Arial"/>
          <w:sz w:val="22"/>
          <w:szCs w:val="22"/>
          <w:lang w:val="en-GB"/>
        </w:rPr>
      </w:pPr>
      <w:r w:rsidRPr="552FF72F">
        <w:rPr>
          <w:rFonts w:ascii="Arial" w:eastAsia="Arial" w:hAnsi="Arial" w:cs="Arial"/>
          <w:sz w:val="22"/>
          <w:szCs w:val="22"/>
          <w:lang w:val="en-GB"/>
        </w:rPr>
        <w:t>After the lesson and semi-structured interviews were complete, the observer (research partner) and I discussed and analysed the lesson. It was found that the children were involved and engaged in their lesson before the mini plenaries, all three children scored highly against the Leuven Scale of Involvement before the lesson but demonstrated very high scores after the mini plenary. The researcher found an increase in all children’s involvement levels after the use of mini plenaries. The children appeared to be on-task, involved and confident within their learning after the mini plenary was used. The researcher said that there was a considerable increase shown in the children’s attitude towards learning after partaking in the mini plenary. This also made a difference to the amount of work that had been completed during the lesson in comparison to other lessons.</w:t>
      </w:r>
    </w:p>
    <w:p w14:paraId="20335773" w14:textId="5AA9C86E" w:rsidR="1CCC419F" w:rsidRDefault="1CCC419F" w:rsidP="1CCC419F">
      <w:pPr>
        <w:spacing w:line="360" w:lineRule="auto"/>
        <w:rPr>
          <w:rFonts w:ascii="Arial" w:eastAsia="Arial" w:hAnsi="Arial" w:cs="Arial"/>
          <w:sz w:val="22"/>
          <w:szCs w:val="22"/>
          <w:lang w:val="en-GB"/>
        </w:rPr>
      </w:pPr>
    </w:p>
    <w:p w14:paraId="566F60DE" w14:textId="13C84740" w:rsidR="1CCC419F" w:rsidRDefault="552FF72F" w:rsidP="1CCC419F">
      <w:pPr>
        <w:spacing w:line="360" w:lineRule="auto"/>
        <w:jc w:val="both"/>
        <w:rPr>
          <w:rFonts w:ascii="Arial" w:eastAsia="Arial" w:hAnsi="Arial" w:cs="Arial"/>
          <w:sz w:val="22"/>
          <w:szCs w:val="22"/>
          <w:lang w:val="en-GB"/>
        </w:rPr>
      </w:pPr>
      <w:r w:rsidRPr="552FF72F">
        <w:rPr>
          <w:rFonts w:ascii="Arial" w:eastAsia="Arial" w:hAnsi="Arial" w:cs="Arial"/>
          <w:sz w:val="22"/>
          <w:szCs w:val="22"/>
          <w:lang w:val="en-GB"/>
        </w:rPr>
        <w:t xml:space="preserve">After thoroughly reflecting on this lesson, we discussed and addressed the key parts of the lesson where there were room for improvement. We decided that the main way of improving the lesson would be by taking more time to carefully plan the lessons. It would also have been beneficial to use a pilot study for this lesson in order to address the main issues within the lesson prior to the study taking place. We also discussed the difficulty of assessing the three selected participants at the same time. We believed that the method of a lesson study worked very well and provided us with sufficient findings. The Leuven Scale of Involvement allowed the researcher to assess the pupils before, during and after the mini plenaries in a quick, clear and easy format. </w:t>
      </w:r>
    </w:p>
    <w:p w14:paraId="290BA980" w14:textId="4CA25DCA" w:rsidR="1CCC419F" w:rsidRDefault="1CCC419F" w:rsidP="1CCC419F">
      <w:pPr>
        <w:spacing w:line="360" w:lineRule="auto"/>
        <w:rPr>
          <w:rFonts w:ascii="Arial" w:eastAsia="Arial" w:hAnsi="Arial" w:cs="Arial"/>
          <w:sz w:val="22"/>
          <w:szCs w:val="22"/>
          <w:lang w:val="en-GB"/>
        </w:rPr>
      </w:pPr>
    </w:p>
    <w:p w14:paraId="4135BE06" w14:textId="7B9F809C" w:rsidR="1CCC419F" w:rsidRDefault="552FF72F" w:rsidP="1CCC419F">
      <w:pPr>
        <w:spacing w:line="360" w:lineRule="auto"/>
        <w:rPr>
          <w:rFonts w:ascii="Arial" w:eastAsia="Arial" w:hAnsi="Arial" w:cs="Arial"/>
          <w:sz w:val="22"/>
          <w:szCs w:val="22"/>
          <w:u w:val="single"/>
          <w:lang w:val="en-GB"/>
        </w:rPr>
      </w:pPr>
      <w:r w:rsidRPr="552FF72F">
        <w:rPr>
          <w:rFonts w:ascii="Arial" w:eastAsia="Arial" w:hAnsi="Arial" w:cs="Arial"/>
          <w:sz w:val="22"/>
          <w:szCs w:val="22"/>
          <w:u w:val="single"/>
          <w:lang w:val="en-GB"/>
        </w:rPr>
        <w:t xml:space="preserve">Lesson Study Two </w:t>
      </w:r>
    </w:p>
    <w:p w14:paraId="435B093A" w14:textId="242A3E74" w:rsidR="1CCC419F" w:rsidRDefault="552FF72F" w:rsidP="552FF72F">
      <w:pPr>
        <w:spacing w:line="360" w:lineRule="auto"/>
        <w:jc w:val="both"/>
        <w:rPr>
          <w:rFonts w:ascii="Arial" w:eastAsia="Arial" w:hAnsi="Arial" w:cs="Arial"/>
          <w:sz w:val="22"/>
          <w:szCs w:val="22"/>
          <w:lang w:val="en-GB"/>
        </w:rPr>
      </w:pPr>
      <w:r w:rsidRPr="552FF72F">
        <w:rPr>
          <w:rFonts w:ascii="Arial" w:eastAsia="Arial" w:hAnsi="Arial" w:cs="Arial"/>
          <w:sz w:val="22"/>
          <w:szCs w:val="22"/>
          <w:lang w:val="en-GB"/>
        </w:rPr>
        <w:t xml:space="preserve">This lesson was taught by my research partner and observed by myself. This lesson took place in a year 6 classroom with children ages between 9 and 10 years old. As mentioned above, although this lesson was taught through the medium of English, the focus of the lesson remained the same and the same teaching techniques and strategies were used. I met with my research partner half an hour before the lesson began to briefly discuss the routine and information about the selected participants. These three participants were selected by the classroom teacher and consent was granted from the pupils and their parents before prior to the lesson. </w:t>
      </w:r>
    </w:p>
    <w:p w14:paraId="493C14A4" w14:textId="0D43CCC3" w:rsidR="002B4E71" w:rsidRDefault="002B4E71" w:rsidP="552FF72F">
      <w:pPr>
        <w:spacing w:line="360" w:lineRule="auto"/>
        <w:rPr>
          <w:rFonts w:ascii="Arial" w:eastAsia="Arial" w:hAnsi="Arial" w:cs="Arial"/>
          <w:sz w:val="22"/>
          <w:szCs w:val="22"/>
          <w:lang w:val="en-GB"/>
        </w:rPr>
      </w:pPr>
    </w:p>
    <w:p w14:paraId="74B3E00A" w14:textId="510DE21F" w:rsidR="002B4E71" w:rsidRDefault="552FF72F" w:rsidP="552FF72F">
      <w:pPr>
        <w:spacing w:line="360" w:lineRule="auto"/>
        <w:jc w:val="both"/>
        <w:rPr>
          <w:rFonts w:ascii="Arial" w:eastAsia="Arial" w:hAnsi="Arial" w:cs="Arial"/>
          <w:sz w:val="22"/>
          <w:szCs w:val="22"/>
          <w:lang w:val="en-GB"/>
        </w:rPr>
      </w:pPr>
      <w:r w:rsidRPr="552FF72F">
        <w:rPr>
          <w:rFonts w:ascii="Arial" w:eastAsia="Arial" w:hAnsi="Arial" w:cs="Arial"/>
          <w:sz w:val="22"/>
          <w:szCs w:val="22"/>
          <w:lang w:val="en-GB"/>
        </w:rPr>
        <w:t xml:space="preserve">As previously stated, this lesson focused on English language, literacy and communication. The teacher began the lesson by clearly stating the lesson objectives and success criteria for the lesson. The teacher used many questioning techniques at the start of the lesson to assess what the pupils already knew in relation to the topic. The teacher asked the pupils to work as a pair, to think and write about what they knew in relation to the topic. This was an effective questioning technique as it provided an opportunity for pupils to learn from each other by sharing their knowledge. The pupils’ understanding of the topic were noted on a piece of A4 paper which were then fed back during a class discussion. </w:t>
      </w:r>
    </w:p>
    <w:p w14:paraId="34F129D1" w14:textId="056EF2B9" w:rsidR="002B4E71" w:rsidRDefault="002B4E71" w:rsidP="552FF72F">
      <w:pPr>
        <w:spacing w:line="360" w:lineRule="auto"/>
        <w:jc w:val="both"/>
        <w:rPr>
          <w:rFonts w:ascii="Arial" w:eastAsia="Arial" w:hAnsi="Arial" w:cs="Arial"/>
          <w:sz w:val="22"/>
          <w:szCs w:val="22"/>
          <w:lang w:val="en-GB"/>
        </w:rPr>
      </w:pPr>
    </w:p>
    <w:p w14:paraId="1BFFAA64" w14:textId="20304B5D" w:rsidR="002B4E71" w:rsidRDefault="552FF72F" w:rsidP="552FF72F">
      <w:pPr>
        <w:spacing w:line="360" w:lineRule="auto"/>
        <w:jc w:val="both"/>
        <w:rPr>
          <w:rFonts w:ascii="Arial" w:eastAsia="Arial" w:hAnsi="Arial" w:cs="Arial"/>
          <w:sz w:val="22"/>
          <w:szCs w:val="22"/>
          <w:lang w:val="en-GB"/>
        </w:rPr>
      </w:pPr>
      <w:r w:rsidRPr="552FF72F">
        <w:rPr>
          <w:rFonts w:ascii="Arial" w:eastAsia="Arial" w:hAnsi="Arial" w:cs="Arial"/>
          <w:sz w:val="22"/>
          <w:szCs w:val="22"/>
          <w:lang w:val="en-GB"/>
        </w:rPr>
        <w:t xml:space="preserve">From the Lesson plan it was clear that there were three parts to the lesson. The teacher took time to introduce each task and provided an opportunity for a mini-plenary half-way through tasks. This was effective as the children had the chance to begin their task, discuss and ask questions half-way through the task and then continue the task after gaining clarity from the mini plenary. The Leuven Scale of Involvement provided opportunities to assess the pupils before and after the mini plenary. It became apparent that some pupils showed a lack of concentration whilst completing the first task, therefor the teacher used the mini plenary to ensure that the pupils were on task. During the mini plenary the teacher questioned the children about what they knew and asked them to add these points to their A4 paper. The teacher also wrote examples on the whiteboard in which the pupils completed as a class. This was an effective way of learning as the pupils worked together and learnt from their peers. Research states that 95% of learning comes from what has been learnt by listening to other peers (Watson, 2015). The mini plenary allowed the pupils to ask specific questions related to the task and to gain clarity and confidence in their understanding of the lesson. It was found that the pupils’ level of involvement, as a class hugely increased after the class discussion from the mini plenary. </w:t>
      </w:r>
    </w:p>
    <w:p w14:paraId="31B6FA43" w14:textId="629B5528" w:rsidR="002B4E71" w:rsidRDefault="002B4E71" w:rsidP="552FF72F">
      <w:pPr>
        <w:spacing w:line="360" w:lineRule="auto"/>
        <w:jc w:val="both"/>
        <w:rPr>
          <w:rFonts w:ascii="Arial" w:eastAsia="Arial" w:hAnsi="Arial" w:cs="Arial"/>
          <w:sz w:val="22"/>
          <w:szCs w:val="22"/>
          <w:lang w:val="en-GB"/>
        </w:rPr>
      </w:pPr>
    </w:p>
    <w:p w14:paraId="1F73D7EC" w14:textId="07C01A37" w:rsidR="002B4E71" w:rsidRDefault="552FF72F" w:rsidP="552FF72F">
      <w:pPr>
        <w:spacing w:line="360" w:lineRule="auto"/>
        <w:jc w:val="both"/>
        <w:rPr>
          <w:rFonts w:ascii="Arial" w:eastAsia="Arial" w:hAnsi="Arial" w:cs="Arial"/>
          <w:sz w:val="22"/>
          <w:szCs w:val="22"/>
          <w:lang w:val="en-GB"/>
        </w:rPr>
      </w:pPr>
      <w:r w:rsidRPr="552FF72F">
        <w:rPr>
          <w:rFonts w:ascii="Arial" w:eastAsia="Arial" w:hAnsi="Arial" w:cs="Arial"/>
          <w:sz w:val="22"/>
          <w:szCs w:val="22"/>
          <w:lang w:val="en-GB"/>
        </w:rPr>
        <w:t xml:space="preserve">The lesson could have been improved if the teacher and I piloted the lesson before the official lesson took place. As with all study, minor errors occurred which could have been detected by completing a pilot study lesson. </w:t>
      </w:r>
    </w:p>
    <w:p w14:paraId="5ECB5AC7" w14:textId="61F5E010" w:rsidR="002B4E71" w:rsidRDefault="002B4E71" w:rsidP="552FF72F">
      <w:pPr>
        <w:spacing w:line="360" w:lineRule="auto"/>
        <w:rPr>
          <w:rFonts w:ascii="Arial" w:eastAsia="Arial" w:hAnsi="Arial" w:cs="Arial"/>
          <w:sz w:val="22"/>
          <w:szCs w:val="22"/>
          <w:lang w:val="en-GB"/>
        </w:rPr>
      </w:pPr>
    </w:p>
    <w:p w14:paraId="3A6674D6" w14:textId="4A13CF45" w:rsidR="0055109D" w:rsidRDefault="1CCC419F" w:rsidP="1CCC419F">
      <w:pPr>
        <w:spacing w:line="360" w:lineRule="auto"/>
        <w:rPr>
          <w:rFonts w:ascii="Arial" w:eastAsia="Arial" w:hAnsi="Arial" w:cs="Arial"/>
          <w:b/>
          <w:bCs/>
          <w:color w:val="00B050"/>
          <w:sz w:val="28"/>
          <w:szCs w:val="28"/>
          <w:u w:val="single"/>
          <w:lang w:val="en-GB"/>
        </w:rPr>
      </w:pPr>
      <w:r w:rsidRPr="1CCC419F">
        <w:rPr>
          <w:rFonts w:ascii="Arial" w:eastAsia="Arial" w:hAnsi="Arial" w:cs="Arial"/>
          <w:b/>
          <w:bCs/>
          <w:sz w:val="28"/>
          <w:szCs w:val="28"/>
          <w:u w:val="single"/>
          <w:lang w:val="en-GB"/>
        </w:rPr>
        <w:t xml:space="preserve">Discussions and Findings </w:t>
      </w:r>
    </w:p>
    <w:p w14:paraId="77F896E0" w14:textId="23CC2628" w:rsidR="1A7A1CA6" w:rsidRDefault="552FF72F" w:rsidP="1CCC419F">
      <w:pPr>
        <w:spacing w:line="360" w:lineRule="auto"/>
        <w:rPr>
          <w:rFonts w:ascii="Arial" w:eastAsia="Arial" w:hAnsi="Arial" w:cs="Arial"/>
          <w:sz w:val="22"/>
          <w:szCs w:val="22"/>
          <w:lang w:val="en-GB"/>
        </w:rPr>
      </w:pPr>
      <w:r w:rsidRPr="552FF72F">
        <w:rPr>
          <w:rFonts w:ascii="Arial" w:eastAsia="Arial" w:hAnsi="Arial" w:cs="Arial"/>
          <w:sz w:val="22"/>
          <w:szCs w:val="22"/>
          <w:lang w:val="en-GB"/>
        </w:rPr>
        <w:t xml:space="preserve">This section of Discussion and Findings focuses on the reflection from the lessons taught by myself and my research partner. As previously stated, the observer marked the three selected children’s progress of involvement against the Leuven Scale of Involvement. The participants will be referred to as </w:t>
      </w:r>
      <w:r w:rsidRPr="552FF72F">
        <w:rPr>
          <w:rFonts w:ascii="Arial" w:eastAsia="Arial" w:hAnsi="Arial" w:cs="Arial"/>
          <w:i/>
          <w:iCs/>
          <w:sz w:val="22"/>
          <w:szCs w:val="22"/>
          <w:lang w:val="en-GB"/>
        </w:rPr>
        <w:t>Pupil A</w:t>
      </w:r>
      <w:r w:rsidRPr="552FF72F">
        <w:rPr>
          <w:rFonts w:ascii="Arial" w:eastAsia="Arial" w:hAnsi="Arial" w:cs="Arial"/>
          <w:sz w:val="22"/>
          <w:szCs w:val="22"/>
          <w:lang w:val="en-GB"/>
        </w:rPr>
        <w:t>, Pupil</w:t>
      </w:r>
      <w:r w:rsidRPr="552FF72F">
        <w:rPr>
          <w:rFonts w:ascii="Arial" w:eastAsia="Arial" w:hAnsi="Arial" w:cs="Arial"/>
          <w:i/>
          <w:iCs/>
          <w:sz w:val="22"/>
          <w:szCs w:val="22"/>
          <w:lang w:val="en-GB"/>
        </w:rPr>
        <w:t xml:space="preserve"> B and Pupil C.</w:t>
      </w:r>
      <w:r w:rsidRPr="552FF72F">
        <w:rPr>
          <w:rFonts w:ascii="Arial" w:eastAsia="Arial" w:hAnsi="Arial" w:cs="Arial"/>
          <w:sz w:val="22"/>
          <w:szCs w:val="22"/>
          <w:lang w:val="en-GB"/>
        </w:rPr>
        <w:t xml:space="preserve"> </w:t>
      </w:r>
    </w:p>
    <w:p w14:paraId="04B9787E" w14:textId="12EB752A" w:rsidR="1A7A1CA6" w:rsidRDefault="1A7A1CA6" w:rsidP="1CCC419F">
      <w:pPr>
        <w:spacing w:line="360" w:lineRule="auto"/>
        <w:rPr>
          <w:rFonts w:ascii="Arial" w:eastAsia="Arial" w:hAnsi="Arial" w:cs="Arial"/>
          <w:sz w:val="22"/>
          <w:szCs w:val="22"/>
          <w:lang w:val="en-GB"/>
        </w:rPr>
      </w:pPr>
    </w:p>
    <w:p w14:paraId="69663E07" w14:textId="5FC5EF5C" w:rsidR="552FF72F" w:rsidRDefault="552FF72F" w:rsidP="552FF72F">
      <w:pPr>
        <w:spacing w:line="360" w:lineRule="auto"/>
        <w:rPr>
          <w:rFonts w:ascii="Arial" w:eastAsia="Arial" w:hAnsi="Arial" w:cs="Arial"/>
          <w:sz w:val="22"/>
          <w:szCs w:val="22"/>
          <w:u w:val="single"/>
          <w:lang w:val="en-GB"/>
        </w:rPr>
      </w:pPr>
      <w:r w:rsidRPr="552FF72F">
        <w:rPr>
          <w:rFonts w:ascii="Arial" w:eastAsia="Arial" w:hAnsi="Arial" w:cs="Arial"/>
          <w:sz w:val="22"/>
          <w:szCs w:val="22"/>
          <w:u w:val="single"/>
          <w:lang w:val="en-GB"/>
        </w:rPr>
        <w:t>School A</w:t>
      </w:r>
    </w:p>
    <w:p w14:paraId="3C2B4F01" w14:textId="3254FB30" w:rsidR="1A7A1CA6" w:rsidRDefault="552FF72F" w:rsidP="1CCC419F">
      <w:pPr>
        <w:spacing w:line="360" w:lineRule="auto"/>
        <w:jc w:val="both"/>
        <w:rPr>
          <w:rFonts w:ascii="Arial" w:eastAsia="Arial" w:hAnsi="Arial" w:cs="Arial"/>
          <w:sz w:val="22"/>
          <w:szCs w:val="22"/>
          <w:lang w:val="en-GB"/>
        </w:rPr>
      </w:pPr>
      <w:r w:rsidRPr="552FF72F">
        <w:rPr>
          <w:rFonts w:ascii="Arial" w:eastAsia="Arial" w:hAnsi="Arial" w:cs="Arial"/>
          <w:sz w:val="22"/>
          <w:szCs w:val="22"/>
          <w:lang w:val="en-GB"/>
        </w:rPr>
        <w:t>At the beginning of the lesson it was found that Pupil A was concentrating and involved in their learning. The child’s involvement level was marked as high prior to the mini plenary</w:t>
      </w:r>
      <w:r w:rsidRPr="552FF72F">
        <w:rPr>
          <w:rFonts w:ascii="Arial" w:eastAsia="Arial" w:hAnsi="Arial" w:cs="Arial"/>
          <w:color w:val="FF0000"/>
          <w:sz w:val="22"/>
          <w:szCs w:val="22"/>
          <w:lang w:val="en-GB"/>
        </w:rPr>
        <w:t xml:space="preserve"> </w:t>
      </w:r>
      <w:r w:rsidRPr="552FF72F">
        <w:rPr>
          <w:rFonts w:ascii="Arial" w:eastAsia="Arial" w:hAnsi="Arial" w:cs="Arial"/>
          <w:i/>
          <w:iCs/>
          <w:sz w:val="22"/>
          <w:szCs w:val="22"/>
          <w:lang w:val="en-GB"/>
        </w:rPr>
        <w:t>(Appendix 3B.1)</w:t>
      </w:r>
      <w:r w:rsidRPr="552FF72F">
        <w:rPr>
          <w:rFonts w:ascii="Arial" w:eastAsia="Arial" w:hAnsi="Arial" w:cs="Arial"/>
          <w:color w:val="FF0000"/>
          <w:sz w:val="22"/>
          <w:szCs w:val="22"/>
          <w:lang w:val="en-GB"/>
        </w:rPr>
        <w:t xml:space="preserve">. </w:t>
      </w:r>
      <w:r w:rsidRPr="552FF72F">
        <w:rPr>
          <w:rFonts w:ascii="Arial" w:eastAsia="Arial" w:hAnsi="Arial" w:cs="Arial"/>
          <w:sz w:val="22"/>
          <w:szCs w:val="22"/>
          <w:lang w:val="en-GB"/>
        </w:rPr>
        <w:t xml:space="preserve">It was noted by the observer that this pupil appeared eager to learn from the very beginning of the lesson. During the semi-structured interviews, </w:t>
      </w:r>
      <w:r w:rsidRPr="552FF72F">
        <w:rPr>
          <w:rFonts w:ascii="Arial" w:eastAsia="Arial" w:hAnsi="Arial" w:cs="Arial"/>
          <w:color w:val="000000" w:themeColor="text1"/>
          <w:sz w:val="22"/>
          <w:szCs w:val="22"/>
          <w:lang w:val="en-GB"/>
        </w:rPr>
        <w:t>Pupil</w:t>
      </w:r>
      <w:r w:rsidRPr="552FF72F">
        <w:rPr>
          <w:rFonts w:ascii="Arial" w:eastAsia="Arial" w:hAnsi="Arial" w:cs="Arial"/>
          <w:sz w:val="22"/>
          <w:szCs w:val="22"/>
          <w:lang w:val="en-GB"/>
        </w:rPr>
        <w:t xml:space="preserve"> A spoke open and honest about their opinion on mini plenaries. Pupil A stated that they would prefer the lesson without the mini plenary as they feel that they would complete more work within the time frame if the lesson was not disrupted by the mini plenary. The pupil stated that sometimes there is a need to ask questions, but this could be done by simply asking during the lesson without the use of mini plenaries. However, this pupil is in a top ability group and always appears confident and eager to complete their work. Although this pupil felt confident with their work, the literature suggests that it is effective to use the mini plenary to clarify misunderstandings, check that the pupil is on-track and to praise the child for their completed work (OFSTED, 2003). After the mini plenary the pupil scored Extremely High against the Leuven Scale.</w:t>
      </w:r>
    </w:p>
    <w:p w14:paraId="16C99F50" w14:textId="4E4AC172" w:rsidR="1A7A1CA6" w:rsidRDefault="1A7A1CA6" w:rsidP="1CCC419F">
      <w:pPr>
        <w:spacing w:line="360" w:lineRule="auto"/>
        <w:rPr>
          <w:rFonts w:ascii="Arial" w:eastAsia="Arial" w:hAnsi="Arial" w:cs="Arial"/>
          <w:sz w:val="22"/>
          <w:szCs w:val="22"/>
          <w:lang w:val="en-GB"/>
        </w:rPr>
      </w:pPr>
    </w:p>
    <w:p w14:paraId="2424D355" w14:textId="5AA5793E" w:rsidR="1A7A1CA6" w:rsidRDefault="552FF72F" w:rsidP="1CCC419F">
      <w:pPr>
        <w:spacing w:line="360" w:lineRule="auto"/>
        <w:jc w:val="both"/>
        <w:rPr>
          <w:rFonts w:ascii="Arial" w:eastAsia="Arial" w:hAnsi="Arial" w:cs="Arial"/>
          <w:sz w:val="22"/>
          <w:szCs w:val="22"/>
          <w:lang w:val="en-GB"/>
        </w:rPr>
      </w:pPr>
      <w:r w:rsidRPr="552FF72F">
        <w:rPr>
          <w:rFonts w:ascii="Arial" w:eastAsia="Arial" w:hAnsi="Arial" w:cs="Arial"/>
          <w:sz w:val="22"/>
          <w:szCs w:val="22"/>
          <w:lang w:val="en-GB"/>
        </w:rPr>
        <w:t xml:space="preserve">Differently, it was found that Pupil B showed a Moderate level of involvement before the mini plenaries, but this level of involvement increased to ‘High’ after the mini plenary had been introduced </w:t>
      </w:r>
      <w:r w:rsidRPr="552FF72F">
        <w:rPr>
          <w:rFonts w:ascii="Arial" w:eastAsia="Arial" w:hAnsi="Arial" w:cs="Arial"/>
          <w:i/>
          <w:iCs/>
          <w:sz w:val="22"/>
          <w:szCs w:val="22"/>
          <w:lang w:val="en-GB"/>
        </w:rPr>
        <w:t>(Appendix 3B.1)</w:t>
      </w:r>
      <w:r w:rsidRPr="552FF72F">
        <w:rPr>
          <w:rFonts w:ascii="Arial" w:eastAsia="Arial" w:hAnsi="Arial" w:cs="Arial"/>
          <w:sz w:val="22"/>
          <w:szCs w:val="22"/>
          <w:lang w:val="en-GB"/>
        </w:rPr>
        <w:t xml:space="preserve">. Pupil B was in the middle ability group and sometimes experiences’ difficulty with concentration. Pupil B showed positive feedback on the use of mini plenaries during the semi-structured interviews. It was explained by Pupil B that stopping during the lesson provided an opportunity to ask questions, discuss as a class and to clarify that they were ‘on track’ whilst completing their work. The response by Pupil B supports the literature which states that mini plenaries supports and reminds children of their learning (Joyce-Gibbson,2016). Pupil B also mentioned that they felt much more confident after the mini plenary as they were able to share their questions with the class and relate to others. This response is very different to the response of Pupil B. </w:t>
      </w:r>
    </w:p>
    <w:p w14:paraId="28D1F8D8" w14:textId="54975831" w:rsidR="552FF72F" w:rsidRDefault="552FF72F" w:rsidP="552FF72F">
      <w:pPr>
        <w:spacing w:line="360" w:lineRule="auto"/>
        <w:rPr>
          <w:rFonts w:ascii="Arial" w:eastAsia="Arial" w:hAnsi="Arial" w:cs="Arial"/>
          <w:sz w:val="22"/>
          <w:szCs w:val="22"/>
          <w:lang w:val="en-GB"/>
        </w:rPr>
      </w:pPr>
    </w:p>
    <w:p w14:paraId="41C72AF4" w14:textId="4953EBC5" w:rsidR="1A7A1CA6" w:rsidRDefault="552FF72F" w:rsidP="1CCC419F">
      <w:pPr>
        <w:spacing w:line="360" w:lineRule="auto"/>
        <w:jc w:val="both"/>
        <w:rPr>
          <w:rFonts w:ascii="Arial" w:eastAsia="Arial" w:hAnsi="Arial" w:cs="Arial"/>
          <w:sz w:val="22"/>
          <w:szCs w:val="22"/>
          <w:lang w:val="en-GB"/>
        </w:rPr>
      </w:pPr>
      <w:r w:rsidRPr="552FF72F">
        <w:rPr>
          <w:rFonts w:ascii="Arial" w:eastAsia="Arial" w:hAnsi="Arial" w:cs="Arial"/>
          <w:sz w:val="22"/>
          <w:szCs w:val="22"/>
          <w:lang w:val="en-GB"/>
        </w:rPr>
        <w:t xml:space="preserve">Pupil C also showed a low/ moderate level of involvement before the mini plenary which then changed to high after the mini plenary. Roderick and Engle (2001), emphasises that there is an increased need to engage children that show a low level of engagement as these children are at risk. This pupil was looking at the front during the presentation but according to the observer this pupil sometimes appeared to be staring into space and looking at others. During the semi-structured interviews, Pupil C stated, ‘I like it when the teacher uses mini-plenaries because it helps me with my work'. Pupil C went on to discuss they think that this approach should be used in every lesson in order to keep children on track and focused on their learning. This point supports the literature as Joyce-Gibbson (2016) states that mini plenaries contribute to the pupils’ learning as a form of scaffolding. This pupil also stated that they felt that their level of confidence increased after the mini plenary as they felt supported and reassured whilst reflecting on their completed work. Pupil C also mentioned that they felt that the use of mini plenaries reduced time for chatting to friends and falling off track. </w:t>
      </w:r>
    </w:p>
    <w:p w14:paraId="199AEE40" w14:textId="5FB96D34" w:rsidR="552FF72F" w:rsidRDefault="552FF72F" w:rsidP="552FF72F">
      <w:pPr>
        <w:spacing w:line="360" w:lineRule="auto"/>
        <w:jc w:val="both"/>
        <w:rPr>
          <w:rFonts w:ascii="Arial" w:eastAsia="Arial" w:hAnsi="Arial" w:cs="Arial"/>
          <w:sz w:val="22"/>
          <w:szCs w:val="22"/>
          <w:lang w:val="en-GB"/>
        </w:rPr>
      </w:pPr>
    </w:p>
    <w:p w14:paraId="3E7F0AFA" w14:textId="7EC574C8" w:rsidR="1A7A1CA6" w:rsidRDefault="552FF72F" w:rsidP="552FF72F">
      <w:pPr>
        <w:spacing w:line="360" w:lineRule="auto"/>
        <w:rPr>
          <w:rFonts w:ascii="Arial" w:eastAsia="Arial" w:hAnsi="Arial" w:cs="Arial"/>
          <w:sz w:val="22"/>
          <w:szCs w:val="22"/>
          <w:u w:val="single"/>
          <w:lang w:val="en-GB"/>
        </w:rPr>
      </w:pPr>
      <w:r w:rsidRPr="552FF72F">
        <w:rPr>
          <w:rFonts w:ascii="Arial" w:eastAsia="Arial" w:hAnsi="Arial" w:cs="Arial"/>
          <w:sz w:val="22"/>
          <w:szCs w:val="22"/>
          <w:u w:val="single"/>
          <w:lang w:val="en-GB"/>
        </w:rPr>
        <w:t>School B</w:t>
      </w:r>
    </w:p>
    <w:p w14:paraId="362D983D" w14:textId="7ECF85FF" w:rsidR="552FF72F" w:rsidRDefault="552FF72F" w:rsidP="552FF72F">
      <w:pPr>
        <w:spacing w:line="360" w:lineRule="auto"/>
        <w:jc w:val="both"/>
        <w:rPr>
          <w:rFonts w:ascii="Arial" w:eastAsia="Arial" w:hAnsi="Arial" w:cs="Arial"/>
          <w:sz w:val="22"/>
          <w:szCs w:val="22"/>
          <w:lang w:val="en-GB"/>
        </w:rPr>
      </w:pPr>
      <w:r w:rsidRPr="552FF72F">
        <w:rPr>
          <w:rFonts w:ascii="Arial" w:eastAsia="Arial" w:hAnsi="Arial" w:cs="Arial"/>
          <w:sz w:val="22"/>
          <w:szCs w:val="22"/>
          <w:lang w:val="en-GB"/>
        </w:rPr>
        <w:t xml:space="preserve">In school B, Pupil A was marked highly against the Leuven Scale. Pupil A demonstrated a good level of involvement within the lesson which involved paying attention and listening during the introduction. It was clear that Pupil A was interested in this particular topic as research suggests that pupils show a high level of involvement when they are interested and curious (Jablon and Wilkinson, 2006). During the completion of the first take, this pupil showed that they were slightly distracted by others, although, after the mini plenary the level of involvement raised to extremely high. Pupil A discussed in the semi-structured interviews that use of mini plenaries works well for the pupil as it keeps the pupil on track throughout the lesson. </w:t>
      </w:r>
    </w:p>
    <w:p w14:paraId="7B7A992F" w14:textId="51E35498" w:rsidR="552FF72F" w:rsidRDefault="552FF72F" w:rsidP="552FF72F">
      <w:pPr>
        <w:spacing w:line="360" w:lineRule="auto"/>
        <w:rPr>
          <w:rFonts w:ascii="Arial" w:eastAsia="Arial" w:hAnsi="Arial" w:cs="Arial"/>
          <w:sz w:val="22"/>
          <w:szCs w:val="22"/>
          <w:lang w:val="en-GB"/>
        </w:rPr>
      </w:pPr>
    </w:p>
    <w:p w14:paraId="765797E5" w14:textId="361A3B9C" w:rsidR="552FF72F" w:rsidRDefault="552FF72F" w:rsidP="552FF72F">
      <w:pPr>
        <w:spacing w:line="360" w:lineRule="auto"/>
        <w:jc w:val="both"/>
        <w:rPr>
          <w:rFonts w:ascii="Arial" w:eastAsia="Arial" w:hAnsi="Arial" w:cs="Arial"/>
          <w:sz w:val="22"/>
          <w:szCs w:val="22"/>
          <w:lang w:val="en-GB"/>
        </w:rPr>
      </w:pPr>
      <w:r w:rsidRPr="552FF72F">
        <w:rPr>
          <w:rFonts w:ascii="Arial" w:eastAsia="Arial" w:hAnsi="Arial" w:cs="Arial"/>
          <w:sz w:val="22"/>
          <w:szCs w:val="22"/>
          <w:lang w:val="en-GB"/>
        </w:rPr>
        <w:t>Pupil B also demonstrated high levels of involvement at the start of the lesson. At the beginning of the lesson this pupil was looking and listening to the teacher and ready to work. However, this slightly changed during the completion of task one as the pupil started many conversations with peers which was not relevant to the task. The mini plenary certainly helped to keep this pupil on task and their level of involvement increased to extremely high after the mini plenary. Pupil B showed a great level of concentration whilst finishing the task after the mini plenary.</w:t>
      </w:r>
    </w:p>
    <w:p w14:paraId="6CFC0328" w14:textId="4D3E59BF" w:rsidR="1A7A1CA6" w:rsidRDefault="1A7A1CA6" w:rsidP="552FF72F">
      <w:pPr>
        <w:spacing w:line="360" w:lineRule="auto"/>
        <w:jc w:val="both"/>
        <w:rPr>
          <w:rFonts w:ascii="Arial" w:eastAsia="Arial" w:hAnsi="Arial" w:cs="Arial"/>
          <w:sz w:val="22"/>
          <w:szCs w:val="22"/>
          <w:lang w:val="en-GB"/>
        </w:rPr>
      </w:pPr>
    </w:p>
    <w:p w14:paraId="4E02CCEB" w14:textId="4F898D3C" w:rsidR="3FA84974" w:rsidRDefault="552FF72F" w:rsidP="552FF72F">
      <w:pPr>
        <w:spacing w:line="360" w:lineRule="auto"/>
        <w:rPr>
          <w:rFonts w:ascii="Arial" w:eastAsia="Arial" w:hAnsi="Arial" w:cs="Arial"/>
          <w:b/>
          <w:bCs/>
          <w:color w:val="FF0000"/>
          <w:sz w:val="28"/>
          <w:szCs w:val="28"/>
          <w:u w:val="single"/>
          <w:lang w:val="en-GB"/>
        </w:rPr>
      </w:pPr>
      <w:r w:rsidRPr="552FF72F">
        <w:rPr>
          <w:rFonts w:ascii="Arial" w:eastAsia="Arial" w:hAnsi="Arial" w:cs="Arial"/>
          <w:b/>
          <w:bCs/>
          <w:sz w:val="28"/>
          <w:szCs w:val="28"/>
          <w:u w:val="single"/>
          <w:lang w:val="en-GB"/>
        </w:rPr>
        <w:t xml:space="preserve">Conclusion </w:t>
      </w:r>
    </w:p>
    <w:p w14:paraId="53290FFB" w14:textId="50C69C16" w:rsidR="1A7A1CA6" w:rsidRDefault="552FF72F" w:rsidP="552FF72F">
      <w:pPr>
        <w:spacing w:line="360" w:lineRule="auto"/>
        <w:jc w:val="both"/>
        <w:rPr>
          <w:rFonts w:ascii="Arial" w:eastAsia="Arial" w:hAnsi="Arial" w:cs="Arial"/>
          <w:color w:val="FF0000"/>
          <w:sz w:val="22"/>
          <w:szCs w:val="22"/>
          <w:lang w:val="en-GB"/>
        </w:rPr>
      </w:pPr>
      <w:r w:rsidRPr="552FF72F">
        <w:rPr>
          <w:rFonts w:ascii="Arial" w:eastAsia="Arial" w:hAnsi="Arial" w:cs="Arial"/>
          <w:sz w:val="22"/>
          <w:szCs w:val="22"/>
          <w:lang w:val="en-GB"/>
        </w:rPr>
        <w:t xml:space="preserve">I feel that this research lesson was planned and carefully structured in order to provide an opportunity to gain the best results for the research study. Planning this lesson and mini plenary took time for myself and my research partner as a large amount of research needed to be undertaken prior to creating our lessons. From our research, it was decided that the Leuven Scale of Involvement would be used to assess the participants level of engagement. This proved to be an effective pedagogical approach as we included educational theorists to assess the pupils’ involvement. However, there were also many limitations that became apparent during the study. </w:t>
      </w:r>
    </w:p>
    <w:p w14:paraId="61814EC7" w14:textId="440EBB93" w:rsidR="1A7A1CA6" w:rsidRDefault="1A7A1CA6" w:rsidP="1CCC419F">
      <w:pPr>
        <w:spacing w:line="360" w:lineRule="auto"/>
        <w:rPr>
          <w:rFonts w:ascii="Arial" w:eastAsia="Arial" w:hAnsi="Arial" w:cs="Arial"/>
          <w:sz w:val="22"/>
          <w:szCs w:val="22"/>
          <w:lang w:val="en-GB"/>
        </w:rPr>
      </w:pPr>
    </w:p>
    <w:p w14:paraId="3DEEF22E" w14:textId="049076DC" w:rsidR="621E6EFA" w:rsidRDefault="552FF72F" w:rsidP="552FF72F">
      <w:pPr>
        <w:spacing w:line="360" w:lineRule="auto"/>
        <w:jc w:val="both"/>
        <w:rPr>
          <w:rFonts w:ascii="Arial" w:eastAsia="Arial" w:hAnsi="Arial" w:cs="Arial"/>
          <w:sz w:val="22"/>
          <w:szCs w:val="22"/>
          <w:lang w:val="en-GB"/>
        </w:rPr>
      </w:pPr>
      <w:r w:rsidRPr="552FF72F">
        <w:rPr>
          <w:rFonts w:ascii="Arial" w:eastAsia="Arial" w:hAnsi="Arial" w:cs="Arial"/>
          <w:sz w:val="22"/>
          <w:szCs w:val="22"/>
          <w:lang w:val="en-GB"/>
        </w:rPr>
        <w:t>During the semi-structured interviews, some pupils had different views and opinions on mini plenaries, although it did not affect their final answer and all children showed interest and respect when listening to others. It was difficult to come to a definite conclusion as the pupils’ results were different. Firstly, the limitation of this study was the size of the sample.</w:t>
      </w:r>
    </w:p>
    <w:p w14:paraId="546242CB" w14:textId="0FBA5E3D" w:rsidR="621E6EFA" w:rsidRDefault="552FF72F" w:rsidP="1CCC419F">
      <w:pPr>
        <w:spacing w:line="360" w:lineRule="auto"/>
        <w:jc w:val="both"/>
        <w:rPr>
          <w:rFonts w:ascii="Arial" w:eastAsia="Arial" w:hAnsi="Arial" w:cs="Arial"/>
          <w:sz w:val="22"/>
          <w:szCs w:val="22"/>
          <w:lang w:val="en-GB"/>
        </w:rPr>
      </w:pPr>
      <w:r w:rsidRPr="552FF72F">
        <w:rPr>
          <w:rFonts w:ascii="Arial" w:eastAsia="Arial" w:hAnsi="Arial" w:cs="Arial"/>
          <w:sz w:val="22"/>
          <w:szCs w:val="22"/>
          <w:lang w:val="en-GB"/>
        </w:rPr>
        <w:t xml:space="preserve">In order to gain a better overall result, this study should have included a larger sample. Studies with a small sample can be quick to conduct and easy to manage (Hackshaw, 2008), however, very small samples undermine the internal and external validity of the study (Faber and Fonseca, 2014). Also, the results were based on the children’s level of involvement from one lesson and the children’s behaviour towards learning could be altered due to another person being present during the lesson. Literature states that if a child is hungry or tired whilst the observation is being carried out, then the results may not be an accurate representation of the child’s ability </w:t>
      </w:r>
      <w:r w:rsidRPr="552FF72F">
        <w:rPr>
          <w:rFonts w:ascii="Arial" w:eastAsia="Arial" w:hAnsi="Arial" w:cs="Arial"/>
          <w:color w:val="000000" w:themeColor="text1"/>
          <w:sz w:val="22"/>
          <w:szCs w:val="22"/>
          <w:lang w:val="en-GB"/>
        </w:rPr>
        <w:t xml:space="preserve">(Aubrey et al, 2000, p.45). Dudley (2015) suggests at least three lessons should be used for a lesson study Dudley (2015), this was also noted by Kermis and McTaggart (1982), which state that multiple lessons should be used in order to use this method ‘Lesson Study’ effectively. </w:t>
      </w:r>
      <w:r w:rsidRPr="552FF72F">
        <w:rPr>
          <w:rFonts w:ascii="Arial" w:eastAsia="Arial" w:hAnsi="Arial" w:cs="Arial"/>
          <w:sz w:val="22"/>
          <w:szCs w:val="22"/>
          <w:lang w:val="en-GB"/>
        </w:rPr>
        <w:t xml:space="preserve">It could also be argued that there was a need for another observer in order to compare their observation notes to reach a conclusion. Grigg (2015) emphasises that the skills of the observer are very important in lesson observations, Ho &amp; Kane (2013) recognise the need for at least two observers during a lesson study to gain reliable results and to provide a complete picture. We did not pilot study this research and lesson study which is a limitation to the study. A Pilot study is used to check for any issues that could arise, allowing the researcher to remove any issues prior to data collection (Denscombe, 2014). I feel that if a Pilot Study was carried out, we would have been able to identify issues and make changes prior to the official lessons taking place. </w:t>
      </w:r>
    </w:p>
    <w:p w14:paraId="347F02CF" w14:textId="16719870" w:rsidR="3FA84974" w:rsidRDefault="3FA84974" w:rsidP="1CCC419F">
      <w:pPr>
        <w:spacing w:line="360" w:lineRule="auto"/>
        <w:rPr>
          <w:rFonts w:ascii="Arial" w:eastAsia="Arial" w:hAnsi="Arial" w:cs="Arial"/>
          <w:sz w:val="22"/>
          <w:szCs w:val="22"/>
          <w:lang w:val="en-GB"/>
        </w:rPr>
      </w:pPr>
    </w:p>
    <w:p w14:paraId="61F0264A" w14:textId="353E45B4" w:rsidR="67A9E1E4" w:rsidRDefault="552FF72F" w:rsidP="552FF72F">
      <w:pPr>
        <w:spacing w:line="360" w:lineRule="auto"/>
        <w:jc w:val="both"/>
        <w:rPr>
          <w:rFonts w:ascii="Arial" w:eastAsia="Arial" w:hAnsi="Arial" w:cs="Arial"/>
          <w:sz w:val="22"/>
          <w:szCs w:val="22"/>
          <w:lang w:val="en-GB"/>
        </w:rPr>
      </w:pPr>
      <w:r w:rsidRPr="552FF72F">
        <w:rPr>
          <w:rFonts w:ascii="Arial" w:eastAsia="Arial" w:hAnsi="Arial" w:cs="Arial"/>
          <w:sz w:val="22"/>
          <w:szCs w:val="22"/>
          <w:lang w:val="en-GB"/>
        </w:rPr>
        <w:t xml:space="preserve">Overall, from our observations we found that there was an increase in the pupil’s levels of engagement and involvement after using the mini plenaries. The mini plenaries allowed opportunities to re-visit previous learning, hold class discussions and to ask or answer questions. It was apparent that the children felt more confident and on track with their work after holding the mini plenary. After careful consideration we do believe that mini plenaries can certainly increase children’s engagement levels as mini plenaries proved to be effective throughout this study. In the future, I will be sure to provide opportunities to use mini plenaries whilst teaching during my second Professional Teaching Experience. </w:t>
      </w:r>
    </w:p>
    <w:p w14:paraId="4EF936F6" w14:textId="0768A324" w:rsidR="1A7A1CA6" w:rsidRDefault="1A7A1CA6" w:rsidP="1A7A1CA6">
      <w:pPr>
        <w:spacing w:line="360" w:lineRule="auto"/>
        <w:rPr>
          <w:rFonts w:ascii="Arial" w:hAnsi="Arial" w:cs="Arial"/>
          <w:lang w:val="en-GB"/>
        </w:rPr>
      </w:pPr>
    </w:p>
    <w:p w14:paraId="408EC22D" w14:textId="5768DD00" w:rsidR="1A7A1CA6" w:rsidRDefault="1A7A1CA6" w:rsidP="1A7A1CA6">
      <w:pPr>
        <w:spacing w:line="360" w:lineRule="auto"/>
        <w:rPr>
          <w:rFonts w:ascii="Arial" w:hAnsi="Arial" w:cs="Arial"/>
          <w:lang w:val="en-GB"/>
        </w:rPr>
      </w:pPr>
    </w:p>
    <w:p w14:paraId="7121DF1D" w14:textId="11B92018" w:rsidR="552FF72F" w:rsidRDefault="552FF72F" w:rsidP="552FF72F">
      <w:pPr>
        <w:spacing w:line="360" w:lineRule="auto"/>
        <w:rPr>
          <w:rFonts w:ascii="Arial" w:hAnsi="Arial" w:cs="Arial"/>
          <w:lang w:val="en-GB"/>
        </w:rPr>
      </w:pPr>
    </w:p>
    <w:p w14:paraId="3E1BA468" w14:textId="04E344FC" w:rsidR="552FF72F" w:rsidRDefault="552FF72F" w:rsidP="552FF72F">
      <w:pPr>
        <w:spacing w:line="360" w:lineRule="auto"/>
        <w:rPr>
          <w:rFonts w:ascii="Arial" w:hAnsi="Arial" w:cs="Arial"/>
          <w:lang w:val="en-GB"/>
        </w:rPr>
      </w:pPr>
    </w:p>
    <w:p w14:paraId="10875734" w14:textId="0ECB9F52" w:rsidR="552FF72F" w:rsidRDefault="552FF72F" w:rsidP="552FF72F">
      <w:pPr>
        <w:spacing w:line="360" w:lineRule="auto"/>
        <w:rPr>
          <w:rFonts w:ascii="Arial" w:hAnsi="Arial" w:cs="Arial"/>
          <w:lang w:val="en-GB"/>
        </w:rPr>
      </w:pPr>
    </w:p>
    <w:p w14:paraId="6C07CF6C" w14:textId="32C9FFDE" w:rsidR="552FF72F" w:rsidRDefault="552FF72F" w:rsidP="552FF72F">
      <w:pPr>
        <w:spacing w:line="360" w:lineRule="auto"/>
        <w:rPr>
          <w:rFonts w:ascii="Arial" w:hAnsi="Arial" w:cs="Arial"/>
          <w:lang w:val="en-GB"/>
        </w:rPr>
      </w:pPr>
    </w:p>
    <w:p w14:paraId="45830865" w14:textId="1A1FB8EA" w:rsidR="552FF72F" w:rsidRDefault="552FF72F" w:rsidP="552FF72F">
      <w:pPr>
        <w:spacing w:line="360" w:lineRule="auto"/>
        <w:rPr>
          <w:rFonts w:ascii="Arial" w:hAnsi="Arial" w:cs="Arial"/>
          <w:lang w:val="en-GB"/>
        </w:rPr>
      </w:pPr>
    </w:p>
    <w:p w14:paraId="12EB43EB" w14:textId="2E932E2E" w:rsidR="552FF72F" w:rsidRDefault="552FF72F" w:rsidP="552FF72F">
      <w:pPr>
        <w:spacing w:line="360" w:lineRule="auto"/>
        <w:rPr>
          <w:rFonts w:ascii="Arial" w:hAnsi="Arial" w:cs="Arial"/>
          <w:lang w:val="en-GB"/>
        </w:rPr>
      </w:pPr>
    </w:p>
    <w:p w14:paraId="69017ABA" w14:textId="3567ED8C" w:rsidR="552FF72F" w:rsidRDefault="552FF72F" w:rsidP="552FF72F">
      <w:pPr>
        <w:spacing w:line="360" w:lineRule="auto"/>
        <w:rPr>
          <w:rFonts w:ascii="Arial" w:hAnsi="Arial" w:cs="Arial"/>
          <w:lang w:val="en-GB"/>
        </w:rPr>
      </w:pPr>
    </w:p>
    <w:p w14:paraId="742CBEFD" w14:textId="663B0778" w:rsidR="552FF72F" w:rsidRDefault="552FF72F" w:rsidP="552FF72F">
      <w:pPr>
        <w:spacing w:line="360" w:lineRule="auto"/>
        <w:rPr>
          <w:rFonts w:ascii="Arial" w:hAnsi="Arial" w:cs="Arial"/>
          <w:lang w:val="en-GB"/>
        </w:rPr>
      </w:pPr>
    </w:p>
    <w:p w14:paraId="3C2AB61C" w14:textId="1FC0EF4A" w:rsidR="552FF72F" w:rsidRDefault="552FF72F" w:rsidP="552FF72F">
      <w:pPr>
        <w:spacing w:line="360" w:lineRule="auto"/>
        <w:rPr>
          <w:rFonts w:ascii="Arial" w:hAnsi="Arial" w:cs="Arial"/>
          <w:lang w:val="en-GB"/>
        </w:rPr>
      </w:pPr>
    </w:p>
    <w:p w14:paraId="3287F5D7" w14:textId="087FF64C" w:rsidR="552FF72F" w:rsidRDefault="552FF72F" w:rsidP="552FF72F">
      <w:pPr>
        <w:spacing w:line="360" w:lineRule="auto"/>
        <w:rPr>
          <w:rFonts w:ascii="Arial" w:hAnsi="Arial" w:cs="Arial"/>
          <w:lang w:val="en-GB"/>
        </w:rPr>
      </w:pPr>
    </w:p>
    <w:p w14:paraId="4FF5EBBB" w14:textId="26B296B3" w:rsidR="552FF72F" w:rsidRDefault="552FF72F" w:rsidP="552FF72F">
      <w:pPr>
        <w:spacing w:line="360" w:lineRule="auto"/>
        <w:rPr>
          <w:rFonts w:ascii="Arial" w:hAnsi="Arial" w:cs="Arial"/>
          <w:lang w:val="en-GB"/>
        </w:rPr>
      </w:pPr>
    </w:p>
    <w:p w14:paraId="2060A2C9" w14:textId="33788E09" w:rsidR="552FF72F" w:rsidRDefault="552FF72F" w:rsidP="552FF72F">
      <w:pPr>
        <w:spacing w:line="360" w:lineRule="auto"/>
        <w:rPr>
          <w:rFonts w:ascii="Arial" w:hAnsi="Arial" w:cs="Arial"/>
          <w:lang w:val="en-GB"/>
        </w:rPr>
      </w:pPr>
    </w:p>
    <w:p w14:paraId="01A81ABA" w14:textId="3EA4982F" w:rsidR="552FF72F" w:rsidRDefault="552FF72F" w:rsidP="552FF72F">
      <w:pPr>
        <w:spacing w:line="360" w:lineRule="auto"/>
        <w:rPr>
          <w:rFonts w:ascii="Arial" w:hAnsi="Arial" w:cs="Arial"/>
          <w:lang w:val="en-GB"/>
        </w:rPr>
      </w:pPr>
    </w:p>
    <w:p w14:paraId="6D3A4165" w14:textId="7CA30A1D" w:rsidR="552FF72F" w:rsidRDefault="552FF72F" w:rsidP="552FF72F">
      <w:pPr>
        <w:spacing w:line="360" w:lineRule="auto"/>
        <w:rPr>
          <w:rFonts w:ascii="Arial" w:hAnsi="Arial" w:cs="Arial"/>
          <w:lang w:val="en-GB"/>
        </w:rPr>
      </w:pPr>
    </w:p>
    <w:p w14:paraId="56044EC7" w14:textId="305AAFAE" w:rsidR="552FF72F" w:rsidRDefault="552FF72F" w:rsidP="552FF72F">
      <w:pPr>
        <w:spacing w:line="360" w:lineRule="auto"/>
        <w:rPr>
          <w:rFonts w:ascii="Arial" w:hAnsi="Arial" w:cs="Arial"/>
          <w:lang w:val="en-GB"/>
        </w:rPr>
      </w:pPr>
    </w:p>
    <w:p w14:paraId="1CD7EA46" w14:textId="1CCC9E43" w:rsidR="552FF72F" w:rsidRDefault="552FF72F" w:rsidP="552FF72F">
      <w:pPr>
        <w:spacing w:line="360" w:lineRule="auto"/>
        <w:rPr>
          <w:rFonts w:ascii="Arial" w:hAnsi="Arial" w:cs="Arial"/>
          <w:lang w:val="en-GB"/>
        </w:rPr>
      </w:pPr>
    </w:p>
    <w:p w14:paraId="68119EDF" w14:textId="60FA58B2" w:rsidR="552FF72F" w:rsidRDefault="552FF72F" w:rsidP="552FF72F">
      <w:pPr>
        <w:spacing w:line="360" w:lineRule="auto"/>
        <w:rPr>
          <w:rFonts w:ascii="Arial" w:hAnsi="Arial" w:cs="Arial"/>
          <w:lang w:val="en-GB"/>
        </w:rPr>
      </w:pPr>
    </w:p>
    <w:p w14:paraId="540E56DB" w14:textId="4D6E06DB" w:rsidR="3DA10453" w:rsidRDefault="3DA10453" w:rsidP="3DA10453">
      <w:pPr>
        <w:spacing w:line="360" w:lineRule="auto"/>
        <w:rPr>
          <w:rFonts w:ascii="Arial" w:hAnsi="Arial" w:cs="Arial"/>
          <w:lang w:val="en-GB"/>
        </w:rPr>
      </w:pPr>
    </w:p>
    <w:p w14:paraId="3908D681" w14:textId="6F95D823" w:rsidR="552FF72F" w:rsidRDefault="552FF72F" w:rsidP="552FF72F">
      <w:pPr>
        <w:spacing w:line="360" w:lineRule="auto"/>
        <w:rPr>
          <w:rFonts w:ascii="Arial" w:hAnsi="Arial" w:cs="Arial"/>
          <w:lang w:val="en-GB"/>
        </w:rPr>
      </w:pPr>
    </w:p>
    <w:p w14:paraId="076845B2" w14:textId="1F196F2D" w:rsidR="552FF72F" w:rsidRDefault="552FF72F" w:rsidP="552FF72F">
      <w:pPr>
        <w:spacing w:line="360" w:lineRule="auto"/>
        <w:rPr>
          <w:rFonts w:ascii="Arial" w:hAnsi="Arial" w:cs="Arial"/>
          <w:lang w:val="en-GB"/>
        </w:rPr>
      </w:pPr>
    </w:p>
    <w:p w14:paraId="42D29FB3" w14:textId="13C78647" w:rsidR="552FF72F" w:rsidRDefault="552FF72F" w:rsidP="552FF72F">
      <w:pPr>
        <w:spacing w:line="360" w:lineRule="auto"/>
        <w:rPr>
          <w:rFonts w:ascii="Arial" w:hAnsi="Arial" w:cs="Arial"/>
          <w:lang w:val="en-GB"/>
        </w:rPr>
      </w:pPr>
    </w:p>
    <w:p w14:paraId="5D52E6D6" w14:textId="2A4C080D" w:rsidR="552FF72F" w:rsidRDefault="552FF72F" w:rsidP="552FF72F">
      <w:pPr>
        <w:spacing w:line="360" w:lineRule="auto"/>
        <w:rPr>
          <w:rFonts w:ascii="Arial" w:hAnsi="Arial" w:cs="Arial"/>
          <w:lang w:val="en-GB"/>
        </w:rPr>
      </w:pPr>
    </w:p>
    <w:p w14:paraId="5CC9C570" w14:textId="49270855" w:rsidR="552FF72F" w:rsidRDefault="552FF72F" w:rsidP="552FF72F">
      <w:pPr>
        <w:spacing w:line="360" w:lineRule="auto"/>
        <w:rPr>
          <w:rFonts w:ascii="Arial" w:hAnsi="Arial" w:cs="Arial"/>
          <w:lang w:val="en-GB"/>
        </w:rPr>
      </w:pPr>
    </w:p>
    <w:p w14:paraId="69A4FCAE" w14:textId="4B850FB1" w:rsidR="552FF72F" w:rsidRDefault="552FF72F" w:rsidP="552FF72F">
      <w:pPr>
        <w:spacing w:line="360" w:lineRule="auto"/>
        <w:rPr>
          <w:rFonts w:ascii="Arial" w:hAnsi="Arial" w:cs="Arial"/>
          <w:b/>
          <w:bCs/>
          <w:lang w:val="en-GB"/>
        </w:rPr>
      </w:pPr>
      <w:r w:rsidRPr="552FF72F">
        <w:rPr>
          <w:rFonts w:ascii="Arial" w:hAnsi="Arial" w:cs="Arial"/>
          <w:b/>
          <w:bCs/>
          <w:lang w:val="en-GB"/>
        </w:rPr>
        <w:t>Word Count = 4882/5000</w:t>
      </w:r>
    </w:p>
    <w:p w14:paraId="5576F0A6" w14:textId="180084CC" w:rsidR="552FF72F" w:rsidRDefault="552FF72F" w:rsidP="552FF72F">
      <w:pPr>
        <w:spacing w:line="360" w:lineRule="auto"/>
        <w:rPr>
          <w:rFonts w:ascii="Arial" w:hAnsi="Arial" w:cs="Arial"/>
          <w:lang w:val="en-GB"/>
        </w:rPr>
      </w:pPr>
    </w:p>
    <w:p w14:paraId="787BBC98" w14:textId="66609028" w:rsidR="552FF72F" w:rsidRDefault="552FF72F" w:rsidP="552FF72F">
      <w:pPr>
        <w:spacing w:line="360" w:lineRule="auto"/>
        <w:rPr>
          <w:rFonts w:ascii="Arial" w:hAnsi="Arial" w:cs="Arial"/>
          <w:lang w:val="en-GB"/>
        </w:rPr>
      </w:pPr>
    </w:p>
    <w:p w14:paraId="6AB4232F" w14:textId="4AD5B8D2" w:rsidR="552FF72F" w:rsidRDefault="552FF72F" w:rsidP="552FF72F">
      <w:pPr>
        <w:spacing w:line="360" w:lineRule="auto"/>
        <w:rPr>
          <w:rFonts w:ascii="Arial" w:hAnsi="Arial" w:cs="Arial"/>
          <w:lang w:val="en-GB"/>
        </w:rPr>
      </w:pPr>
    </w:p>
    <w:p w14:paraId="106784BB" w14:textId="56A02F46" w:rsidR="552FF72F" w:rsidRDefault="552FF72F" w:rsidP="552FF72F">
      <w:pPr>
        <w:spacing w:line="360" w:lineRule="auto"/>
        <w:rPr>
          <w:rFonts w:ascii="Arial" w:hAnsi="Arial" w:cs="Arial"/>
          <w:lang w:val="en-GB"/>
        </w:rPr>
      </w:pPr>
    </w:p>
    <w:p w14:paraId="34A72BE0" w14:textId="5A003367" w:rsidR="552FF72F" w:rsidRDefault="552FF72F" w:rsidP="552FF72F">
      <w:pPr>
        <w:spacing w:line="360" w:lineRule="auto"/>
        <w:rPr>
          <w:rFonts w:ascii="Arial" w:hAnsi="Arial" w:cs="Arial"/>
          <w:lang w:val="en-GB"/>
        </w:rPr>
      </w:pPr>
    </w:p>
    <w:p w14:paraId="716141E4" w14:textId="57254D04" w:rsidR="3FA84974" w:rsidRDefault="3FA84974" w:rsidP="621E6EFA">
      <w:pPr>
        <w:spacing w:line="360" w:lineRule="auto"/>
        <w:rPr>
          <w:rFonts w:ascii="Arial" w:hAnsi="Arial" w:cs="Arial"/>
          <w:lang w:val="en-GB"/>
        </w:rPr>
      </w:pPr>
    </w:p>
    <w:p w14:paraId="3C99639B" w14:textId="7167B6A4" w:rsidR="0219EC8F" w:rsidRDefault="1CCC419F" w:rsidP="1CCC419F">
      <w:pPr>
        <w:spacing w:line="360" w:lineRule="auto"/>
        <w:rPr>
          <w:rFonts w:ascii="Arial" w:hAnsi="Arial" w:cs="Arial"/>
          <w:b/>
          <w:bCs/>
          <w:sz w:val="28"/>
          <w:szCs w:val="28"/>
          <w:u w:val="single"/>
          <w:lang w:val="en-GB"/>
        </w:rPr>
      </w:pPr>
      <w:r w:rsidRPr="1CCC419F">
        <w:rPr>
          <w:rFonts w:ascii="Arial" w:hAnsi="Arial" w:cs="Arial"/>
          <w:b/>
          <w:bCs/>
          <w:sz w:val="28"/>
          <w:szCs w:val="28"/>
          <w:u w:val="single"/>
          <w:lang w:val="en-GB"/>
        </w:rPr>
        <w:t>Reference List</w:t>
      </w:r>
      <w:r w:rsidRPr="1CCC419F">
        <w:rPr>
          <w:rFonts w:ascii="Arial" w:hAnsi="Arial" w:cs="Arial"/>
          <w:b/>
          <w:bCs/>
          <w:sz w:val="28"/>
          <w:szCs w:val="28"/>
          <w:lang w:val="en-GB"/>
        </w:rPr>
        <w:t xml:space="preserve"> </w:t>
      </w:r>
    </w:p>
    <w:p w14:paraId="53D48421" w14:textId="03F6C4F1" w:rsidR="67A9E1E4" w:rsidRDefault="552FF72F" w:rsidP="552FF72F">
      <w:pPr>
        <w:spacing w:line="360" w:lineRule="auto"/>
        <w:rPr>
          <w:rFonts w:ascii="Arial" w:eastAsia="Arial" w:hAnsi="Arial" w:cs="Arial"/>
          <w:color w:val="000000" w:themeColor="text1"/>
          <w:lang w:val="en-GB"/>
        </w:rPr>
      </w:pPr>
      <w:r w:rsidRPr="552FF72F">
        <w:rPr>
          <w:rFonts w:ascii="Arial" w:eastAsia="Arial" w:hAnsi="Arial" w:cs="Arial"/>
          <w:color w:val="000000" w:themeColor="text1"/>
          <w:lang w:val="en-GB"/>
        </w:rPr>
        <w:t>Aliaga, M. and Gunderson, B. (2002) Interactive Statistics. [Thousand Oaks]: Sage Publications.</w:t>
      </w:r>
    </w:p>
    <w:p w14:paraId="6D27258E" w14:textId="07EDFBB3" w:rsidR="3DA10453" w:rsidRDefault="3DA10453" w:rsidP="552FF72F">
      <w:pPr>
        <w:spacing w:line="360" w:lineRule="auto"/>
        <w:rPr>
          <w:rFonts w:ascii="Arial" w:eastAsia="Arial" w:hAnsi="Arial" w:cs="Arial"/>
          <w:color w:val="000000" w:themeColor="text1"/>
          <w:lang w:val="en-GB"/>
        </w:rPr>
      </w:pPr>
    </w:p>
    <w:p w14:paraId="20CFADBE" w14:textId="2DB6D470" w:rsidR="3DA10453" w:rsidRDefault="552FF72F" w:rsidP="552FF72F">
      <w:pPr>
        <w:spacing w:line="360" w:lineRule="auto"/>
        <w:rPr>
          <w:rFonts w:ascii="Arial" w:eastAsia="Arial" w:hAnsi="Arial" w:cs="Arial"/>
          <w:color w:val="000000" w:themeColor="text1"/>
          <w:lang w:val="en-GB"/>
        </w:rPr>
      </w:pPr>
      <w:r w:rsidRPr="552FF72F">
        <w:rPr>
          <w:rFonts w:ascii="Arial" w:eastAsia="Arial" w:hAnsi="Arial" w:cs="Arial"/>
          <w:color w:val="000000" w:themeColor="text1"/>
          <w:lang w:val="en-GB"/>
        </w:rPr>
        <w:t xml:space="preserve">Arnerich, M. (2018). </w:t>
      </w:r>
      <w:r w:rsidRPr="552FF72F">
        <w:rPr>
          <w:rFonts w:ascii="Arial" w:eastAsia="Arial" w:hAnsi="Arial" w:cs="Arial"/>
          <w:i/>
          <w:iCs/>
          <w:color w:val="000000" w:themeColor="text1"/>
          <w:lang w:val="en-GB"/>
        </w:rPr>
        <w:t>How To Apply The Leuven Scales In Practice | Famly</w:t>
      </w:r>
      <w:r w:rsidRPr="552FF72F">
        <w:rPr>
          <w:rFonts w:ascii="Arial" w:eastAsia="Arial" w:hAnsi="Arial" w:cs="Arial"/>
          <w:color w:val="000000" w:themeColor="text1"/>
          <w:lang w:val="en-GB"/>
        </w:rPr>
        <w:t xml:space="preserve">. [online] Famly. Available at: </w:t>
      </w:r>
      <w:hyperlink r:id="rId5">
        <w:r w:rsidRPr="552FF72F">
          <w:rPr>
            <w:rStyle w:val="Hyperlink"/>
            <w:rFonts w:ascii="Arial" w:eastAsia="Arial" w:hAnsi="Arial" w:cs="Arial"/>
            <w:color w:val="000000" w:themeColor="text1"/>
            <w:lang w:val="en-GB"/>
          </w:rPr>
          <w:t>https://famly.co/blog/management/leuven-scales/</w:t>
        </w:r>
      </w:hyperlink>
      <w:r w:rsidRPr="552FF72F">
        <w:rPr>
          <w:rFonts w:ascii="Arial" w:eastAsia="Arial" w:hAnsi="Arial" w:cs="Arial"/>
          <w:color w:val="000000" w:themeColor="text1"/>
          <w:lang w:val="en-GB"/>
        </w:rPr>
        <w:t xml:space="preserve"> [Accessed 3 Feb. 2020].</w:t>
      </w:r>
    </w:p>
    <w:p w14:paraId="5378854D" w14:textId="456B60BF" w:rsidR="3DA10453" w:rsidRDefault="3DA10453" w:rsidP="552FF72F">
      <w:pPr>
        <w:spacing w:line="360" w:lineRule="auto"/>
        <w:rPr>
          <w:rFonts w:ascii="Arial" w:eastAsia="Arial" w:hAnsi="Arial" w:cs="Arial"/>
          <w:b/>
          <w:bCs/>
          <w:color w:val="000000" w:themeColor="text1"/>
          <w:lang w:val="en-GB"/>
        </w:rPr>
      </w:pPr>
    </w:p>
    <w:p w14:paraId="43E94C6B" w14:textId="0A7A5802" w:rsidR="3DA10453" w:rsidRDefault="552FF72F" w:rsidP="552FF72F">
      <w:pPr>
        <w:spacing w:line="360" w:lineRule="auto"/>
        <w:rPr>
          <w:rFonts w:ascii="Arial" w:eastAsia="Arial" w:hAnsi="Arial" w:cs="Arial"/>
          <w:color w:val="000000" w:themeColor="text1"/>
          <w:lang w:val="en-GB"/>
        </w:rPr>
      </w:pPr>
      <w:r w:rsidRPr="552FF72F">
        <w:rPr>
          <w:rFonts w:ascii="Arial" w:eastAsia="Arial" w:hAnsi="Arial" w:cs="Arial"/>
          <w:color w:val="000000" w:themeColor="text1"/>
          <w:lang w:val="en-GB"/>
        </w:rPr>
        <w:t>Aubrey, C., David, T., Godfrey, R. &amp; Thompson, L.</w:t>
      </w:r>
      <w:r w:rsidRPr="552FF72F">
        <w:rPr>
          <w:rFonts w:ascii="Arial" w:eastAsia="Arial" w:hAnsi="Arial" w:cs="Arial"/>
          <w:i/>
          <w:iCs/>
          <w:color w:val="000000" w:themeColor="text1"/>
          <w:lang w:val="en-GB"/>
        </w:rPr>
        <w:t xml:space="preserve"> </w:t>
      </w:r>
      <w:r w:rsidRPr="552FF72F">
        <w:rPr>
          <w:rFonts w:ascii="Arial" w:eastAsia="Arial" w:hAnsi="Arial" w:cs="Arial"/>
          <w:color w:val="000000" w:themeColor="text1"/>
          <w:lang w:val="en-GB"/>
        </w:rPr>
        <w:t xml:space="preserve">(2000) </w:t>
      </w:r>
      <w:r w:rsidRPr="552FF72F">
        <w:rPr>
          <w:rFonts w:ascii="Arial" w:eastAsia="Arial" w:hAnsi="Arial" w:cs="Arial"/>
          <w:i/>
          <w:iCs/>
          <w:color w:val="000000" w:themeColor="text1"/>
          <w:lang w:val="en-GB"/>
        </w:rPr>
        <w:t>Early Childhood Educational Research: Issues in methodology and ethics</w:t>
      </w:r>
      <w:r w:rsidRPr="552FF72F">
        <w:rPr>
          <w:rFonts w:ascii="Arial" w:eastAsia="Arial" w:hAnsi="Arial" w:cs="Arial"/>
          <w:color w:val="000000" w:themeColor="text1"/>
          <w:lang w:val="en-GB"/>
        </w:rPr>
        <w:t>, London and New York: Routledge/Falmer, Taylor &amp; Francis Group.</w:t>
      </w:r>
    </w:p>
    <w:p w14:paraId="4C0A203F" w14:textId="5F70E892" w:rsidR="3DA10453" w:rsidRDefault="3DA10453" w:rsidP="552FF72F">
      <w:pPr>
        <w:spacing w:line="360" w:lineRule="auto"/>
        <w:rPr>
          <w:rFonts w:ascii="Arial" w:eastAsia="Arial" w:hAnsi="Arial" w:cs="Arial"/>
          <w:color w:val="000000" w:themeColor="text1"/>
          <w:lang w:val="en-GB"/>
        </w:rPr>
      </w:pPr>
    </w:p>
    <w:p w14:paraId="3BBB8DFE" w14:textId="1E24244F" w:rsidR="3DA10453" w:rsidRDefault="552FF72F" w:rsidP="552FF72F">
      <w:pPr>
        <w:spacing w:line="360" w:lineRule="auto"/>
        <w:rPr>
          <w:rFonts w:ascii="Arial" w:eastAsia="Arial" w:hAnsi="Arial" w:cs="Arial"/>
          <w:color w:val="000000" w:themeColor="text1"/>
          <w:lang w:val="en-GB"/>
        </w:rPr>
      </w:pPr>
      <w:r w:rsidRPr="552FF72F">
        <w:rPr>
          <w:rFonts w:ascii="Arial" w:eastAsia="Arial" w:hAnsi="Arial" w:cs="Arial"/>
          <w:color w:val="000000" w:themeColor="text1"/>
          <w:lang w:val="en-GB"/>
        </w:rPr>
        <w:t>Austin, L. 2017. “Leading the Introduction and Development of Lesson and Learning Study in an English Secondary Academy.” International Journal for Lesson and Learning Studies 6 (1): 80–96.</w:t>
      </w:r>
    </w:p>
    <w:p w14:paraId="1CA395C7" w14:textId="60E3C503" w:rsidR="3DA10453" w:rsidRDefault="3DA10453" w:rsidP="552FF72F">
      <w:pPr>
        <w:spacing w:line="360" w:lineRule="auto"/>
        <w:rPr>
          <w:rFonts w:ascii="Arial" w:eastAsia="Arial" w:hAnsi="Arial" w:cs="Arial"/>
          <w:b/>
          <w:bCs/>
          <w:color w:val="000000" w:themeColor="text1"/>
          <w:lang w:val="en-GB"/>
        </w:rPr>
      </w:pPr>
    </w:p>
    <w:p w14:paraId="2B8EE2B2" w14:textId="65D744B6" w:rsidR="0219EC8F" w:rsidRDefault="552FF72F" w:rsidP="552FF72F">
      <w:pPr>
        <w:spacing w:line="360" w:lineRule="auto"/>
        <w:rPr>
          <w:rFonts w:ascii="Arial" w:eastAsia="Arial" w:hAnsi="Arial" w:cs="Arial"/>
          <w:color w:val="000000" w:themeColor="text1"/>
          <w:lang w:val="en-GB"/>
        </w:rPr>
      </w:pPr>
      <w:r w:rsidRPr="552FF72F">
        <w:rPr>
          <w:rFonts w:ascii="Arial" w:eastAsia="Arial" w:hAnsi="Arial" w:cs="Arial"/>
          <w:color w:val="000000" w:themeColor="text1"/>
          <w:lang w:val="en-GB"/>
        </w:rPr>
        <w:t>Anderson, G. and Arsenault, N. (1998) Fundamentals of Educational Research. 2nd edition. London: The Falmer Press.</w:t>
      </w:r>
    </w:p>
    <w:p w14:paraId="2F135490" w14:textId="7C1CB339" w:rsidR="0219EC8F" w:rsidRDefault="0219EC8F" w:rsidP="552FF72F">
      <w:pPr>
        <w:spacing w:line="360" w:lineRule="auto"/>
        <w:rPr>
          <w:rFonts w:ascii="Arial" w:eastAsia="Arial" w:hAnsi="Arial" w:cs="Arial"/>
          <w:color w:val="000000" w:themeColor="text1"/>
          <w:lang w:val="en-GB"/>
        </w:rPr>
      </w:pPr>
    </w:p>
    <w:p w14:paraId="10E78CF6" w14:textId="6ED11A0B" w:rsidR="0219EC8F" w:rsidRDefault="552FF72F" w:rsidP="552FF72F">
      <w:pPr>
        <w:spacing w:line="360" w:lineRule="auto"/>
        <w:rPr>
          <w:rFonts w:ascii="Arial" w:eastAsia="Arial" w:hAnsi="Arial" w:cs="Arial"/>
          <w:color w:val="000000" w:themeColor="text1"/>
          <w:lang w:val="en-GB"/>
        </w:rPr>
      </w:pPr>
      <w:r w:rsidRPr="552FF72F">
        <w:rPr>
          <w:rFonts w:ascii="Arial" w:eastAsia="Arial" w:hAnsi="Arial" w:cs="Arial"/>
          <w:color w:val="000000" w:themeColor="text1"/>
          <w:lang w:val="en-GB"/>
        </w:rPr>
        <w:t>Beauchamp, G., &amp; Kennewell, S. (2013). Transition in pedagogical orchestration using the interactive whiteboard. Education and Information Technologies, 18, 179–191.</w:t>
      </w:r>
    </w:p>
    <w:p w14:paraId="733BF686" w14:textId="47C88604" w:rsidR="0219EC8F" w:rsidRDefault="0219EC8F" w:rsidP="552FF72F">
      <w:pPr>
        <w:spacing w:line="360" w:lineRule="auto"/>
        <w:rPr>
          <w:rFonts w:ascii="Arial" w:eastAsia="Arial" w:hAnsi="Arial" w:cs="Arial"/>
          <w:color w:val="000000" w:themeColor="text1"/>
          <w:lang w:val="en-GB"/>
        </w:rPr>
      </w:pPr>
    </w:p>
    <w:p w14:paraId="33548F42" w14:textId="21F329ED" w:rsidR="0219EC8F" w:rsidRDefault="552FF72F" w:rsidP="552FF72F">
      <w:pPr>
        <w:spacing w:line="360" w:lineRule="auto"/>
        <w:rPr>
          <w:rFonts w:ascii="Arial" w:eastAsia="Arial" w:hAnsi="Arial" w:cs="Arial"/>
          <w:color w:val="000000" w:themeColor="text1"/>
          <w:lang w:val="en-GB"/>
        </w:rPr>
      </w:pPr>
      <w:r w:rsidRPr="552FF72F">
        <w:rPr>
          <w:rFonts w:ascii="Arial" w:eastAsia="Arial" w:hAnsi="Arial" w:cs="Arial"/>
          <w:color w:val="000000" w:themeColor="text1"/>
          <w:lang w:val="en-GB"/>
        </w:rPr>
        <w:t>Bell, J. (2008) Doing Your Research Project. Maidenhead: OUP.</w:t>
      </w:r>
    </w:p>
    <w:p w14:paraId="4613FDF5" w14:textId="5F526376" w:rsidR="0219EC8F" w:rsidRDefault="0219EC8F" w:rsidP="552FF72F">
      <w:pPr>
        <w:spacing w:line="360" w:lineRule="auto"/>
        <w:rPr>
          <w:rFonts w:ascii="Arial" w:eastAsia="Arial" w:hAnsi="Arial" w:cs="Arial"/>
          <w:color w:val="000000" w:themeColor="text1"/>
          <w:lang w:val="en-GB"/>
        </w:rPr>
      </w:pPr>
    </w:p>
    <w:p w14:paraId="4488A9B2" w14:textId="4AB84F3B" w:rsidR="0219EC8F" w:rsidRDefault="552FF72F" w:rsidP="552FF72F">
      <w:pPr>
        <w:spacing w:line="360" w:lineRule="auto"/>
        <w:rPr>
          <w:rFonts w:ascii="Arial" w:eastAsia="Arial" w:hAnsi="Arial" w:cs="Arial"/>
          <w:color w:val="000000" w:themeColor="text1"/>
          <w:lang w:val="en-GB"/>
        </w:rPr>
      </w:pPr>
      <w:r w:rsidRPr="552FF72F">
        <w:rPr>
          <w:rFonts w:ascii="Arial" w:eastAsia="Arial" w:hAnsi="Arial" w:cs="Arial"/>
          <w:color w:val="000000" w:themeColor="text1"/>
          <w:lang w:val="en-GB"/>
        </w:rPr>
        <w:t>Brewster, C., &amp; J. Fager. 2000. Increasing student engagement and motivation: From time on task to homework. Portland, OR: North-west Regional Educational Laboratory.</w:t>
      </w:r>
    </w:p>
    <w:p w14:paraId="3206E13F" w14:textId="101A5079" w:rsidR="0219EC8F" w:rsidRDefault="0219EC8F" w:rsidP="552FF72F">
      <w:pPr>
        <w:spacing w:line="360" w:lineRule="auto"/>
        <w:rPr>
          <w:rFonts w:ascii="Arial" w:eastAsia="Arial" w:hAnsi="Arial" w:cs="Arial"/>
          <w:color w:val="000000" w:themeColor="text1"/>
          <w:lang w:val="en-GB"/>
        </w:rPr>
      </w:pPr>
    </w:p>
    <w:p w14:paraId="0487B82C" w14:textId="1A32C40B" w:rsidR="0219EC8F" w:rsidRDefault="552FF72F" w:rsidP="552FF72F">
      <w:pPr>
        <w:spacing w:line="360" w:lineRule="auto"/>
        <w:rPr>
          <w:rFonts w:ascii="Arial" w:eastAsia="Arial" w:hAnsi="Arial" w:cs="Arial"/>
          <w:color w:val="000000" w:themeColor="text1"/>
          <w:lang w:val="en-GB"/>
        </w:rPr>
      </w:pPr>
      <w:r w:rsidRPr="552FF72F">
        <w:rPr>
          <w:rFonts w:ascii="Arial" w:eastAsia="Arial" w:hAnsi="Arial" w:cs="Arial"/>
          <w:color w:val="000000" w:themeColor="text1"/>
          <w:lang w:val="en-GB"/>
        </w:rPr>
        <w:t xml:space="preserve">Bruce, T. and Meggitt, C. (2006) </w:t>
      </w:r>
      <w:r w:rsidRPr="552FF72F">
        <w:rPr>
          <w:rFonts w:ascii="Arial" w:eastAsia="Arial" w:hAnsi="Arial" w:cs="Arial"/>
          <w:i/>
          <w:iCs/>
          <w:color w:val="000000" w:themeColor="text1"/>
          <w:lang w:val="en-GB"/>
        </w:rPr>
        <w:t>Child Care and Education</w:t>
      </w:r>
      <w:r w:rsidRPr="552FF72F">
        <w:rPr>
          <w:rFonts w:ascii="Arial" w:eastAsia="Arial" w:hAnsi="Arial" w:cs="Arial"/>
          <w:color w:val="000000" w:themeColor="text1"/>
          <w:lang w:val="en-GB"/>
        </w:rPr>
        <w:t xml:space="preserve">. (4th Edn). London: Hodder Education. </w:t>
      </w:r>
    </w:p>
    <w:p w14:paraId="2900C6E0" w14:textId="0C9FDF77" w:rsidR="0219EC8F" w:rsidRDefault="0219EC8F" w:rsidP="552FF72F">
      <w:pPr>
        <w:spacing w:line="360" w:lineRule="auto"/>
        <w:rPr>
          <w:rFonts w:ascii="Arial" w:eastAsia="Arial" w:hAnsi="Arial" w:cs="Arial"/>
          <w:color w:val="000000" w:themeColor="text1"/>
        </w:rPr>
      </w:pPr>
    </w:p>
    <w:p w14:paraId="178D0315" w14:textId="151D9AED" w:rsidR="0219EC8F" w:rsidRDefault="552FF72F" w:rsidP="552FF72F">
      <w:pPr>
        <w:spacing w:line="360" w:lineRule="auto"/>
        <w:rPr>
          <w:rFonts w:ascii="Arial" w:eastAsia="Arial" w:hAnsi="Arial" w:cs="Arial"/>
          <w:color w:val="000000" w:themeColor="text1"/>
          <w:lang w:val="en-GB"/>
        </w:rPr>
      </w:pPr>
      <w:r w:rsidRPr="552FF72F">
        <w:rPr>
          <w:rFonts w:ascii="Arial" w:eastAsia="Arial" w:hAnsi="Arial" w:cs="Arial"/>
          <w:color w:val="000000" w:themeColor="text1"/>
          <w:lang w:val="en-GB"/>
        </w:rPr>
        <w:t>Cerbin W and Kopp B (2006) Lesson study as a model for building pedagogical knowledge and improving teaching. International Journal of Teaching in Higher Education 18(3): 250–257.</w:t>
      </w:r>
    </w:p>
    <w:p w14:paraId="39E2B874" w14:textId="26FAF9FD" w:rsidR="0219EC8F" w:rsidRDefault="0219EC8F" w:rsidP="552FF72F">
      <w:pPr>
        <w:spacing w:line="360" w:lineRule="auto"/>
        <w:rPr>
          <w:rFonts w:ascii="Arial" w:eastAsia="Arial" w:hAnsi="Arial" w:cs="Arial"/>
          <w:color w:val="000000" w:themeColor="text1"/>
          <w:lang w:val="en-GB"/>
        </w:rPr>
      </w:pPr>
    </w:p>
    <w:p w14:paraId="7A686F13" w14:textId="7CBD5E7E" w:rsidR="0219EC8F" w:rsidRDefault="552FF72F" w:rsidP="552FF72F">
      <w:pPr>
        <w:spacing w:line="360" w:lineRule="auto"/>
        <w:rPr>
          <w:rFonts w:ascii="Arial" w:eastAsia="Arial" w:hAnsi="Arial" w:cs="Arial"/>
          <w:color w:val="000000" w:themeColor="text1"/>
          <w:lang w:val="en-GB"/>
        </w:rPr>
      </w:pPr>
      <w:r w:rsidRPr="552FF72F">
        <w:rPr>
          <w:rFonts w:ascii="Arial" w:eastAsia="Arial" w:hAnsi="Arial" w:cs="Arial"/>
          <w:color w:val="000000" w:themeColor="text1"/>
          <w:lang w:val="en-GB"/>
        </w:rPr>
        <w:t>Cohen, L. Manion, L. Morrison, K. (2011) Research Methods in Education; seventh edition. Oxon; Routledge.</w:t>
      </w:r>
    </w:p>
    <w:p w14:paraId="2CCAA6B0" w14:textId="1D9E6DFA" w:rsidR="0219EC8F" w:rsidRDefault="0219EC8F" w:rsidP="552FF72F">
      <w:pPr>
        <w:spacing w:line="360" w:lineRule="auto"/>
        <w:rPr>
          <w:rFonts w:ascii="Arial" w:eastAsia="Arial" w:hAnsi="Arial" w:cs="Arial"/>
          <w:color w:val="000000" w:themeColor="text1"/>
          <w:lang w:val="en-GB"/>
        </w:rPr>
      </w:pPr>
    </w:p>
    <w:p w14:paraId="335A4905" w14:textId="259C7AC0" w:rsidR="0219EC8F" w:rsidRDefault="552FF72F" w:rsidP="552FF72F">
      <w:pPr>
        <w:spacing w:line="360" w:lineRule="auto"/>
        <w:rPr>
          <w:rFonts w:ascii="Arial" w:eastAsia="Arial" w:hAnsi="Arial" w:cs="Arial"/>
          <w:color w:val="000000" w:themeColor="text1"/>
          <w:lang w:val="en-GB"/>
        </w:rPr>
      </w:pPr>
      <w:r w:rsidRPr="552FF72F">
        <w:rPr>
          <w:rFonts w:ascii="Arial" w:eastAsia="Arial" w:hAnsi="Arial" w:cs="Arial"/>
          <w:color w:val="000000" w:themeColor="text1"/>
          <w:lang w:val="en-GB"/>
        </w:rPr>
        <w:t>Cothran, D. J., &amp; Ennis, C. D. (2000). Building bridges to student engagement: Communicating respect and care for students in urban high schools. Journal of Research and Development in Education, 33(4), 106-117.</w:t>
      </w:r>
    </w:p>
    <w:p w14:paraId="4317912B" w14:textId="669FF6CB" w:rsidR="0219EC8F" w:rsidRDefault="0219EC8F" w:rsidP="552FF72F">
      <w:pPr>
        <w:spacing w:line="360" w:lineRule="auto"/>
        <w:rPr>
          <w:rFonts w:ascii="Arial" w:eastAsia="Arial" w:hAnsi="Arial" w:cs="Arial"/>
          <w:color w:val="000000" w:themeColor="text1"/>
          <w:lang w:val="en-GB"/>
        </w:rPr>
      </w:pPr>
    </w:p>
    <w:p w14:paraId="0E317009" w14:textId="2AF32602" w:rsidR="0219EC8F" w:rsidRDefault="552FF72F" w:rsidP="552FF72F">
      <w:pPr>
        <w:spacing w:line="360" w:lineRule="auto"/>
        <w:rPr>
          <w:rFonts w:ascii="Arial" w:eastAsia="Arial" w:hAnsi="Arial" w:cs="Arial"/>
          <w:color w:val="000000" w:themeColor="text1"/>
          <w:lang w:val="en-GB"/>
        </w:rPr>
      </w:pPr>
      <w:r w:rsidRPr="552FF72F">
        <w:rPr>
          <w:rFonts w:ascii="Arial" w:eastAsia="Arial" w:hAnsi="Arial" w:cs="Arial"/>
          <w:color w:val="000000" w:themeColor="text1"/>
          <w:lang w:val="en-GB"/>
        </w:rPr>
        <w:t xml:space="preserve">Cottrell, R. McKenzie, J. (2011) </w:t>
      </w:r>
      <w:r w:rsidRPr="552FF72F">
        <w:rPr>
          <w:rFonts w:ascii="Arial" w:eastAsia="Arial" w:hAnsi="Arial" w:cs="Arial"/>
          <w:i/>
          <w:iCs/>
          <w:color w:val="000000" w:themeColor="text1"/>
          <w:lang w:val="en-GB"/>
        </w:rPr>
        <w:t>Health Promotion and Education Research Methods: Using the Five Chapter Thesis/Dissertation Model.</w:t>
      </w:r>
      <w:r w:rsidRPr="552FF72F">
        <w:rPr>
          <w:rFonts w:ascii="Arial" w:eastAsia="Arial" w:hAnsi="Arial" w:cs="Arial"/>
          <w:color w:val="000000" w:themeColor="text1"/>
          <w:lang w:val="en-GB"/>
        </w:rPr>
        <w:t xml:space="preserve"> Sudbury; Jones and Bartlett Publishers.</w:t>
      </w:r>
    </w:p>
    <w:p w14:paraId="79F330AA" w14:textId="64D4A982" w:rsidR="0219EC8F" w:rsidRDefault="0219EC8F" w:rsidP="552FF72F">
      <w:pPr>
        <w:spacing w:line="360" w:lineRule="auto"/>
        <w:rPr>
          <w:rFonts w:ascii="Arial" w:eastAsia="Arial" w:hAnsi="Arial" w:cs="Arial"/>
          <w:color w:val="000000" w:themeColor="text1"/>
          <w:lang w:val="en-GB"/>
        </w:rPr>
      </w:pPr>
    </w:p>
    <w:p w14:paraId="2808D6A2" w14:textId="01F7AAAE" w:rsidR="0219EC8F" w:rsidRDefault="552FF72F" w:rsidP="552FF72F">
      <w:pPr>
        <w:spacing w:line="360" w:lineRule="auto"/>
        <w:rPr>
          <w:rFonts w:ascii="Arial" w:eastAsia="Arial" w:hAnsi="Arial" w:cs="Arial"/>
          <w:color w:val="000000" w:themeColor="text1"/>
          <w:lang w:val="en-GB"/>
        </w:rPr>
      </w:pPr>
      <w:r w:rsidRPr="552FF72F">
        <w:rPr>
          <w:rFonts w:ascii="Arial" w:eastAsia="Arial" w:hAnsi="Arial" w:cs="Arial"/>
          <w:color w:val="000000" w:themeColor="text1"/>
          <w:lang w:val="en-GB"/>
        </w:rPr>
        <w:t>Denscombe, M. (2014) The Good Research Guide for Small-Scale Social Research Projects. (5th edn.) Maidenhead: Open University</w:t>
      </w:r>
    </w:p>
    <w:p w14:paraId="29A09C95" w14:textId="43CEF170" w:rsidR="0219EC8F" w:rsidRDefault="0219EC8F" w:rsidP="552FF72F">
      <w:pPr>
        <w:spacing w:line="360" w:lineRule="auto"/>
        <w:rPr>
          <w:rFonts w:ascii="Arial" w:eastAsia="Arial" w:hAnsi="Arial" w:cs="Arial"/>
          <w:color w:val="000000" w:themeColor="text1"/>
          <w:lang w:val="en-GB"/>
        </w:rPr>
      </w:pPr>
    </w:p>
    <w:p w14:paraId="08194B80" w14:textId="4159D6A8" w:rsidR="0219EC8F" w:rsidRDefault="552FF72F" w:rsidP="552FF72F">
      <w:pPr>
        <w:spacing w:line="360" w:lineRule="auto"/>
        <w:rPr>
          <w:rFonts w:ascii="Arial" w:eastAsia="Arial" w:hAnsi="Arial" w:cs="Arial"/>
          <w:color w:val="000000" w:themeColor="text1"/>
          <w:lang w:val="en-GB"/>
        </w:rPr>
      </w:pPr>
      <w:r w:rsidRPr="552FF72F">
        <w:rPr>
          <w:rFonts w:ascii="Arial" w:eastAsia="Arial" w:hAnsi="Arial" w:cs="Arial"/>
          <w:color w:val="000000" w:themeColor="text1"/>
          <w:lang w:val="en-GB"/>
        </w:rPr>
        <w:t xml:space="preserve">Denscombe, M. (2007) </w:t>
      </w:r>
      <w:r w:rsidRPr="552FF72F">
        <w:rPr>
          <w:rFonts w:ascii="Arial" w:eastAsia="Arial" w:hAnsi="Arial" w:cs="Arial"/>
          <w:i/>
          <w:iCs/>
          <w:color w:val="000000" w:themeColor="text1"/>
          <w:lang w:val="en-GB"/>
        </w:rPr>
        <w:t xml:space="preserve">The Good Research Guide: for small-scale social research projects. </w:t>
      </w:r>
      <w:r w:rsidRPr="552FF72F">
        <w:rPr>
          <w:rFonts w:ascii="Arial" w:eastAsia="Arial" w:hAnsi="Arial" w:cs="Arial"/>
          <w:color w:val="000000" w:themeColor="text1"/>
          <w:lang w:val="en-GB"/>
        </w:rPr>
        <w:t>3</w:t>
      </w:r>
      <w:r w:rsidRPr="552FF72F">
        <w:rPr>
          <w:rFonts w:ascii="Arial" w:eastAsia="Arial" w:hAnsi="Arial" w:cs="Arial"/>
          <w:color w:val="000000" w:themeColor="text1"/>
          <w:vertAlign w:val="superscript"/>
          <w:lang w:val="en-GB"/>
        </w:rPr>
        <w:t>rd</w:t>
      </w:r>
      <w:r w:rsidRPr="552FF72F">
        <w:rPr>
          <w:rFonts w:ascii="Arial" w:eastAsia="Arial" w:hAnsi="Arial" w:cs="Arial"/>
          <w:color w:val="000000" w:themeColor="text1"/>
          <w:lang w:val="en-GB"/>
        </w:rPr>
        <w:t xml:space="preserve"> edn. Maidenhead: Open University Press.</w:t>
      </w:r>
    </w:p>
    <w:p w14:paraId="59681955" w14:textId="169225C6" w:rsidR="0219EC8F" w:rsidRDefault="0219EC8F" w:rsidP="552FF72F">
      <w:pPr>
        <w:spacing w:line="360" w:lineRule="auto"/>
        <w:rPr>
          <w:rFonts w:ascii="Arial" w:eastAsia="Arial" w:hAnsi="Arial" w:cs="Arial"/>
          <w:color w:val="000000" w:themeColor="text1"/>
          <w:lang w:val="en-GB"/>
        </w:rPr>
      </w:pPr>
    </w:p>
    <w:p w14:paraId="3957F7B4" w14:textId="21C7ED32" w:rsidR="0219EC8F" w:rsidRDefault="552FF72F" w:rsidP="552FF72F">
      <w:pPr>
        <w:spacing w:line="360" w:lineRule="auto"/>
        <w:rPr>
          <w:rFonts w:ascii="Arial" w:eastAsia="Arial" w:hAnsi="Arial" w:cs="Arial"/>
          <w:color w:val="000000" w:themeColor="text1"/>
          <w:lang w:val="en-GB"/>
        </w:rPr>
      </w:pPr>
      <w:r w:rsidRPr="552FF72F">
        <w:rPr>
          <w:rFonts w:ascii="Arial" w:eastAsia="Arial" w:hAnsi="Arial" w:cs="Arial"/>
          <w:color w:val="000000" w:themeColor="text1"/>
          <w:lang w:val="en-GB"/>
        </w:rPr>
        <w:t>Dudley, P. 2011, “Lesson Study: a handbook”. Accessed 2 January 2020.</w:t>
      </w:r>
    </w:p>
    <w:p w14:paraId="6C4CF220" w14:textId="6AB72D0C" w:rsidR="0219EC8F" w:rsidRDefault="0219EC8F" w:rsidP="552FF72F">
      <w:pPr>
        <w:spacing w:line="360" w:lineRule="auto"/>
        <w:rPr>
          <w:rFonts w:ascii="Arial" w:eastAsia="Arial" w:hAnsi="Arial" w:cs="Arial"/>
          <w:color w:val="000000" w:themeColor="text1"/>
          <w:lang w:val="en-GB"/>
        </w:rPr>
      </w:pPr>
    </w:p>
    <w:p w14:paraId="3BF171EF" w14:textId="4E82CD7A" w:rsidR="552FF72F" w:rsidRDefault="552FF72F" w:rsidP="552FF72F">
      <w:pPr>
        <w:spacing w:line="360" w:lineRule="auto"/>
        <w:rPr>
          <w:rFonts w:ascii="Arial" w:eastAsia="Arial" w:hAnsi="Arial" w:cs="Arial"/>
          <w:color w:val="000000" w:themeColor="text1"/>
          <w:lang w:val="en-GB"/>
        </w:rPr>
      </w:pPr>
      <w:r w:rsidRPr="552FF72F">
        <w:rPr>
          <w:rFonts w:ascii="Arial" w:eastAsia="Arial" w:hAnsi="Arial" w:cs="Arial"/>
          <w:color w:val="000000" w:themeColor="text1"/>
          <w:lang w:val="en-GB"/>
        </w:rPr>
        <w:t xml:space="preserve">Faber J, Fonseca LM (2014). How sample size influences research outcomes. Dental Press J Orthod. </w:t>
      </w:r>
    </w:p>
    <w:p w14:paraId="615671A2" w14:textId="08C33517" w:rsidR="552FF72F" w:rsidRDefault="552FF72F" w:rsidP="552FF72F">
      <w:pPr>
        <w:spacing w:line="360" w:lineRule="auto"/>
        <w:rPr>
          <w:rFonts w:ascii="Arial" w:eastAsia="Arial" w:hAnsi="Arial" w:cs="Arial"/>
          <w:color w:val="000000" w:themeColor="text1"/>
          <w:lang w:val="en-GB"/>
        </w:rPr>
      </w:pPr>
    </w:p>
    <w:p w14:paraId="5A38C837" w14:textId="34AC12B8" w:rsidR="0219EC8F" w:rsidRDefault="552FF72F" w:rsidP="552FF72F">
      <w:pPr>
        <w:spacing w:line="360" w:lineRule="auto"/>
        <w:rPr>
          <w:rFonts w:ascii="Arial" w:eastAsia="Arial" w:hAnsi="Arial" w:cs="Arial"/>
          <w:color w:val="000000" w:themeColor="text1"/>
          <w:lang w:val="en-GB"/>
        </w:rPr>
      </w:pPr>
      <w:r w:rsidRPr="552FF72F">
        <w:rPr>
          <w:rFonts w:ascii="Arial" w:eastAsia="Arial" w:hAnsi="Arial" w:cs="Arial"/>
          <w:color w:val="000000" w:themeColor="text1"/>
          <w:lang w:val="en-GB"/>
        </w:rPr>
        <w:t xml:space="preserve">Flick, U. (2007) </w:t>
      </w:r>
      <w:r w:rsidRPr="552FF72F">
        <w:rPr>
          <w:rFonts w:ascii="Arial" w:eastAsia="Arial" w:hAnsi="Arial" w:cs="Arial"/>
          <w:i/>
          <w:iCs/>
          <w:color w:val="000000" w:themeColor="text1"/>
          <w:lang w:val="en-GB"/>
        </w:rPr>
        <w:t>Doing Ethnographic and Observational Research.</w:t>
      </w:r>
      <w:r w:rsidRPr="552FF72F">
        <w:rPr>
          <w:rFonts w:ascii="Arial" w:eastAsia="Arial" w:hAnsi="Arial" w:cs="Arial"/>
          <w:color w:val="000000" w:themeColor="text1"/>
          <w:lang w:val="en-GB"/>
        </w:rPr>
        <w:t xml:space="preserve"> London: SAGE.</w:t>
      </w:r>
    </w:p>
    <w:p w14:paraId="2686DE51" w14:textId="0F836581" w:rsidR="0219EC8F" w:rsidRDefault="0219EC8F" w:rsidP="552FF72F">
      <w:pPr>
        <w:spacing w:line="360" w:lineRule="auto"/>
        <w:rPr>
          <w:rFonts w:ascii="Arial" w:eastAsia="Arial" w:hAnsi="Arial" w:cs="Arial"/>
          <w:color w:val="000000" w:themeColor="text1"/>
          <w:lang w:val="en-GB"/>
        </w:rPr>
      </w:pPr>
    </w:p>
    <w:p w14:paraId="53F6442C" w14:textId="16C05777" w:rsidR="0219EC8F" w:rsidRDefault="552FF72F" w:rsidP="552FF72F">
      <w:pPr>
        <w:spacing w:line="360" w:lineRule="auto"/>
        <w:rPr>
          <w:rFonts w:ascii="Arial" w:eastAsia="Arial" w:hAnsi="Arial" w:cs="Arial"/>
          <w:color w:val="000000" w:themeColor="text1"/>
          <w:lang w:val="en-GB"/>
        </w:rPr>
      </w:pPr>
      <w:r w:rsidRPr="552FF72F">
        <w:rPr>
          <w:rFonts w:ascii="Arial" w:eastAsia="Arial" w:hAnsi="Arial" w:cs="Arial"/>
          <w:color w:val="000000" w:themeColor="text1"/>
          <w:lang w:val="en-GB"/>
        </w:rPr>
        <w:t>Finn, J.D., &amp; D.A. Rock. 1997. Academic success among studentsat risk for school failure. Journal of Applied Psychology 82 (2)</w:t>
      </w:r>
    </w:p>
    <w:p w14:paraId="1B2E3972" w14:textId="0E1A4159" w:rsidR="0219EC8F" w:rsidRDefault="0219EC8F" w:rsidP="552FF72F">
      <w:pPr>
        <w:spacing w:line="360" w:lineRule="auto"/>
        <w:rPr>
          <w:rFonts w:ascii="Arial" w:eastAsia="Arial" w:hAnsi="Arial" w:cs="Arial"/>
          <w:color w:val="000000" w:themeColor="text1"/>
          <w:lang w:val="en-GB"/>
        </w:rPr>
      </w:pPr>
    </w:p>
    <w:p w14:paraId="2E5C82ED" w14:textId="335A8C0B" w:rsidR="0219EC8F" w:rsidRDefault="552FF72F" w:rsidP="552FF72F">
      <w:pPr>
        <w:spacing w:line="360" w:lineRule="auto"/>
        <w:rPr>
          <w:rFonts w:ascii="Arial" w:eastAsia="Arial" w:hAnsi="Arial" w:cs="Arial"/>
          <w:color w:val="000000" w:themeColor="text1"/>
        </w:rPr>
      </w:pPr>
      <w:r w:rsidRPr="552FF72F">
        <w:rPr>
          <w:rFonts w:ascii="Arial" w:eastAsia="Arial" w:hAnsi="Arial" w:cs="Arial"/>
          <w:color w:val="000000" w:themeColor="text1"/>
          <w:lang w:val="en-GB"/>
        </w:rPr>
        <w:t xml:space="preserve">Gilbert, J. (2007). Catching the Knowledge Wave: Redefining knowledge for the post-industrial age. Education Canada, 47(3), 4-8. Canadian Education Association. </w:t>
      </w:r>
      <w:hyperlink r:id="rId6">
        <w:r w:rsidRPr="552FF72F">
          <w:rPr>
            <w:rStyle w:val="Hyperlink"/>
            <w:rFonts w:ascii="Arial" w:eastAsia="Arial" w:hAnsi="Arial" w:cs="Arial"/>
            <w:color w:val="000000" w:themeColor="text1"/>
            <w:lang w:val="en-GB"/>
          </w:rPr>
          <w:t>www.cea-ace.ca</w:t>
        </w:r>
      </w:hyperlink>
    </w:p>
    <w:p w14:paraId="00AE25BA" w14:textId="5402D0A9" w:rsidR="0219EC8F" w:rsidRDefault="0219EC8F" w:rsidP="552FF72F">
      <w:pPr>
        <w:spacing w:line="360" w:lineRule="auto"/>
        <w:rPr>
          <w:rFonts w:ascii="Arial" w:eastAsia="Arial" w:hAnsi="Arial" w:cs="Arial"/>
          <w:color w:val="000000" w:themeColor="text1"/>
          <w:lang w:val="en-GB"/>
        </w:rPr>
      </w:pPr>
    </w:p>
    <w:p w14:paraId="56B6A8FB" w14:textId="27459C14" w:rsidR="0219EC8F" w:rsidRDefault="552FF72F" w:rsidP="552FF72F">
      <w:pPr>
        <w:spacing w:line="360" w:lineRule="auto"/>
        <w:rPr>
          <w:rFonts w:ascii="Arial" w:eastAsia="Arial" w:hAnsi="Arial" w:cs="Arial"/>
          <w:color w:val="000000" w:themeColor="text1"/>
          <w:lang w:val="en-GB"/>
        </w:rPr>
      </w:pPr>
      <w:r w:rsidRPr="552FF72F">
        <w:rPr>
          <w:rFonts w:ascii="Arial" w:eastAsia="Arial" w:hAnsi="Arial" w:cs="Arial"/>
          <w:color w:val="000000" w:themeColor="text1"/>
          <w:lang w:val="en-GB"/>
        </w:rPr>
        <w:t>Harlen, W. and James, M., (1997), Assessment and Learning: Differences and Relationships between Formative and Summative Assessment, Assessment in Education: Principles, Policy &amp; Practice, 4(3): pp. 365-379.</w:t>
      </w:r>
    </w:p>
    <w:p w14:paraId="2EC1EA27" w14:textId="0FC59A05" w:rsidR="0219EC8F" w:rsidRDefault="0219EC8F" w:rsidP="552FF72F">
      <w:pPr>
        <w:spacing w:line="360" w:lineRule="auto"/>
        <w:rPr>
          <w:rFonts w:ascii="Arial" w:eastAsia="Arial" w:hAnsi="Arial" w:cs="Arial"/>
          <w:color w:val="000000" w:themeColor="text1"/>
          <w:lang w:val="en-GB"/>
        </w:rPr>
      </w:pPr>
    </w:p>
    <w:p w14:paraId="498ABF2E" w14:textId="45C08303" w:rsidR="0219EC8F" w:rsidRDefault="552FF72F" w:rsidP="552FF72F">
      <w:pPr>
        <w:spacing w:line="360" w:lineRule="auto"/>
        <w:rPr>
          <w:rFonts w:ascii="Arial" w:eastAsia="Arial" w:hAnsi="Arial" w:cs="Arial"/>
          <w:color w:val="000000" w:themeColor="text1"/>
          <w:lang w:val="en-GB"/>
        </w:rPr>
      </w:pPr>
      <w:r w:rsidRPr="552FF72F">
        <w:rPr>
          <w:rFonts w:ascii="Arial" w:eastAsia="Arial" w:hAnsi="Arial" w:cs="Arial"/>
          <w:color w:val="000000" w:themeColor="text1"/>
          <w:lang w:val="en-GB"/>
        </w:rPr>
        <w:t>Ho, D., &amp; Kane J. (2013)  The reliability of classroom observations by school personnel. Seattle, WA: Measures of Effective Teaching Project, Bill and Melinda Gates Foundation; 2013. [</w:t>
      </w:r>
      <w:hyperlink r:id="rId7">
        <w:r w:rsidRPr="552FF72F">
          <w:rPr>
            <w:rStyle w:val="Hyperlink"/>
            <w:rFonts w:ascii="Arial" w:eastAsia="Arial" w:hAnsi="Arial" w:cs="Arial"/>
            <w:color w:val="000000" w:themeColor="text1"/>
            <w:lang w:val="en-GB"/>
          </w:rPr>
          <w:t>Google Scholar</w:t>
        </w:r>
      </w:hyperlink>
      <w:r w:rsidRPr="552FF72F">
        <w:rPr>
          <w:rFonts w:ascii="Arial" w:eastAsia="Arial" w:hAnsi="Arial" w:cs="Arial"/>
          <w:color w:val="000000" w:themeColor="text1"/>
          <w:lang w:val="en-GB"/>
        </w:rPr>
        <w:t>]</w:t>
      </w:r>
    </w:p>
    <w:p w14:paraId="4BEE1D86" w14:textId="57B4FB9A" w:rsidR="0219EC8F" w:rsidRDefault="0219EC8F" w:rsidP="552FF72F">
      <w:pPr>
        <w:spacing w:line="360" w:lineRule="auto"/>
        <w:rPr>
          <w:rFonts w:ascii="Arial" w:eastAsia="Arial" w:hAnsi="Arial" w:cs="Arial"/>
          <w:color w:val="000000" w:themeColor="text1"/>
          <w:lang w:val="en-GB"/>
        </w:rPr>
      </w:pPr>
    </w:p>
    <w:p w14:paraId="265B9B61" w14:textId="7505CD7E" w:rsidR="28239F2E" w:rsidRDefault="552FF72F" w:rsidP="552FF72F">
      <w:pPr>
        <w:spacing w:line="360" w:lineRule="auto"/>
        <w:rPr>
          <w:rFonts w:ascii="Arial" w:eastAsia="Arial" w:hAnsi="Arial" w:cs="Arial"/>
          <w:color w:val="000000" w:themeColor="text1"/>
          <w:lang w:val="en-GB"/>
        </w:rPr>
      </w:pPr>
      <w:r w:rsidRPr="552FF72F">
        <w:rPr>
          <w:rFonts w:ascii="Arial" w:eastAsia="Arial" w:hAnsi="Arial" w:cs="Arial"/>
          <w:color w:val="000000" w:themeColor="text1"/>
          <w:lang w:val="en-GB"/>
        </w:rPr>
        <w:t>Jablon and Wilkinson, 2006.</w:t>
      </w:r>
    </w:p>
    <w:p w14:paraId="6B29A9D7" w14:textId="08B0F7AD" w:rsidR="0219EC8F" w:rsidRDefault="0219EC8F" w:rsidP="552FF72F">
      <w:pPr>
        <w:spacing w:line="360" w:lineRule="auto"/>
        <w:rPr>
          <w:rFonts w:ascii="Arial" w:eastAsia="Arial" w:hAnsi="Arial" w:cs="Arial"/>
          <w:color w:val="000000" w:themeColor="text1"/>
          <w:lang w:val="en-GB"/>
        </w:rPr>
      </w:pPr>
    </w:p>
    <w:p w14:paraId="0805E6BC" w14:textId="04F9BD53" w:rsidR="0219EC8F" w:rsidRDefault="552FF72F" w:rsidP="552FF72F">
      <w:pPr>
        <w:spacing w:line="360" w:lineRule="auto"/>
        <w:rPr>
          <w:rFonts w:ascii="Arial" w:eastAsia="Arial" w:hAnsi="Arial" w:cs="Arial"/>
          <w:color w:val="000000" w:themeColor="text1"/>
          <w:lang w:val="en-GB"/>
        </w:rPr>
      </w:pPr>
      <w:r w:rsidRPr="552FF72F">
        <w:rPr>
          <w:rFonts w:ascii="Arial" w:eastAsia="Arial" w:hAnsi="Arial" w:cs="Arial"/>
          <w:color w:val="000000" w:themeColor="text1"/>
          <w:lang w:val="en-GB"/>
        </w:rPr>
        <w:t>Kennewell, S., Tanner, H., Jones, S., &amp; Beauchamp, G. (2008). Analysing the use of interactive technology to implement interactive teaching. Journal of Computer Assisted Learning, 24, 61–73.</w:t>
      </w:r>
    </w:p>
    <w:p w14:paraId="03573177" w14:textId="178347E6" w:rsidR="0219EC8F" w:rsidRDefault="0219EC8F" w:rsidP="552FF72F">
      <w:pPr>
        <w:spacing w:line="360" w:lineRule="auto"/>
        <w:rPr>
          <w:rFonts w:ascii="Arial" w:eastAsia="Arial" w:hAnsi="Arial" w:cs="Arial"/>
          <w:color w:val="000000" w:themeColor="text1"/>
          <w:lang w:val="en-GB"/>
        </w:rPr>
      </w:pPr>
    </w:p>
    <w:p w14:paraId="1E9EE01B" w14:textId="15F216EB" w:rsidR="0219EC8F" w:rsidRDefault="552FF72F" w:rsidP="552FF72F">
      <w:pPr>
        <w:spacing w:line="360" w:lineRule="auto"/>
        <w:rPr>
          <w:rFonts w:ascii="Arial" w:eastAsia="Arial" w:hAnsi="Arial" w:cs="Arial"/>
          <w:color w:val="000000" w:themeColor="text1"/>
          <w:lang w:val="en-GB"/>
        </w:rPr>
      </w:pPr>
      <w:r w:rsidRPr="552FF72F">
        <w:rPr>
          <w:rFonts w:ascii="Arial" w:eastAsia="Arial" w:hAnsi="Arial" w:cs="Arial"/>
          <w:color w:val="000000" w:themeColor="text1"/>
          <w:lang w:val="en-GB"/>
        </w:rPr>
        <w:t>Kemmis, S., &amp; McTaggart, R. (1982). The Action Research Planner. Victoria: Deakin University Press.</w:t>
      </w:r>
    </w:p>
    <w:p w14:paraId="5FA5EE8C" w14:textId="24836D42" w:rsidR="0219EC8F" w:rsidRDefault="0219EC8F" w:rsidP="552FF72F">
      <w:pPr>
        <w:spacing w:line="360" w:lineRule="auto"/>
        <w:rPr>
          <w:rStyle w:val="Hyperlink"/>
          <w:rFonts w:ascii="Arial" w:eastAsia="Arial" w:hAnsi="Arial" w:cs="Arial"/>
          <w:color w:val="000000" w:themeColor="text1"/>
          <w:lang w:val="en-GB"/>
        </w:rPr>
      </w:pPr>
    </w:p>
    <w:p w14:paraId="79954245" w14:textId="77BD18D6" w:rsidR="0219EC8F" w:rsidRDefault="552FF72F" w:rsidP="552FF72F">
      <w:pPr>
        <w:spacing w:line="360" w:lineRule="auto"/>
        <w:rPr>
          <w:rFonts w:ascii="Arial" w:eastAsia="Arial" w:hAnsi="Arial" w:cs="Arial"/>
          <w:color w:val="000000" w:themeColor="text1"/>
          <w:lang w:val="en-GB"/>
        </w:rPr>
      </w:pPr>
      <w:r w:rsidRPr="552FF72F">
        <w:rPr>
          <w:rFonts w:ascii="Arial" w:eastAsia="Arial" w:hAnsi="Arial" w:cs="Arial"/>
          <w:color w:val="000000" w:themeColor="text1"/>
          <w:lang w:val="en-GB"/>
        </w:rPr>
        <w:t>Kollar, I., &amp; Fischer, F. (2013). Orchestration is nothing without conducting – but arranging ties the two together! Computers &amp; Education, 69, 507–509.</w:t>
      </w:r>
    </w:p>
    <w:p w14:paraId="2588CADB" w14:textId="09C64E9C" w:rsidR="0219EC8F" w:rsidRDefault="0219EC8F" w:rsidP="552FF72F">
      <w:pPr>
        <w:spacing w:line="360" w:lineRule="auto"/>
        <w:rPr>
          <w:rFonts w:ascii="Arial" w:eastAsia="Arial" w:hAnsi="Arial" w:cs="Arial"/>
          <w:color w:val="000000" w:themeColor="text1"/>
          <w:lang w:val="en-GB"/>
        </w:rPr>
      </w:pPr>
    </w:p>
    <w:p w14:paraId="4F82AA2E" w14:textId="7A5992BC" w:rsidR="0219EC8F" w:rsidRDefault="552FF72F" w:rsidP="552FF72F">
      <w:pPr>
        <w:spacing w:line="360" w:lineRule="auto"/>
        <w:rPr>
          <w:rFonts w:ascii="Arial" w:eastAsia="Arial" w:hAnsi="Arial" w:cs="Arial"/>
          <w:color w:val="000000" w:themeColor="text1"/>
          <w:lang w:val="en-GB"/>
        </w:rPr>
      </w:pPr>
      <w:r w:rsidRPr="552FF72F">
        <w:rPr>
          <w:rFonts w:ascii="Arial" w:eastAsia="Arial" w:hAnsi="Arial" w:cs="Arial"/>
          <w:color w:val="000000" w:themeColor="text1"/>
          <w:lang w:val="en-GB"/>
        </w:rPr>
        <w:t>Lewis, C. (2000, April). Lesson study: The core of Japanese professional development. Paper presented at the American Educational Research Association Annual Meeting,</w:t>
      </w:r>
    </w:p>
    <w:p w14:paraId="14909FC5" w14:textId="73F920D5" w:rsidR="0219EC8F" w:rsidRDefault="552FF72F" w:rsidP="552FF72F">
      <w:pPr>
        <w:spacing w:line="360" w:lineRule="auto"/>
        <w:rPr>
          <w:rFonts w:ascii="Arial" w:eastAsia="Arial" w:hAnsi="Arial" w:cs="Arial"/>
          <w:color w:val="000000" w:themeColor="text1"/>
          <w:lang w:val="en-GB"/>
        </w:rPr>
      </w:pPr>
      <w:r w:rsidRPr="552FF72F">
        <w:rPr>
          <w:rFonts w:ascii="Arial" w:eastAsia="Arial" w:hAnsi="Arial" w:cs="Arial"/>
          <w:color w:val="000000" w:themeColor="text1"/>
          <w:lang w:val="en-GB"/>
        </w:rPr>
        <w:t>New Orleans.</w:t>
      </w:r>
      <w:r w:rsidR="0219EC8F">
        <w:br/>
      </w:r>
    </w:p>
    <w:p w14:paraId="378D68D3" w14:textId="53541A8E" w:rsidR="0219EC8F" w:rsidRDefault="552FF72F" w:rsidP="552FF72F">
      <w:pPr>
        <w:spacing w:line="360" w:lineRule="auto"/>
        <w:rPr>
          <w:rFonts w:ascii="Arial" w:eastAsia="Arial" w:hAnsi="Arial" w:cs="Arial"/>
          <w:color w:val="000000" w:themeColor="text1"/>
          <w:lang w:val="en-GB"/>
        </w:rPr>
      </w:pPr>
      <w:r w:rsidRPr="552FF72F">
        <w:rPr>
          <w:rFonts w:ascii="Arial" w:eastAsia="Arial" w:hAnsi="Arial" w:cs="Arial"/>
          <w:color w:val="000000" w:themeColor="text1"/>
          <w:lang w:val="en-GB"/>
        </w:rPr>
        <w:t>Lewis C, Perry R and Hurd J (2004) A deeper look at lesson study. Educational Leadership 2004:18–22.</w:t>
      </w:r>
    </w:p>
    <w:p w14:paraId="2F0B5513" w14:textId="1653A013" w:rsidR="0219EC8F" w:rsidRDefault="0219EC8F" w:rsidP="552FF72F">
      <w:pPr>
        <w:spacing w:line="360" w:lineRule="auto"/>
        <w:rPr>
          <w:rFonts w:ascii="Arial" w:eastAsia="Arial" w:hAnsi="Arial" w:cs="Arial"/>
          <w:color w:val="000000" w:themeColor="text1"/>
          <w:lang w:val="en-GB"/>
        </w:rPr>
      </w:pPr>
    </w:p>
    <w:p w14:paraId="4E5CD27F" w14:textId="10FADEEC" w:rsidR="0219EC8F" w:rsidRDefault="552FF72F" w:rsidP="552FF72F">
      <w:pPr>
        <w:spacing w:line="360" w:lineRule="auto"/>
        <w:rPr>
          <w:rFonts w:ascii="Arial" w:eastAsia="Arial" w:hAnsi="Arial" w:cs="Arial"/>
          <w:color w:val="000000" w:themeColor="text1"/>
          <w:lang w:val="en-GB"/>
        </w:rPr>
      </w:pPr>
      <w:r w:rsidRPr="552FF72F">
        <w:rPr>
          <w:rFonts w:ascii="Arial" w:eastAsia="Arial" w:hAnsi="Arial" w:cs="Arial"/>
          <w:color w:val="000000" w:themeColor="text1"/>
          <w:lang w:val="en-GB"/>
        </w:rPr>
        <w:t>Marks, H.M. 2000. Student engagement in instructional activity:Patterns in the elementary, middle and high school years.</w:t>
      </w:r>
    </w:p>
    <w:p w14:paraId="6C1B32D9" w14:textId="00C7FCA1" w:rsidR="0219EC8F" w:rsidRDefault="0219EC8F" w:rsidP="552FF72F">
      <w:pPr>
        <w:spacing w:line="360" w:lineRule="auto"/>
        <w:rPr>
          <w:rFonts w:ascii="Arial" w:eastAsia="Arial" w:hAnsi="Arial" w:cs="Arial"/>
          <w:color w:val="000000" w:themeColor="text1"/>
          <w:lang w:val="en-GB"/>
        </w:rPr>
      </w:pPr>
    </w:p>
    <w:p w14:paraId="57A263EB" w14:textId="7B1C47B3" w:rsidR="0219EC8F" w:rsidRDefault="552FF72F" w:rsidP="552FF72F">
      <w:pPr>
        <w:spacing w:line="360" w:lineRule="auto"/>
        <w:rPr>
          <w:rFonts w:ascii="Arial" w:eastAsia="Arial" w:hAnsi="Arial" w:cs="Arial"/>
          <w:color w:val="000000" w:themeColor="text1"/>
          <w:lang w:val="en-GB"/>
        </w:rPr>
      </w:pPr>
      <w:r w:rsidRPr="552FF72F">
        <w:rPr>
          <w:rFonts w:ascii="Arial" w:eastAsia="Arial" w:hAnsi="Arial" w:cs="Arial"/>
          <w:color w:val="000000" w:themeColor="text1"/>
          <w:lang w:val="en-GB"/>
        </w:rPr>
        <w:t>Martella, C., Quinn, L., Sylva, K., Sammons, P., Siraj-Blatchford, I. and Taggart, B. (2013) ‘Pre-schools affects longer term literacy and numeracy: Results from a general population Longitudinal study in Northern Ireland’, School Effectiveness and School Improvement.24(2), pp. 234-250.</w:t>
      </w:r>
    </w:p>
    <w:p w14:paraId="12515975" w14:textId="341834E2" w:rsidR="0219EC8F" w:rsidRDefault="0219EC8F" w:rsidP="552FF72F">
      <w:pPr>
        <w:spacing w:line="360" w:lineRule="auto"/>
        <w:rPr>
          <w:rFonts w:ascii="Arial" w:eastAsia="Arial" w:hAnsi="Arial" w:cs="Arial"/>
          <w:color w:val="000000" w:themeColor="text1"/>
          <w:lang w:val="en-GB"/>
        </w:rPr>
      </w:pPr>
    </w:p>
    <w:p w14:paraId="00761964" w14:textId="758C169A" w:rsidR="0219EC8F" w:rsidRDefault="552FF72F" w:rsidP="552FF72F">
      <w:pPr>
        <w:spacing w:line="360" w:lineRule="auto"/>
        <w:rPr>
          <w:rFonts w:ascii="Arial" w:eastAsia="Arial" w:hAnsi="Arial" w:cs="Arial"/>
          <w:color w:val="000000" w:themeColor="text1"/>
          <w:lang w:val="en-GB"/>
        </w:rPr>
      </w:pPr>
      <w:r w:rsidRPr="552FF72F">
        <w:rPr>
          <w:rFonts w:ascii="Arial" w:eastAsia="Arial" w:hAnsi="Arial" w:cs="Arial"/>
          <w:color w:val="000000" w:themeColor="text1"/>
          <w:lang w:val="en-GB"/>
        </w:rPr>
        <w:t xml:space="preserve">Mayer, R. and Wittrock, M. (1996) ‘Problem-solving and transfer’. In D. Berliner and R. Calfee (eds) </w:t>
      </w:r>
      <w:r w:rsidRPr="552FF72F">
        <w:rPr>
          <w:rFonts w:ascii="Arial" w:eastAsia="Arial" w:hAnsi="Arial" w:cs="Arial"/>
          <w:i/>
          <w:iCs/>
          <w:color w:val="000000" w:themeColor="text1"/>
          <w:lang w:val="en-GB"/>
        </w:rPr>
        <w:t xml:space="preserve">Handbook of educational psychology. </w:t>
      </w:r>
      <w:r w:rsidRPr="552FF72F">
        <w:rPr>
          <w:rFonts w:ascii="Arial" w:eastAsia="Arial" w:hAnsi="Arial" w:cs="Arial"/>
          <w:color w:val="000000" w:themeColor="text1"/>
          <w:lang w:val="en-GB"/>
        </w:rPr>
        <w:t>Simon and Schuster Macmillan. ISBN: 0028970896.</w:t>
      </w:r>
    </w:p>
    <w:p w14:paraId="17406D98" w14:textId="58C3B200" w:rsidR="0219EC8F" w:rsidRDefault="0219EC8F" w:rsidP="552FF72F">
      <w:pPr>
        <w:spacing w:line="360" w:lineRule="auto"/>
        <w:rPr>
          <w:rFonts w:ascii="Arial" w:eastAsia="Arial" w:hAnsi="Arial" w:cs="Arial"/>
          <w:color w:val="000000" w:themeColor="text1"/>
          <w:lang w:val="en-GB"/>
        </w:rPr>
      </w:pPr>
    </w:p>
    <w:p w14:paraId="1BADE7AF" w14:textId="72355F87" w:rsidR="0219EC8F" w:rsidRDefault="552FF72F" w:rsidP="552FF72F">
      <w:pPr>
        <w:spacing w:line="360" w:lineRule="auto"/>
        <w:rPr>
          <w:rFonts w:ascii="Arial" w:eastAsia="Arial" w:hAnsi="Arial" w:cs="Arial"/>
          <w:color w:val="000000" w:themeColor="text1"/>
          <w:lang w:val="en-GB"/>
        </w:rPr>
      </w:pPr>
      <w:r w:rsidRPr="552FF72F">
        <w:rPr>
          <w:rFonts w:ascii="Arial" w:eastAsia="Arial" w:hAnsi="Arial" w:cs="Arial"/>
          <w:color w:val="000000" w:themeColor="text1"/>
          <w:lang w:val="en-GB"/>
        </w:rPr>
        <w:t xml:space="preserve">McDermott, P.A., M. Mordell, &amp; J.C. Stolzfus. 2001. The organiza-tion of student performance in American schools: Discipline,motivation, verbal and non-verbal learning. </w:t>
      </w:r>
    </w:p>
    <w:p w14:paraId="21199554" w14:textId="4E316293" w:rsidR="0219EC8F" w:rsidRDefault="552FF72F" w:rsidP="552FF72F">
      <w:pPr>
        <w:spacing w:line="360" w:lineRule="auto"/>
        <w:rPr>
          <w:rFonts w:ascii="Arial" w:eastAsia="Arial" w:hAnsi="Arial" w:cs="Arial"/>
          <w:color w:val="000000" w:themeColor="text1"/>
          <w:lang w:val="en-GB"/>
        </w:rPr>
      </w:pPr>
      <w:r w:rsidRPr="552FF72F">
        <w:rPr>
          <w:rFonts w:ascii="Arial" w:eastAsia="Arial" w:hAnsi="Arial" w:cs="Arial"/>
          <w:color w:val="000000" w:themeColor="text1"/>
          <w:lang w:val="en-GB"/>
        </w:rPr>
        <w:t xml:space="preserve"> Journal of Educa- tional Psychology </w:t>
      </w:r>
    </w:p>
    <w:p w14:paraId="7BE8AED0" w14:textId="44174289" w:rsidR="0219EC8F" w:rsidRDefault="552FF72F" w:rsidP="552FF72F">
      <w:pPr>
        <w:spacing w:line="360" w:lineRule="auto"/>
        <w:rPr>
          <w:rFonts w:ascii="Arial" w:eastAsia="Arial" w:hAnsi="Arial" w:cs="Arial"/>
          <w:color w:val="000000" w:themeColor="text1"/>
          <w:lang w:val="en-GB"/>
        </w:rPr>
      </w:pPr>
      <w:r w:rsidRPr="552FF72F">
        <w:rPr>
          <w:rFonts w:ascii="Arial" w:eastAsia="Arial" w:hAnsi="Arial" w:cs="Arial"/>
          <w:color w:val="000000" w:themeColor="text1"/>
          <w:lang w:val="en-GB"/>
        </w:rPr>
        <w:t xml:space="preserve"> 93 (1): 65–76</w:t>
      </w:r>
    </w:p>
    <w:p w14:paraId="0F947F95" w14:textId="4C9DFB23" w:rsidR="0219EC8F" w:rsidRDefault="0219EC8F" w:rsidP="552FF72F">
      <w:pPr>
        <w:spacing w:line="360" w:lineRule="auto"/>
        <w:rPr>
          <w:rFonts w:ascii="Arial" w:eastAsia="Arial" w:hAnsi="Arial" w:cs="Arial"/>
          <w:color w:val="000000" w:themeColor="text1"/>
          <w:lang w:val="en-GB"/>
        </w:rPr>
      </w:pPr>
    </w:p>
    <w:p w14:paraId="29B53FC3" w14:textId="3F09C407" w:rsidR="0219EC8F" w:rsidRDefault="552FF72F" w:rsidP="552FF72F">
      <w:pPr>
        <w:spacing w:line="360" w:lineRule="auto"/>
        <w:rPr>
          <w:rFonts w:ascii="Arial" w:eastAsia="Arial" w:hAnsi="Arial" w:cs="Arial"/>
          <w:color w:val="000000" w:themeColor="text1"/>
          <w:lang w:val="en-GB"/>
        </w:rPr>
      </w:pPr>
      <w:r w:rsidRPr="552FF72F">
        <w:rPr>
          <w:rFonts w:ascii="Arial" w:eastAsia="Arial" w:hAnsi="Arial" w:cs="Arial"/>
          <w:color w:val="000000" w:themeColor="text1"/>
          <w:lang w:val="en-GB"/>
        </w:rPr>
        <w:t xml:space="preserve">Miller, L., Cable, C. and Devereux, J. (2005) </w:t>
      </w:r>
      <w:r w:rsidRPr="552FF72F">
        <w:rPr>
          <w:rFonts w:ascii="Arial" w:eastAsia="Arial" w:hAnsi="Arial" w:cs="Arial"/>
          <w:i/>
          <w:iCs/>
          <w:color w:val="000000" w:themeColor="text1"/>
          <w:lang w:val="en-GB"/>
        </w:rPr>
        <w:t>Developing Early Years Practice.</w:t>
      </w:r>
      <w:r w:rsidRPr="552FF72F">
        <w:rPr>
          <w:rFonts w:ascii="Arial" w:eastAsia="Arial" w:hAnsi="Arial" w:cs="Arial"/>
          <w:color w:val="000000" w:themeColor="text1"/>
          <w:lang w:val="en-GB"/>
        </w:rPr>
        <w:t xml:space="preserve"> Oxon: Open University Press.</w:t>
      </w:r>
    </w:p>
    <w:p w14:paraId="1A531130" w14:textId="42DB2EB2" w:rsidR="0219EC8F" w:rsidRDefault="0219EC8F" w:rsidP="552FF72F">
      <w:pPr>
        <w:spacing w:line="360" w:lineRule="auto"/>
        <w:rPr>
          <w:rFonts w:ascii="Arial" w:eastAsia="Arial" w:hAnsi="Arial" w:cs="Arial"/>
          <w:color w:val="000000" w:themeColor="text1"/>
          <w:lang w:val="en-GB"/>
        </w:rPr>
      </w:pPr>
    </w:p>
    <w:p w14:paraId="082A8FAB" w14:textId="1B3DE878" w:rsidR="0219EC8F" w:rsidRDefault="552FF72F" w:rsidP="552FF72F">
      <w:pPr>
        <w:spacing w:line="360" w:lineRule="auto"/>
        <w:rPr>
          <w:rFonts w:ascii="Arial" w:eastAsia="Arial" w:hAnsi="Arial" w:cs="Arial"/>
          <w:color w:val="000000" w:themeColor="text1"/>
          <w:lang w:val="en-GB"/>
        </w:rPr>
      </w:pPr>
      <w:r w:rsidRPr="552FF72F">
        <w:rPr>
          <w:rFonts w:ascii="Arial" w:eastAsia="Arial" w:hAnsi="Arial" w:cs="Arial"/>
          <w:color w:val="000000" w:themeColor="text1"/>
          <w:lang w:val="en-GB"/>
        </w:rPr>
        <w:t>O’Connor, M. C., &amp; Michaels, S. (1993). Aligning academic task and participation status through revoicing: Analysis of a classroom discourse strategy. Anthropology and Education Quarterly, 24, 318–318.</w:t>
      </w:r>
    </w:p>
    <w:p w14:paraId="4C7A9EA3" w14:textId="6A21A1A9" w:rsidR="0219EC8F" w:rsidRDefault="0219EC8F" w:rsidP="552FF72F">
      <w:pPr>
        <w:spacing w:line="360" w:lineRule="auto"/>
        <w:rPr>
          <w:rFonts w:ascii="Arial" w:eastAsia="Arial" w:hAnsi="Arial" w:cs="Arial"/>
          <w:color w:val="000000" w:themeColor="text1"/>
          <w:lang w:val="en-GB"/>
        </w:rPr>
      </w:pPr>
    </w:p>
    <w:p w14:paraId="6B2350D5" w14:textId="4994FBB3" w:rsidR="0219EC8F" w:rsidRDefault="552FF72F" w:rsidP="552FF72F">
      <w:pPr>
        <w:spacing w:line="360" w:lineRule="auto"/>
        <w:rPr>
          <w:rFonts w:ascii="Arial" w:eastAsia="Arial" w:hAnsi="Arial" w:cs="Arial"/>
          <w:i/>
          <w:iCs/>
          <w:color w:val="000000" w:themeColor="text1"/>
          <w:lang w:val="en-GB"/>
        </w:rPr>
      </w:pPr>
      <w:r w:rsidRPr="552FF72F">
        <w:rPr>
          <w:rFonts w:ascii="Arial" w:eastAsia="Arial" w:hAnsi="Arial" w:cs="Arial"/>
          <w:color w:val="000000" w:themeColor="text1"/>
          <w:lang w:val="en-GB"/>
        </w:rPr>
        <w:t xml:space="preserve">Ofsted, (2003). </w:t>
      </w:r>
      <w:r w:rsidRPr="552FF72F">
        <w:rPr>
          <w:rFonts w:ascii="Arial" w:eastAsia="Arial" w:hAnsi="Arial" w:cs="Arial"/>
          <w:i/>
          <w:iCs/>
          <w:color w:val="000000" w:themeColor="text1"/>
          <w:lang w:val="en-GB"/>
        </w:rPr>
        <w:t>School Inspection Handbook.</w:t>
      </w:r>
    </w:p>
    <w:p w14:paraId="167CA8C2" w14:textId="229549D4" w:rsidR="0219EC8F" w:rsidRDefault="0219EC8F" w:rsidP="552FF72F">
      <w:pPr>
        <w:spacing w:line="360" w:lineRule="auto"/>
        <w:rPr>
          <w:rFonts w:ascii="Arial" w:eastAsia="Arial" w:hAnsi="Arial" w:cs="Arial"/>
          <w:color w:val="000000" w:themeColor="text1"/>
          <w:lang w:val="en-GB"/>
        </w:rPr>
      </w:pPr>
    </w:p>
    <w:p w14:paraId="0AEED1DC" w14:textId="77343868" w:rsidR="0219EC8F" w:rsidRDefault="552FF72F" w:rsidP="552FF72F">
      <w:pPr>
        <w:spacing w:line="360" w:lineRule="auto"/>
        <w:rPr>
          <w:rFonts w:ascii="Arial" w:eastAsia="Arial" w:hAnsi="Arial" w:cs="Arial"/>
          <w:color w:val="000000" w:themeColor="text1"/>
          <w:lang w:val="en-GB"/>
        </w:rPr>
      </w:pPr>
      <w:r w:rsidRPr="552FF72F">
        <w:rPr>
          <w:rFonts w:ascii="Arial" w:eastAsia="Arial" w:hAnsi="Arial" w:cs="Arial"/>
          <w:color w:val="000000" w:themeColor="text1"/>
          <w:lang w:val="en-GB"/>
        </w:rPr>
        <w:t xml:space="preserve">Palaiologou, I. (2008) </w:t>
      </w:r>
      <w:r w:rsidRPr="552FF72F">
        <w:rPr>
          <w:rFonts w:ascii="Arial" w:eastAsia="Arial" w:hAnsi="Arial" w:cs="Arial"/>
          <w:i/>
          <w:iCs/>
          <w:color w:val="000000" w:themeColor="text1"/>
          <w:lang w:val="en-GB"/>
        </w:rPr>
        <w:t>Childhood Observation.</w:t>
      </w:r>
      <w:r w:rsidRPr="552FF72F">
        <w:rPr>
          <w:rFonts w:ascii="Arial" w:eastAsia="Arial" w:hAnsi="Arial" w:cs="Arial"/>
          <w:color w:val="000000" w:themeColor="text1"/>
          <w:lang w:val="en-GB"/>
        </w:rPr>
        <w:t xml:space="preserve"> Exeter: Learning Matters.</w:t>
      </w:r>
    </w:p>
    <w:p w14:paraId="70293281" w14:textId="7FFCA654" w:rsidR="0219EC8F" w:rsidRDefault="0219EC8F" w:rsidP="552FF72F">
      <w:pPr>
        <w:spacing w:line="360" w:lineRule="auto"/>
        <w:rPr>
          <w:rFonts w:ascii="Arial" w:eastAsia="Arial" w:hAnsi="Arial" w:cs="Arial"/>
          <w:color w:val="000000" w:themeColor="text1"/>
          <w:lang w:val="en-GB"/>
        </w:rPr>
      </w:pPr>
    </w:p>
    <w:p w14:paraId="3AF74490" w14:textId="7CD3F0EA" w:rsidR="0219EC8F" w:rsidRDefault="552FF72F" w:rsidP="552FF72F">
      <w:pPr>
        <w:spacing w:line="360" w:lineRule="auto"/>
        <w:rPr>
          <w:rFonts w:ascii="Arial" w:eastAsia="Arial" w:hAnsi="Arial" w:cs="Arial"/>
          <w:color w:val="000000" w:themeColor="text1"/>
          <w:lang w:val="en-GB"/>
        </w:rPr>
      </w:pPr>
      <w:r w:rsidRPr="552FF72F">
        <w:rPr>
          <w:rFonts w:ascii="Arial" w:eastAsia="Arial" w:hAnsi="Arial" w:cs="Arial"/>
          <w:color w:val="000000" w:themeColor="text1"/>
          <w:lang w:val="en-GB"/>
        </w:rPr>
        <w:t>Prensky, M. (2005). Engage me or enrage me. EDUCASE Review, 40(5), 61–64.</w:t>
      </w:r>
    </w:p>
    <w:p w14:paraId="01F91E60" w14:textId="09E498C6" w:rsidR="0219EC8F" w:rsidRDefault="0219EC8F" w:rsidP="552FF72F">
      <w:pPr>
        <w:spacing w:line="360" w:lineRule="auto"/>
        <w:rPr>
          <w:rFonts w:ascii="Arial" w:eastAsia="Arial" w:hAnsi="Arial" w:cs="Arial"/>
          <w:color w:val="000000" w:themeColor="text1"/>
          <w:lang w:val="en-GB"/>
        </w:rPr>
      </w:pPr>
    </w:p>
    <w:p w14:paraId="3EF36F6B" w14:textId="4B739454" w:rsidR="0219EC8F" w:rsidRDefault="552FF72F" w:rsidP="552FF72F">
      <w:pPr>
        <w:spacing w:line="360" w:lineRule="auto"/>
        <w:rPr>
          <w:rFonts w:ascii="Arial" w:eastAsia="Arial" w:hAnsi="Arial" w:cs="Arial"/>
          <w:color w:val="000000" w:themeColor="text1"/>
          <w:lang w:val="en-GB"/>
        </w:rPr>
      </w:pPr>
      <w:r w:rsidRPr="552FF72F">
        <w:rPr>
          <w:rFonts w:ascii="Arial" w:eastAsia="Arial" w:hAnsi="Arial" w:cs="Arial"/>
          <w:color w:val="000000" w:themeColor="text1"/>
          <w:lang w:val="en-GB"/>
        </w:rPr>
        <w:t>Quintana, C., Reiser, B., Davis, A., Krajcik, J., Fretz, E., Duncan, R., ... Soloway, E. (2004). A scaffolding design framework</w:t>
      </w:r>
    </w:p>
    <w:p w14:paraId="2AF9C200" w14:textId="533FCD08" w:rsidR="0219EC8F" w:rsidRDefault="0219EC8F" w:rsidP="552FF72F">
      <w:pPr>
        <w:spacing w:line="360" w:lineRule="auto"/>
        <w:rPr>
          <w:rFonts w:ascii="Arial" w:eastAsia="Arial" w:hAnsi="Arial" w:cs="Arial"/>
          <w:color w:val="000000" w:themeColor="text1"/>
          <w:lang w:val="en-GB"/>
        </w:rPr>
      </w:pPr>
    </w:p>
    <w:p w14:paraId="69642C8F" w14:textId="3E472804" w:rsidR="0219EC8F" w:rsidRDefault="552FF72F" w:rsidP="552FF72F">
      <w:pPr>
        <w:spacing w:line="360" w:lineRule="auto"/>
        <w:rPr>
          <w:rFonts w:ascii="Arial" w:eastAsia="Arial" w:hAnsi="Arial" w:cs="Arial"/>
          <w:color w:val="000000" w:themeColor="text1"/>
          <w:lang w:val="en-GB"/>
        </w:rPr>
      </w:pPr>
      <w:r w:rsidRPr="552FF72F">
        <w:rPr>
          <w:rFonts w:ascii="Arial" w:eastAsia="Arial" w:hAnsi="Arial" w:cs="Arial"/>
          <w:color w:val="000000" w:themeColor="text1"/>
          <w:lang w:val="en-GB"/>
        </w:rPr>
        <w:t>Robinson, K. (2009). The Element: how finding your passion changes everything. Toronto, Ontario: Penguin Group.</w:t>
      </w:r>
    </w:p>
    <w:p w14:paraId="7502C524" w14:textId="41F6C220" w:rsidR="0219EC8F" w:rsidRDefault="0219EC8F" w:rsidP="552FF72F">
      <w:pPr>
        <w:spacing w:line="360" w:lineRule="auto"/>
        <w:rPr>
          <w:rFonts w:ascii="Arial" w:eastAsia="Arial" w:hAnsi="Arial" w:cs="Arial"/>
          <w:color w:val="000000" w:themeColor="text1"/>
          <w:lang w:val="en-GB"/>
        </w:rPr>
      </w:pPr>
    </w:p>
    <w:p w14:paraId="57A0969C" w14:textId="2054E5B2" w:rsidR="0219EC8F" w:rsidRDefault="552FF72F" w:rsidP="552FF72F">
      <w:pPr>
        <w:spacing w:line="360" w:lineRule="auto"/>
        <w:rPr>
          <w:rFonts w:ascii="Arial" w:eastAsia="Arial" w:hAnsi="Arial" w:cs="Arial"/>
          <w:color w:val="000000" w:themeColor="text1"/>
          <w:lang w:val="en-GB"/>
        </w:rPr>
      </w:pPr>
      <w:r w:rsidRPr="552FF72F">
        <w:rPr>
          <w:rFonts w:ascii="Arial" w:eastAsia="Arial" w:hAnsi="Arial" w:cs="Arial"/>
          <w:color w:val="000000" w:themeColor="text1"/>
          <w:lang w:val="en-GB"/>
        </w:rPr>
        <w:t xml:space="preserve">Roderick, M. and Engel, M. (2001). The Grasshopper and the Ant: Motivational Responses of Low-Achieving Students to High-Stakes Testing. </w:t>
      </w:r>
      <w:r w:rsidRPr="552FF72F">
        <w:rPr>
          <w:rFonts w:ascii="Arial" w:eastAsia="Arial" w:hAnsi="Arial" w:cs="Arial"/>
          <w:i/>
          <w:iCs/>
          <w:color w:val="000000" w:themeColor="text1"/>
          <w:lang w:val="en-GB"/>
        </w:rPr>
        <w:t>Educational Evaluation and Policy Analysis</w:t>
      </w:r>
      <w:r w:rsidRPr="552FF72F">
        <w:rPr>
          <w:rFonts w:ascii="Arial" w:eastAsia="Arial" w:hAnsi="Arial" w:cs="Arial"/>
          <w:color w:val="000000" w:themeColor="text1"/>
          <w:lang w:val="en-GB"/>
        </w:rPr>
        <w:t>, 23(3), pp.197-227.</w:t>
      </w:r>
    </w:p>
    <w:p w14:paraId="03AFCDFD" w14:textId="6A265B26" w:rsidR="0219EC8F" w:rsidRDefault="0219EC8F" w:rsidP="552FF72F">
      <w:pPr>
        <w:spacing w:line="360" w:lineRule="auto"/>
        <w:rPr>
          <w:rFonts w:ascii="Arial" w:eastAsia="Arial" w:hAnsi="Arial" w:cs="Arial"/>
          <w:color w:val="000000" w:themeColor="text1"/>
          <w:lang w:val="en-GB"/>
        </w:rPr>
      </w:pPr>
    </w:p>
    <w:p w14:paraId="7809D69E" w14:textId="351AE766" w:rsidR="0219EC8F" w:rsidRDefault="552FF72F" w:rsidP="552FF72F">
      <w:pPr>
        <w:spacing w:line="360" w:lineRule="auto"/>
        <w:rPr>
          <w:rFonts w:ascii="Arial" w:eastAsia="Arial" w:hAnsi="Arial" w:cs="Arial"/>
          <w:color w:val="000000" w:themeColor="text1"/>
          <w:lang w:val="en-GB"/>
        </w:rPr>
      </w:pPr>
      <w:r w:rsidRPr="552FF72F">
        <w:rPr>
          <w:rFonts w:ascii="Arial" w:eastAsia="Arial" w:hAnsi="Arial" w:cs="Arial"/>
          <w:color w:val="000000" w:themeColor="text1"/>
          <w:lang w:val="en-GB"/>
        </w:rPr>
        <w:t xml:space="preserve">Stigler, J., &amp; Hiebert, J., (1999). </w:t>
      </w:r>
      <w:r w:rsidRPr="552FF72F">
        <w:rPr>
          <w:rFonts w:ascii="Arial" w:eastAsia="Arial" w:hAnsi="Arial" w:cs="Arial"/>
          <w:i/>
          <w:iCs/>
          <w:color w:val="000000" w:themeColor="text1"/>
          <w:lang w:val="en-GB"/>
        </w:rPr>
        <w:t>The teaching gap</w:t>
      </w:r>
      <w:r w:rsidRPr="552FF72F">
        <w:rPr>
          <w:rFonts w:ascii="Arial" w:eastAsia="Arial" w:hAnsi="Arial" w:cs="Arial"/>
          <w:color w:val="000000" w:themeColor="text1"/>
          <w:lang w:val="en-GB"/>
        </w:rPr>
        <w:t>. New York: The Free Press.</w:t>
      </w:r>
      <w:r w:rsidR="0219EC8F">
        <w:br/>
      </w:r>
      <w:r w:rsidRPr="552FF72F">
        <w:rPr>
          <w:rFonts w:ascii="Arial" w:eastAsia="Arial" w:hAnsi="Arial" w:cs="Arial"/>
          <w:color w:val="000000" w:themeColor="text1"/>
          <w:lang w:val="en-GB"/>
        </w:rPr>
        <w:t xml:space="preserve">Tesch, R. (1990). </w:t>
      </w:r>
      <w:r w:rsidRPr="552FF72F">
        <w:rPr>
          <w:rFonts w:ascii="Arial" w:eastAsia="Arial" w:hAnsi="Arial" w:cs="Arial"/>
          <w:i/>
          <w:iCs/>
          <w:color w:val="000000" w:themeColor="text1"/>
          <w:lang w:val="en-GB"/>
        </w:rPr>
        <w:t xml:space="preserve">Qualitative research: Analysis types and software tools. </w:t>
      </w:r>
      <w:r w:rsidRPr="552FF72F">
        <w:rPr>
          <w:rFonts w:ascii="Arial" w:eastAsia="Arial" w:hAnsi="Arial" w:cs="Arial"/>
          <w:color w:val="000000" w:themeColor="text1"/>
          <w:lang w:val="en-GB"/>
        </w:rPr>
        <w:t>New York:</w:t>
      </w:r>
    </w:p>
    <w:p w14:paraId="617CEB03" w14:textId="281F3B20" w:rsidR="0219EC8F" w:rsidRDefault="552FF72F" w:rsidP="552FF72F">
      <w:pPr>
        <w:spacing w:line="360" w:lineRule="auto"/>
        <w:rPr>
          <w:rFonts w:ascii="Arial" w:eastAsia="Arial" w:hAnsi="Arial" w:cs="Arial"/>
          <w:color w:val="000000" w:themeColor="text1"/>
          <w:lang w:val="en-GB"/>
        </w:rPr>
      </w:pPr>
      <w:r w:rsidRPr="552FF72F">
        <w:rPr>
          <w:rFonts w:ascii="Arial" w:eastAsia="Arial" w:hAnsi="Arial" w:cs="Arial"/>
          <w:color w:val="000000" w:themeColor="text1"/>
          <w:lang w:val="en-GB"/>
        </w:rPr>
        <w:t>Falmer.</w:t>
      </w:r>
    </w:p>
    <w:p w14:paraId="387CD8A1" w14:textId="5913EC42" w:rsidR="0219EC8F" w:rsidRDefault="0219EC8F" w:rsidP="552FF72F">
      <w:pPr>
        <w:spacing w:line="360" w:lineRule="auto"/>
        <w:rPr>
          <w:rFonts w:ascii="Arial" w:eastAsia="Arial" w:hAnsi="Arial" w:cs="Arial"/>
          <w:color w:val="000000" w:themeColor="text1"/>
          <w:lang w:val="en-GB"/>
        </w:rPr>
      </w:pPr>
    </w:p>
    <w:p w14:paraId="384E4B4E" w14:textId="5D1B97CC" w:rsidR="0219EC8F" w:rsidRDefault="552FF72F" w:rsidP="552FF72F">
      <w:pPr>
        <w:spacing w:line="360" w:lineRule="auto"/>
        <w:rPr>
          <w:rFonts w:ascii="Arial" w:eastAsia="Arial" w:hAnsi="Arial" w:cs="Arial"/>
          <w:color w:val="000000" w:themeColor="text1"/>
          <w:lang w:val="en-GB"/>
        </w:rPr>
      </w:pPr>
      <w:r w:rsidRPr="552FF72F">
        <w:rPr>
          <w:rFonts w:ascii="Arial" w:eastAsia="Arial" w:hAnsi="Arial" w:cs="Arial"/>
          <w:color w:val="000000" w:themeColor="text1"/>
          <w:lang w:val="en-GB"/>
        </w:rPr>
        <w:t xml:space="preserve">Tassoni, P. Beith, K. Bulman, K. Eldridge, H. (2007) </w:t>
      </w:r>
      <w:r w:rsidRPr="552FF72F">
        <w:rPr>
          <w:rFonts w:ascii="Arial" w:eastAsia="Arial" w:hAnsi="Arial" w:cs="Arial"/>
          <w:i/>
          <w:iCs/>
          <w:color w:val="000000" w:themeColor="text1"/>
          <w:lang w:val="en-GB"/>
        </w:rPr>
        <w:t xml:space="preserve">Childcare and Education Level 3; Third Edition. </w:t>
      </w:r>
      <w:r w:rsidRPr="552FF72F">
        <w:rPr>
          <w:rFonts w:ascii="Arial" w:eastAsia="Arial" w:hAnsi="Arial" w:cs="Arial"/>
          <w:color w:val="000000" w:themeColor="text1"/>
          <w:lang w:val="en-GB"/>
        </w:rPr>
        <w:t>Oxford; Heinemann Educational Publishers.</w:t>
      </w:r>
    </w:p>
    <w:p w14:paraId="15E7FB79" w14:textId="26312326" w:rsidR="0219EC8F" w:rsidRDefault="0219EC8F" w:rsidP="552FF72F">
      <w:pPr>
        <w:spacing w:line="360" w:lineRule="auto"/>
        <w:rPr>
          <w:rFonts w:ascii="Arial" w:eastAsia="Arial" w:hAnsi="Arial" w:cs="Arial"/>
          <w:color w:val="000000" w:themeColor="text1"/>
          <w:lang w:val="en-GB"/>
        </w:rPr>
      </w:pPr>
    </w:p>
    <w:p w14:paraId="3999A13D" w14:textId="51D14846" w:rsidR="0219EC8F" w:rsidRDefault="552FF72F" w:rsidP="552FF72F">
      <w:pPr>
        <w:spacing w:line="360" w:lineRule="auto"/>
        <w:rPr>
          <w:rFonts w:ascii="Arial" w:eastAsia="Arial" w:hAnsi="Arial" w:cs="Arial"/>
          <w:color w:val="000000" w:themeColor="text1"/>
          <w:lang w:val="en-GB"/>
        </w:rPr>
      </w:pPr>
      <w:r w:rsidRPr="552FF72F">
        <w:rPr>
          <w:rFonts w:ascii="Arial" w:eastAsia="Arial" w:hAnsi="Arial" w:cs="Arial"/>
          <w:color w:val="000000" w:themeColor="text1"/>
          <w:lang w:val="en-GB"/>
        </w:rPr>
        <w:t>Taylor, L. &amp; Parsons, J. (2011). Improving Student Engagement. Current Issues in Education,14(1).</w:t>
      </w:r>
    </w:p>
    <w:p w14:paraId="59BCD9EC" w14:textId="2F56CA5B" w:rsidR="0219EC8F" w:rsidRDefault="0219EC8F" w:rsidP="552FF72F">
      <w:pPr>
        <w:spacing w:line="360" w:lineRule="auto"/>
        <w:rPr>
          <w:rFonts w:ascii="Arial" w:eastAsia="Arial" w:hAnsi="Arial" w:cs="Arial"/>
          <w:color w:val="000000" w:themeColor="text1"/>
          <w:lang w:val="en-GB"/>
        </w:rPr>
      </w:pPr>
    </w:p>
    <w:p w14:paraId="1A3FE769" w14:textId="3BA4DC32" w:rsidR="0219EC8F" w:rsidRDefault="552FF72F" w:rsidP="552FF72F">
      <w:pPr>
        <w:spacing w:line="360" w:lineRule="auto"/>
        <w:rPr>
          <w:rFonts w:ascii="Arial" w:eastAsia="Arial" w:hAnsi="Arial" w:cs="Arial"/>
          <w:color w:val="000000" w:themeColor="text1"/>
          <w:lang w:val="en-GB"/>
        </w:rPr>
      </w:pPr>
      <w:r w:rsidRPr="552FF72F">
        <w:rPr>
          <w:rFonts w:ascii="Arial" w:eastAsia="Arial" w:hAnsi="Arial" w:cs="Arial"/>
          <w:color w:val="000000" w:themeColor="text1"/>
          <w:lang w:val="en-GB"/>
        </w:rPr>
        <w:t>Tapscott, D. (1998). Growing up digital: the rise of the Net generation. New York: McGraw-Hill.</w:t>
      </w:r>
    </w:p>
    <w:p w14:paraId="3B983838" w14:textId="14C1664E" w:rsidR="0219EC8F" w:rsidRDefault="0219EC8F" w:rsidP="552FF72F">
      <w:pPr>
        <w:spacing w:line="360" w:lineRule="auto"/>
        <w:rPr>
          <w:rFonts w:ascii="Arial" w:eastAsia="Arial" w:hAnsi="Arial" w:cs="Arial"/>
          <w:color w:val="000000" w:themeColor="text1"/>
          <w:lang w:val="en-GB"/>
        </w:rPr>
      </w:pPr>
    </w:p>
    <w:p w14:paraId="3C9F3069" w14:textId="57029720" w:rsidR="0219EC8F" w:rsidRDefault="552FF72F" w:rsidP="552FF72F">
      <w:pPr>
        <w:spacing w:line="360" w:lineRule="auto"/>
        <w:rPr>
          <w:rFonts w:ascii="Arial" w:eastAsia="Arial" w:hAnsi="Arial" w:cs="Arial"/>
          <w:color w:val="000000" w:themeColor="text1"/>
          <w:lang w:val="en-GB"/>
        </w:rPr>
      </w:pPr>
      <w:r w:rsidRPr="552FF72F">
        <w:rPr>
          <w:rFonts w:ascii="Arial" w:eastAsia="Arial" w:hAnsi="Arial" w:cs="Arial"/>
          <w:color w:val="000000" w:themeColor="text1"/>
          <w:lang w:val="en-GB"/>
        </w:rPr>
        <w:t xml:space="preserve">Welsh Government (2011) </w:t>
      </w:r>
      <w:r w:rsidRPr="552FF72F">
        <w:rPr>
          <w:rFonts w:ascii="Arial" w:eastAsia="Arial" w:hAnsi="Arial" w:cs="Arial"/>
          <w:i/>
          <w:iCs/>
          <w:color w:val="000000" w:themeColor="text1"/>
          <w:lang w:val="en-GB"/>
        </w:rPr>
        <w:t>Foundation Phase statutory assessment and reporting arrangements</w:t>
      </w:r>
      <w:r w:rsidRPr="552FF72F">
        <w:rPr>
          <w:rFonts w:ascii="Arial" w:eastAsia="Arial" w:hAnsi="Arial" w:cs="Arial"/>
          <w:color w:val="000000" w:themeColor="text1"/>
          <w:lang w:val="en-GB"/>
        </w:rPr>
        <w:t xml:space="preserve"> [Online].</w:t>
      </w:r>
    </w:p>
    <w:p w14:paraId="0060D786" w14:textId="4A51DE96" w:rsidR="0219EC8F" w:rsidRDefault="0219EC8F" w:rsidP="552FF72F">
      <w:pPr>
        <w:spacing w:line="360" w:lineRule="auto"/>
        <w:rPr>
          <w:rFonts w:ascii="Arial" w:eastAsia="Arial" w:hAnsi="Arial" w:cs="Arial"/>
          <w:color w:val="000000" w:themeColor="text1"/>
          <w:lang w:val="en-GB"/>
        </w:rPr>
      </w:pPr>
    </w:p>
    <w:p w14:paraId="46489373" w14:textId="5BB5322C" w:rsidR="0219EC8F" w:rsidRDefault="552FF72F" w:rsidP="552FF72F">
      <w:pPr>
        <w:spacing w:line="360" w:lineRule="auto"/>
        <w:rPr>
          <w:rFonts w:ascii="Arial" w:eastAsia="Arial" w:hAnsi="Arial" w:cs="Arial"/>
          <w:color w:val="000000" w:themeColor="text1"/>
          <w:lang w:val="en-GB"/>
        </w:rPr>
      </w:pPr>
      <w:r w:rsidRPr="552FF72F">
        <w:rPr>
          <w:rFonts w:ascii="Arial" w:eastAsia="Arial" w:hAnsi="Arial" w:cs="Arial"/>
          <w:color w:val="000000" w:themeColor="text1"/>
          <w:lang w:val="en-GB"/>
        </w:rPr>
        <w:t>Webb, N. M. (2013). Information processing approaches to collaborative learning. In C. E. Hmelo-Silver (Ed.), The international handbook of collaborative learning (pp. 19–40). New York, NY: Routledge.</w:t>
      </w:r>
    </w:p>
    <w:p w14:paraId="4F5AC519" w14:textId="65056FE4" w:rsidR="3DA10453" w:rsidRDefault="3DA10453" w:rsidP="552FF72F">
      <w:pPr>
        <w:spacing w:line="360" w:lineRule="auto"/>
        <w:rPr>
          <w:rFonts w:ascii="Arial" w:eastAsia="Arial" w:hAnsi="Arial" w:cs="Arial"/>
          <w:color w:val="000000" w:themeColor="text1"/>
          <w:lang w:val="en-GB"/>
        </w:rPr>
      </w:pPr>
    </w:p>
    <w:p w14:paraId="323B2B09" w14:textId="65EC1311" w:rsidR="3DA10453" w:rsidRDefault="552FF72F" w:rsidP="552FF72F">
      <w:pPr>
        <w:spacing w:line="360" w:lineRule="auto"/>
        <w:rPr>
          <w:rFonts w:ascii="Arial" w:eastAsia="Arial" w:hAnsi="Arial" w:cs="Arial"/>
          <w:color w:val="000000" w:themeColor="text1"/>
          <w:lang w:val="en-GB"/>
        </w:rPr>
      </w:pPr>
      <w:r w:rsidRPr="552FF72F">
        <w:rPr>
          <w:rFonts w:ascii="Arial" w:eastAsia="Arial" w:hAnsi="Arial" w:cs="Arial"/>
          <w:color w:val="000000" w:themeColor="text1"/>
          <w:lang w:val="en-GB"/>
        </w:rPr>
        <w:t>Wiliam, D &amp; Leahy, S. (2007). From teachers to schools: Scaling up professional development for formative assessment. 10.4135/9781446250808.n4.</w:t>
      </w:r>
    </w:p>
    <w:p w14:paraId="3DEADFDA" w14:textId="3ACCED5B" w:rsidR="3DA10453" w:rsidRDefault="3DA10453" w:rsidP="552FF72F">
      <w:pPr>
        <w:spacing w:line="360" w:lineRule="auto"/>
        <w:rPr>
          <w:rFonts w:ascii="Arial" w:eastAsia="Arial" w:hAnsi="Arial" w:cs="Arial"/>
          <w:color w:val="000000" w:themeColor="text1"/>
          <w:lang w:val="en-GB"/>
        </w:rPr>
      </w:pPr>
    </w:p>
    <w:p w14:paraId="3EEE5EF2" w14:textId="6222945F" w:rsidR="3DA10453" w:rsidRDefault="552FF72F" w:rsidP="552FF72F">
      <w:pPr>
        <w:spacing w:line="360" w:lineRule="auto"/>
        <w:rPr>
          <w:rFonts w:ascii="Arial" w:eastAsia="Arial" w:hAnsi="Arial" w:cs="Arial"/>
          <w:color w:val="000000" w:themeColor="text1"/>
          <w:lang w:val="en-GB"/>
        </w:rPr>
      </w:pPr>
      <w:r w:rsidRPr="552FF72F">
        <w:rPr>
          <w:rFonts w:ascii="Arial" w:eastAsia="Arial" w:hAnsi="Arial" w:cs="Arial"/>
          <w:color w:val="000000" w:themeColor="text1"/>
          <w:lang w:val="en-GB"/>
        </w:rPr>
        <w:t>Wilson, E (2009) School-based Research: A guide for education students. London: SAGE Publications.</w:t>
      </w:r>
    </w:p>
    <w:p w14:paraId="15DA8604" w14:textId="75588CD7" w:rsidR="3DA10453" w:rsidRDefault="3DA10453" w:rsidP="552FF72F">
      <w:pPr>
        <w:spacing w:line="360" w:lineRule="auto"/>
        <w:rPr>
          <w:rFonts w:ascii="Arial" w:eastAsia="Arial" w:hAnsi="Arial" w:cs="Arial"/>
          <w:color w:val="000000" w:themeColor="text1"/>
          <w:lang w:val="en-GB"/>
        </w:rPr>
      </w:pPr>
    </w:p>
    <w:p w14:paraId="56A139F3" w14:textId="5D7F3D9D" w:rsidR="3DA10453" w:rsidRDefault="552FF72F" w:rsidP="552FF72F">
      <w:pPr>
        <w:spacing w:line="360" w:lineRule="auto"/>
        <w:rPr>
          <w:rFonts w:ascii="Arial" w:eastAsia="Arial" w:hAnsi="Arial" w:cs="Arial"/>
          <w:color w:val="000000" w:themeColor="text1"/>
          <w:lang w:val="en-GB"/>
        </w:rPr>
      </w:pPr>
      <w:r w:rsidRPr="552FF72F">
        <w:rPr>
          <w:rFonts w:ascii="Arial" w:eastAsia="Arial" w:hAnsi="Arial" w:cs="Arial"/>
          <w:color w:val="000000" w:themeColor="text1"/>
          <w:lang w:val="en-GB"/>
        </w:rPr>
        <w:t>Willms, J. D. (2003). Student Engagement at School: A Sense of Belonging and Participation.Results from PISA 2000. Paris: Organization for Economic Co-operation and Development (OECD).</w:t>
      </w:r>
    </w:p>
    <w:p w14:paraId="20C9B227" w14:textId="536F23ED" w:rsidR="3DA10453" w:rsidRDefault="3DA10453" w:rsidP="3DA10453">
      <w:pPr>
        <w:rPr>
          <w:rFonts w:ascii="Arial" w:eastAsia="Arial" w:hAnsi="Arial" w:cs="Arial"/>
          <w:lang w:val="en-GB"/>
        </w:rPr>
      </w:pPr>
    </w:p>
    <w:p w14:paraId="0A9370A2" w14:textId="76099368" w:rsidR="0219EC8F" w:rsidRDefault="0219EC8F" w:rsidP="1A7A1CA6">
      <w:pPr>
        <w:rPr>
          <w:rFonts w:ascii="Arial" w:eastAsia="Arial" w:hAnsi="Arial" w:cs="Arial"/>
          <w:lang w:val="en-GB"/>
        </w:rPr>
      </w:pPr>
    </w:p>
    <w:p w14:paraId="3B1A83F9" w14:textId="4662389A" w:rsidR="3FA84974" w:rsidRDefault="3FA84974" w:rsidP="3FA84974">
      <w:pPr>
        <w:rPr>
          <w:rFonts w:ascii="Arial" w:eastAsia="Arial" w:hAnsi="Arial" w:cs="Arial"/>
          <w:lang w:val="en-GB"/>
        </w:rPr>
      </w:pPr>
    </w:p>
    <w:p w14:paraId="75BCFC30" w14:textId="6AE3EF0B" w:rsidR="621E6EFA" w:rsidRDefault="621E6EFA" w:rsidP="3DA10453">
      <w:pPr>
        <w:rPr>
          <w:rFonts w:ascii="Arial" w:eastAsia="Arial" w:hAnsi="Arial" w:cs="Arial"/>
          <w:lang w:val="en-GB"/>
        </w:rPr>
      </w:pPr>
    </w:p>
    <w:p w14:paraId="0ECF8683" w14:textId="11A24A67" w:rsidR="621E6EFA" w:rsidRDefault="621E6EFA" w:rsidP="3DA10453">
      <w:pPr>
        <w:rPr>
          <w:rFonts w:ascii="-webkit-standard" w:eastAsia="-webkit-standard" w:hAnsi="-webkit-standard" w:cs="-webkit-standard"/>
          <w:sz w:val="18"/>
          <w:szCs w:val="18"/>
          <w:lang w:val="en-GB"/>
        </w:rPr>
      </w:pPr>
    </w:p>
    <w:p w14:paraId="1190ECA7" w14:textId="02825092" w:rsidR="0219EC8F" w:rsidRDefault="0219EC8F" w:rsidP="3DA10453">
      <w:pPr>
        <w:rPr>
          <w:rFonts w:ascii="Arial" w:eastAsia="Arial" w:hAnsi="Arial" w:cs="Arial"/>
          <w:color w:val="0433FF"/>
          <w:sz w:val="18"/>
          <w:szCs w:val="18"/>
          <w:lang w:val="en-GB"/>
        </w:rPr>
      </w:pPr>
    </w:p>
    <w:p w14:paraId="276C81EA" w14:textId="7A9D5404" w:rsidR="0219EC8F" w:rsidRDefault="0219EC8F" w:rsidP="0219EC8F">
      <w:pPr>
        <w:rPr>
          <w:rFonts w:ascii="Arial" w:eastAsia="Arial" w:hAnsi="Arial" w:cs="Arial"/>
          <w:lang w:val="en-GB"/>
        </w:rPr>
      </w:pPr>
    </w:p>
    <w:p w14:paraId="6EFDA18B" w14:textId="5473A649" w:rsidR="0219EC8F" w:rsidRDefault="0219EC8F" w:rsidP="0219EC8F">
      <w:pPr>
        <w:rPr>
          <w:rFonts w:ascii="Arial" w:eastAsia="Arial" w:hAnsi="Arial" w:cs="Arial"/>
          <w:lang w:val="en-GB"/>
        </w:rPr>
      </w:pPr>
    </w:p>
    <w:p w14:paraId="60687C3A" w14:textId="269905EC" w:rsidR="0219EC8F" w:rsidRDefault="0219EC8F" w:rsidP="0219EC8F">
      <w:pPr>
        <w:rPr>
          <w:rFonts w:ascii="Arial" w:eastAsia="Arial" w:hAnsi="Arial" w:cs="Arial"/>
          <w:lang w:val="en-GB"/>
        </w:rPr>
      </w:pPr>
    </w:p>
    <w:p w14:paraId="23EF1511" w14:textId="1C46B52A" w:rsidR="0219EC8F" w:rsidRDefault="0219EC8F" w:rsidP="0219EC8F">
      <w:pPr>
        <w:rPr>
          <w:rFonts w:ascii="Arial" w:eastAsia="Arial" w:hAnsi="Arial" w:cs="Arial"/>
          <w:lang w:val="en-GB"/>
        </w:rPr>
      </w:pPr>
    </w:p>
    <w:p w14:paraId="4532C6F4" w14:textId="3F9B8D55" w:rsidR="0219EC8F" w:rsidRDefault="0219EC8F" w:rsidP="0219EC8F">
      <w:pPr>
        <w:spacing w:line="360" w:lineRule="auto"/>
        <w:rPr>
          <w:rFonts w:ascii="Arial" w:hAnsi="Arial" w:cs="Arial"/>
          <w:b/>
          <w:bCs/>
          <w:lang w:val="en-GB"/>
        </w:rPr>
      </w:pPr>
    </w:p>
    <w:p w14:paraId="79453E05" w14:textId="1414AF52" w:rsidR="0219EC8F" w:rsidRDefault="0219EC8F" w:rsidP="0219EC8F">
      <w:pPr>
        <w:spacing w:line="360" w:lineRule="auto"/>
        <w:rPr>
          <w:rFonts w:ascii="Arial" w:hAnsi="Arial" w:cs="Arial"/>
          <w:lang w:val="en-GB"/>
        </w:rPr>
      </w:pPr>
    </w:p>
    <w:p w14:paraId="16EC448B" w14:textId="77777777" w:rsidR="0055109D" w:rsidRDefault="0055109D" w:rsidP="0055109D">
      <w:pPr>
        <w:spacing w:line="360" w:lineRule="auto"/>
        <w:rPr>
          <w:rFonts w:ascii="Arial" w:hAnsi="Arial" w:cs="Arial"/>
          <w:lang w:val="en-GB"/>
        </w:rPr>
      </w:pPr>
      <w:r>
        <w:rPr>
          <w:rFonts w:ascii="Arial" w:hAnsi="Arial" w:cs="Arial"/>
          <w:lang w:val="en-GB"/>
        </w:rPr>
        <w:t xml:space="preserve"> </w:t>
      </w:r>
    </w:p>
    <w:p w14:paraId="010E403F" w14:textId="77777777" w:rsidR="0055109D" w:rsidRDefault="0055109D">
      <w:pPr>
        <w:rPr>
          <w:rFonts w:ascii="Arial" w:hAnsi="Arial" w:cs="Arial"/>
          <w:lang w:val="en-GB"/>
        </w:rPr>
      </w:pPr>
    </w:p>
    <w:p w14:paraId="1AC369C3" w14:textId="77777777" w:rsidR="0055109D" w:rsidRPr="00320600" w:rsidRDefault="0055109D">
      <w:pPr>
        <w:rPr>
          <w:rFonts w:ascii="Arial" w:hAnsi="Arial" w:cs="Arial"/>
          <w:lang w:val="en-GB"/>
        </w:rPr>
      </w:pPr>
    </w:p>
    <w:sectPr w:rsidR="0055109D" w:rsidRPr="00320600" w:rsidSect="008C1D25">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webkit-standard">
    <w:altName w:val="Times New Roman"/>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6C03383"/>
    <w:multiLevelType w:val="hybridMultilevel"/>
    <w:tmpl w:val="CF767E64"/>
    <w:lvl w:ilvl="0" w:tplc="2F228E3A">
      <w:start w:val="1"/>
      <w:numFmt w:val="bullet"/>
      <w:lvlText w:val=""/>
      <w:lvlJc w:val="left"/>
      <w:pPr>
        <w:ind w:left="720" w:hanging="360"/>
      </w:pPr>
      <w:rPr>
        <w:rFonts w:ascii="Symbol" w:hAnsi="Symbol" w:hint="default"/>
      </w:rPr>
    </w:lvl>
    <w:lvl w:ilvl="1" w:tplc="BB6A6A12">
      <w:start w:val="1"/>
      <w:numFmt w:val="bullet"/>
      <w:lvlText w:val="o"/>
      <w:lvlJc w:val="left"/>
      <w:pPr>
        <w:ind w:left="1440" w:hanging="360"/>
      </w:pPr>
      <w:rPr>
        <w:rFonts w:ascii="Courier New" w:hAnsi="Courier New" w:hint="default"/>
      </w:rPr>
    </w:lvl>
    <w:lvl w:ilvl="2" w:tplc="A5925A16">
      <w:start w:val="1"/>
      <w:numFmt w:val="bullet"/>
      <w:lvlText w:val=""/>
      <w:lvlJc w:val="left"/>
      <w:pPr>
        <w:ind w:left="2160" w:hanging="360"/>
      </w:pPr>
      <w:rPr>
        <w:rFonts w:ascii="Wingdings" w:hAnsi="Wingdings" w:hint="default"/>
      </w:rPr>
    </w:lvl>
    <w:lvl w:ilvl="3" w:tplc="6AB29822">
      <w:start w:val="1"/>
      <w:numFmt w:val="bullet"/>
      <w:lvlText w:val=""/>
      <w:lvlJc w:val="left"/>
      <w:pPr>
        <w:ind w:left="2880" w:hanging="360"/>
      </w:pPr>
      <w:rPr>
        <w:rFonts w:ascii="Symbol" w:hAnsi="Symbol" w:hint="default"/>
      </w:rPr>
    </w:lvl>
    <w:lvl w:ilvl="4" w:tplc="EE1686F6">
      <w:start w:val="1"/>
      <w:numFmt w:val="bullet"/>
      <w:lvlText w:val="o"/>
      <w:lvlJc w:val="left"/>
      <w:pPr>
        <w:ind w:left="3600" w:hanging="360"/>
      </w:pPr>
      <w:rPr>
        <w:rFonts w:ascii="Courier New" w:hAnsi="Courier New" w:hint="default"/>
      </w:rPr>
    </w:lvl>
    <w:lvl w:ilvl="5" w:tplc="F6DC1CB0">
      <w:start w:val="1"/>
      <w:numFmt w:val="bullet"/>
      <w:lvlText w:val=""/>
      <w:lvlJc w:val="left"/>
      <w:pPr>
        <w:ind w:left="4320" w:hanging="360"/>
      </w:pPr>
      <w:rPr>
        <w:rFonts w:ascii="Wingdings" w:hAnsi="Wingdings" w:hint="default"/>
      </w:rPr>
    </w:lvl>
    <w:lvl w:ilvl="6" w:tplc="CE0C224A">
      <w:start w:val="1"/>
      <w:numFmt w:val="bullet"/>
      <w:lvlText w:val=""/>
      <w:lvlJc w:val="left"/>
      <w:pPr>
        <w:ind w:left="5040" w:hanging="360"/>
      </w:pPr>
      <w:rPr>
        <w:rFonts w:ascii="Symbol" w:hAnsi="Symbol" w:hint="default"/>
      </w:rPr>
    </w:lvl>
    <w:lvl w:ilvl="7" w:tplc="FB269874">
      <w:start w:val="1"/>
      <w:numFmt w:val="bullet"/>
      <w:lvlText w:val="o"/>
      <w:lvlJc w:val="left"/>
      <w:pPr>
        <w:ind w:left="5760" w:hanging="360"/>
      </w:pPr>
      <w:rPr>
        <w:rFonts w:ascii="Courier New" w:hAnsi="Courier New" w:hint="default"/>
      </w:rPr>
    </w:lvl>
    <w:lvl w:ilvl="8" w:tplc="340E494C">
      <w:start w:val="1"/>
      <w:numFmt w:val="bullet"/>
      <w:lvlText w:val=""/>
      <w:lvlJc w:val="left"/>
      <w:pPr>
        <w:ind w:left="6480" w:hanging="360"/>
      </w:pPr>
      <w:rPr>
        <w:rFonts w:ascii="Wingdings" w:hAnsi="Wingdings" w:hint="default"/>
      </w:rPr>
    </w:lvl>
  </w:abstractNum>
  <w:abstractNum w:abstractNumId="1">
    <w:nsid w:val="0EFC7C40"/>
    <w:multiLevelType w:val="hybridMultilevel"/>
    <w:tmpl w:val="D1342FF4"/>
    <w:lvl w:ilvl="0" w:tplc="191CABFA">
      <w:start w:val="1"/>
      <w:numFmt w:val="bullet"/>
      <w:lvlText w:val=""/>
      <w:lvlJc w:val="left"/>
      <w:pPr>
        <w:ind w:left="720" w:hanging="360"/>
      </w:pPr>
      <w:rPr>
        <w:rFonts w:ascii="Symbol" w:hAnsi="Symbol" w:hint="default"/>
      </w:rPr>
    </w:lvl>
    <w:lvl w:ilvl="1" w:tplc="49ACAA8C">
      <w:start w:val="1"/>
      <w:numFmt w:val="bullet"/>
      <w:lvlText w:val="o"/>
      <w:lvlJc w:val="left"/>
      <w:pPr>
        <w:ind w:left="1440" w:hanging="360"/>
      </w:pPr>
      <w:rPr>
        <w:rFonts w:ascii="Courier New" w:hAnsi="Courier New" w:hint="default"/>
      </w:rPr>
    </w:lvl>
    <w:lvl w:ilvl="2" w:tplc="61DE15B0">
      <w:start w:val="1"/>
      <w:numFmt w:val="bullet"/>
      <w:lvlText w:val=""/>
      <w:lvlJc w:val="left"/>
      <w:pPr>
        <w:ind w:left="2160" w:hanging="360"/>
      </w:pPr>
      <w:rPr>
        <w:rFonts w:ascii="Wingdings" w:hAnsi="Wingdings" w:hint="default"/>
      </w:rPr>
    </w:lvl>
    <w:lvl w:ilvl="3" w:tplc="555AD22E">
      <w:start w:val="1"/>
      <w:numFmt w:val="bullet"/>
      <w:lvlText w:val=""/>
      <w:lvlJc w:val="left"/>
      <w:pPr>
        <w:ind w:left="2880" w:hanging="360"/>
      </w:pPr>
      <w:rPr>
        <w:rFonts w:ascii="Symbol" w:hAnsi="Symbol" w:hint="default"/>
      </w:rPr>
    </w:lvl>
    <w:lvl w:ilvl="4" w:tplc="C29A31C8">
      <w:start w:val="1"/>
      <w:numFmt w:val="bullet"/>
      <w:lvlText w:val="o"/>
      <w:lvlJc w:val="left"/>
      <w:pPr>
        <w:ind w:left="3600" w:hanging="360"/>
      </w:pPr>
      <w:rPr>
        <w:rFonts w:ascii="Courier New" w:hAnsi="Courier New" w:hint="default"/>
      </w:rPr>
    </w:lvl>
    <w:lvl w:ilvl="5" w:tplc="0AC21FE8">
      <w:start w:val="1"/>
      <w:numFmt w:val="bullet"/>
      <w:lvlText w:val=""/>
      <w:lvlJc w:val="left"/>
      <w:pPr>
        <w:ind w:left="4320" w:hanging="360"/>
      </w:pPr>
      <w:rPr>
        <w:rFonts w:ascii="Wingdings" w:hAnsi="Wingdings" w:hint="default"/>
      </w:rPr>
    </w:lvl>
    <w:lvl w:ilvl="6" w:tplc="80ACC5DA">
      <w:start w:val="1"/>
      <w:numFmt w:val="bullet"/>
      <w:lvlText w:val=""/>
      <w:lvlJc w:val="left"/>
      <w:pPr>
        <w:ind w:left="5040" w:hanging="360"/>
      </w:pPr>
      <w:rPr>
        <w:rFonts w:ascii="Symbol" w:hAnsi="Symbol" w:hint="default"/>
      </w:rPr>
    </w:lvl>
    <w:lvl w:ilvl="7" w:tplc="C610043A">
      <w:start w:val="1"/>
      <w:numFmt w:val="bullet"/>
      <w:lvlText w:val="o"/>
      <w:lvlJc w:val="left"/>
      <w:pPr>
        <w:ind w:left="5760" w:hanging="360"/>
      </w:pPr>
      <w:rPr>
        <w:rFonts w:ascii="Courier New" w:hAnsi="Courier New" w:hint="default"/>
      </w:rPr>
    </w:lvl>
    <w:lvl w:ilvl="8" w:tplc="8A50BE3C">
      <w:start w:val="1"/>
      <w:numFmt w:val="bullet"/>
      <w:lvlText w:val=""/>
      <w:lvlJc w:val="left"/>
      <w:pPr>
        <w:ind w:left="6480" w:hanging="360"/>
      </w:pPr>
      <w:rPr>
        <w:rFonts w:ascii="Wingdings" w:hAnsi="Wingdings" w:hint="default"/>
      </w:rPr>
    </w:lvl>
  </w:abstractNum>
  <w:abstractNum w:abstractNumId="2">
    <w:nsid w:val="4BAF4AD2"/>
    <w:multiLevelType w:val="hybridMultilevel"/>
    <w:tmpl w:val="5010DD44"/>
    <w:lvl w:ilvl="0" w:tplc="FD64721E">
      <w:start w:val="1"/>
      <w:numFmt w:val="bullet"/>
      <w:lvlText w:val=""/>
      <w:lvlJc w:val="left"/>
      <w:pPr>
        <w:ind w:left="720" w:hanging="360"/>
      </w:pPr>
      <w:rPr>
        <w:rFonts w:ascii="Symbol" w:hAnsi="Symbol" w:hint="default"/>
      </w:rPr>
    </w:lvl>
    <w:lvl w:ilvl="1" w:tplc="8300044E">
      <w:start w:val="1"/>
      <w:numFmt w:val="bullet"/>
      <w:lvlText w:val="o"/>
      <w:lvlJc w:val="left"/>
      <w:pPr>
        <w:ind w:left="1440" w:hanging="360"/>
      </w:pPr>
      <w:rPr>
        <w:rFonts w:ascii="Courier New" w:hAnsi="Courier New" w:hint="default"/>
      </w:rPr>
    </w:lvl>
    <w:lvl w:ilvl="2" w:tplc="647C4F64">
      <w:start w:val="1"/>
      <w:numFmt w:val="bullet"/>
      <w:lvlText w:val=""/>
      <w:lvlJc w:val="left"/>
      <w:pPr>
        <w:ind w:left="2160" w:hanging="360"/>
      </w:pPr>
      <w:rPr>
        <w:rFonts w:ascii="Wingdings" w:hAnsi="Wingdings" w:hint="default"/>
      </w:rPr>
    </w:lvl>
    <w:lvl w:ilvl="3" w:tplc="3D7886E4">
      <w:start w:val="1"/>
      <w:numFmt w:val="bullet"/>
      <w:lvlText w:val=""/>
      <w:lvlJc w:val="left"/>
      <w:pPr>
        <w:ind w:left="2880" w:hanging="360"/>
      </w:pPr>
      <w:rPr>
        <w:rFonts w:ascii="Symbol" w:hAnsi="Symbol" w:hint="default"/>
      </w:rPr>
    </w:lvl>
    <w:lvl w:ilvl="4" w:tplc="5BD43E16">
      <w:start w:val="1"/>
      <w:numFmt w:val="bullet"/>
      <w:lvlText w:val="o"/>
      <w:lvlJc w:val="left"/>
      <w:pPr>
        <w:ind w:left="3600" w:hanging="360"/>
      </w:pPr>
      <w:rPr>
        <w:rFonts w:ascii="Courier New" w:hAnsi="Courier New" w:hint="default"/>
      </w:rPr>
    </w:lvl>
    <w:lvl w:ilvl="5" w:tplc="49103A44">
      <w:start w:val="1"/>
      <w:numFmt w:val="bullet"/>
      <w:lvlText w:val=""/>
      <w:lvlJc w:val="left"/>
      <w:pPr>
        <w:ind w:left="4320" w:hanging="360"/>
      </w:pPr>
      <w:rPr>
        <w:rFonts w:ascii="Wingdings" w:hAnsi="Wingdings" w:hint="default"/>
      </w:rPr>
    </w:lvl>
    <w:lvl w:ilvl="6" w:tplc="B5703DE8">
      <w:start w:val="1"/>
      <w:numFmt w:val="bullet"/>
      <w:lvlText w:val=""/>
      <w:lvlJc w:val="left"/>
      <w:pPr>
        <w:ind w:left="5040" w:hanging="360"/>
      </w:pPr>
      <w:rPr>
        <w:rFonts w:ascii="Symbol" w:hAnsi="Symbol" w:hint="default"/>
      </w:rPr>
    </w:lvl>
    <w:lvl w:ilvl="7" w:tplc="7F86AAF8">
      <w:start w:val="1"/>
      <w:numFmt w:val="bullet"/>
      <w:lvlText w:val="o"/>
      <w:lvlJc w:val="left"/>
      <w:pPr>
        <w:ind w:left="5760" w:hanging="360"/>
      </w:pPr>
      <w:rPr>
        <w:rFonts w:ascii="Courier New" w:hAnsi="Courier New" w:hint="default"/>
      </w:rPr>
    </w:lvl>
    <w:lvl w:ilvl="8" w:tplc="932A27BE">
      <w:start w:val="1"/>
      <w:numFmt w:val="bullet"/>
      <w:lvlText w:val=""/>
      <w:lvlJc w:val="left"/>
      <w:pPr>
        <w:ind w:left="6480" w:hanging="360"/>
      </w:pPr>
      <w:rPr>
        <w:rFonts w:ascii="Wingdings" w:hAnsi="Wingdings" w:hint="default"/>
      </w:rPr>
    </w:lvl>
  </w:abstractNum>
  <w:abstractNum w:abstractNumId="3">
    <w:nsid w:val="5AFB1D0E"/>
    <w:multiLevelType w:val="hybridMultilevel"/>
    <w:tmpl w:val="A9F22926"/>
    <w:lvl w:ilvl="0" w:tplc="007040B0">
      <w:start w:val="1"/>
      <w:numFmt w:val="decimal"/>
      <w:lvlText w:val="%1."/>
      <w:lvlJc w:val="left"/>
      <w:pPr>
        <w:ind w:left="720" w:hanging="360"/>
      </w:pPr>
    </w:lvl>
    <w:lvl w:ilvl="1" w:tplc="201885F2">
      <w:start w:val="1"/>
      <w:numFmt w:val="lowerLetter"/>
      <w:lvlText w:val="%2."/>
      <w:lvlJc w:val="left"/>
      <w:pPr>
        <w:ind w:left="1440" w:hanging="360"/>
      </w:pPr>
    </w:lvl>
    <w:lvl w:ilvl="2" w:tplc="FFE21EF4">
      <w:start w:val="1"/>
      <w:numFmt w:val="lowerRoman"/>
      <w:lvlText w:val="%3."/>
      <w:lvlJc w:val="right"/>
      <w:pPr>
        <w:ind w:left="2160" w:hanging="180"/>
      </w:pPr>
    </w:lvl>
    <w:lvl w:ilvl="3" w:tplc="D0B08304">
      <w:start w:val="1"/>
      <w:numFmt w:val="decimal"/>
      <w:lvlText w:val="%4."/>
      <w:lvlJc w:val="left"/>
      <w:pPr>
        <w:ind w:left="2880" w:hanging="360"/>
      </w:pPr>
    </w:lvl>
    <w:lvl w:ilvl="4" w:tplc="9D8A5AFC">
      <w:start w:val="1"/>
      <w:numFmt w:val="lowerLetter"/>
      <w:lvlText w:val="%5."/>
      <w:lvlJc w:val="left"/>
      <w:pPr>
        <w:ind w:left="3600" w:hanging="360"/>
      </w:pPr>
    </w:lvl>
    <w:lvl w:ilvl="5" w:tplc="EC00529C">
      <w:start w:val="1"/>
      <w:numFmt w:val="lowerRoman"/>
      <w:lvlText w:val="%6."/>
      <w:lvlJc w:val="right"/>
      <w:pPr>
        <w:ind w:left="4320" w:hanging="180"/>
      </w:pPr>
    </w:lvl>
    <w:lvl w:ilvl="6" w:tplc="80DE5E32">
      <w:start w:val="1"/>
      <w:numFmt w:val="decimal"/>
      <w:lvlText w:val="%7."/>
      <w:lvlJc w:val="left"/>
      <w:pPr>
        <w:ind w:left="5040" w:hanging="360"/>
      </w:pPr>
    </w:lvl>
    <w:lvl w:ilvl="7" w:tplc="FF9E0928">
      <w:start w:val="1"/>
      <w:numFmt w:val="lowerLetter"/>
      <w:lvlText w:val="%8."/>
      <w:lvlJc w:val="left"/>
      <w:pPr>
        <w:ind w:left="5760" w:hanging="360"/>
      </w:pPr>
    </w:lvl>
    <w:lvl w:ilvl="8" w:tplc="C1BE3164">
      <w:start w:val="1"/>
      <w:numFmt w:val="lowerRoman"/>
      <w:lvlText w:val="%9."/>
      <w:lvlJc w:val="right"/>
      <w:pPr>
        <w:ind w:left="6480" w:hanging="180"/>
      </w:p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1"/>
  <w:doNotDisplayPageBoundaries/>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96248"/>
    <w:rsid w:val="001F557A"/>
    <w:rsid w:val="002A4C03"/>
    <w:rsid w:val="002B4E71"/>
    <w:rsid w:val="002E5D3F"/>
    <w:rsid w:val="002F1065"/>
    <w:rsid w:val="00320600"/>
    <w:rsid w:val="00360E4A"/>
    <w:rsid w:val="003B4F9B"/>
    <w:rsid w:val="00422C60"/>
    <w:rsid w:val="0055109D"/>
    <w:rsid w:val="00697EA4"/>
    <w:rsid w:val="006A1FB0"/>
    <w:rsid w:val="006D72BC"/>
    <w:rsid w:val="00763DB9"/>
    <w:rsid w:val="00803D85"/>
    <w:rsid w:val="00844767"/>
    <w:rsid w:val="008B4125"/>
    <w:rsid w:val="008B7195"/>
    <w:rsid w:val="008C1D25"/>
    <w:rsid w:val="009924CD"/>
    <w:rsid w:val="00A0765D"/>
    <w:rsid w:val="00C3748D"/>
    <w:rsid w:val="00C96248"/>
    <w:rsid w:val="00DE32E2"/>
    <w:rsid w:val="00ED250E"/>
    <w:rsid w:val="00F04AC1"/>
    <w:rsid w:val="00F124BC"/>
    <w:rsid w:val="00F65C9A"/>
    <w:rsid w:val="0219EC8F"/>
    <w:rsid w:val="1A7A1CA6"/>
    <w:rsid w:val="1CCC419F"/>
    <w:rsid w:val="28239F2E"/>
    <w:rsid w:val="3CB66EB7"/>
    <w:rsid w:val="3DA10453"/>
    <w:rsid w:val="3FA84974"/>
    <w:rsid w:val="552FF72F"/>
    <w:rsid w:val="621E6EFA"/>
    <w:rsid w:val="67A9E1E4"/>
    <w:rsid w:val="6EDC648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747A4852"/>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hyperlink" Target="https://famly.co/blog/management/leuven-scales/" TargetMode="External"/><Relationship Id="rId6" Type="http://schemas.openxmlformats.org/officeDocument/2006/relationships/hyperlink" Target="http://www.cea-ace.ca" TargetMode="External"/><Relationship Id="rId7" Type="http://schemas.openxmlformats.org/officeDocument/2006/relationships/hyperlink" Target="https://scholar.google.com/scholar_lookup?title=The+reliability+of+classroom+observations+by+school+personnel&amp;author=AD+Ho&amp;author=TJ+Kane&amp;publication_year=2013&amp;" TargetMode="External"/><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18</Pages>
  <Words>5689</Words>
  <Characters>32430</Characters>
  <Application>Microsoft Macintosh Word</Application>
  <DocSecurity>0</DocSecurity>
  <Lines>270</Lines>
  <Paragraphs>76</Paragraphs>
  <ScaleCrop>false</ScaleCrop>
  <LinksUpToDate>false</LinksUpToDate>
  <CharactersWithSpaces>38043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O'Brien, Alexandra Louise</dc:creator>
  <cp:keywords/>
  <dc:description/>
  <cp:lastModifiedBy>O'Brien, Alexandra Louise</cp:lastModifiedBy>
  <cp:revision>2</cp:revision>
  <dcterms:created xsi:type="dcterms:W3CDTF">2020-03-01T19:50:00Z</dcterms:created>
  <dcterms:modified xsi:type="dcterms:W3CDTF">2020-03-01T19:50:00Z</dcterms:modified>
</cp:coreProperties>
</file>