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drawing>
          <wp:inline distB="0" distT="0" distL="0" distR="0">
            <wp:extent cx="2028825" cy="70485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28825" cy="7048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color w:val="000000"/>
          <w:sz w:val="48"/>
          <w:szCs w:val="48"/>
        </w:rPr>
      </w:pPr>
      <w:r w:rsidDel="00000000" w:rsidR="00000000" w:rsidRPr="00000000">
        <w:rPr>
          <w:rFonts w:ascii="Times New Roman" w:cs="Times New Roman" w:eastAsia="Times New Roman" w:hAnsi="Times New Roman"/>
          <w:b w:val="1"/>
          <w:color w:val="000000"/>
          <w:sz w:val="48"/>
          <w:szCs w:val="48"/>
          <w:rtl w:val="0"/>
        </w:rPr>
        <w:t xml:space="preserve">GRADUATE CERTIFICATE in Consolidation of Social Work Practice</w:t>
      </w:r>
    </w:p>
    <w:p w:rsidR="00000000" w:rsidDel="00000000" w:rsidP="00000000" w:rsidRDefault="00000000" w:rsidRPr="00000000" w14:paraId="00000004">
      <w:pPr>
        <w:ind w:right="-957"/>
        <w:rPr>
          <w:rFonts w:ascii="Times New Roman" w:cs="Times New Roman" w:eastAsia="Times New Roman" w:hAnsi="Times New Roman"/>
          <w:b w:val="1"/>
          <w:color w:val="000000"/>
          <w:sz w:val="48"/>
          <w:szCs w:val="48"/>
        </w:rPr>
      </w:pPr>
      <w:r w:rsidDel="00000000" w:rsidR="00000000" w:rsidRPr="00000000">
        <w:rPr>
          <w:rFonts w:ascii="Times New Roman" w:cs="Times New Roman" w:eastAsia="Times New Roman" w:hAnsi="Times New Roman"/>
          <w:b w:val="1"/>
          <w:color w:val="000000"/>
          <w:sz w:val="48"/>
          <w:szCs w:val="48"/>
          <w:rtl w:val="0"/>
        </w:rPr>
        <w:t xml:space="preserve">LEVEL 6 - 60 Credits</w:t>
      </w:r>
    </w:p>
    <w:p w:rsidR="00000000" w:rsidDel="00000000" w:rsidP="00000000" w:rsidRDefault="00000000" w:rsidRPr="00000000" w14:paraId="00000005">
      <w:pPr>
        <w:ind w:right="-957"/>
        <w:rPr>
          <w:rFonts w:ascii="Times New Roman" w:cs="Times New Roman" w:eastAsia="Times New Roman" w:hAnsi="Times New Roman"/>
          <w:b w:val="1"/>
          <w:color w:val="000000"/>
          <w:sz w:val="48"/>
          <w:szCs w:val="48"/>
        </w:rPr>
      </w:pPr>
      <w:r w:rsidDel="00000000" w:rsidR="00000000" w:rsidRPr="00000000">
        <w:rPr>
          <w:rFonts w:ascii="Times New Roman" w:cs="Times New Roman" w:eastAsia="Times New Roman" w:hAnsi="Times New Roman"/>
          <w:b w:val="1"/>
          <w:color w:val="000000"/>
          <w:sz w:val="48"/>
          <w:szCs w:val="48"/>
          <w:rtl w:val="0"/>
        </w:rPr>
        <w:t xml:space="preserve">BMPF6044</w:t>
      </w:r>
    </w:p>
    <w:p w:rsidR="00000000" w:rsidDel="00000000" w:rsidP="00000000" w:rsidRDefault="00000000" w:rsidRPr="00000000" w14:paraId="00000006">
      <w:pPr>
        <w:ind w:right="-957"/>
        <w:rPr>
          <w:rFonts w:ascii="Times New Roman" w:cs="Times New Roman" w:eastAsia="Times New Roman" w:hAnsi="Times New Roman"/>
          <w:b w:val="1"/>
          <w:color w:val="000000"/>
          <w:sz w:val="48"/>
          <w:szCs w:val="48"/>
        </w:rPr>
      </w:pPr>
      <w:r w:rsidDel="00000000" w:rsidR="00000000" w:rsidRPr="00000000">
        <w:rPr>
          <w:rtl w:val="0"/>
        </w:rPr>
      </w:r>
    </w:p>
    <w:p w:rsidR="00000000" w:rsidDel="00000000" w:rsidP="00000000" w:rsidRDefault="00000000" w:rsidRPr="00000000" w14:paraId="00000007">
      <w:pPr>
        <w:ind w:right="-957"/>
        <w:rPr>
          <w:rFonts w:ascii="Times New Roman" w:cs="Times New Roman" w:eastAsia="Times New Roman" w:hAnsi="Times New Roman"/>
          <w:b w:val="1"/>
          <w:color w:val="000000"/>
          <w:sz w:val="18"/>
          <w:szCs w:val="18"/>
        </w:rPr>
      </w:pPr>
      <w:r w:rsidDel="00000000" w:rsidR="00000000" w:rsidRPr="00000000">
        <w:rPr>
          <w:rtl w:val="0"/>
        </w:rPr>
      </w:r>
    </w:p>
    <w:p w:rsidR="00000000" w:rsidDel="00000000" w:rsidP="00000000" w:rsidRDefault="00000000" w:rsidRPr="00000000" w14:paraId="00000008">
      <w:pPr>
        <w:ind w:right="-957"/>
        <w:rPr>
          <w:rFonts w:ascii="Times New Roman" w:cs="Times New Roman" w:eastAsia="Times New Roman" w:hAnsi="Times New Roman"/>
          <w:b w:val="1"/>
          <w:color w:val="000000"/>
          <w:sz w:val="48"/>
          <w:szCs w:val="48"/>
        </w:rPr>
      </w:pPr>
      <w:r w:rsidDel="00000000" w:rsidR="00000000" w:rsidRPr="00000000">
        <w:rPr>
          <w:rFonts w:ascii="Times New Roman" w:cs="Times New Roman" w:eastAsia="Times New Roman" w:hAnsi="Times New Roman"/>
          <w:b w:val="1"/>
          <w:color w:val="000000"/>
          <w:sz w:val="48"/>
          <w:szCs w:val="48"/>
          <w:rtl w:val="0"/>
        </w:rPr>
        <w:t xml:space="preserve">LEARNER PORTFOLIO</w:t>
      </w:r>
    </w:p>
    <w:p w:rsidR="00000000" w:rsidDel="00000000" w:rsidP="00000000" w:rsidRDefault="00000000" w:rsidRPr="00000000" w14:paraId="00000009">
      <w:pPr>
        <w:ind w:right="-957"/>
        <w:rPr>
          <w:rFonts w:ascii="Times New Roman" w:cs="Times New Roman" w:eastAsia="Times New Roman" w:hAnsi="Times New Roman"/>
          <w:b w:val="1"/>
          <w:color w:val="000000"/>
          <w:sz w:val="48"/>
          <w:szCs w:val="48"/>
        </w:rPr>
      </w:pPr>
      <w:r w:rsidDel="00000000" w:rsidR="00000000" w:rsidRPr="00000000">
        <w:rPr>
          <w:rFonts w:ascii="Times New Roman" w:cs="Times New Roman" w:eastAsia="Times New Roman" w:hAnsi="Times New Roman"/>
          <w:b w:val="1"/>
          <w:color w:val="000000"/>
          <w:sz w:val="48"/>
          <w:szCs w:val="48"/>
          <w:rtl w:val="0"/>
        </w:rPr>
        <w:t xml:space="preserve">(PORTH AGORED and UNIVERSITY OF WALES TRINITY SAINT DAVID)</w:t>
      </w:r>
    </w:p>
    <w:p w:rsidR="00000000" w:rsidDel="00000000" w:rsidP="00000000" w:rsidRDefault="00000000" w:rsidRPr="00000000" w14:paraId="0000000A">
      <w:pPr>
        <w:ind w:right="-957"/>
        <w:rPr>
          <w:rFonts w:ascii="Times New Roman" w:cs="Times New Roman" w:eastAsia="Times New Roman" w:hAnsi="Times New Roman"/>
          <w:b w:val="1"/>
          <w:color w:val="000000"/>
          <w:sz w:val="14"/>
          <w:szCs w:val="14"/>
        </w:rPr>
      </w:pPr>
      <w:r w:rsidDel="00000000" w:rsidR="00000000" w:rsidRPr="00000000">
        <w:rPr>
          <w:rtl w:val="0"/>
        </w:rPr>
      </w:r>
    </w:p>
    <w:p w:rsidR="00000000" w:rsidDel="00000000" w:rsidP="00000000" w:rsidRDefault="00000000" w:rsidRPr="00000000" w14:paraId="0000000B">
      <w:pPr>
        <w:ind w:right="-957"/>
        <w:rPr>
          <w:rFonts w:ascii="Times New Roman" w:cs="Times New Roman" w:eastAsia="Times New Roman" w:hAnsi="Times New Roman"/>
          <w:b w:val="1"/>
          <w:color w:val="000000"/>
          <w:sz w:val="48"/>
          <w:szCs w:val="48"/>
        </w:rPr>
      </w:pPr>
      <w:r w:rsidDel="00000000" w:rsidR="00000000" w:rsidRPr="00000000">
        <w:rPr>
          <w:rtl w:val="0"/>
        </w:rPr>
      </w:r>
    </w:p>
    <w:tbl>
      <w:tblPr>
        <w:tblStyle w:val="Table1"/>
        <w:tblW w:w="1036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68"/>
        <w:tblGridChange w:id="0">
          <w:tblGrid>
            <w:gridCol w:w="10368"/>
          </w:tblGrid>
        </w:tblGridChange>
      </w:tblGrid>
      <w:tr>
        <w:trPr>
          <w:cantSplit w:val="0"/>
          <w:tblHeader w:val="0"/>
        </w:trPr>
        <w:tc>
          <w:tcPr>
            <w:shd w:fill="auto" w:val="clear"/>
          </w:tcPr>
          <w:p w:rsidR="00000000" w:rsidDel="00000000" w:rsidP="00000000" w:rsidRDefault="00000000" w:rsidRPr="00000000" w14:paraId="0000000C">
            <w:pPr>
              <w:ind w:right="-957"/>
              <w:rPr>
                <w:rFonts w:ascii="Times New Roman" w:cs="Times New Roman" w:eastAsia="Times New Roman" w:hAnsi="Times New Roman"/>
                <w:b w:val="1"/>
                <w:color w:val="000000"/>
                <w:sz w:val="48"/>
                <w:szCs w:val="48"/>
              </w:rPr>
            </w:pPr>
            <w:r w:rsidDel="00000000" w:rsidR="00000000" w:rsidRPr="00000000">
              <w:rPr>
                <w:rFonts w:ascii="Times New Roman" w:cs="Times New Roman" w:eastAsia="Times New Roman" w:hAnsi="Times New Roman"/>
                <w:b w:val="1"/>
                <w:color w:val="000000"/>
                <w:sz w:val="48"/>
                <w:szCs w:val="48"/>
                <w:rtl w:val="0"/>
              </w:rPr>
              <w:t xml:space="preserve">Learner’s name: Zoe Lo</w:t>
            </w:r>
            <w:r w:rsidDel="00000000" w:rsidR="00000000" w:rsidRPr="00000000">
              <w:rPr>
                <w:rFonts w:ascii="Times New Roman" w:cs="Times New Roman" w:eastAsia="Times New Roman" w:hAnsi="Times New Roman"/>
                <w:b w:val="1"/>
                <w:sz w:val="48"/>
                <w:szCs w:val="48"/>
                <w:rtl w:val="0"/>
              </w:rPr>
              <w:t xml:space="preserve">uise Roberts</w:t>
            </w:r>
            <w:r w:rsidDel="00000000" w:rsidR="00000000" w:rsidRPr="00000000">
              <w:rPr>
                <w:rtl w:val="0"/>
              </w:rPr>
            </w:r>
          </w:p>
          <w:p w:rsidR="00000000" w:rsidDel="00000000" w:rsidP="00000000" w:rsidRDefault="00000000" w:rsidRPr="00000000" w14:paraId="0000000D">
            <w:pPr>
              <w:ind w:right="-957"/>
              <w:rPr>
                <w:rFonts w:ascii="Times New Roman" w:cs="Times New Roman" w:eastAsia="Times New Roman" w:hAnsi="Times New Roman"/>
                <w:b w:val="1"/>
                <w:color w:val="000000"/>
                <w:sz w:val="48"/>
                <w:szCs w:val="48"/>
              </w:rPr>
            </w:pPr>
            <w:r w:rsidDel="00000000" w:rsidR="00000000" w:rsidRPr="00000000">
              <w:rPr>
                <w:rtl w:val="0"/>
              </w:rPr>
            </w:r>
          </w:p>
          <w:p w:rsidR="00000000" w:rsidDel="00000000" w:rsidP="00000000" w:rsidRDefault="00000000" w:rsidRPr="00000000" w14:paraId="0000000E">
            <w:pPr>
              <w:ind w:right="-957"/>
              <w:rPr>
                <w:rFonts w:ascii="Times New Roman" w:cs="Times New Roman" w:eastAsia="Times New Roman" w:hAnsi="Times New Roman"/>
                <w:b w:val="1"/>
                <w:color w:val="000000"/>
                <w:sz w:val="48"/>
                <w:szCs w:val="48"/>
              </w:rPr>
            </w:pPr>
            <w:r w:rsidDel="00000000" w:rsidR="00000000" w:rsidRPr="00000000">
              <w:rPr>
                <w:rFonts w:ascii="Times New Roman" w:cs="Times New Roman" w:eastAsia="Times New Roman" w:hAnsi="Times New Roman"/>
                <w:b w:val="1"/>
                <w:color w:val="000000"/>
                <w:sz w:val="48"/>
                <w:szCs w:val="48"/>
                <w:rtl w:val="0"/>
              </w:rPr>
              <w:t xml:space="preserve">Email address: </w:t>
            </w:r>
            <w:r w:rsidDel="00000000" w:rsidR="00000000" w:rsidRPr="00000000">
              <w:rPr>
                <w:rFonts w:ascii="Times New Roman" w:cs="Times New Roman" w:eastAsia="Times New Roman" w:hAnsi="Times New Roman"/>
                <w:b w:val="1"/>
                <w:sz w:val="48"/>
                <w:szCs w:val="48"/>
                <w:rtl w:val="0"/>
              </w:rPr>
              <w:t xml:space="preserve">2236915@student.uwtsd.ac.uk</w:t>
            </w:r>
            <w:r w:rsidDel="00000000" w:rsidR="00000000" w:rsidRPr="00000000">
              <w:rPr>
                <w:rtl w:val="0"/>
              </w:rPr>
            </w:r>
          </w:p>
          <w:p w:rsidR="00000000" w:rsidDel="00000000" w:rsidP="00000000" w:rsidRDefault="00000000" w:rsidRPr="00000000" w14:paraId="0000000F">
            <w:pPr>
              <w:ind w:right="-957"/>
              <w:rPr>
                <w:rFonts w:ascii="Times New Roman" w:cs="Times New Roman" w:eastAsia="Times New Roman" w:hAnsi="Times New Roman"/>
                <w:b w:val="1"/>
                <w:color w:val="000000"/>
                <w:sz w:val="48"/>
                <w:szCs w:val="48"/>
              </w:rPr>
            </w:pPr>
            <w:r w:rsidDel="00000000" w:rsidR="00000000" w:rsidRPr="00000000">
              <w:rPr>
                <w:rtl w:val="0"/>
              </w:rPr>
            </w:r>
          </w:p>
          <w:p w:rsidR="00000000" w:rsidDel="00000000" w:rsidP="00000000" w:rsidRDefault="00000000" w:rsidRPr="00000000" w14:paraId="00000010">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color w:val="000000"/>
                <w:sz w:val="48"/>
                <w:szCs w:val="48"/>
                <w:rtl w:val="0"/>
              </w:rPr>
              <w:t xml:space="preserve">Learner’s University Registration Number: </w:t>
            </w:r>
            <w:r w:rsidDel="00000000" w:rsidR="00000000" w:rsidRPr="00000000">
              <w:rPr>
                <w:rtl w:val="0"/>
              </w:rPr>
            </w:r>
          </w:p>
          <w:p w:rsidR="00000000" w:rsidDel="00000000" w:rsidP="00000000" w:rsidRDefault="00000000" w:rsidRPr="00000000" w14:paraId="00000011">
            <w:pPr>
              <w:ind w:right="-957"/>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2236915</w:t>
            </w:r>
          </w:p>
          <w:p w:rsidR="00000000" w:rsidDel="00000000" w:rsidP="00000000" w:rsidRDefault="00000000" w:rsidRPr="00000000" w14:paraId="00000012">
            <w:pPr>
              <w:ind w:right="-957"/>
              <w:rPr>
                <w:rFonts w:ascii="Times New Roman" w:cs="Times New Roman" w:eastAsia="Times New Roman" w:hAnsi="Times New Roman"/>
                <w:b w:val="1"/>
                <w:color w:val="000000"/>
                <w:sz w:val="48"/>
                <w:szCs w:val="48"/>
              </w:rPr>
            </w:pPr>
            <w:r w:rsidDel="00000000" w:rsidR="00000000" w:rsidRPr="00000000">
              <w:rPr>
                <w:rtl w:val="0"/>
              </w:rPr>
            </w:r>
          </w:p>
          <w:p w:rsidR="00000000" w:rsidDel="00000000" w:rsidP="00000000" w:rsidRDefault="00000000" w:rsidRPr="00000000" w14:paraId="00000013">
            <w:pPr>
              <w:ind w:right="-957"/>
              <w:rPr>
                <w:rFonts w:ascii="Times New Roman" w:cs="Times New Roman" w:eastAsia="Times New Roman" w:hAnsi="Times New Roman"/>
                <w:b w:val="1"/>
                <w:color w:val="000000"/>
                <w:sz w:val="48"/>
                <w:szCs w:val="48"/>
              </w:rPr>
            </w:pPr>
            <w:r w:rsidDel="00000000" w:rsidR="00000000" w:rsidRPr="00000000">
              <w:rPr>
                <w:rFonts w:ascii="Times New Roman" w:cs="Times New Roman" w:eastAsia="Times New Roman" w:hAnsi="Times New Roman"/>
                <w:b w:val="1"/>
                <w:color w:val="000000"/>
                <w:sz w:val="48"/>
                <w:szCs w:val="48"/>
                <w:rtl w:val="0"/>
              </w:rPr>
              <w:t xml:space="preserve">Cohort: 21onwards</w:t>
            </w:r>
          </w:p>
        </w:tc>
      </w:tr>
    </w:tbl>
    <w:p w:rsidR="00000000" w:rsidDel="00000000" w:rsidP="00000000" w:rsidRDefault="00000000" w:rsidRPr="00000000" w14:paraId="00000014">
      <w:pPr>
        <w:ind w:right="-957"/>
        <w:rPr>
          <w:rFonts w:ascii="Times New Roman" w:cs="Times New Roman" w:eastAsia="Times New Roman" w:hAnsi="Times New Roman"/>
          <w:b w:val="1"/>
          <w:color w:val="000000"/>
          <w:sz w:val="48"/>
          <w:szCs w:val="48"/>
        </w:rPr>
      </w:pPr>
      <w:r w:rsidDel="00000000" w:rsidR="00000000" w:rsidRPr="00000000">
        <w:rPr>
          <w:rFonts w:ascii="Times New Roman" w:cs="Times New Roman" w:eastAsia="Times New Roman" w:hAnsi="Times New Roman"/>
          <w:b w:val="1"/>
          <w:color w:val="000000"/>
          <w:sz w:val="48"/>
          <w:szCs w:val="48"/>
          <w:rtl w:val="0"/>
        </w:rPr>
        <w:t xml:space="preserve"> </w:t>
      </w:r>
    </w:p>
    <w:p w:rsidR="00000000" w:rsidDel="00000000" w:rsidP="00000000" w:rsidRDefault="00000000" w:rsidRPr="00000000" w14:paraId="00000015">
      <w:pP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16">
      <w:pPr>
        <w:ind w:right="-957"/>
        <w:rPr>
          <w:rFonts w:ascii="Times New Roman" w:cs="Times New Roman" w:eastAsia="Times New Roman" w:hAnsi="Times New Roman"/>
          <w:b w:val="1"/>
          <w:color w:val="000000"/>
          <w:sz w:val="48"/>
          <w:szCs w:val="48"/>
        </w:rPr>
      </w:pPr>
      <w:r w:rsidDel="00000000" w:rsidR="00000000" w:rsidRPr="00000000">
        <w:rPr>
          <w:rtl w:val="0"/>
        </w:rPr>
      </w:r>
    </w:p>
    <w:p w:rsidR="00000000" w:rsidDel="00000000" w:rsidP="00000000" w:rsidRDefault="00000000" w:rsidRPr="00000000" w14:paraId="00000017">
      <w:pPr>
        <w:jc w:val="cente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8">
      <w:pPr>
        <w:jc w:val="center"/>
        <w:rPr>
          <w:b w:val="1"/>
          <w:sz w:val="28"/>
          <w:szCs w:val="28"/>
        </w:rPr>
      </w:pPr>
      <w:r w:rsidDel="00000000" w:rsidR="00000000" w:rsidRPr="00000000">
        <w:rPr>
          <w:rtl w:val="0"/>
        </w:rPr>
      </w:r>
    </w:p>
    <w:p w:rsidR="00000000" w:rsidDel="00000000" w:rsidP="00000000" w:rsidRDefault="00000000" w:rsidRPr="00000000" w14:paraId="00000019">
      <w:pPr>
        <w:jc w:val="center"/>
        <w:rPr>
          <w:b w:val="1"/>
          <w:sz w:val="24"/>
          <w:szCs w:val="24"/>
        </w:rPr>
      </w:pPr>
      <w:r w:rsidDel="00000000" w:rsidR="00000000" w:rsidRPr="00000000">
        <w:rPr>
          <w:rtl w:val="0"/>
        </w:rPr>
      </w:r>
    </w:p>
    <w:p w:rsidR="00000000" w:rsidDel="00000000" w:rsidP="00000000" w:rsidRDefault="00000000" w:rsidRPr="00000000" w14:paraId="0000001A">
      <w:pPr>
        <w:jc w:val="center"/>
        <w:rPr>
          <w:b w:val="1"/>
          <w:sz w:val="28"/>
          <w:szCs w:val="28"/>
        </w:rPr>
      </w:pPr>
      <w:r w:rsidDel="00000000" w:rsidR="00000000" w:rsidRPr="00000000">
        <w:rPr>
          <w:b w:val="1"/>
          <w:sz w:val="28"/>
          <w:szCs w:val="28"/>
          <w:rtl w:val="0"/>
        </w:rPr>
        <w:t xml:space="preserve">Task 4</w:t>
      </w:r>
    </w:p>
    <w:p w:rsidR="00000000" w:rsidDel="00000000" w:rsidP="00000000" w:rsidRDefault="00000000" w:rsidRPr="00000000" w14:paraId="0000001B">
      <w:pPr>
        <w:jc w:val="center"/>
        <w:rPr>
          <w:b w:val="1"/>
          <w:sz w:val="28"/>
          <w:szCs w:val="28"/>
        </w:rPr>
      </w:pPr>
      <w:r w:rsidDel="00000000" w:rsidR="00000000" w:rsidRPr="00000000">
        <w:rPr>
          <w:rtl w:val="0"/>
        </w:rPr>
      </w:r>
    </w:p>
    <w:p w:rsidR="00000000" w:rsidDel="00000000" w:rsidP="00000000" w:rsidRDefault="00000000" w:rsidRPr="00000000" w14:paraId="0000001C">
      <w:pPr>
        <w:jc w:val="center"/>
        <w:rPr>
          <w:b w:val="1"/>
          <w:sz w:val="28"/>
          <w:szCs w:val="28"/>
        </w:rPr>
      </w:pPr>
      <w:r w:rsidDel="00000000" w:rsidR="00000000" w:rsidRPr="00000000">
        <w:rPr>
          <w:b w:val="1"/>
          <w:sz w:val="28"/>
          <w:szCs w:val="28"/>
          <w:rtl w:val="0"/>
        </w:rPr>
        <w:t xml:space="preserve">Safeguarding in an area which is not your main area of work</w:t>
      </w:r>
    </w:p>
    <w:p w:rsidR="00000000" w:rsidDel="00000000" w:rsidP="00000000" w:rsidRDefault="00000000" w:rsidRPr="00000000" w14:paraId="0000001D">
      <w:pPr>
        <w:jc w:val="both"/>
        <w:rPr>
          <w:b w:val="1"/>
          <w:sz w:val="24"/>
          <w:szCs w:val="24"/>
        </w:rPr>
      </w:pPr>
      <w:r w:rsidDel="00000000" w:rsidR="00000000" w:rsidRPr="00000000">
        <w:rPr>
          <w:rtl w:val="0"/>
        </w:rPr>
      </w:r>
    </w:p>
    <w:p w:rsidR="00000000" w:rsidDel="00000000" w:rsidP="00000000" w:rsidRDefault="00000000" w:rsidRPr="00000000" w14:paraId="0000001E">
      <w:pPr>
        <w:ind w:left="-90" w:firstLine="0"/>
        <w:jc w:val="both"/>
        <w:rPr>
          <w:b w:val="1"/>
          <w:i w:val="1"/>
          <w:sz w:val="24"/>
          <w:szCs w:val="24"/>
        </w:rPr>
      </w:pPr>
      <w:r w:rsidDel="00000000" w:rsidR="00000000" w:rsidRPr="00000000">
        <w:rPr>
          <w:b w:val="1"/>
          <w:i w:val="1"/>
          <w:sz w:val="24"/>
          <w:szCs w:val="24"/>
          <w:rtl w:val="0"/>
        </w:rPr>
        <w:t xml:space="preserve">Guidance: </w:t>
      </w:r>
    </w:p>
    <w:p w:rsidR="00000000" w:rsidDel="00000000" w:rsidP="00000000" w:rsidRDefault="00000000" w:rsidRPr="00000000" w14:paraId="0000001F">
      <w:pPr>
        <w:ind w:left="-90" w:firstLine="0"/>
        <w:jc w:val="both"/>
        <w:rPr>
          <w:i w:val="1"/>
          <w:sz w:val="24"/>
          <w:szCs w:val="24"/>
        </w:rPr>
      </w:pPr>
      <w:r w:rsidDel="00000000" w:rsidR="00000000" w:rsidRPr="00000000">
        <w:rPr>
          <w:i w:val="1"/>
          <w:sz w:val="24"/>
          <w:szCs w:val="24"/>
          <w:rtl w:val="0"/>
        </w:rPr>
        <w:t xml:space="preserve">Social Care Wales require newly qualified social workers to provide evidence of their understanding of safeguarding work with adults and children. The assignment below will enable you to demonstrate this. </w:t>
      </w:r>
      <w:r w:rsidDel="00000000" w:rsidR="00000000" w:rsidRPr="00000000">
        <w:rPr>
          <w:b w:val="1"/>
          <w:i w:val="1"/>
          <w:sz w:val="24"/>
          <w:szCs w:val="24"/>
          <w:rtl w:val="0"/>
        </w:rPr>
        <w:t xml:space="preserve">N.B</w:t>
      </w:r>
      <w:r w:rsidDel="00000000" w:rsidR="00000000" w:rsidRPr="00000000">
        <w:rPr>
          <w:i w:val="1"/>
          <w:sz w:val="24"/>
          <w:szCs w:val="24"/>
          <w:rtl w:val="0"/>
        </w:rPr>
        <w:t xml:space="preserve">. if your usual area of work is with children please write about adult safeguarding. If you usually work with adults, then write about child safeguarding.  Ensure you meet the learning out comes for this task (see appendix 5 of the handbook).</w:t>
      </w:r>
    </w:p>
    <w:p w:rsidR="00000000" w:rsidDel="00000000" w:rsidP="00000000" w:rsidRDefault="00000000" w:rsidRPr="00000000" w14:paraId="00000020">
      <w:pPr>
        <w:ind w:left="360" w:hanging="360"/>
        <w:jc w:val="both"/>
        <w:rPr>
          <w:sz w:val="24"/>
          <w:szCs w:val="24"/>
          <w:u w:val="single"/>
        </w:rPr>
      </w:pPr>
      <w:r w:rsidDel="00000000" w:rsidR="00000000" w:rsidRPr="00000000">
        <w:rPr>
          <w:rtl w:val="0"/>
        </w:rPr>
      </w:r>
    </w:p>
    <w:tbl>
      <w:tblPr>
        <w:tblStyle w:val="Table2"/>
        <w:tblW w:w="100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70"/>
        <w:tblGridChange w:id="0">
          <w:tblGrid>
            <w:gridCol w:w="10070"/>
          </w:tblGrid>
        </w:tblGridChange>
      </w:tblGrid>
      <w:tr>
        <w:trPr>
          <w:cantSplit w:val="0"/>
          <w:tblHeader w:val="0"/>
        </w:trPr>
        <w:tc>
          <w:tcPr>
            <w:shd w:fill="auto" w:val="clear"/>
          </w:tcPr>
          <w:p w:rsidR="00000000" w:rsidDel="00000000" w:rsidP="00000000" w:rsidRDefault="00000000" w:rsidRPr="00000000" w14:paraId="00000021">
            <w:pPr>
              <w:jc w:val="both"/>
              <w:rPr>
                <w:b w:val="1"/>
                <w:sz w:val="24"/>
                <w:szCs w:val="24"/>
              </w:rPr>
            </w:pPr>
            <w:r w:rsidDel="00000000" w:rsidR="00000000" w:rsidRPr="00000000">
              <w:rPr>
                <w:b w:val="1"/>
                <w:sz w:val="24"/>
                <w:szCs w:val="24"/>
                <w:rtl w:val="0"/>
              </w:rPr>
              <w:t xml:space="preserve">Question a:</w:t>
            </w:r>
          </w:p>
          <w:p w:rsidR="00000000" w:rsidDel="00000000" w:rsidP="00000000" w:rsidRDefault="00000000" w:rsidRPr="00000000" w14:paraId="00000022">
            <w:pPr>
              <w:jc w:val="both"/>
              <w:rPr>
                <w:sz w:val="24"/>
                <w:szCs w:val="24"/>
              </w:rPr>
            </w:pPr>
            <w:r w:rsidDel="00000000" w:rsidR="00000000" w:rsidRPr="00000000">
              <w:rPr>
                <w:sz w:val="24"/>
                <w:szCs w:val="24"/>
                <w:rtl w:val="0"/>
              </w:rPr>
              <w:t xml:space="preserve">In an area </w:t>
            </w:r>
            <w:r w:rsidDel="00000000" w:rsidR="00000000" w:rsidRPr="00000000">
              <w:rPr>
                <w:b w:val="1"/>
                <w:sz w:val="24"/>
                <w:szCs w:val="24"/>
                <w:rtl w:val="0"/>
              </w:rPr>
              <w:t xml:space="preserve">that is not your main focus of work </w:t>
            </w:r>
            <w:r w:rsidDel="00000000" w:rsidR="00000000" w:rsidRPr="00000000">
              <w:rPr>
                <w:sz w:val="24"/>
                <w:szCs w:val="24"/>
                <w:rtl w:val="0"/>
              </w:rPr>
              <w:t xml:space="preserve">(see guidance above), explain the relevant legislation, and the national, local and organisational policies and procedures for safeguarding. </w:t>
            </w:r>
          </w:p>
          <w:p w:rsidR="00000000" w:rsidDel="00000000" w:rsidP="00000000" w:rsidRDefault="00000000" w:rsidRPr="00000000" w14:paraId="00000023">
            <w:pPr>
              <w:jc w:val="both"/>
              <w:rPr>
                <w:sz w:val="24"/>
                <w:szCs w:val="24"/>
              </w:rPr>
            </w:pPr>
            <w:r w:rsidDel="00000000" w:rsidR="00000000" w:rsidRPr="00000000">
              <w:rPr>
                <w:rtl w:val="0"/>
              </w:rPr>
            </w:r>
          </w:p>
          <w:p w:rsidR="00000000" w:rsidDel="00000000" w:rsidP="00000000" w:rsidRDefault="00000000" w:rsidRPr="00000000" w14:paraId="00000024">
            <w:pPr>
              <w:spacing w:line="276" w:lineRule="auto"/>
              <w:rPr>
                <w:sz w:val="22"/>
                <w:szCs w:val="22"/>
              </w:rPr>
            </w:pPr>
            <w:r w:rsidDel="00000000" w:rsidR="00000000" w:rsidRPr="00000000">
              <w:rPr>
                <w:rtl w:val="0"/>
              </w:rPr>
            </w:r>
          </w:p>
          <w:p w:rsidR="00000000" w:rsidDel="00000000" w:rsidP="00000000" w:rsidRDefault="00000000" w:rsidRPr="00000000" w14:paraId="00000025">
            <w:pPr>
              <w:spacing w:line="276" w:lineRule="auto"/>
              <w:rPr>
                <w:sz w:val="22"/>
                <w:szCs w:val="22"/>
              </w:rPr>
            </w:pPr>
            <w:r w:rsidDel="00000000" w:rsidR="00000000" w:rsidRPr="00000000">
              <w:rPr>
                <w:sz w:val="22"/>
                <w:szCs w:val="22"/>
                <w:rtl w:val="0"/>
              </w:rPr>
              <w:t xml:space="preserve">Safeguarding vulnerable adults is a paramount concern within the field of social work, safeguarding is a robust framework of a combination of legislation, national policies and local authority procedures to ensure the protection of welfare of individuals facing various challenges. I aim to explain the legislation and policies that promote the safeguarding of adults in social care in Wales. </w:t>
            </w:r>
          </w:p>
          <w:p w:rsidR="00000000" w:rsidDel="00000000" w:rsidP="00000000" w:rsidRDefault="00000000" w:rsidRPr="00000000" w14:paraId="00000026">
            <w:pPr>
              <w:spacing w:line="276" w:lineRule="auto"/>
              <w:rPr>
                <w:sz w:val="22"/>
                <w:szCs w:val="22"/>
              </w:rPr>
            </w:pPr>
            <w:r w:rsidDel="00000000" w:rsidR="00000000" w:rsidRPr="00000000">
              <w:rPr>
                <w:rtl w:val="0"/>
              </w:rPr>
            </w:r>
          </w:p>
          <w:p w:rsidR="00000000" w:rsidDel="00000000" w:rsidP="00000000" w:rsidRDefault="00000000" w:rsidRPr="00000000" w14:paraId="00000027">
            <w:pPr>
              <w:spacing w:line="276" w:lineRule="auto"/>
              <w:rPr>
                <w:sz w:val="22"/>
                <w:szCs w:val="22"/>
              </w:rPr>
            </w:pPr>
            <w:r w:rsidDel="00000000" w:rsidR="00000000" w:rsidRPr="00000000">
              <w:rPr>
                <w:sz w:val="22"/>
                <w:szCs w:val="22"/>
                <w:rtl w:val="0"/>
              </w:rPr>
              <w:t xml:space="preserve">The core principle of legislation of safeguarding adults in Social Work is that every professional has legal obligations and responsibilities for protecting vulnerable adults. The Social Services and Wellbeing Act 2014 stands as the main legislation within the Welsh legislative context. It sets out key principles and duties for professionals when safeguarding adults who are at risk of abuse or neglect. Alongside the Care Act 2014, both legislations place statutory duty on local authorities to ensure the wellbeing of individuals. The laws emphasise the prevention and empowerment in addressing safeguarding concerns. </w:t>
            </w:r>
          </w:p>
          <w:p w:rsidR="00000000" w:rsidDel="00000000" w:rsidP="00000000" w:rsidRDefault="00000000" w:rsidRPr="00000000" w14:paraId="00000028">
            <w:pPr>
              <w:spacing w:line="276" w:lineRule="auto"/>
              <w:rPr>
                <w:sz w:val="22"/>
                <w:szCs w:val="22"/>
              </w:rPr>
            </w:pPr>
            <w:r w:rsidDel="00000000" w:rsidR="00000000" w:rsidRPr="00000000">
              <w:rPr>
                <w:rtl w:val="0"/>
              </w:rPr>
            </w:r>
          </w:p>
          <w:p w:rsidR="00000000" w:rsidDel="00000000" w:rsidP="00000000" w:rsidRDefault="00000000" w:rsidRPr="00000000" w14:paraId="00000029">
            <w:pPr>
              <w:spacing w:line="276" w:lineRule="auto"/>
              <w:rPr>
                <w:sz w:val="22"/>
                <w:szCs w:val="22"/>
              </w:rPr>
            </w:pPr>
            <w:r w:rsidDel="00000000" w:rsidR="00000000" w:rsidRPr="00000000">
              <w:rPr>
                <w:sz w:val="22"/>
                <w:szCs w:val="22"/>
                <w:rtl w:val="0"/>
              </w:rPr>
              <w:t xml:space="preserve">The Mental Health Act 2005 was established as a legal framework for decision making on the behalf of adults who are lacking mental capacity. The law emphasises that the individuals’ best interests are considered as paramount while professionals will minimise the risk of abuse. The Human Rights Act 1998 further provides reinforcement of the protection of individuals rights. The core principles of the Human Rights Act 1998 are dignity, autonomy and respect for privacy. </w:t>
            </w:r>
          </w:p>
          <w:p w:rsidR="00000000" w:rsidDel="00000000" w:rsidP="00000000" w:rsidRDefault="00000000" w:rsidRPr="00000000" w14:paraId="0000002A">
            <w:pPr>
              <w:spacing w:line="276" w:lineRule="auto"/>
              <w:rPr>
                <w:sz w:val="22"/>
                <w:szCs w:val="22"/>
              </w:rPr>
            </w:pPr>
            <w:r w:rsidDel="00000000" w:rsidR="00000000" w:rsidRPr="00000000">
              <w:rPr>
                <w:rtl w:val="0"/>
              </w:rPr>
            </w:r>
          </w:p>
          <w:p w:rsidR="00000000" w:rsidDel="00000000" w:rsidP="00000000" w:rsidRDefault="00000000" w:rsidRPr="00000000" w14:paraId="0000002B">
            <w:pPr>
              <w:spacing w:line="276" w:lineRule="auto"/>
              <w:rPr>
                <w:sz w:val="22"/>
                <w:szCs w:val="22"/>
              </w:rPr>
            </w:pPr>
            <w:r w:rsidDel="00000000" w:rsidR="00000000" w:rsidRPr="00000000">
              <w:rPr>
                <w:sz w:val="22"/>
                <w:szCs w:val="22"/>
                <w:rtl w:val="0"/>
              </w:rPr>
              <w:t xml:space="preserve">Importantly, national policies and guidelines have a vital role in shaping how legislation is made operational within the adult safeguarding social care. The Department of Health issues guidance and frameworks, these are the ‘No Secrets’ and ‘Safeguarding Adults’ guidelines. These guidelines provide procedures for identifying, responding and preventing abuse. These documents focus on the importance of collaboration between professionals on a multi agency basis. The collaboration is very important to ensure adults are safeguarded effectively. </w:t>
            </w:r>
          </w:p>
          <w:p w:rsidR="00000000" w:rsidDel="00000000" w:rsidP="00000000" w:rsidRDefault="00000000" w:rsidRPr="00000000" w14:paraId="0000002C">
            <w:pPr>
              <w:spacing w:line="276" w:lineRule="auto"/>
              <w:rPr>
                <w:sz w:val="22"/>
                <w:szCs w:val="22"/>
              </w:rPr>
            </w:pPr>
            <w:r w:rsidDel="00000000" w:rsidR="00000000" w:rsidRPr="00000000">
              <w:rPr>
                <w:rtl w:val="0"/>
              </w:rPr>
            </w:r>
          </w:p>
          <w:p w:rsidR="00000000" w:rsidDel="00000000" w:rsidP="00000000" w:rsidRDefault="00000000" w:rsidRPr="00000000" w14:paraId="0000002D">
            <w:pPr>
              <w:spacing w:line="276" w:lineRule="auto"/>
              <w:rPr>
                <w:sz w:val="22"/>
                <w:szCs w:val="22"/>
              </w:rPr>
            </w:pPr>
            <w:r w:rsidDel="00000000" w:rsidR="00000000" w:rsidRPr="00000000">
              <w:rPr>
                <w:sz w:val="22"/>
                <w:szCs w:val="22"/>
                <w:rtl w:val="0"/>
              </w:rPr>
              <w:t xml:space="preserve">Each Local Authority have policies and procedures specific to contexts and needs which are developed through Local Safeguarding Adults Boards. The board has multi agency partnerships, including social services, health, police and voluntary organisations. All these professionals will be responsible for coordinating their efforts to safeguard adults who are at risk or experiencing harm or abuse. Each Local Authority will have protocols to address their approach when preventing abuse and promoting welfare. These protocols could involve risk assessments, interventions that are in line with national legislations and also offering a person centred approach by tailoring approaches to suit the needs of each community / individual. </w:t>
            </w:r>
          </w:p>
          <w:p w:rsidR="00000000" w:rsidDel="00000000" w:rsidP="00000000" w:rsidRDefault="00000000" w:rsidRPr="00000000" w14:paraId="0000002E">
            <w:pPr>
              <w:spacing w:line="276" w:lineRule="auto"/>
              <w:rPr>
                <w:sz w:val="22"/>
                <w:szCs w:val="22"/>
              </w:rPr>
            </w:pPr>
            <w:r w:rsidDel="00000000" w:rsidR="00000000" w:rsidRPr="00000000">
              <w:rPr>
                <w:rtl w:val="0"/>
              </w:rPr>
            </w:r>
          </w:p>
          <w:p w:rsidR="00000000" w:rsidDel="00000000" w:rsidP="00000000" w:rsidRDefault="00000000" w:rsidRPr="00000000" w14:paraId="0000002F">
            <w:pPr>
              <w:spacing w:line="276" w:lineRule="auto"/>
              <w:rPr>
                <w:sz w:val="22"/>
                <w:szCs w:val="22"/>
              </w:rPr>
            </w:pPr>
            <w:r w:rsidDel="00000000" w:rsidR="00000000" w:rsidRPr="00000000">
              <w:rPr>
                <w:sz w:val="22"/>
                <w:szCs w:val="22"/>
                <w:rtl w:val="0"/>
              </w:rPr>
              <w:t xml:space="preserve">As outlined in the All Wales Safeguarding Procedures (2020 ) the collaboration and information sharing among agencies is pivotal in safeguarding adults effectively. Alongside, becoming aware of proactive measures, such as risk assessment training and becoming aware of triggering procedures with investigations.The use of national and local policies, ensure a robust safeguarding approach. In practice this would be regular reviews, case conferences, professional discussions and risk assessments. This will encompass evidence based and lessons learned from real cases to ensure professional reflection to improve safeguarding practice. </w:t>
            </w:r>
          </w:p>
          <w:p w:rsidR="00000000" w:rsidDel="00000000" w:rsidP="00000000" w:rsidRDefault="00000000" w:rsidRPr="00000000" w14:paraId="00000030">
            <w:pPr>
              <w:spacing w:line="276" w:lineRule="auto"/>
              <w:rPr>
                <w:sz w:val="22"/>
                <w:szCs w:val="22"/>
              </w:rPr>
            </w:pPr>
            <w:r w:rsidDel="00000000" w:rsidR="00000000" w:rsidRPr="00000000">
              <w:rPr>
                <w:rtl w:val="0"/>
              </w:rPr>
            </w:r>
          </w:p>
          <w:p w:rsidR="00000000" w:rsidDel="00000000" w:rsidP="00000000" w:rsidRDefault="00000000" w:rsidRPr="00000000" w14:paraId="00000031">
            <w:pPr>
              <w:spacing w:line="276" w:lineRule="auto"/>
              <w:rPr>
                <w:sz w:val="22"/>
                <w:szCs w:val="22"/>
              </w:rPr>
            </w:pPr>
            <w:r w:rsidDel="00000000" w:rsidR="00000000" w:rsidRPr="00000000">
              <w:rPr>
                <w:sz w:val="22"/>
                <w:szCs w:val="22"/>
                <w:rtl w:val="0"/>
              </w:rPr>
              <w:t xml:space="preserve">In conclusion, having an awareness of safeguarding within a field that is not my main area of work is important as it improves professional development but also awareness of how national policies and local procedures are implemented within adult safeguarding. </w:t>
            </w:r>
          </w:p>
          <w:p w:rsidR="00000000" w:rsidDel="00000000" w:rsidP="00000000" w:rsidRDefault="00000000" w:rsidRPr="00000000" w14:paraId="00000032">
            <w:pPr>
              <w:spacing w:line="276" w:lineRule="auto"/>
              <w:rPr>
                <w:sz w:val="22"/>
                <w:szCs w:val="22"/>
              </w:rPr>
            </w:pPr>
            <w:r w:rsidDel="00000000" w:rsidR="00000000" w:rsidRPr="00000000">
              <w:rPr>
                <w:rtl w:val="0"/>
              </w:rPr>
            </w:r>
          </w:p>
          <w:p w:rsidR="00000000" w:rsidDel="00000000" w:rsidP="00000000" w:rsidRDefault="00000000" w:rsidRPr="00000000" w14:paraId="00000033">
            <w:pPr>
              <w:spacing w:line="276" w:lineRule="auto"/>
              <w:rPr>
                <w:sz w:val="24"/>
                <w:szCs w:val="24"/>
              </w:rPr>
            </w:pPr>
            <w:r w:rsidDel="00000000" w:rsidR="00000000" w:rsidRPr="00000000">
              <w:rPr>
                <w:sz w:val="22"/>
                <w:szCs w:val="22"/>
                <w:rtl w:val="0"/>
              </w:rPr>
              <w:t xml:space="preserve">Word count 529</w:t>
            </w:r>
            <w:r w:rsidDel="00000000" w:rsidR="00000000" w:rsidRPr="00000000">
              <w:rPr>
                <w:rtl w:val="0"/>
              </w:rPr>
            </w:r>
          </w:p>
          <w:p w:rsidR="00000000" w:rsidDel="00000000" w:rsidP="00000000" w:rsidRDefault="00000000" w:rsidRPr="00000000" w14:paraId="00000034">
            <w:pPr>
              <w:jc w:val="both"/>
              <w:rPr>
                <w:sz w:val="24"/>
                <w:szCs w:val="24"/>
              </w:rPr>
            </w:pPr>
            <w:r w:rsidDel="00000000" w:rsidR="00000000" w:rsidRPr="00000000">
              <w:rPr>
                <w:rtl w:val="0"/>
              </w:rPr>
            </w:r>
          </w:p>
          <w:p w:rsidR="00000000" w:rsidDel="00000000" w:rsidP="00000000" w:rsidRDefault="00000000" w:rsidRPr="00000000" w14:paraId="00000035">
            <w:pPr>
              <w:jc w:val="both"/>
              <w:rPr>
                <w:sz w:val="24"/>
                <w:szCs w:val="24"/>
              </w:rPr>
            </w:pPr>
            <w:r w:rsidDel="00000000" w:rsidR="00000000" w:rsidRPr="00000000">
              <w:rPr>
                <w:rtl w:val="0"/>
              </w:rPr>
            </w:r>
          </w:p>
          <w:p w:rsidR="00000000" w:rsidDel="00000000" w:rsidP="00000000" w:rsidRDefault="00000000" w:rsidRPr="00000000" w14:paraId="00000036">
            <w:pPr>
              <w:jc w:val="both"/>
              <w:rPr>
                <w:sz w:val="24"/>
                <w:szCs w:val="24"/>
              </w:rPr>
            </w:pPr>
            <w:r w:rsidDel="00000000" w:rsidR="00000000" w:rsidRPr="00000000">
              <w:rPr>
                <w:rtl w:val="0"/>
              </w:rPr>
            </w:r>
          </w:p>
          <w:p w:rsidR="00000000" w:rsidDel="00000000" w:rsidP="00000000" w:rsidRDefault="00000000" w:rsidRPr="00000000" w14:paraId="00000037">
            <w:pPr>
              <w:jc w:val="both"/>
              <w:rPr>
                <w:sz w:val="24"/>
                <w:szCs w:val="24"/>
              </w:rPr>
            </w:pPr>
            <w:r w:rsidDel="00000000" w:rsidR="00000000" w:rsidRPr="00000000">
              <w:rPr>
                <w:rtl w:val="0"/>
              </w:rPr>
            </w:r>
          </w:p>
          <w:p w:rsidR="00000000" w:rsidDel="00000000" w:rsidP="00000000" w:rsidRDefault="00000000" w:rsidRPr="00000000" w14:paraId="00000038">
            <w:pPr>
              <w:jc w:val="both"/>
              <w:rPr>
                <w:sz w:val="24"/>
                <w:szCs w:val="24"/>
              </w:rPr>
            </w:pPr>
            <w:r w:rsidDel="00000000" w:rsidR="00000000" w:rsidRPr="00000000">
              <w:rPr>
                <w:rtl w:val="0"/>
              </w:rPr>
            </w:r>
          </w:p>
          <w:p w:rsidR="00000000" w:rsidDel="00000000" w:rsidP="00000000" w:rsidRDefault="00000000" w:rsidRPr="00000000" w14:paraId="00000039">
            <w:pPr>
              <w:jc w:val="both"/>
              <w:rPr>
                <w:sz w:val="24"/>
                <w:szCs w:val="24"/>
              </w:rPr>
            </w:pPr>
            <w:r w:rsidDel="00000000" w:rsidR="00000000" w:rsidRPr="00000000">
              <w:rPr>
                <w:rtl w:val="0"/>
              </w:rPr>
            </w:r>
          </w:p>
          <w:p w:rsidR="00000000" w:rsidDel="00000000" w:rsidP="00000000" w:rsidRDefault="00000000" w:rsidRPr="00000000" w14:paraId="0000003A">
            <w:pPr>
              <w:jc w:val="both"/>
              <w:rPr>
                <w:sz w:val="24"/>
                <w:szCs w:val="24"/>
              </w:rPr>
            </w:pPr>
            <w:r w:rsidDel="00000000" w:rsidR="00000000" w:rsidRPr="00000000">
              <w:rPr>
                <w:rtl w:val="0"/>
              </w:rPr>
            </w:r>
          </w:p>
          <w:p w:rsidR="00000000" w:rsidDel="00000000" w:rsidP="00000000" w:rsidRDefault="00000000" w:rsidRPr="00000000" w14:paraId="0000003B">
            <w:pPr>
              <w:jc w:val="both"/>
              <w:rPr>
                <w:sz w:val="24"/>
                <w:szCs w:val="24"/>
              </w:rPr>
            </w:pPr>
            <w:r w:rsidDel="00000000" w:rsidR="00000000" w:rsidRPr="00000000">
              <w:rPr>
                <w:i w:val="1"/>
                <w:sz w:val="24"/>
                <w:szCs w:val="24"/>
                <w:rtl w:val="0"/>
              </w:rPr>
              <w:t xml:space="preserve">500 words</w:t>
            </w:r>
            <w:r w:rsidDel="00000000" w:rsidR="00000000" w:rsidRPr="00000000">
              <w:rPr>
                <w:sz w:val="24"/>
                <w:szCs w:val="24"/>
                <w:rtl w:val="0"/>
              </w:rPr>
              <w:t xml:space="preserve"> (+/- 10%: include your actual word count at the end of each section).</w:t>
            </w:r>
          </w:p>
          <w:p w:rsidR="00000000" w:rsidDel="00000000" w:rsidP="00000000" w:rsidRDefault="00000000" w:rsidRPr="00000000" w14:paraId="0000003C">
            <w:pPr>
              <w:jc w:val="both"/>
              <w:rPr>
                <w:b w:val="1"/>
                <w:sz w:val="24"/>
                <w:szCs w:val="24"/>
              </w:rPr>
            </w:pPr>
            <w:r w:rsidDel="00000000" w:rsidR="00000000" w:rsidRPr="00000000">
              <w:rPr>
                <w:rtl w:val="0"/>
              </w:rPr>
            </w:r>
          </w:p>
        </w:tc>
      </w:tr>
    </w:tbl>
    <w:p w:rsidR="00000000" w:rsidDel="00000000" w:rsidP="00000000" w:rsidRDefault="00000000" w:rsidRPr="00000000" w14:paraId="0000003D">
      <w:pPr>
        <w:jc w:val="both"/>
        <w:rPr>
          <w:sz w:val="24"/>
          <w:szCs w:val="24"/>
        </w:rPr>
      </w:pPr>
      <w:r w:rsidDel="00000000" w:rsidR="00000000" w:rsidRPr="00000000">
        <w:rPr>
          <w:rtl w:val="0"/>
        </w:rPr>
      </w:r>
    </w:p>
    <w:p w:rsidR="00000000" w:rsidDel="00000000" w:rsidP="00000000" w:rsidRDefault="00000000" w:rsidRPr="00000000" w14:paraId="0000003E">
      <w:pPr>
        <w:jc w:val="both"/>
        <w:rPr>
          <w:sz w:val="24"/>
          <w:szCs w:val="24"/>
        </w:rPr>
      </w:pPr>
      <w:r w:rsidDel="00000000" w:rsidR="00000000" w:rsidRPr="00000000">
        <w:rPr>
          <w:rtl w:val="0"/>
        </w:rPr>
      </w:r>
    </w:p>
    <w:p w:rsidR="00000000" w:rsidDel="00000000" w:rsidP="00000000" w:rsidRDefault="00000000" w:rsidRPr="00000000" w14:paraId="0000003F">
      <w:pPr>
        <w:jc w:val="both"/>
        <w:rPr>
          <w:sz w:val="24"/>
          <w:szCs w:val="24"/>
        </w:rPr>
      </w:pPr>
      <w:r w:rsidDel="00000000" w:rsidR="00000000" w:rsidRPr="00000000">
        <w:rPr>
          <w:rtl w:val="0"/>
        </w:rPr>
      </w:r>
    </w:p>
    <w:tbl>
      <w:tblPr>
        <w:tblStyle w:val="Table3"/>
        <w:tblpPr w:leftFromText="180" w:rightFromText="180" w:topFromText="0" w:bottomFromText="0" w:vertAnchor="text" w:horzAnchor="text" w:tblpX="0" w:tblpY="6"/>
        <w:tblW w:w="1007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070"/>
        <w:tblGridChange w:id="0">
          <w:tblGrid>
            <w:gridCol w:w="10070"/>
          </w:tblGrid>
        </w:tblGridChange>
      </w:tblGrid>
      <w:tr>
        <w:trPr>
          <w:cantSplit w:val="0"/>
          <w:tblHeader w:val="0"/>
        </w:trPr>
        <w:tc>
          <w:tcPr>
            <w:shd w:fill="auto" w:val="clear"/>
          </w:tcPr>
          <w:p w:rsidR="00000000" w:rsidDel="00000000" w:rsidP="00000000" w:rsidRDefault="00000000" w:rsidRPr="00000000" w14:paraId="00000040">
            <w:pPr>
              <w:jc w:val="both"/>
              <w:rPr>
                <w:b w:val="1"/>
                <w:sz w:val="24"/>
                <w:szCs w:val="24"/>
              </w:rPr>
            </w:pPr>
            <w:r w:rsidDel="00000000" w:rsidR="00000000" w:rsidRPr="00000000">
              <w:rPr>
                <w:b w:val="1"/>
                <w:sz w:val="24"/>
                <w:szCs w:val="24"/>
                <w:rtl w:val="0"/>
              </w:rPr>
              <w:t xml:space="preserve">Question b:</w:t>
            </w:r>
          </w:p>
          <w:p w:rsidR="00000000" w:rsidDel="00000000" w:rsidP="00000000" w:rsidRDefault="00000000" w:rsidRPr="00000000" w14:paraId="00000041">
            <w:pPr>
              <w:jc w:val="both"/>
              <w:rPr>
                <w:sz w:val="24"/>
                <w:szCs w:val="24"/>
              </w:rPr>
            </w:pPr>
            <w:r w:rsidDel="00000000" w:rsidR="00000000" w:rsidRPr="00000000">
              <w:rPr>
                <w:sz w:val="24"/>
                <w:szCs w:val="24"/>
                <w:rtl w:val="0"/>
              </w:rPr>
              <w:t xml:space="preserve">Reflect on the difference between safeguarding in adults’ and children’s work</w:t>
            </w:r>
          </w:p>
          <w:p w:rsidR="00000000" w:rsidDel="00000000" w:rsidP="00000000" w:rsidRDefault="00000000" w:rsidRPr="00000000" w14:paraId="00000042">
            <w:pPr>
              <w:spacing w:line="276" w:lineRule="auto"/>
              <w:rPr>
                <w:sz w:val="22"/>
                <w:szCs w:val="22"/>
              </w:rPr>
            </w:pPr>
            <w:r w:rsidDel="00000000" w:rsidR="00000000" w:rsidRPr="00000000">
              <w:rPr>
                <w:rtl w:val="0"/>
              </w:rPr>
            </w:r>
          </w:p>
          <w:p w:rsidR="00000000" w:rsidDel="00000000" w:rsidP="00000000" w:rsidRDefault="00000000" w:rsidRPr="00000000" w14:paraId="00000043">
            <w:pPr>
              <w:spacing w:line="276" w:lineRule="auto"/>
              <w:rPr>
                <w:sz w:val="22"/>
                <w:szCs w:val="22"/>
              </w:rPr>
            </w:pPr>
            <w:r w:rsidDel="00000000" w:rsidR="00000000" w:rsidRPr="00000000">
              <w:rPr>
                <w:sz w:val="22"/>
                <w:szCs w:val="22"/>
                <w:rtl w:val="0"/>
              </w:rPr>
              <w:t xml:space="preserve">I believe safeguarding in adults and children involves distinct yet interlinking approaches due to the differing vulnerabilities, needs and legal framework surrounding each group. While both adults and children share the same aim to protect individuals from abuse, harm or neglect, the strategies can differ significantly between adults and children. I think the main difference between the children and adult field is that with children it continues to have more legislative powers regarding safeguard. I believe this because the Children Act 1989 and 2004 give social workers greater statutory powers and responsibilities to intervene when making decisions, especially in regard to removing children from their parents' care in order to protect them from abuse and significant harm. There is also a specific time scale for social workers to follow regarding completing paperwork promptly and that the children and family are monitored consistently.</w:t>
            </w:r>
          </w:p>
          <w:p w:rsidR="00000000" w:rsidDel="00000000" w:rsidP="00000000" w:rsidRDefault="00000000" w:rsidRPr="00000000" w14:paraId="00000044">
            <w:pPr>
              <w:spacing w:line="276" w:lineRule="auto"/>
              <w:rPr>
                <w:sz w:val="22"/>
                <w:szCs w:val="22"/>
              </w:rPr>
            </w:pPr>
            <w:r w:rsidDel="00000000" w:rsidR="00000000" w:rsidRPr="00000000">
              <w:rPr>
                <w:rtl w:val="0"/>
              </w:rPr>
            </w:r>
          </w:p>
          <w:p w:rsidR="00000000" w:rsidDel="00000000" w:rsidP="00000000" w:rsidRDefault="00000000" w:rsidRPr="00000000" w14:paraId="00000045">
            <w:pPr>
              <w:spacing w:line="276" w:lineRule="auto"/>
              <w:rPr>
                <w:sz w:val="22"/>
                <w:szCs w:val="22"/>
              </w:rPr>
            </w:pPr>
            <w:r w:rsidDel="00000000" w:rsidR="00000000" w:rsidRPr="00000000">
              <w:rPr>
                <w:sz w:val="22"/>
                <w:szCs w:val="22"/>
                <w:rtl w:val="0"/>
              </w:rPr>
              <w:t xml:space="preserve">Although the Social Services and Wellbeing (Wales) Act 2014 consist of structure and guidance to protect adults and the Part 7 gives increased adult responsibility and right to autonomy and right to privacy, there is no force as noted within the Children Act 1989 to intervene. The SSWBA,2014 attempted to bring more power by introducing the element of Acquisition System Protection Officer (ASPO) which is the ability to access the individual when there is strong evidence that they are at risk and where access has been declined or restricting access from others for the purpose of assessments. However, this does not give legislative power to remove the individual when they have capacity. In my opinion, there are more safeguarding procedures within the children field compared to the adult field. </w:t>
            </w:r>
          </w:p>
          <w:p w:rsidR="00000000" w:rsidDel="00000000" w:rsidP="00000000" w:rsidRDefault="00000000" w:rsidRPr="00000000" w14:paraId="00000046">
            <w:pPr>
              <w:spacing w:line="276" w:lineRule="auto"/>
              <w:rPr>
                <w:sz w:val="22"/>
                <w:szCs w:val="22"/>
              </w:rPr>
            </w:pPr>
            <w:r w:rsidDel="00000000" w:rsidR="00000000" w:rsidRPr="00000000">
              <w:rPr>
                <w:rtl w:val="0"/>
              </w:rPr>
            </w:r>
          </w:p>
          <w:p w:rsidR="00000000" w:rsidDel="00000000" w:rsidP="00000000" w:rsidRDefault="00000000" w:rsidRPr="00000000" w14:paraId="00000047">
            <w:pPr>
              <w:spacing w:line="276" w:lineRule="auto"/>
              <w:rPr>
                <w:sz w:val="22"/>
                <w:szCs w:val="22"/>
              </w:rPr>
            </w:pPr>
            <w:r w:rsidDel="00000000" w:rsidR="00000000" w:rsidRPr="00000000">
              <w:rPr>
                <w:sz w:val="22"/>
                <w:szCs w:val="22"/>
                <w:rtl w:val="0"/>
              </w:rPr>
              <w:t xml:space="preserve">Adult safeguarding primarily operates within the concept within the Mental Capacity Act 2005, respecting the individual's autonomy to make their own decisions whenever possible. The Act encompass the ‘gillick competency’ that in adulthood everyone over the age of 18 is seen as individuals who have the capacity to make decisions for themselves as capacity is always assumed. If there is reasonable doubt of capacity this can be held under a Mental Health Capacity assessment under the Mental Capacity Act 2005. This can be difficult when the individual is making unwise decisions but has the capacity or when they continue to place themselves or be in a situation of risk. </w:t>
            </w:r>
          </w:p>
          <w:p w:rsidR="00000000" w:rsidDel="00000000" w:rsidP="00000000" w:rsidRDefault="00000000" w:rsidRPr="00000000" w14:paraId="00000048">
            <w:pPr>
              <w:spacing w:line="276" w:lineRule="auto"/>
              <w:rPr>
                <w:sz w:val="22"/>
                <w:szCs w:val="22"/>
              </w:rPr>
            </w:pPr>
            <w:r w:rsidDel="00000000" w:rsidR="00000000" w:rsidRPr="00000000">
              <w:rPr>
                <w:rtl w:val="0"/>
              </w:rPr>
            </w:r>
          </w:p>
          <w:p w:rsidR="00000000" w:rsidDel="00000000" w:rsidP="00000000" w:rsidRDefault="00000000" w:rsidRPr="00000000" w14:paraId="00000049">
            <w:pPr>
              <w:spacing w:line="276" w:lineRule="auto"/>
              <w:rPr>
                <w:sz w:val="22"/>
                <w:szCs w:val="22"/>
              </w:rPr>
            </w:pPr>
            <w:r w:rsidDel="00000000" w:rsidR="00000000" w:rsidRPr="00000000">
              <w:rPr>
                <w:sz w:val="22"/>
                <w:szCs w:val="22"/>
                <w:rtl w:val="0"/>
              </w:rPr>
              <w:t xml:space="preserve">I consider that there are differences. There are also similarities in the type of abuse that affects adults and children such as physical, emotional, sexual, financial and neglect. This can include Criminal or sexual exploitation as well as modern day slavery and Female genital mutilation. </w:t>
            </w:r>
          </w:p>
          <w:p w:rsidR="00000000" w:rsidDel="00000000" w:rsidP="00000000" w:rsidRDefault="00000000" w:rsidRPr="00000000" w14:paraId="0000004A">
            <w:pPr>
              <w:spacing w:line="276" w:lineRule="auto"/>
              <w:rPr>
                <w:sz w:val="22"/>
                <w:szCs w:val="22"/>
              </w:rPr>
            </w:pPr>
            <w:r w:rsidDel="00000000" w:rsidR="00000000" w:rsidRPr="00000000">
              <w:rPr>
                <w:rtl w:val="0"/>
              </w:rPr>
            </w:r>
          </w:p>
          <w:p w:rsidR="00000000" w:rsidDel="00000000" w:rsidP="00000000" w:rsidRDefault="00000000" w:rsidRPr="00000000" w14:paraId="0000004B">
            <w:pPr>
              <w:spacing w:line="276" w:lineRule="auto"/>
              <w:rPr>
                <w:sz w:val="22"/>
                <w:szCs w:val="22"/>
              </w:rPr>
            </w:pPr>
            <w:r w:rsidDel="00000000" w:rsidR="00000000" w:rsidRPr="00000000">
              <w:rPr>
                <w:sz w:val="22"/>
                <w:szCs w:val="22"/>
                <w:rtl w:val="0"/>
              </w:rPr>
              <w:t xml:space="preserve">Word count  - 426 </w:t>
            </w:r>
          </w:p>
          <w:p w:rsidR="00000000" w:rsidDel="00000000" w:rsidP="00000000" w:rsidRDefault="00000000" w:rsidRPr="00000000" w14:paraId="0000004C">
            <w:pPr>
              <w:jc w:val="both"/>
              <w:rPr>
                <w:sz w:val="22"/>
                <w:szCs w:val="22"/>
              </w:rPr>
            </w:pPr>
            <w:r w:rsidDel="00000000" w:rsidR="00000000" w:rsidRPr="00000000">
              <w:rPr>
                <w:rtl w:val="0"/>
              </w:rPr>
            </w:r>
          </w:p>
          <w:p w:rsidR="00000000" w:rsidDel="00000000" w:rsidP="00000000" w:rsidRDefault="00000000" w:rsidRPr="00000000" w14:paraId="0000004D">
            <w:pPr>
              <w:jc w:val="both"/>
              <w:rPr>
                <w:sz w:val="24"/>
                <w:szCs w:val="24"/>
              </w:rPr>
            </w:pPr>
            <w:r w:rsidDel="00000000" w:rsidR="00000000" w:rsidRPr="00000000">
              <w:rPr>
                <w:rtl w:val="0"/>
              </w:rPr>
            </w:r>
          </w:p>
          <w:p w:rsidR="00000000" w:rsidDel="00000000" w:rsidP="00000000" w:rsidRDefault="00000000" w:rsidRPr="00000000" w14:paraId="0000004E">
            <w:pPr>
              <w:jc w:val="both"/>
              <w:rPr>
                <w:sz w:val="24"/>
                <w:szCs w:val="24"/>
              </w:rPr>
            </w:pPr>
            <w:r w:rsidDel="00000000" w:rsidR="00000000" w:rsidRPr="00000000">
              <w:rPr>
                <w:rtl w:val="0"/>
              </w:rPr>
            </w:r>
          </w:p>
          <w:p w:rsidR="00000000" w:rsidDel="00000000" w:rsidP="00000000" w:rsidRDefault="00000000" w:rsidRPr="00000000" w14:paraId="0000004F">
            <w:pPr>
              <w:jc w:val="both"/>
              <w:rPr>
                <w:sz w:val="24"/>
                <w:szCs w:val="24"/>
              </w:rPr>
            </w:pPr>
            <w:r w:rsidDel="00000000" w:rsidR="00000000" w:rsidRPr="00000000">
              <w:rPr>
                <w:rtl w:val="0"/>
              </w:rPr>
            </w:r>
          </w:p>
          <w:p w:rsidR="00000000" w:rsidDel="00000000" w:rsidP="00000000" w:rsidRDefault="00000000" w:rsidRPr="00000000" w14:paraId="00000050">
            <w:pPr>
              <w:jc w:val="both"/>
              <w:rPr>
                <w:sz w:val="24"/>
                <w:szCs w:val="24"/>
              </w:rPr>
            </w:pPr>
            <w:r w:rsidDel="00000000" w:rsidR="00000000" w:rsidRPr="00000000">
              <w:rPr>
                <w:rtl w:val="0"/>
              </w:rPr>
            </w:r>
          </w:p>
          <w:p w:rsidR="00000000" w:rsidDel="00000000" w:rsidP="00000000" w:rsidRDefault="00000000" w:rsidRPr="00000000" w14:paraId="00000051">
            <w:pPr>
              <w:jc w:val="both"/>
              <w:rPr>
                <w:sz w:val="24"/>
                <w:szCs w:val="24"/>
              </w:rPr>
            </w:pPr>
            <w:r w:rsidDel="00000000" w:rsidR="00000000" w:rsidRPr="00000000">
              <w:rPr>
                <w:rtl w:val="0"/>
              </w:rPr>
            </w:r>
          </w:p>
          <w:p w:rsidR="00000000" w:rsidDel="00000000" w:rsidP="00000000" w:rsidRDefault="00000000" w:rsidRPr="00000000" w14:paraId="00000052">
            <w:pPr>
              <w:jc w:val="both"/>
              <w:rPr>
                <w:sz w:val="24"/>
                <w:szCs w:val="24"/>
              </w:rPr>
            </w:pPr>
            <w:r w:rsidDel="00000000" w:rsidR="00000000" w:rsidRPr="00000000">
              <w:rPr>
                <w:rtl w:val="0"/>
              </w:rPr>
            </w:r>
          </w:p>
          <w:p w:rsidR="00000000" w:rsidDel="00000000" w:rsidP="00000000" w:rsidRDefault="00000000" w:rsidRPr="00000000" w14:paraId="00000053">
            <w:pPr>
              <w:jc w:val="both"/>
              <w:rPr>
                <w:sz w:val="24"/>
                <w:szCs w:val="24"/>
              </w:rPr>
            </w:pPr>
            <w:r w:rsidDel="00000000" w:rsidR="00000000" w:rsidRPr="00000000">
              <w:rPr>
                <w:rtl w:val="0"/>
              </w:rPr>
            </w:r>
          </w:p>
          <w:p w:rsidR="00000000" w:rsidDel="00000000" w:rsidP="00000000" w:rsidRDefault="00000000" w:rsidRPr="00000000" w14:paraId="00000054">
            <w:pPr>
              <w:jc w:val="both"/>
              <w:rPr>
                <w:sz w:val="24"/>
                <w:szCs w:val="24"/>
              </w:rPr>
            </w:pPr>
            <w:r w:rsidDel="00000000" w:rsidR="00000000" w:rsidRPr="00000000">
              <w:rPr>
                <w:rtl w:val="0"/>
              </w:rPr>
            </w:r>
          </w:p>
          <w:p w:rsidR="00000000" w:rsidDel="00000000" w:rsidP="00000000" w:rsidRDefault="00000000" w:rsidRPr="00000000" w14:paraId="00000055">
            <w:pPr>
              <w:jc w:val="both"/>
              <w:rPr>
                <w:i w:val="1"/>
                <w:sz w:val="24"/>
                <w:szCs w:val="24"/>
              </w:rPr>
            </w:pPr>
            <w:r w:rsidDel="00000000" w:rsidR="00000000" w:rsidRPr="00000000">
              <w:rPr>
                <w:i w:val="1"/>
                <w:sz w:val="24"/>
                <w:szCs w:val="24"/>
                <w:rtl w:val="0"/>
              </w:rPr>
              <w:t xml:space="preserve">400 words</w:t>
            </w:r>
            <w:r w:rsidDel="00000000" w:rsidR="00000000" w:rsidRPr="00000000">
              <w:rPr>
                <w:sz w:val="24"/>
                <w:szCs w:val="24"/>
                <w:rtl w:val="0"/>
              </w:rPr>
              <w:t xml:space="preserve">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056">
            <w:pPr>
              <w:jc w:val="both"/>
              <w:rPr>
                <w:sz w:val="24"/>
                <w:szCs w:val="24"/>
              </w:rPr>
            </w:pPr>
            <w:r w:rsidDel="00000000" w:rsidR="00000000" w:rsidRPr="00000000">
              <w:rPr>
                <w:rtl w:val="0"/>
              </w:rPr>
            </w:r>
          </w:p>
        </w:tc>
      </w:tr>
    </w:tbl>
    <w:p w:rsidR="00000000" w:rsidDel="00000000" w:rsidP="00000000" w:rsidRDefault="00000000" w:rsidRPr="00000000" w14:paraId="00000057">
      <w:pPr>
        <w:rPr>
          <w:sz w:val="24"/>
          <w:szCs w:val="24"/>
        </w:rPr>
      </w:pPr>
      <w:r w:rsidDel="00000000" w:rsidR="00000000" w:rsidRPr="00000000">
        <w:rPr>
          <w:rtl w:val="0"/>
        </w:rPr>
      </w:r>
    </w:p>
    <w:sectPr>
      <w:headerReference r:id="rId8" w:type="default"/>
      <w:footerReference r:id="rId9" w:type="default"/>
      <w:pgSz w:h="15840" w:w="12240" w:orient="portrait"/>
      <w:pgMar w:bottom="1440" w:top="144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Version 1_Cohort 15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b w:val="1"/>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JM2fLOGJ8hv5Ff090vxa+YlfGQ==">CgMxLjA4AHIhMWtseGRZS0tuLTk3OUM3Nm15aGNyNVA4QlJaNFNlYk5l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