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EF57C" w14:textId="77777777" w:rsidR="00236C98" w:rsidRDefault="00236C98">
      <w:pPr>
        <w:ind w:left="-5"/>
      </w:pPr>
      <w:r>
        <w:t xml:space="preserve">                                            </w:t>
      </w:r>
    </w:p>
    <w:p w14:paraId="33387F03" w14:textId="77777777" w:rsidR="00236C98" w:rsidRDefault="00236C98">
      <w:pPr>
        <w:ind w:left="-5"/>
      </w:pPr>
    </w:p>
    <w:p w14:paraId="68210513" w14:textId="25D5075B" w:rsidR="00CB4872" w:rsidRDefault="00236C98">
      <w:pPr>
        <w:ind w:left="-5"/>
      </w:pPr>
      <w:r>
        <w:t xml:space="preserve">                                           </w:t>
      </w:r>
      <w:r>
        <w:rPr>
          <w:noProof/>
        </w:rPr>
        <w:drawing>
          <wp:inline distT="0" distB="0" distL="0" distR="0" wp14:anchorId="2E382C2D" wp14:editId="59792FB4">
            <wp:extent cx="4484536" cy="1873184"/>
            <wp:effectExtent l="0" t="0" r="0" b="0"/>
            <wp:docPr id="20800463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46395" name="Picture 2080046395"/>
                    <pic:cNvPicPr/>
                  </pic:nvPicPr>
                  <pic:blipFill>
                    <a:blip r:embed="rId5" cstate="print">
                      <a:extLst>
                        <a:ext uri="{28A0092B-C50C-407E-A947-70E740481C1C}">
                          <a14:useLocalDpi xmlns:a14="http://schemas.microsoft.com/office/drawing/2010/main" val="0"/>
                        </a:ext>
                      </a:extLst>
                    </a:blip>
                    <a:stretch>
                      <a:fillRect/>
                    </a:stretch>
                  </pic:blipFill>
                  <pic:spPr>
                    <a:xfrm>
                      <a:off x="0" y="0"/>
                      <a:ext cx="4493071" cy="1876749"/>
                    </a:xfrm>
                    <a:prstGeom prst="rect">
                      <a:avLst/>
                    </a:prstGeom>
                  </pic:spPr>
                </pic:pic>
              </a:graphicData>
            </a:graphic>
          </wp:inline>
        </w:drawing>
      </w:r>
    </w:p>
    <w:p w14:paraId="274D837E" w14:textId="73D22F3C" w:rsidR="00CB4872" w:rsidRDefault="00CB4872" w:rsidP="00D6261E">
      <w:pPr>
        <w:spacing w:line="240" w:lineRule="auto"/>
        <w:ind w:left="0" w:firstLine="0"/>
      </w:pPr>
      <w:r>
        <w:rPr>
          <w:noProof/>
        </w:rPr>
        <mc:AlternateContent>
          <mc:Choice Requires="wps">
            <w:drawing>
              <wp:inline distT="0" distB="0" distL="0" distR="0" wp14:anchorId="616AF7F9" wp14:editId="5FB7E9F1">
                <wp:extent cx="304800" cy="304800"/>
                <wp:effectExtent l="0" t="0" r="0" b="0"/>
                <wp:docPr id="1551864351" name="AutoShape 2" descr="Green Gown Awards 2019 - University of Wales Trinity Saint Davi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A0F838" id="AutoShape 2" o:spid="_x0000_s1026" alt="Green Gown Awards 2019 - University of Wales Trinity Saint David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48B77F6" w14:textId="77777777" w:rsidR="00D6261E" w:rsidRDefault="00D6261E" w:rsidP="00D6261E">
      <w:pPr>
        <w:spacing w:line="240" w:lineRule="auto"/>
        <w:ind w:left="5025" w:firstLine="0"/>
        <w:rPr>
          <w:noProof/>
          <w:sz w:val="28"/>
          <w:szCs w:val="28"/>
        </w:rPr>
      </w:pPr>
    </w:p>
    <w:p w14:paraId="7A14EFD7" w14:textId="1A1602E1" w:rsidR="00CB4872" w:rsidRPr="00D6261E" w:rsidRDefault="00236C98" w:rsidP="00236C98">
      <w:pPr>
        <w:spacing w:line="240" w:lineRule="auto"/>
        <w:ind w:left="0" w:firstLine="0"/>
        <w:rPr>
          <w:noProof/>
          <w:sz w:val="28"/>
          <w:szCs w:val="28"/>
        </w:rPr>
      </w:pPr>
      <w:r>
        <w:rPr>
          <w:noProof/>
          <w:sz w:val="28"/>
          <w:szCs w:val="28"/>
        </w:rPr>
        <w:t xml:space="preserve">                                                                           </w:t>
      </w:r>
      <w:r w:rsidR="00D6261E" w:rsidRPr="00D6261E">
        <w:rPr>
          <w:noProof/>
          <w:sz w:val="28"/>
          <w:szCs w:val="28"/>
        </w:rPr>
        <w:t xml:space="preserve">ECEY4010 </w:t>
      </w:r>
    </w:p>
    <w:p w14:paraId="412D6BCD" w14:textId="3139F52B" w:rsidR="00D6261E" w:rsidRDefault="00D6261E" w:rsidP="00D6261E">
      <w:pPr>
        <w:spacing w:line="240" w:lineRule="auto"/>
        <w:ind w:left="4305" w:firstLine="0"/>
        <w:rPr>
          <w:noProof/>
          <w:sz w:val="28"/>
          <w:szCs w:val="28"/>
        </w:rPr>
      </w:pPr>
      <w:r w:rsidRPr="00D6261E">
        <w:rPr>
          <w:noProof/>
          <w:sz w:val="28"/>
          <w:szCs w:val="28"/>
        </w:rPr>
        <w:t>Student id- 2516300</w:t>
      </w:r>
    </w:p>
    <w:p w14:paraId="6F0C55F9" w14:textId="7DF945A0" w:rsidR="00236C98" w:rsidRDefault="00236C98" w:rsidP="00236C98">
      <w:pPr>
        <w:spacing w:after="0" w:line="240" w:lineRule="auto"/>
        <w:ind w:left="0" w:firstLine="0"/>
        <w:rPr>
          <w:rFonts w:ascii="Times New Roman" w:eastAsia="Times New Roman" w:hAnsi="Times New Roman" w:cs="Times New Roman"/>
          <w:color w:val="auto"/>
          <w:kern w:val="0"/>
          <w14:ligatures w14:val="none"/>
        </w:rPr>
      </w:pPr>
      <w:r>
        <w:rPr>
          <w:rFonts w:ascii="Times New Roman" w:eastAsia="Times New Roman" w:hAnsi="Times New Roman" w:cs="Times New Roman"/>
          <w:color w:val="auto"/>
          <w:kern w:val="0"/>
          <w14:ligatures w14:val="none"/>
        </w:rPr>
        <w:t xml:space="preserve">                                               LINK for the Recorded Activity - </w:t>
      </w:r>
      <w:hyperlink r:id="rId6" w:history="1">
        <w:r w:rsidRPr="00236C98">
          <w:rPr>
            <w:rFonts w:ascii="Times New Roman" w:eastAsia="Times New Roman" w:hAnsi="Times New Roman" w:cs="Times New Roman"/>
            <w:color w:val="0000FF"/>
            <w:kern w:val="0"/>
            <w:u w:val="single"/>
            <w14:ligatures w14:val="none"/>
          </w:rPr>
          <w:t>OTBJ0541.</w:t>
        </w:r>
        <w:r w:rsidRPr="00236C98">
          <w:rPr>
            <w:rFonts w:ascii="Times New Roman" w:eastAsia="Times New Roman" w:hAnsi="Times New Roman" w:cs="Times New Roman"/>
            <w:color w:val="0000FF"/>
            <w:kern w:val="0"/>
            <w:u w:val="single"/>
            <w14:ligatures w14:val="none"/>
          </w:rPr>
          <w:t>M</w:t>
        </w:r>
        <w:r w:rsidRPr="00236C98">
          <w:rPr>
            <w:rFonts w:ascii="Times New Roman" w:eastAsia="Times New Roman" w:hAnsi="Times New Roman" w:cs="Times New Roman"/>
            <w:color w:val="0000FF"/>
            <w:kern w:val="0"/>
            <w:u w:val="single"/>
            <w14:ligatures w14:val="none"/>
          </w:rPr>
          <w:t>OV</w:t>
        </w:r>
      </w:hyperlink>
    </w:p>
    <w:p w14:paraId="610A1EBA" w14:textId="77777777" w:rsidR="00236C98" w:rsidRPr="00236C98" w:rsidRDefault="00236C98" w:rsidP="00236C98">
      <w:pPr>
        <w:spacing w:after="0" w:line="240" w:lineRule="auto"/>
        <w:ind w:left="0" w:firstLine="0"/>
        <w:rPr>
          <w:rFonts w:ascii="Times New Roman" w:eastAsia="Times New Roman" w:hAnsi="Times New Roman" w:cs="Times New Roman"/>
          <w:color w:val="auto"/>
          <w:kern w:val="0"/>
          <w14:ligatures w14:val="none"/>
        </w:rPr>
      </w:pPr>
    </w:p>
    <w:p w14:paraId="6EBF98EA" w14:textId="77777777" w:rsidR="00236C98" w:rsidRPr="00D6261E" w:rsidRDefault="00236C98" w:rsidP="00236C98">
      <w:pPr>
        <w:spacing w:line="240" w:lineRule="auto"/>
        <w:rPr>
          <w:sz w:val="28"/>
          <w:szCs w:val="28"/>
        </w:rPr>
      </w:pPr>
    </w:p>
    <w:p w14:paraId="4DB929E7" w14:textId="77777777" w:rsidR="00CB4872" w:rsidRDefault="00CB4872" w:rsidP="00D6261E">
      <w:pPr>
        <w:spacing w:line="240" w:lineRule="auto"/>
        <w:ind w:left="-15" w:firstLine="0"/>
      </w:pPr>
    </w:p>
    <w:p w14:paraId="55D28601" w14:textId="77777777" w:rsidR="00CB4872" w:rsidRDefault="00CB4872">
      <w:pPr>
        <w:ind w:left="-5"/>
      </w:pPr>
    </w:p>
    <w:p w14:paraId="26D8A920" w14:textId="77777777" w:rsidR="00CB4872" w:rsidRDefault="00CB4872">
      <w:pPr>
        <w:ind w:left="-5"/>
      </w:pPr>
    </w:p>
    <w:p w14:paraId="15FF216C" w14:textId="77777777" w:rsidR="00CB4872" w:rsidRDefault="00CB4872">
      <w:pPr>
        <w:ind w:left="-5"/>
      </w:pPr>
    </w:p>
    <w:p w14:paraId="7D7B7F50" w14:textId="77777777" w:rsidR="00CB4872" w:rsidRDefault="00CB4872">
      <w:pPr>
        <w:ind w:left="-5"/>
      </w:pPr>
    </w:p>
    <w:p w14:paraId="1B02B302" w14:textId="77777777" w:rsidR="00CB4872" w:rsidRDefault="00CB4872">
      <w:pPr>
        <w:ind w:left="-5"/>
      </w:pPr>
    </w:p>
    <w:p w14:paraId="1C9D4CDE" w14:textId="77777777" w:rsidR="00CB4872" w:rsidRDefault="00CB4872">
      <w:pPr>
        <w:ind w:left="-5"/>
      </w:pPr>
    </w:p>
    <w:p w14:paraId="411B2AC8" w14:textId="77777777" w:rsidR="00236C98" w:rsidRDefault="00236C98" w:rsidP="00236C98">
      <w:pPr>
        <w:spacing w:after="35" w:line="265" w:lineRule="auto"/>
        <w:ind w:left="0" w:firstLine="0"/>
      </w:pPr>
      <w:r>
        <w:t>Generative AI tools were used in accordance with assessment guidelines to support research, identify relevant sources, and proofread the work, while all writing and content remain my own.</w:t>
      </w:r>
    </w:p>
    <w:p w14:paraId="71151AE6" w14:textId="58E22A47" w:rsidR="00011538" w:rsidRPr="00236C98" w:rsidRDefault="00000000" w:rsidP="00236C98">
      <w:pPr>
        <w:ind w:left="0" w:firstLine="0"/>
        <w:rPr>
          <w:b/>
          <w:bCs/>
        </w:rPr>
      </w:pPr>
      <w:r w:rsidRPr="00236C98">
        <w:rPr>
          <w:b/>
          <w:bCs/>
        </w:rPr>
        <w:lastRenderedPageBreak/>
        <w:t>Supporting Paper: Bilingualism and Multilingualism in Early Years Practice Introduction</w:t>
      </w:r>
    </w:p>
    <w:p w14:paraId="51B5D30E" w14:textId="77777777" w:rsidR="00011538" w:rsidRDefault="00000000">
      <w:pPr>
        <w:ind w:left="-5"/>
      </w:pPr>
      <w:r>
        <w:t xml:space="preserve">Bilingualism and multilingualism play a significant role in early childhood development, influencing cognitive, linguistic, and social outcomes. Bilingualism refers to the ability to use two languages, while multilingualism extends to the use of more than two (Baker, 2011). In increasingly diverse educational contexts, young children are frequently exposed to multiple languages within both home and educational environments. Contemporary research recognises multilingualism as a global norm rather than an exception (Rindler </w:t>
      </w:r>
      <w:proofErr w:type="spellStart"/>
      <w:r>
        <w:t>Schjerve</w:t>
      </w:r>
      <w:proofErr w:type="spellEnd"/>
      <w:r>
        <w:t xml:space="preserve"> and Vetter, 2012), highlighting the importance of inclusive and linguistically responsive practices in early years settings.</w:t>
      </w:r>
    </w:p>
    <w:p w14:paraId="476E9056" w14:textId="77777777" w:rsidR="00011538" w:rsidRDefault="00000000">
      <w:pPr>
        <w:ind w:left="-5"/>
      </w:pPr>
      <w:r>
        <w:t>Early exposure to multiple languages provides children with opportunities to develop flexible thinking, enhanced communication skills, and cultural awareness. This paper explores the benefits of bilingualism, the role of English as an Additional Language (EAL), links to brain development and divergent thinking, and connections to relevant curricula and policy. It also draws upon a practical activity involving real fruits, vegetables, and animal toys alongside a bilingual (English–Hindi) video to demonstrate how theoretical perspectives can be effectively applied in practice.</w:t>
      </w:r>
    </w:p>
    <w:p w14:paraId="77A3FB52" w14:textId="77777777" w:rsidR="00011538" w:rsidRPr="00236C98" w:rsidRDefault="00000000">
      <w:pPr>
        <w:spacing w:after="410" w:line="265" w:lineRule="auto"/>
        <w:ind w:left="-5"/>
        <w:rPr>
          <w:b/>
          <w:bCs/>
        </w:rPr>
      </w:pPr>
      <w:r w:rsidRPr="00236C98">
        <w:rPr>
          <w:b/>
          <w:bCs/>
        </w:rPr>
        <w:t>Benefits of Bilingualism and Multilingualism</w:t>
      </w:r>
    </w:p>
    <w:p w14:paraId="68ED6EF3" w14:textId="77777777" w:rsidR="00011538" w:rsidRDefault="00000000">
      <w:pPr>
        <w:ind w:left="-5"/>
      </w:pPr>
      <w:r>
        <w:t>Bilingualism offers a range of cognitive, social, and linguistic advantages. One key benefit is the development of metalinguistic awareness, which refers to the ability to reflect on and manipulate language structures. Bialystok (2001) argues that bilingual children demonstrate enhanced awareness of how language functions, enabling them to switch between linguistic systems and apply language more flexibly.</w:t>
      </w:r>
    </w:p>
    <w:p w14:paraId="77C64B59" w14:textId="77777777" w:rsidR="00011538" w:rsidRDefault="00000000">
      <w:pPr>
        <w:ind w:left="-5"/>
      </w:pPr>
      <w:r>
        <w:t xml:space="preserve">Cummins’ (1976) threshold hypothesis further explains that the cognitive benefits of bilingualism are most evident when children achieve sufficient competence in both languages. Once this threshold is reached, bilingualism can enhance higher-order thinking skills such as </w:t>
      </w:r>
      <w:proofErr w:type="spellStart"/>
      <w:r>
        <w:t>problemsolving</w:t>
      </w:r>
      <w:proofErr w:type="spellEnd"/>
      <w:r>
        <w:t xml:space="preserve"> and reasoning. This is closely linked to improved executive functioning, including attention control and working memory (Baker, 2011).</w:t>
      </w:r>
    </w:p>
    <w:p w14:paraId="0D4584D4" w14:textId="77777777" w:rsidR="00011538" w:rsidRDefault="00000000">
      <w:pPr>
        <w:ind w:left="-5"/>
      </w:pPr>
      <w:r>
        <w:t xml:space="preserve">From a sociocultural perspective, Vygotsky (1978) emphasises that language is central to social interaction and cognitive development. Bilingual children </w:t>
      </w:r>
      <w:proofErr w:type="gramStart"/>
      <w:r>
        <w:t>are able to</w:t>
      </w:r>
      <w:proofErr w:type="gramEnd"/>
      <w:r>
        <w:t xml:space="preserve"> navigate multiple cultural and linguistic contexts, which supports social understanding and communication. Additionally, maintaining a home language contributes to identity formation and emotional wellbeing (Issa and Hatt, 2013).</w:t>
      </w:r>
    </w:p>
    <w:p w14:paraId="3F057748" w14:textId="77777777" w:rsidR="00011538" w:rsidRDefault="00000000">
      <w:pPr>
        <w:ind w:left="-5"/>
      </w:pPr>
      <w:r>
        <w:t>These benefits were evident in the activity, where children engaged with real objects such as apple (</w:t>
      </w:r>
      <w:proofErr w:type="spellStart"/>
      <w:r>
        <w:t>seb</w:t>
      </w:r>
      <w:proofErr w:type="spellEnd"/>
      <w:r>
        <w:t>), banana (</w:t>
      </w:r>
      <w:proofErr w:type="spellStart"/>
      <w:r>
        <w:t>kela</w:t>
      </w:r>
      <w:proofErr w:type="spellEnd"/>
      <w:r>
        <w:t>), and tomato (</w:t>
      </w:r>
      <w:proofErr w:type="spellStart"/>
      <w:r>
        <w:t>tamatar</w:t>
      </w:r>
      <w:proofErr w:type="spellEnd"/>
      <w:r>
        <w:t>). Children naturally switched between English and Hindi when naming items, demonstrating code-switching. This reflects developing linguistic flexibility and metalinguistic awareness, as children recognised that objects can be represented in more than one language.</w:t>
      </w:r>
    </w:p>
    <w:p w14:paraId="4FBDDCD2" w14:textId="77777777" w:rsidR="00011538" w:rsidRPr="00236C98" w:rsidRDefault="00000000">
      <w:pPr>
        <w:spacing w:after="410" w:line="265" w:lineRule="auto"/>
        <w:ind w:left="-5"/>
        <w:rPr>
          <w:b/>
          <w:bCs/>
        </w:rPr>
      </w:pPr>
      <w:r w:rsidRPr="00236C98">
        <w:rPr>
          <w:b/>
          <w:bCs/>
        </w:rPr>
        <w:t>English as an Additional Language (EAL)</w:t>
      </w:r>
    </w:p>
    <w:p w14:paraId="41CD520F" w14:textId="77777777" w:rsidR="00011538" w:rsidRDefault="00000000">
      <w:pPr>
        <w:spacing w:after="0"/>
        <w:ind w:left="-5"/>
      </w:pPr>
      <w:r>
        <w:lastRenderedPageBreak/>
        <w:t xml:space="preserve">English as an Additional Language (EAL) is a key consideration in multilingual early years practice. Children learning English alongside another language bring valuable linguistic knowledge that should be viewed as an asset rather than a deficit (García and Baetens </w:t>
      </w:r>
    </w:p>
    <w:p w14:paraId="7CD1E742" w14:textId="77777777" w:rsidR="00011538" w:rsidRDefault="00000000">
      <w:pPr>
        <w:ind w:left="-5"/>
      </w:pPr>
      <w:proofErr w:type="spellStart"/>
      <w:r>
        <w:t>Beardsmore</w:t>
      </w:r>
      <w:proofErr w:type="spellEnd"/>
      <w:r>
        <w:t>, 2009). Their existing language skills support the acquisition of additional languages and contribute to overall cognitive development.</w:t>
      </w:r>
    </w:p>
    <w:p w14:paraId="1BA1B8B4" w14:textId="77777777" w:rsidR="00011538" w:rsidRDefault="00000000">
      <w:pPr>
        <w:ind w:left="-5"/>
      </w:pPr>
      <w:r>
        <w:t>The process of learning an additional language is complex and varies across individuals. Many children experience a “silent period,” during which they observe and process language before actively using it (Smidt, 2016). This stage reflects cognitive engagement rather than a lack of understanding, and practitioners must respond with patience and appropriate support.</w:t>
      </w:r>
    </w:p>
    <w:p w14:paraId="26379042" w14:textId="77777777" w:rsidR="00011538" w:rsidRDefault="00000000">
      <w:pPr>
        <w:ind w:left="-5"/>
      </w:pPr>
      <w:r>
        <w:t>Effective EAL practice involves creating inclusive, language-rich environments. Strategies such as visual cues, gestures, repetition, and modelling language can support comprehension. In the activity, the use of real fruits and vegetables alongside a bilingual video allowed children to associate words with physical objects, enhancing understanding. For example, hearing “banana” alongside “</w:t>
      </w:r>
      <w:proofErr w:type="spellStart"/>
      <w:r>
        <w:t>kela</w:t>
      </w:r>
      <w:proofErr w:type="spellEnd"/>
      <w:r>
        <w:t>” while holding the object provided contextual reinforcement.</w:t>
      </w:r>
    </w:p>
    <w:p w14:paraId="3CA5F6AA" w14:textId="77777777" w:rsidR="00011538" w:rsidRDefault="00000000">
      <w:pPr>
        <w:ind w:left="-5"/>
      </w:pPr>
      <w:r>
        <w:t>Peer interaction also played a significant role, as children repeated and practised vocabulary together. This social use of language aligns with Vygotsky’s (1978) emphasis on learning through interaction. However, practitioners must remain aware that language development is influenced by individual differences, and not all children will progress at the same pace.</w:t>
      </w:r>
    </w:p>
    <w:p w14:paraId="45F4A48F" w14:textId="77777777" w:rsidR="00011538" w:rsidRPr="00236C98" w:rsidRDefault="00000000">
      <w:pPr>
        <w:spacing w:after="410" w:line="265" w:lineRule="auto"/>
        <w:ind w:left="-5"/>
        <w:rPr>
          <w:b/>
          <w:bCs/>
        </w:rPr>
      </w:pPr>
      <w:r w:rsidRPr="00236C98">
        <w:rPr>
          <w:b/>
          <w:bCs/>
        </w:rPr>
        <w:t>Bilingualism and Brain Development</w:t>
      </w:r>
    </w:p>
    <w:p w14:paraId="5559E2C1" w14:textId="77777777" w:rsidR="00011538" w:rsidRDefault="00000000">
      <w:pPr>
        <w:ind w:left="-5"/>
      </w:pPr>
      <w:r>
        <w:t>Bilingualism has a profound impact on brain development, particularly during early childhood when neural plasticity is at its peak. Exposure to multiple languages stimulates the brain, leading to the formation of complex neural networks (Weber and Horner, 2012). These networks support cognitive processes such as attention, memory, and problem-solving.</w:t>
      </w:r>
    </w:p>
    <w:p w14:paraId="745CFA06" w14:textId="77777777" w:rsidR="00011538" w:rsidRDefault="00000000">
      <w:pPr>
        <w:ind w:left="-5"/>
      </w:pPr>
      <w:r>
        <w:t xml:space="preserve">Managing more than one language requires children to constantly select the appropriate language while inhibiting the other. This process strengthens executive functioning and cognitive control. </w:t>
      </w:r>
      <w:proofErr w:type="spellStart"/>
      <w:r>
        <w:t>Cenoz</w:t>
      </w:r>
      <w:proofErr w:type="spellEnd"/>
      <w:r>
        <w:t xml:space="preserve"> (2013) suggests that such mental flexibility contributes to the development of cognitive reserve, which supports long-term learning and adaptability.</w:t>
      </w:r>
    </w:p>
    <w:p w14:paraId="2DF0B84F" w14:textId="77777777" w:rsidR="00011538" w:rsidRDefault="00000000">
      <w:pPr>
        <w:ind w:left="-5"/>
      </w:pPr>
      <w:r>
        <w:t>Research also indicates that bilingual children demonstrate improved attentional control, allowing them to focus on relevant information and ignore distractions. During the activity, children demonstrated this ability by attending to both languages simultaneously while identifying objects. For instance, when prompted with “apple–</w:t>
      </w:r>
      <w:proofErr w:type="spellStart"/>
      <w:r>
        <w:t>seb</w:t>
      </w:r>
      <w:proofErr w:type="spellEnd"/>
      <w:r>
        <w:t>,” children were able to process and respond to both linguistic inputs effectively.</w:t>
      </w:r>
    </w:p>
    <w:p w14:paraId="06DB798E" w14:textId="77777777" w:rsidR="00011538" w:rsidRDefault="00000000">
      <w:pPr>
        <w:ind w:left="-5"/>
      </w:pPr>
      <w:r>
        <w:lastRenderedPageBreak/>
        <w:t>However, it is important to recognise that these benefits depend on meaningful and sustained exposure to both languages. Limited exposure may reduce the extent of cognitive advantages, highlighting the importance of consistent and supportive language environments.</w:t>
      </w:r>
    </w:p>
    <w:p w14:paraId="2CD301AC" w14:textId="77777777" w:rsidR="00011538" w:rsidRPr="00236C98" w:rsidRDefault="00000000">
      <w:pPr>
        <w:spacing w:after="410" w:line="265" w:lineRule="auto"/>
        <w:ind w:left="-5"/>
        <w:rPr>
          <w:b/>
          <w:bCs/>
        </w:rPr>
      </w:pPr>
      <w:r w:rsidRPr="00236C98">
        <w:rPr>
          <w:b/>
          <w:bCs/>
        </w:rPr>
        <w:t>Divergent Thinking and Creativity</w:t>
      </w:r>
    </w:p>
    <w:p w14:paraId="35F3E918" w14:textId="77777777" w:rsidR="00011538" w:rsidRDefault="00000000">
      <w:pPr>
        <w:ind w:left="-5"/>
      </w:pPr>
      <w:r>
        <w:t>Divergent thinking refers to the ability to generate multiple ideas and explore different perspectives. It is closely associated with creativity and problem-solving. Bilingualism supports divergent thinking by exposing children to multiple linguistic and cultural frameworks (</w:t>
      </w:r>
      <w:proofErr w:type="spellStart"/>
      <w:r>
        <w:t>Cenoz</w:t>
      </w:r>
      <w:proofErr w:type="spellEnd"/>
      <w:r>
        <w:t>, 2013).</w:t>
      </w:r>
    </w:p>
    <w:p w14:paraId="69420DBD" w14:textId="77777777" w:rsidR="00011538" w:rsidRDefault="00000000">
      <w:pPr>
        <w:ind w:left="-5"/>
      </w:pPr>
      <w:r>
        <w:t>Children who engage with more than one language develop an understanding that there are different ways to represent the same concept. This encourages flexible thinking and openness to alternative perspectives. As a result, bilingual children are often more willing to experiment and take creative risks.</w:t>
      </w:r>
    </w:p>
    <w:p w14:paraId="26160B91" w14:textId="77777777" w:rsidR="00011538" w:rsidRDefault="00000000">
      <w:pPr>
        <w:ind w:left="-5"/>
      </w:pPr>
      <w:r>
        <w:t>In the activity, children interacted with fruits, vegetables, and animal toys such as parrot (</w:t>
      </w:r>
      <w:proofErr w:type="spellStart"/>
      <w:r>
        <w:t>tota</w:t>
      </w:r>
      <w:proofErr w:type="spellEnd"/>
      <w:r>
        <w:t>) and elephant (</w:t>
      </w:r>
      <w:proofErr w:type="spellStart"/>
      <w:r>
        <w:t>hathi</w:t>
      </w:r>
      <w:proofErr w:type="spellEnd"/>
      <w:r>
        <w:t xml:space="preserve">). Rather than using these in extended imaginative play, the focus was on repetition and familiarisation, where children were encouraged to name and repeat the objects in both English and Hindi. This structured repetition supported vocabulary acquisition and pronunciation, reinforcing connections between the two languages. Although the activity was more guided than open-ended, it still contributed to cognitive flexibility, as children recognised that a single object </w:t>
      </w:r>
      <w:proofErr w:type="gramStart"/>
      <w:r>
        <w:t>can</w:t>
      </w:r>
      <w:proofErr w:type="gramEnd"/>
      <w:r>
        <w:t xml:space="preserve"> have multiple linguistic representations.</w:t>
      </w:r>
    </w:p>
    <w:p w14:paraId="36C66F7A" w14:textId="77777777" w:rsidR="00011538" w:rsidRDefault="00000000">
      <w:pPr>
        <w:ind w:left="-5"/>
      </w:pPr>
      <w:r>
        <w:t>Bruce (2012) emphasises that play-based learning provides opportunities for children to explore ideas freely. The integration of bilingual language within play contexts therefore enhances both cognitive flexibility and creativity. However, practitioners must ensure that activities remain open-ended, as overly structured tasks may limit opportunities for divergent thinking.</w:t>
      </w:r>
    </w:p>
    <w:p w14:paraId="75AF5ED4" w14:textId="77777777" w:rsidR="00011538" w:rsidRPr="00236C98" w:rsidRDefault="00000000">
      <w:pPr>
        <w:spacing w:after="410" w:line="265" w:lineRule="auto"/>
        <w:ind w:left="-5"/>
        <w:rPr>
          <w:b/>
          <w:bCs/>
        </w:rPr>
      </w:pPr>
      <w:r w:rsidRPr="00236C98">
        <w:rPr>
          <w:b/>
          <w:bCs/>
        </w:rPr>
        <w:t>Links to Curriculum and Policy</w:t>
      </w:r>
    </w:p>
    <w:p w14:paraId="63D5DE1B" w14:textId="77777777" w:rsidR="00011538" w:rsidRDefault="00000000">
      <w:pPr>
        <w:ind w:left="-5"/>
      </w:pPr>
      <w:r>
        <w:t xml:space="preserve">Educational frameworks emphasise the importance of communication, inclusivity, and </w:t>
      </w:r>
      <w:proofErr w:type="spellStart"/>
      <w:r>
        <w:t>childcentred</w:t>
      </w:r>
      <w:proofErr w:type="spellEnd"/>
      <w:r>
        <w:t xml:space="preserve"> learning. Supporting bilingualism aligns with these principles by recognising linguistic diversity as a strength. Donaldson (2015) highlights the need to develop confident individuals who can communicate effectively in a range of contexts.</w:t>
      </w:r>
    </w:p>
    <w:p w14:paraId="1EB68BA6" w14:textId="77777777" w:rsidR="00011538" w:rsidRDefault="00000000">
      <w:pPr>
        <w:ind w:left="-5"/>
      </w:pPr>
      <w:r>
        <w:t>Policy guidance also promotes the inclusion of children’s home languages within educational settings (Welsh Government, 2013). This supports cultural identity and strengthens connections between home and school environments. By valuing children’s linguistic backgrounds, practitioners can create more inclusive and supportive learning experiences.</w:t>
      </w:r>
    </w:p>
    <w:p w14:paraId="5C1830FA" w14:textId="77777777" w:rsidR="00011538" w:rsidRDefault="00000000">
      <w:pPr>
        <w:ind w:left="-5"/>
      </w:pPr>
      <w:r>
        <w:t xml:space="preserve">However, there are challenges in implementing policy effectively. While frameworks promote multilingualism in principle, practitioners may lack training or resources to fully support diverse languages in practice. This </w:t>
      </w:r>
      <w:r>
        <w:lastRenderedPageBreak/>
        <w:t>highlights a gap between policy and implementation, requiring ongoing professional development and institutional support.</w:t>
      </w:r>
    </w:p>
    <w:p w14:paraId="271BC036" w14:textId="77777777" w:rsidR="00011538" w:rsidRDefault="00000000">
      <w:pPr>
        <w:ind w:left="-5"/>
      </w:pPr>
      <w:r>
        <w:t>The activity reflects policy principles by integrating children’s home language (Hindi) alongside English. By doing so, it promotes inclusion, engagement, and meaningful learning. Nevertheless, practitioners must remain reflective to ensure that all languages are equally valued and supported.</w:t>
      </w:r>
    </w:p>
    <w:p w14:paraId="6EA9A5D7" w14:textId="77777777" w:rsidR="00011538" w:rsidRPr="00236C98" w:rsidRDefault="00000000">
      <w:pPr>
        <w:spacing w:after="410" w:line="265" w:lineRule="auto"/>
        <w:ind w:left="-5"/>
        <w:rPr>
          <w:b/>
          <w:bCs/>
        </w:rPr>
      </w:pPr>
      <w:r w:rsidRPr="00236C98">
        <w:rPr>
          <w:b/>
          <w:bCs/>
        </w:rPr>
        <w:t>Conclusion</w:t>
      </w:r>
    </w:p>
    <w:p w14:paraId="7D4C1B38" w14:textId="77777777" w:rsidR="00011538" w:rsidRDefault="00000000">
      <w:pPr>
        <w:ind w:left="-5"/>
      </w:pPr>
      <w:r>
        <w:t>Bilingualism and multilingualism offer significant benefits for young children, supporting cognitive development, social identity, brain function, and creative thinking. Theoretical perspectives, including Cummins’ threshold hypothesis and Vygotsky’s sociocultural theory, highlight the importance of language in learning and development. Contemporary research further emphasises the value of multilingualism as a key feature of modern educational contexts.</w:t>
      </w:r>
    </w:p>
    <w:p w14:paraId="6BBD25C2" w14:textId="77777777" w:rsidR="00011538" w:rsidRDefault="00000000">
      <w:pPr>
        <w:ind w:left="-5"/>
      </w:pPr>
      <w:r>
        <w:t>The activity involving real objects, animal toys, and bilingual language input demonstrates how these principles can be applied in practice. By encouraging code-switching and providing meaningful, play-based experiences, practitioners can support both language development and engagement.</w:t>
      </w:r>
    </w:p>
    <w:p w14:paraId="525E6B67" w14:textId="77777777" w:rsidR="00011538" w:rsidRDefault="00000000">
      <w:pPr>
        <w:spacing w:after="416"/>
        <w:ind w:left="-5"/>
      </w:pPr>
      <w:r>
        <w:t>However, effective implementation requires reflective practice, appropriate resources, and ongoing professional development. Future practice should focus on strengthening support for multilingual learners and ensuring that policy is effectively translated into practice.</w:t>
      </w:r>
    </w:p>
    <w:p w14:paraId="0B4B25DD" w14:textId="77777777" w:rsidR="00011538" w:rsidRDefault="00000000">
      <w:pPr>
        <w:ind w:left="-5"/>
      </w:pPr>
      <w:r>
        <w:t>Ultimately, creating inclusive, language-rich environments enables children to develop confidence, competence, and a strong sense of identity, supporting their overall development and long-term success.</w:t>
      </w:r>
    </w:p>
    <w:p w14:paraId="5CF841C9" w14:textId="77777777" w:rsidR="00011538" w:rsidRPr="00236C98" w:rsidRDefault="00000000">
      <w:pPr>
        <w:spacing w:after="410" w:line="265" w:lineRule="auto"/>
        <w:ind w:left="-5"/>
        <w:rPr>
          <w:b/>
          <w:bCs/>
        </w:rPr>
      </w:pPr>
      <w:r w:rsidRPr="00236C98">
        <w:rPr>
          <w:b/>
          <w:bCs/>
        </w:rPr>
        <w:t>Reference List</w:t>
      </w:r>
    </w:p>
    <w:p w14:paraId="3B00A632" w14:textId="77777777" w:rsidR="00011538" w:rsidRDefault="00000000">
      <w:pPr>
        <w:ind w:left="-5"/>
      </w:pPr>
      <w:r>
        <w:t xml:space="preserve">Baker, C. (2011). </w:t>
      </w:r>
      <w:r>
        <w:rPr>
          <w:i/>
        </w:rPr>
        <w:t>Foundations of bilingual education and bilingualism</w:t>
      </w:r>
      <w:r>
        <w:t xml:space="preserve"> (5th ed.). Multilingual Matters.</w:t>
      </w:r>
    </w:p>
    <w:p w14:paraId="22F48E67" w14:textId="77777777" w:rsidR="00011538" w:rsidRDefault="00000000">
      <w:pPr>
        <w:spacing w:after="412" w:line="259" w:lineRule="auto"/>
        <w:ind w:left="-5"/>
      </w:pPr>
      <w:r>
        <w:t xml:space="preserve">Bialystok, E. (2001). </w:t>
      </w:r>
      <w:r>
        <w:rPr>
          <w:i/>
        </w:rPr>
        <w:t>Bilingualism in development: Language, literacy and cognition</w:t>
      </w:r>
      <w:r>
        <w:t>. Cambridge University Press.</w:t>
      </w:r>
    </w:p>
    <w:p w14:paraId="1B07CEC6" w14:textId="77777777" w:rsidR="00011538" w:rsidRDefault="00000000">
      <w:pPr>
        <w:ind w:left="-5"/>
      </w:pPr>
      <w:r>
        <w:t xml:space="preserve">Bruce, T. (2012). </w:t>
      </w:r>
      <w:r>
        <w:rPr>
          <w:i/>
        </w:rPr>
        <w:t>Learning through play</w:t>
      </w:r>
      <w:r>
        <w:t xml:space="preserve"> (2nd ed.). Hodder Education.</w:t>
      </w:r>
    </w:p>
    <w:p w14:paraId="1594551A" w14:textId="77777777" w:rsidR="00011538" w:rsidRDefault="00000000">
      <w:pPr>
        <w:ind w:left="-5"/>
      </w:pPr>
      <w:proofErr w:type="spellStart"/>
      <w:r>
        <w:t>Cenoz</w:t>
      </w:r>
      <w:proofErr w:type="spellEnd"/>
      <w:r>
        <w:t xml:space="preserve">, J. (2013). Defining multilingualism. </w:t>
      </w:r>
      <w:r>
        <w:rPr>
          <w:i/>
        </w:rPr>
        <w:t>Annual Review of Applied Linguistics</w:t>
      </w:r>
      <w:r>
        <w:t>, 33, pp. 3–18.</w:t>
      </w:r>
    </w:p>
    <w:p w14:paraId="769191BF" w14:textId="77777777" w:rsidR="00011538" w:rsidRDefault="00000000">
      <w:pPr>
        <w:ind w:left="-5"/>
      </w:pPr>
      <w:r>
        <w:t xml:space="preserve">Cummins, J. (1976). The influence of bilingualism on cognitive growth: A synthesis of research findings and explanatory hypotheses. </w:t>
      </w:r>
      <w:r>
        <w:rPr>
          <w:i/>
        </w:rPr>
        <w:t>Working Papers on Bilingualism</w:t>
      </w:r>
      <w:r>
        <w:t>, 9, pp. 1–43.</w:t>
      </w:r>
    </w:p>
    <w:p w14:paraId="49913B48" w14:textId="77777777" w:rsidR="00011538" w:rsidRDefault="00000000">
      <w:pPr>
        <w:spacing w:after="412" w:line="259" w:lineRule="auto"/>
        <w:ind w:left="-5"/>
      </w:pPr>
      <w:r>
        <w:lastRenderedPageBreak/>
        <w:t xml:space="preserve">Donaldson, G. (2015). </w:t>
      </w:r>
      <w:r>
        <w:rPr>
          <w:i/>
        </w:rPr>
        <w:t>Successful futures: Independent review of curriculum and assessment arrangements in Wales</w:t>
      </w:r>
      <w:r>
        <w:t>. Cardiff: Welsh Government.</w:t>
      </w:r>
    </w:p>
    <w:p w14:paraId="639C0C66" w14:textId="77777777" w:rsidR="00011538" w:rsidRDefault="00000000">
      <w:pPr>
        <w:ind w:left="-5"/>
      </w:pPr>
      <w:r>
        <w:t xml:space="preserve">García, O. and Baetens Beardsmore, H. (2009). </w:t>
      </w:r>
      <w:r>
        <w:rPr>
          <w:i/>
        </w:rPr>
        <w:t>Bilingual education in the 21st century: A global perspective</w:t>
      </w:r>
      <w:r>
        <w:t>. Wiley-Blackwell.</w:t>
      </w:r>
    </w:p>
    <w:p w14:paraId="74949DB0" w14:textId="77777777" w:rsidR="00011538" w:rsidRDefault="00000000">
      <w:pPr>
        <w:spacing w:after="412" w:line="259" w:lineRule="auto"/>
        <w:ind w:left="-5"/>
      </w:pPr>
      <w:r>
        <w:t xml:space="preserve">Issa, T. and Hatt, A. (2013). </w:t>
      </w:r>
      <w:r>
        <w:rPr>
          <w:i/>
        </w:rPr>
        <w:t>Language, culture and identity in the early years</w:t>
      </w:r>
      <w:r>
        <w:t>. Continuum.</w:t>
      </w:r>
    </w:p>
    <w:p w14:paraId="047253B7" w14:textId="77777777" w:rsidR="00011538" w:rsidRDefault="00000000">
      <w:pPr>
        <w:ind w:left="-5"/>
      </w:pPr>
      <w:r>
        <w:t xml:space="preserve">Rindler Schjerve, R. and Vetter, E. (2012). </w:t>
      </w:r>
      <w:r>
        <w:rPr>
          <w:i/>
        </w:rPr>
        <w:t>European multilingualism: Current perspectives and challenges</w:t>
      </w:r>
      <w:r>
        <w:t>. Multilingual Matters.</w:t>
      </w:r>
    </w:p>
    <w:p w14:paraId="310240D0" w14:textId="77777777" w:rsidR="00011538" w:rsidRDefault="00000000">
      <w:pPr>
        <w:spacing w:after="412" w:line="259" w:lineRule="auto"/>
        <w:ind w:left="-5"/>
      </w:pPr>
      <w:r>
        <w:t xml:space="preserve">Smidt, S. (2016). </w:t>
      </w:r>
      <w:r>
        <w:rPr>
          <w:i/>
        </w:rPr>
        <w:t>Multilingualism in the early years: Extending the limits of our world</w:t>
      </w:r>
      <w:r>
        <w:t>. Routledge.</w:t>
      </w:r>
    </w:p>
    <w:p w14:paraId="3E7D4148" w14:textId="77777777" w:rsidR="00011538" w:rsidRDefault="00000000">
      <w:pPr>
        <w:spacing w:after="412" w:line="259" w:lineRule="auto"/>
        <w:ind w:left="-5"/>
      </w:pPr>
      <w:r>
        <w:t xml:space="preserve">Vygotsky, L.S. (1978). </w:t>
      </w:r>
      <w:r>
        <w:rPr>
          <w:i/>
        </w:rPr>
        <w:t>Mind in society: The development of higher psychological processes</w:t>
      </w:r>
      <w:r>
        <w:t>. Harvard University Press.</w:t>
      </w:r>
    </w:p>
    <w:p w14:paraId="663E3933" w14:textId="77777777" w:rsidR="00011538" w:rsidRDefault="00000000">
      <w:pPr>
        <w:spacing w:after="412" w:line="259" w:lineRule="auto"/>
        <w:ind w:left="-5"/>
      </w:pPr>
      <w:r>
        <w:t xml:space="preserve">Weber, J. and Horner, K. (2012). </w:t>
      </w:r>
      <w:r>
        <w:rPr>
          <w:i/>
        </w:rPr>
        <w:t>Introducing multilingualism: A social approach</w:t>
      </w:r>
      <w:r>
        <w:t>. Routledge.</w:t>
      </w:r>
    </w:p>
    <w:p w14:paraId="7C2555C1" w14:textId="77777777" w:rsidR="00011538" w:rsidRDefault="00000000">
      <w:pPr>
        <w:spacing w:after="412" w:line="259" w:lineRule="auto"/>
        <w:ind w:left="-5"/>
      </w:pPr>
      <w:r>
        <w:t xml:space="preserve">Welsh Government (2013). </w:t>
      </w:r>
      <w:r>
        <w:rPr>
          <w:i/>
        </w:rPr>
        <w:t xml:space="preserve">Developing the Curriculum </w:t>
      </w:r>
      <w:proofErr w:type="spellStart"/>
      <w:r>
        <w:rPr>
          <w:i/>
        </w:rPr>
        <w:t>Cymreig</w:t>
      </w:r>
      <w:proofErr w:type="spellEnd"/>
      <w:r>
        <w:t xml:space="preserve">. </w:t>
      </w:r>
    </w:p>
    <w:sectPr w:rsidR="00011538">
      <w:pgSz w:w="11906" w:h="16838"/>
      <w:pgMar w:top="800" w:right="462" w:bottom="1095" w:left="4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263915"/>
    <w:multiLevelType w:val="hybridMultilevel"/>
    <w:tmpl w:val="3572A014"/>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16cid:durableId="2116511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538"/>
    <w:rsid w:val="00011538"/>
    <w:rsid w:val="00236C98"/>
    <w:rsid w:val="00CB4872"/>
    <w:rsid w:val="00D6261E"/>
    <w:rsid w:val="00D96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6A0B3"/>
  <w15:docId w15:val="{06FCB095-9681-46BB-B6BC-B856ACBA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71" w:line="300" w:lineRule="auto"/>
      <w:ind w:left="10" w:hanging="10"/>
    </w:pPr>
    <w:rPr>
      <w:rFonts w:ascii="Calibri" w:eastAsia="Calibri" w:hAnsi="Calibri" w:cs="Calibri"/>
      <w:color w:val="4444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2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v:/r/personal/2516300_student_uwtsd_ac_uk/Documents/OTBJ0541.MOV?csf=1&amp;web=1&amp;nav=eyJyZWZlcnJhbEluZm8iOnsicmVmZXJyYWxBcHAiOiJPbmVEcml2ZUZvckJ1c2luZXNzIiwicmVmZXJyYWxBcHBQbGF0Zm9ybSI6IldlYiIsInJlZmVycmFsTW9kZSI6InZpZXciLCJyZWZlcnJhbFZpZXciOiJNeUZpbGVzTGlua0NvcHkifX0&amp;e=dwjKfz"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1872</Words>
  <Characters>10672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Final draft</vt:lpstr>
    </vt:vector>
  </TitlesOfParts>
  <Company/>
  <LinksUpToDate>false</LinksUpToDate>
  <CharactersWithSpaces>12519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draft</dc:title>
  <dc:subject/>
  <dc:creator>Elliya Rizvi</dc:creator>
  <cp:keywords/>
  <cp:lastModifiedBy>Elliya Rizvi</cp:lastModifiedBy>
  <cp:revision>2</cp:revision>
  <dcterms:created xsi:type="dcterms:W3CDTF">2026-03-29T22:44:00Z</dcterms:created>
  <dcterms:modified xsi:type="dcterms:W3CDTF">2026-03-29T22:44:00Z</dcterms:modified>
</cp:coreProperties>
</file>