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85DA4" w14:textId="1ADF9219" w:rsidR="00D65F87" w:rsidRDefault="00D65F87" w:rsidP="00131165">
      <w:pPr>
        <w:pStyle w:val="Title"/>
        <w:jc w:val="left"/>
      </w:pPr>
    </w:p>
    <w:p w14:paraId="58D53AD4" w14:textId="2D0E14C1" w:rsidR="00131165" w:rsidRPr="00131165" w:rsidRDefault="00131165" w:rsidP="00131165">
      <w:bookmarkStart w:id="0" w:name="_Toc343429583"/>
      <w:r w:rsidRPr="00E913B3">
        <w:rPr>
          <w:b/>
          <w:noProof/>
          <w:lang w:eastAsia="en-GB"/>
        </w:rPr>
        <w:drawing>
          <wp:inline distT="0" distB="0" distL="0" distR="0" wp14:anchorId="103F0BD4" wp14:editId="5DB58414">
            <wp:extent cx="2924175" cy="1180465"/>
            <wp:effectExtent l="19050" t="0" r="9525" b="0"/>
            <wp:docPr id="1669675447" name="Picture 166967544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srcRect/>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0"/>
    </w:p>
    <w:p w14:paraId="0F0570FC" w14:textId="5ECC19C2" w:rsidR="00131165" w:rsidRDefault="00131165" w:rsidP="00131165"/>
    <w:p w14:paraId="570519BE" w14:textId="77777777" w:rsidR="00131165" w:rsidRPr="00131165" w:rsidRDefault="00131165" w:rsidP="00131165"/>
    <w:p w14:paraId="4B7EC4FB" w14:textId="5957A1E1" w:rsidR="00831671" w:rsidRDefault="002173E9" w:rsidP="00131165">
      <w:pPr>
        <w:pStyle w:val="Title"/>
      </w:pPr>
      <w:r w:rsidRPr="00DC2348">
        <w:t xml:space="preserve">The Impact of Diversity and Inclusion Strategies on Staff Retention in the </w:t>
      </w:r>
      <w:r w:rsidR="00806066">
        <w:t xml:space="preserve">NHS </w:t>
      </w:r>
    </w:p>
    <w:p w14:paraId="74D5FCB6" w14:textId="4286E151" w:rsidR="00797CC3" w:rsidRDefault="00DD4363" w:rsidP="00131165">
      <w:pPr>
        <w:pStyle w:val="Title"/>
      </w:pPr>
      <w:r>
        <w:t xml:space="preserve"> (NHS Wales)</w:t>
      </w:r>
    </w:p>
    <w:p w14:paraId="504CCCD9" w14:textId="77777777" w:rsidR="002173E9" w:rsidRDefault="002173E9" w:rsidP="00131165">
      <w:pPr>
        <w:spacing w:line="480" w:lineRule="auto"/>
      </w:pPr>
    </w:p>
    <w:p w14:paraId="2D5B8F0E" w14:textId="72EE40CD" w:rsidR="002173E9" w:rsidRDefault="002173E9" w:rsidP="00131165">
      <w:pPr>
        <w:spacing w:line="480" w:lineRule="auto"/>
      </w:pPr>
    </w:p>
    <w:p w14:paraId="3B5580F2" w14:textId="164A4901" w:rsidR="00D65F87" w:rsidRPr="00131165" w:rsidRDefault="00AA55B4" w:rsidP="00131165">
      <w:pPr>
        <w:spacing w:line="480" w:lineRule="auto"/>
        <w:jc w:val="center"/>
        <w:rPr>
          <w:b/>
          <w:bCs/>
        </w:rPr>
      </w:pPr>
      <w:r w:rsidRPr="00131165">
        <w:rPr>
          <w:b/>
          <w:bCs/>
        </w:rPr>
        <w:t>NAZIFA SULTANA OHIA</w:t>
      </w:r>
    </w:p>
    <w:p w14:paraId="5A40A1F3" w14:textId="3ADF5D57" w:rsidR="00D65F87" w:rsidRDefault="00D65F87" w:rsidP="00131165">
      <w:pPr>
        <w:spacing w:line="480" w:lineRule="auto"/>
        <w:jc w:val="center"/>
        <w:rPr>
          <w:b/>
          <w:bCs/>
        </w:rPr>
      </w:pPr>
      <w:r w:rsidRPr="00131165">
        <w:rPr>
          <w:b/>
          <w:bCs/>
        </w:rPr>
        <w:t>ID: 2410582</w:t>
      </w:r>
    </w:p>
    <w:p w14:paraId="260CB25E" w14:textId="502378DE" w:rsidR="00AA55B4" w:rsidRDefault="00AA55B4" w:rsidP="00131165">
      <w:pPr>
        <w:spacing w:line="480" w:lineRule="auto"/>
        <w:jc w:val="center"/>
        <w:rPr>
          <w:b/>
          <w:bCs/>
        </w:rPr>
      </w:pPr>
    </w:p>
    <w:p w14:paraId="7BE0C9BE" w14:textId="77777777" w:rsidR="00AA55B4" w:rsidRPr="00131165" w:rsidRDefault="00AA55B4" w:rsidP="00131165">
      <w:pPr>
        <w:spacing w:line="480" w:lineRule="auto"/>
        <w:jc w:val="center"/>
        <w:rPr>
          <w:b/>
          <w:bCs/>
        </w:rPr>
      </w:pPr>
    </w:p>
    <w:p w14:paraId="7C91BF8A" w14:textId="77777777" w:rsidR="00D65F87" w:rsidRDefault="00D65F87" w:rsidP="00131165">
      <w:pPr>
        <w:spacing w:line="480" w:lineRule="auto"/>
        <w:jc w:val="center"/>
      </w:pPr>
      <w:r w:rsidRPr="00A23AD4">
        <w:t>MBA in Business Administration</w:t>
      </w:r>
    </w:p>
    <w:p w14:paraId="7E6E1048" w14:textId="77777777" w:rsidR="00D65F87" w:rsidRDefault="00D65F87" w:rsidP="00131165">
      <w:pPr>
        <w:spacing w:line="480" w:lineRule="auto"/>
        <w:jc w:val="center"/>
      </w:pPr>
      <w:r>
        <w:t>University of Wales Trinity Saint David</w:t>
      </w:r>
    </w:p>
    <w:p w14:paraId="5F73A3CC" w14:textId="77777777" w:rsidR="00D65F87" w:rsidRDefault="00D65F87" w:rsidP="00131165">
      <w:pPr>
        <w:spacing w:line="480" w:lineRule="auto"/>
        <w:jc w:val="center"/>
      </w:pPr>
      <w:r>
        <w:t>December, 2025</w:t>
      </w:r>
    </w:p>
    <w:p w14:paraId="57F9A9FE" w14:textId="77777777" w:rsidR="00D65F87" w:rsidRDefault="00D65F87" w:rsidP="002173E9"/>
    <w:p w14:paraId="2C8BC6FB" w14:textId="77777777" w:rsidR="002173E9" w:rsidRDefault="002173E9">
      <w:pPr>
        <w:spacing w:line="240" w:lineRule="auto"/>
        <w:jc w:val="left"/>
      </w:pPr>
      <w:r>
        <w:br w:type="page"/>
      </w:r>
    </w:p>
    <w:p w14:paraId="5E00CB2D" w14:textId="77777777" w:rsidR="00131165" w:rsidRDefault="00131165" w:rsidP="00131165"/>
    <w:p w14:paraId="095D5C2F" w14:textId="69BEF66E" w:rsidR="002173E9" w:rsidRDefault="00131165" w:rsidP="00131165">
      <w:pPr>
        <w:pStyle w:val="Heading1"/>
      </w:pPr>
      <w:bookmarkStart w:id="1" w:name="_Toc216408853"/>
      <w:r>
        <w:t>ABSTRACT</w:t>
      </w:r>
      <w:bookmarkEnd w:id="1"/>
    </w:p>
    <w:p w14:paraId="7CD3F084" w14:textId="77777777" w:rsidR="00131165" w:rsidRPr="00131165" w:rsidRDefault="00131165" w:rsidP="00131165"/>
    <w:p w14:paraId="5DA6381C" w14:textId="4F546609" w:rsidR="002173E9" w:rsidRDefault="009C7ADA" w:rsidP="009C7ADA">
      <w:r w:rsidRPr="009C7ADA">
        <w:t xml:space="preserve">The </w:t>
      </w:r>
      <w:r>
        <w:t>study</w:t>
      </w:r>
      <w:r w:rsidRPr="009C7ADA">
        <w:t xml:space="preserve"> explore</w:t>
      </w:r>
      <w:r>
        <w:t>d</w:t>
      </w:r>
      <w:r w:rsidRPr="009C7ADA">
        <w:t xml:space="preserve"> how Diversity and Inclusion (D&amp;I) strategies can be used to retain staff at NHS Wales (GIG Cymru), particularly Black, Asian, and Minority Ethnic (BAME) and frontline staff. In a context of endemic staffing shortages, the study contextualises retention not as a Human Resource issue, but as a duty of quality that is established by the Well-being of Future Generations (Wales) Act 2015. The quantitative approach was taken, using the online survey with 154 NHS employees as the primary data, and descriptive and inferential statistics to analyse the data. The results demonstrate that there is a strong, statistically significant positive correlation between well-developed D&amp;I strategies and staff retention proving that perceived inclusiveness is a key mediator of organisational loyalty. More importantly, the data contradicts the narratives of the common tokenism, which suggests that structure can be an intervention affecting the staff more than the symbolic compliance (e.g. inclusive rostering, transparent career mapping, etc.). The research determines that transformation of the Welsh public health sector incorporation of sustainable retention is inherent in the transformation of procedural conformity to substantive changes in culture. Strategies such as operationalisation of the principles of fair work to reduce the professional isolation in the rural Health Boards are among the recommendations that will ensure adequate workforce is obtained to serve the generations to come.</w:t>
      </w:r>
    </w:p>
    <w:p w14:paraId="064FD2F8" w14:textId="77777777" w:rsidR="009C7ADA" w:rsidRDefault="009C7ADA" w:rsidP="009C7ADA"/>
    <w:p w14:paraId="4779FE1E" w14:textId="77777777" w:rsidR="000F342B" w:rsidRDefault="000F342B">
      <w:pPr>
        <w:spacing w:line="240" w:lineRule="auto"/>
        <w:jc w:val="left"/>
      </w:pPr>
      <w:r>
        <w:br w:type="page"/>
      </w:r>
    </w:p>
    <w:p w14:paraId="2E16A93B" w14:textId="77777777" w:rsidR="000F342B" w:rsidRPr="00E913B3" w:rsidRDefault="000F342B" w:rsidP="000F342B">
      <w:pPr>
        <w:pStyle w:val="Heading1"/>
      </w:pPr>
      <w:bookmarkStart w:id="2" w:name="_Toc216408854"/>
      <w:r w:rsidRPr="00E913B3">
        <w:lastRenderedPageBreak/>
        <w:t>DECLARATION</w:t>
      </w:r>
      <w:bookmarkEnd w:id="2"/>
    </w:p>
    <w:p w14:paraId="3666F83A" w14:textId="77777777" w:rsidR="000F342B" w:rsidRPr="00E913B3" w:rsidRDefault="000F342B" w:rsidP="000F342B">
      <w:pPr>
        <w:spacing w:line="240" w:lineRule="auto"/>
        <w:ind w:left="720" w:hanging="630"/>
        <w:rPr>
          <w:rFonts w:ascii="Arial" w:hAnsi="Arial" w:cs="Arial"/>
          <w:spacing w:val="-2"/>
        </w:rPr>
      </w:pPr>
    </w:p>
    <w:p w14:paraId="274DA0F7" w14:textId="77777777" w:rsidR="000F342B" w:rsidRPr="00E913B3" w:rsidRDefault="000F342B" w:rsidP="00D54A4F">
      <w:r w:rsidRPr="00E913B3">
        <w:t>This work has not previously been accepted in substance for any degree and is not being concurrently submitted in candidature for any degree.</w:t>
      </w:r>
      <w:r w:rsidRPr="00E913B3">
        <w:tab/>
      </w:r>
    </w:p>
    <w:p w14:paraId="6824D9AD" w14:textId="77777777" w:rsidR="000F342B" w:rsidRPr="00E913B3" w:rsidRDefault="000F342B" w:rsidP="00D54A4F"/>
    <w:p w14:paraId="68BFB9A8" w14:textId="77777777" w:rsidR="000F342B" w:rsidRPr="00E913B3" w:rsidRDefault="000F342B" w:rsidP="00D54A4F"/>
    <w:p w14:paraId="1E424CE2" w14:textId="13F5DB2B" w:rsidR="000F342B" w:rsidRPr="00D54A4F" w:rsidRDefault="000F342B" w:rsidP="00D54A4F">
      <w:r w:rsidRPr="00E913B3">
        <w:t>Signed ........................</w:t>
      </w:r>
      <w:r w:rsidR="00D54A4F" w:rsidRPr="00D54A4F">
        <w:t xml:space="preserve"> </w:t>
      </w:r>
      <w:proofErr w:type="spellStart"/>
      <w:r w:rsidR="00D54A4F" w:rsidRPr="00D65F87">
        <w:t>Nazifa</w:t>
      </w:r>
      <w:proofErr w:type="spellEnd"/>
      <w:r w:rsidR="00D54A4F" w:rsidRPr="00D65F87">
        <w:t xml:space="preserve"> Sultana </w:t>
      </w:r>
      <w:proofErr w:type="spellStart"/>
      <w:r w:rsidR="00D54A4F" w:rsidRPr="00D65F87">
        <w:t>Ohia</w:t>
      </w:r>
      <w:proofErr w:type="spellEnd"/>
      <w:r w:rsidRPr="00E913B3">
        <w:t>...... (candidate)</w:t>
      </w:r>
      <w:r w:rsidRPr="00E913B3">
        <w:tab/>
      </w:r>
    </w:p>
    <w:p w14:paraId="708C2E53" w14:textId="77777777" w:rsidR="000F342B" w:rsidRPr="00E913B3" w:rsidRDefault="000F342B" w:rsidP="00D54A4F"/>
    <w:p w14:paraId="4CDA1725" w14:textId="6F318158" w:rsidR="000F342B" w:rsidRDefault="000F342B" w:rsidP="00D54A4F">
      <w:r w:rsidRPr="00E913B3">
        <w:t>Date ................................</w:t>
      </w:r>
      <w:r w:rsidR="00D54A4F">
        <w:t>12/12/2025</w:t>
      </w:r>
      <w:r w:rsidRPr="00E913B3">
        <w:t>........................................</w:t>
      </w:r>
      <w:r w:rsidRPr="00E913B3">
        <w:tab/>
      </w:r>
    </w:p>
    <w:p w14:paraId="593BF39F" w14:textId="6BFDEEE7" w:rsidR="00D54A4F" w:rsidRDefault="00D54A4F" w:rsidP="00D54A4F"/>
    <w:p w14:paraId="07C31373" w14:textId="61CDDC3F" w:rsidR="00D54A4F" w:rsidRDefault="00D54A4F" w:rsidP="00D54A4F"/>
    <w:p w14:paraId="318742F1" w14:textId="77777777" w:rsidR="00D54A4F" w:rsidRPr="00E913B3" w:rsidRDefault="00D54A4F" w:rsidP="00D54A4F"/>
    <w:p w14:paraId="71039D65" w14:textId="59445149" w:rsidR="009C7ADA" w:rsidRDefault="009C7ADA">
      <w:pPr>
        <w:spacing w:line="240" w:lineRule="auto"/>
        <w:jc w:val="left"/>
      </w:pPr>
      <w:r>
        <w:br w:type="page"/>
      </w:r>
    </w:p>
    <w:p w14:paraId="2CEF30D7" w14:textId="77777777" w:rsidR="00D54A4F" w:rsidRDefault="00D54A4F">
      <w:pPr>
        <w:spacing w:line="240" w:lineRule="auto"/>
        <w:jc w:val="left"/>
      </w:pPr>
    </w:p>
    <w:sdt>
      <w:sdtPr>
        <w:rPr>
          <w:rFonts w:eastAsiaTheme="minorHAnsi" w:cs="Vrinda"/>
          <w:b w:val="0"/>
          <w:bCs w:val="0"/>
          <w:color w:val="000000" w:themeColor="text1"/>
          <w:kern w:val="2"/>
          <w:sz w:val="24"/>
          <w:szCs w:val="30"/>
          <w:lang w:val="en-GB" w:bidi="bn-IN"/>
        </w:rPr>
        <w:id w:val="-776325400"/>
        <w:docPartObj>
          <w:docPartGallery w:val="Table of Contents"/>
          <w:docPartUnique/>
        </w:docPartObj>
      </w:sdtPr>
      <w:sdtEndPr>
        <w:rPr>
          <w:rFonts w:cs="Times New Roman"/>
          <w:noProof/>
          <w:szCs w:val="24"/>
        </w:rPr>
      </w:sdtEndPr>
      <w:sdtContent>
        <w:p w14:paraId="1BE92C9A" w14:textId="3554C2CC" w:rsidR="009C7ADA" w:rsidRPr="00131165" w:rsidRDefault="00131165" w:rsidP="00131165">
          <w:pPr>
            <w:pStyle w:val="TOCHeading"/>
            <w:jc w:val="center"/>
            <w:rPr>
              <w:rFonts w:eastAsiaTheme="minorHAnsi" w:cs="Vrinda"/>
              <w:bCs w:val="0"/>
              <w:color w:val="002779"/>
              <w:kern w:val="2"/>
              <w:sz w:val="32"/>
              <w:szCs w:val="30"/>
              <w:lang w:val="en-GB" w:bidi="bn-IN"/>
            </w:rPr>
          </w:pPr>
          <w:r w:rsidRPr="00131165">
            <w:rPr>
              <w:rFonts w:eastAsiaTheme="minorHAnsi" w:cs="Vrinda"/>
              <w:bCs w:val="0"/>
              <w:color w:val="002779"/>
              <w:kern w:val="2"/>
              <w:sz w:val="32"/>
              <w:szCs w:val="30"/>
              <w:lang w:val="en-GB" w:bidi="bn-IN"/>
            </w:rPr>
            <w:t>TABLE OF CONTENTS</w:t>
          </w:r>
        </w:p>
        <w:p w14:paraId="3B0037D1" w14:textId="6F45899F" w:rsidR="00131165" w:rsidRPr="00131165" w:rsidRDefault="009C7ADA" w:rsidP="00131165">
          <w:pPr>
            <w:pStyle w:val="TOC1"/>
            <w:rPr>
              <w:rFonts w:eastAsiaTheme="minorEastAsia"/>
              <w:color w:val="auto"/>
              <w:kern w:val="0"/>
              <w:lang w:eastAsia="en-GB" w:bidi="ar-SA"/>
              <w14:ligatures w14:val="none"/>
            </w:rPr>
          </w:pPr>
          <w:r w:rsidRPr="00131165">
            <w:rPr>
              <w:noProof w:val="0"/>
            </w:rPr>
            <w:fldChar w:fldCharType="begin"/>
          </w:r>
          <w:r w:rsidRPr="00131165">
            <w:instrText xml:space="preserve"> TOC \o "1-3" \h \z \u </w:instrText>
          </w:r>
          <w:r w:rsidRPr="00131165">
            <w:rPr>
              <w:noProof w:val="0"/>
            </w:rPr>
            <w:fldChar w:fldCharType="separate"/>
          </w:r>
          <w:hyperlink w:anchor="_Toc216408853" w:history="1">
            <w:r w:rsidR="00131165" w:rsidRPr="00131165">
              <w:rPr>
                <w:rStyle w:val="Hyperlink"/>
                <w:b w:val="0"/>
                <w:bCs w:val="0"/>
              </w:rPr>
              <w:t>Abstract</w:t>
            </w:r>
            <w:r w:rsidR="00131165" w:rsidRPr="00131165">
              <w:rPr>
                <w:webHidden/>
              </w:rPr>
              <w:tab/>
            </w:r>
            <w:r w:rsidR="00131165" w:rsidRPr="00131165">
              <w:rPr>
                <w:webHidden/>
              </w:rPr>
              <w:fldChar w:fldCharType="begin"/>
            </w:r>
            <w:r w:rsidR="00131165" w:rsidRPr="00131165">
              <w:rPr>
                <w:webHidden/>
              </w:rPr>
              <w:instrText xml:space="preserve"> PAGEREF _Toc216408853 \h </w:instrText>
            </w:r>
            <w:r w:rsidR="00131165" w:rsidRPr="00131165">
              <w:rPr>
                <w:webHidden/>
              </w:rPr>
            </w:r>
            <w:r w:rsidR="00131165" w:rsidRPr="00131165">
              <w:rPr>
                <w:webHidden/>
              </w:rPr>
              <w:fldChar w:fldCharType="separate"/>
            </w:r>
            <w:r w:rsidR="00944B84">
              <w:rPr>
                <w:webHidden/>
              </w:rPr>
              <w:t>2</w:t>
            </w:r>
            <w:r w:rsidR="00131165" w:rsidRPr="00131165">
              <w:rPr>
                <w:webHidden/>
              </w:rPr>
              <w:fldChar w:fldCharType="end"/>
            </w:r>
          </w:hyperlink>
        </w:p>
        <w:p w14:paraId="126A2E43" w14:textId="57ADE3FB" w:rsidR="00131165" w:rsidRPr="00131165" w:rsidRDefault="00131165" w:rsidP="00131165">
          <w:pPr>
            <w:pStyle w:val="TOC1"/>
            <w:rPr>
              <w:rFonts w:eastAsiaTheme="minorEastAsia"/>
              <w:color w:val="auto"/>
              <w:kern w:val="0"/>
              <w:lang w:eastAsia="en-GB" w:bidi="ar-SA"/>
              <w14:ligatures w14:val="none"/>
            </w:rPr>
          </w:pPr>
          <w:hyperlink w:anchor="_Toc216408854" w:history="1">
            <w:r w:rsidRPr="00131165">
              <w:rPr>
                <w:rStyle w:val="Hyperlink"/>
                <w:b w:val="0"/>
                <w:bCs w:val="0"/>
              </w:rPr>
              <w:t>Declaration</w:t>
            </w:r>
            <w:r w:rsidRPr="00131165">
              <w:rPr>
                <w:webHidden/>
              </w:rPr>
              <w:tab/>
            </w:r>
            <w:r w:rsidRPr="00131165">
              <w:rPr>
                <w:webHidden/>
              </w:rPr>
              <w:fldChar w:fldCharType="begin"/>
            </w:r>
            <w:r w:rsidRPr="00131165">
              <w:rPr>
                <w:webHidden/>
              </w:rPr>
              <w:instrText xml:space="preserve"> PAGEREF _Toc216408854 \h </w:instrText>
            </w:r>
            <w:r w:rsidRPr="00131165">
              <w:rPr>
                <w:webHidden/>
              </w:rPr>
            </w:r>
            <w:r w:rsidRPr="00131165">
              <w:rPr>
                <w:webHidden/>
              </w:rPr>
              <w:fldChar w:fldCharType="separate"/>
            </w:r>
            <w:r w:rsidR="00944B84">
              <w:rPr>
                <w:webHidden/>
              </w:rPr>
              <w:t>3</w:t>
            </w:r>
            <w:r w:rsidRPr="00131165">
              <w:rPr>
                <w:webHidden/>
              </w:rPr>
              <w:fldChar w:fldCharType="end"/>
            </w:r>
          </w:hyperlink>
        </w:p>
        <w:p w14:paraId="0E7D71F2" w14:textId="0E5F1709" w:rsidR="00131165" w:rsidRPr="00131165" w:rsidRDefault="00131165" w:rsidP="00131165">
          <w:pPr>
            <w:pStyle w:val="TOC1"/>
            <w:rPr>
              <w:rFonts w:eastAsiaTheme="minorEastAsia"/>
              <w:color w:val="auto"/>
              <w:kern w:val="0"/>
              <w:lang w:eastAsia="en-GB" w:bidi="ar-SA"/>
              <w14:ligatures w14:val="none"/>
            </w:rPr>
          </w:pPr>
          <w:hyperlink w:anchor="_Toc216408855" w:history="1">
            <w:r w:rsidRPr="00131165">
              <w:rPr>
                <w:rStyle w:val="Hyperlink"/>
                <w:b w:val="0"/>
                <w:bCs w:val="0"/>
              </w:rPr>
              <w:t>List Of Figures</w:t>
            </w:r>
            <w:r w:rsidRPr="00131165">
              <w:rPr>
                <w:webHidden/>
              </w:rPr>
              <w:tab/>
            </w:r>
            <w:r w:rsidRPr="00131165">
              <w:rPr>
                <w:webHidden/>
              </w:rPr>
              <w:fldChar w:fldCharType="begin"/>
            </w:r>
            <w:r w:rsidRPr="00131165">
              <w:rPr>
                <w:webHidden/>
              </w:rPr>
              <w:instrText xml:space="preserve"> PAGEREF _Toc216408855 \h </w:instrText>
            </w:r>
            <w:r w:rsidRPr="00131165">
              <w:rPr>
                <w:webHidden/>
              </w:rPr>
            </w:r>
            <w:r w:rsidRPr="00131165">
              <w:rPr>
                <w:webHidden/>
              </w:rPr>
              <w:fldChar w:fldCharType="separate"/>
            </w:r>
            <w:r w:rsidR="00944B84">
              <w:rPr>
                <w:webHidden/>
              </w:rPr>
              <w:t>7</w:t>
            </w:r>
            <w:r w:rsidRPr="00131165">
              <w:rPr>
                <w:webHidden/>
              </w:rPr>
              <w:fldChar w:fldCharType="end"/>
            </w:r>
          </w:hyperlink>
        </w:p>
        <w:p w14:paraId="7D890DD4" w14:textId="2E395353" w:rsidR="00131165" w:rsidRPr="00131165" w:rsidRDefault="00131165" w:rsidP="00131165">
          <w:pPr>
            <w:pStyle w:val="TOC1"/>
            <w:rPr>
              <w:rFonts w:eastAsiaTheme="minorEastAsia"/>
              <w:color w:val="auto"/>
              <w:kern w:val="0"/>
              <w:lang w:eastAsia="en-GB" w:bidi="ar-SA"/>
              <w14:ligatures w14:val="none"/>
            </w:rPr>
          </w:pPr>
          <w:hyperlink w:anchor="_Toc216408856" w:history="1">
            <w:r w:rsidRPr="00131165">
              <w:rPr>
                <w:rStyle w:val="Hyperlink"/>
                <w:b w:val="0"/>
                <w:bCs w:val="0"/>
              </w:rPr>
              <w:t>Acknowledgement</w:t>
            </w:r>
            <w:r w:rsidRPr="00131165">
              <w:rPr>
                <w:webHidden/>
              </w:rPr>
              <w:tab/>
            </w:r>
            <w:r w:rsidRPr="00131165">
              <w:rPr>
                <w:webHidden/>
              </w:rPr>
              <w:fldChar w:fldCharType="begin"/>
            </w:r>
            <w:r w:rsidRPr="00131165">
              <w:rPr>
                <w:webHidden/>
              </w:rPr>
              <w:instrText xml:space="preserve"> PAGEREF _Toc216408856 \h </w:instrText>
            </w:r>
            <w:r w:rsidRPr="00131165">
              <w:rPr>
                <w:webHidden/>
              </w:rPr>
            </w:r>
            <w:r w:rsidRPr="00131165">
              <w:rPr>
                <w:webHidden/>
              </w:rPr>
              <w:fldChar w:fldCharType="separate"/>
            </w:r>
            <w:r w:rsidR="00944B84">
              <w:rPr>
                <w:webHidden/>
              </w:rPr>
              <w:t>8</w:t>
            </w:r>
            <w:r w:rsidRPr="00131165">
              <w:rPr>
                <w:webHidden/>
              </w:rPr>
              <w:fldChar w:fldCharType="end"/>
            </w:r>
          </w:hyperlink>
        </w:p>
        <w:p w14:paraId="0DE471B5" w14:textId="39A20A13" w:rsidR="00131165" w:rsidRPr="00131165" w:rsidRDefault="00131165" w:rsidP="00131165">
          <w:pPr>
            <w:pStyle w:val="TOC1"/>
            <w:rPr>
              <w:rFonts w:eastAsiaTheme="minorEastAsia"/>
              <w:color w:val="auto"/>
              <w:kern w:val="0"/>
              <w:lang w:eastAsia="en-GB" w:bidi="ar-SA"/>
              <w14:ligatures w14:val="none"/>
            </w:rPr>
          </w:pPr>
          <w:hyperlink w:anchor="_Toc216408857" w:history="1">
            <w:r w:rsidRPr="00131165">
              <w:rPr>
                <w:rStyle w:val="Hyperlink"/>
                <w:b w:val="0"/>
                <w:bCs w:val="0"/>
              </w:rPr>
              <w:t>Chapter One: Introduction</w:t>
            </w:r>
            <w:r w:rsidRPr="00131165">
              <w:rPr>
                <w:webHidden/>
              </w:rPr>
              <w:tab/>
            </w:r>
            <w:r w:rsidRPr="00131165">
              <w:rPr>
                <w:webHidden/>
              </w:rPr>
              <w:fldChar w:fldCharType="begin"/>
            </w:r>
            <w:r w:rsidRPr="00131165">
              <w:rPr>
                <w:webHidden/>
              </w:rPr>
              <w:instrText xml:space="preserve"> PAGEREF _Toc216408857 \h </w:instrText>
            </w:r>
            <w:r w:rsidRPr="00131165">
              <w:rPr>
                <w:webHidden/>
              </w:rPr>
            </w:r>
            <w:r w:rsidRPr="00131165">
              <w:rPr>
                <w:webHidden/>
              </w:rPr>
              <w:fldChar w:fldCharType="separate"/>
            </w:r>
            <w:r w:rsidR="00944B84">
              <w:rPr>
                <w:webHidden/>
              </w:rPr>
              <w:t>9</w:t>
            </w:r>
            <w:r w:rsidRPr="00131165">
              <w:rPr>
                <w:webHidden/>
              </w:rPr>
              <w:fldChar w:fldCharType="end"/>
            </w:r>
          </w:hyperlink>
        </w:p>
        <w:p w14:paraId="0FEAF19E" w14:textId="19A5E890"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58" w:history="1">
            <w:r w:rsidRPr="00131165">
              <w:rPr>
                <w:rStyle w:val="Hyperlink"/>
                <w:rFonts w:ascii="Times New Roman" w:hAnsi="Times New Roman" w:cs="Times New Roman"/>
                <w:b w:val="0"/>
                <w:bCs w:val="0"/>
                <w:noProof/>
                <w:sz w:val="24"/>
                <w:szCs w:val="24"/>
              </w:rPr>
              <w:t>1.1 Background of the study</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_Toc216408858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9</w:t>
            </w:r>
            <w:r w:rsidRPr="00131165">
              <w:rPr>
                <w:rFonts w:ascii="Times New Roman" w:hAnsi="Times New Roman" w:cs="Times New Roman"/>
                <w:b w:val="0"/>
                <w:bCs w:val="0"/>
                <w:noProof/>
                <w:webHidden/>
                <w:sz w:val="24"/>
                <w:szCs w:val="24"/>
              </w:rPr>
              <w:fldChar w:fldCharType="end"/>
            </w:r>
          </w:hyperlink>
        </w:p>
        <w:p w14:paraId="4343EB1A" w14:textId="476BAAC2"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59" w:history="1">
            <w:r w:rsidRPr="00131165">
              <w:rPr>
                <w:rStyle w:val="Hyperlink"/>
                <w:rFonts w:ascii="Times New Roman" w:hAnsi="Times New Roman" w:cs="Times New Roman"/>
                <w:b w:val="0"/>
                <w:bCs w:val="0"/>
                <w:noProof/>
                <w:sz w:val="24"/>
                <w:szCs w:val="24"/>
              </w:rPr>
              <w:t>1.2 Problem Statement</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_Toc216408859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11</w:t>
            </w:r>
            <w:r w:rsidRPr="00131165">
              <w:rPr>
                <w:rFonts w:ascii="Times New Roman" w:hAnsi="Times New Roman" w:cs="Times New Roman"/>
                <w:b w:val="0"/>
                <w:bCs w:val="0"/>
                <w:noProof/>
                <w:webHidden/>
                <w:sz w:val="24"/>
                <w:szCs w:val="24"/>
              </w:rPr>
              <w:fldChar w:fldCharType="end"/>
            </w:r>
          </w:hyperlink>
        </w:p>
        <w:p w14:paraId="1F9F20D6" w14:textId="185AAB9E"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60" w:history="1">
            <w:r w:rsidRPr="00131165">
              <w:rPr>
                <w:rStyle w:val="Hyperlink"/>
                <w:rFonts w:ascii="Times New Roman" w:hAnsi="Times New Roman" w:cs="Times New Roman"/>
                <w:b w:val="0"/>
                <w:bCs w:val="0"/>
                <w:noProof/>
                <w:sz w:val="24"/>
                <w:szCs w:val="24"/>
              </w:rPr>
              <w:t>1.3 Rationale of the Research</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_Toc216408860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12</w:t>
            </w:r>
            <w:r w:rsidRPr="00131165">
              <w:rPr>
                <w:rFonts w:ascii="Times New Roman" w:hAnsi="Times New Roman" w:cs="Times New Roman"/>
                <w:b w:val="0"/>
                <w:bCs w:val="0"/>
                <w:noProof/>
                <w:webHidden/>
                <w:sz w:val="24"/>
                <w:szCs w:val="24"/>
              </w:rPr>
              <w:fldChar w:fldCharType="end"/>
            </w:r>
          </w:hyperlink>
        </w:p>
        <w:p w14:paraId="36BB63CC" w14:textId="047BAA60"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61" w:history="1">
            <w:r w:rsidRPr="00131165">
              <w:rPr>
                <w:rStyle w:val="Hyperlink"/>
                <w:rFonts w:ascii="Times New Roman" w:hAnsi="Times New Roman" w:cs="Times New Roman"/>
                <w:b w:val="0"/>
                <w:bCs w:val="0"/>
                <w:noProof/>
                <w:sz w:val="24"/>
                <w:szCs w:val="24"/>
              </w:rPr>
              <w:t>1.4 Research Aim</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_Toc216408861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13</w:t>
            </w:r>
            <w:r w:rsidRPr="00131165">
              <w:rPr>
                <w:rFonts w:ascii="Times New Roman" w:hAnsi="Times New Roman" w:cs="Times New Roman"/>
                <w:b w:val="0"/>
                <w:bCs w:val="0"/>
                <w:noProof/>
                <w:webHidden/>
                <w:sz w:val="24"/>
                <w:szCs w:val="24"/>
              </w:rPr>
              <w:fldChar w:fldCharType="end"/>
            </w:r>
          </w:hyperlink>
        </w:p>
        <w:p w14:paraId="4DF04979" w14:textId="20CFC65F"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62" w:history="1">
            <w:r w:rsidRPr="00131165">
              <w:rPr>
                <w:rStyle w:val="Hyperlink"/>
                <w:rFonts w:ascii="Times New Roman" w:hAnsi="Times New Roman" w:cs="Times New Roman"/>
                <w:b w:val="0"/>
                <w:bCs w:val="0"/>
                <w:noProof/>
                <w:sz w:val="24"/>
                <w:szCs w:val="24"/>
              </w:rPr>
              <w:t>1.5 Research Objectives</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_Toc216408862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13</w:t>
            </w:r>
            <w:r w:rsidRPr="00131165">
              <w:rPr>
                <w:rFonts w:ascii="Times New Roman" w:hAnsi="Times New Roman" w:cs="Times New Roman"/>
                <w:b w:val="0"/>
                <w:bCs w:val="0"/>
                <w:noProof/>
                <w:webHidden/>
                <w:sz w:val="24"/>
                <w:szCs w:val="24"/>
              </w:rPr>
              <w:fldChar w:fldCharType="end"/>
            </w:r>
          </w:hyperlink>
        </w:p>
        <w:p w14:paraId="163F81EC" w14:textId="55B4C55B"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63" w:history="1">
            <w:r w:rsidRPr="00131165">
              <w:rPr>
                <w:rStyle w:val="Hyperlink"/>
                <w:rFonts w:ascii="Times New Roman" w:hAnsi="Times New Roman" w:cs="Times New Roman"/>
                <w:b w:val="0"/>
                <w:bCs w:val="0"/>
                <w:noProof/>
                <w:sz w:val="24"/>
                <w:szCs w:val="24"/>
              </w:rPr>
              <w:t>1.6 Research Question</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_Toc216408863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13</w:t>
            </w:r>
            <w:r w:rsidRPr="00131165">
              <w:rPr>
                <w:rFonts w:ascii="Times New Roman" w:hAnsi="Times New Roman" w:cs="Times New Roman"/>
                <w:b w:val="0"/>
                <w:bCs w:val="0"/>
                <w:noProof/>
                <w:webHidden/>
                <w:sz w:val="24"/>
                <w:szCs w:val="24"/>
              </w:rPr>
              <w:fldChar w:fldCharType="end"/>
            </w:r>
          </w:hyperlink>
        </w:p>
        <w:p w14:paraId="1D6801D8" w14:textId="21395854"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64" w:history="1">
            <w:r w:rsidRPr="00131165">
              <w:rPr>
                <w:rStyle w:val="Hyperlink"/>
                <w:rFonts w:ascii="Times New Roman" w:hAnsi="Times New Roman" w:cs="Times New Roman"/>
                <w:b w:val="0"/>
                <w:bCs w:val="0"/>
                <w:noProof/>
                <w:sz w:val="24"/>
                <w:szCs w:val="24"/>
              </w:rPr>
              <w:t>1.7 Summary Research Methodology</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_Toc216408864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13</w:t>
            </w:r>
            <w:r w:rsidRPr="00131165">
              <w:rPr>
                <w:rFonts w:ascii="Times New Roman" w:hAnsi="Times New Roman" w:cs="Times New Roman"/>
                <w:b w:val="0"/>
                <w:bCs w:val="0"/>
                <w:noProof/>
                <w:webHidden/>
                <w:sz w:val="24"/>
                <w:szCs w:val="24"/>
              </w:rPr>
              <w:fldChar w:fldCharType="end"/>
            </w:r>
          </w:hyperlink>
        </w:p>
        <w:p w14:paraId="3A1B7D68" w14:textId="4944B2CA"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65" w:history="1">
            <w:r w:rsidRPr="00131165">
              <w:rPr>
                <w:rStyle w:val="Hyperlink"/>
                <w:rFonts w:ascii="Times New Roman" w:hAnsi="Times New Roman" w:cs="Times New Roman"/>
                <w:b w:val="0"/>
                <w:bCs w:val="0"/>
                <w:noProof/>
                <w:sz w:val="24"/>
                <w:szCs w:val="24"/>
              </w:rPr>
              <w:t>1.8 Research Structure</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_Toc216408865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14</w:t>
            </w:r>
            <w:r w:rsidRPr="00131165">
              <w:rPr>
                <w:rFonts w:ascii="Times New Roman" w:hAnsi="Times New Roman" w:cs="Times New Roman"/>
                <w:b w:val="0"/>
                <w:bCs w:val="0"/>
                <w:noProof/>
                <w:webHidden/>
                <w:sz w:val="24"/>
                <w:szCs w:val="24"/>
              </w:rPr>
              <w:fldChar w:fldCharType="end"/>
            </w:r>
          </w:hyperlink>
        </w:p>
        <w:p w14:paraId="4BA6D2A0" w14:textId="6C12689E" w:rsidR="00131165" w:rsidRPr="00131165" w:rsidRDefault="00131165" w:rsidP="00131165">
          <w:pPr>
            <w:pStyle w:val="TOC1"/>
            <w:rPr>
              <w:rFonts w:eastAsiaTheme="minorEastAsia"/>
              <w:color w:val="auto"/>
              <w:kern w:val="0"/>
              <w:lang w:eastAsia="en-GB" w:bidi="ar-SA"/>
              <w14:ligatures w14:val="none"/>
            </w:rPr>
          </w:pPr>
          <w:hyperlink w:anchor="_Toc216408866" w:history="1">
            <w:r w:rsidRPr="00131165">
              <w:rPr>
                <w:rStyle w:val="Hyperlink"/>
              </w:rPr>
              <w:t>Chapter Two: Literature Review</w:t>
            </w:r>
            <w:r w:rsidRPr="00131165">
              <w:rPr>
                <w:webHidden/>
              </w:rPr>
              <w:tab/>
            </w:r>
            <w:r w:rsidRPr="00131165">
              <w:rPr>
                <w:webHidden/>
              </w:rPr>
              <w:fldChar w:fldCharType="begin"/>
            </w:r>
            <w:r w:rsidRPr="00131165">
              <w:rPr>
                <w:webHidden/>
              </w:rPr>
              <w:instrText xml:space="preserve"> PAGEREF _Toc216408866 \h </w:instrText>
            </w:r>
            <w:r w:rsidRPr="00131165">
              <w:rPr>
                <w:webHidden/>
              </w:rPr>
            </w:r>
            <w:r w:rsidRPr="00131165">
              <w:rPr>
                <w:webHidden/>
              </w:rPr>
              <w:fldChar w:fldCharType="separate"/>
            </w:r>
            <w:r w:rsidR="00944B84">
              <w:rPr>
                <w:webHidden/>
              </w:rPr>
              <w:t>15</w:t>
            </w:r>
            <w:r w:rsidRPr="00131165">
              <w:rPr>
                <w:webHidden/>
              </w:rPr>
              <w:fldChar w:fldCharType="end"/>
            </w:r>
          </w:hyperlink>
        </w:p>
        <w:p w14:paraId="59EB27C7" w14:textId="726BE62C"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67" w:history="1">
            <w:r w:rsidRPr="00131165">
              <w:rPr>
                <w:rStyle w:val="Hyperlink"/>
                <w:rFonts w:ascii="Times New Roman" w:hAnsi="Times New Roman" w:cs="Times New Roman"/>
                <w:b w:val="0"/>
                <w:bCs w:val="0"/>
                <w:noProof/>
                <w:sz w:val="24"/>
                <w:szCs w:val="24"/>
              </w:rPr>
              <w:t>2.1 Introduction</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_Toc216408867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15</w:t>
            </w:r>
            <w:r w:rsidRPr="00131165">
              <w:rPr>
                <w:rFonts w:ascii="Times New Roman" w:hAnsi="Times New Roman" w:cs="Times New Roman"/>
                <w:b w:val="0"/>
                <w:bCs w:val="0"/>
                <w:noProof/>
                <w:webHidden/>
                <w:sz w:val="24"/>
                <w:szCs w:val="24"/>
              </w:rPr>
              <w:fldChar w:fldCharType="end"/>
            </w:r>
          </w:hyperlink>
        </w:p>
        <w:p w14:paraId="2D61ED76" w14:textId="71C98275"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68" w:history="1">
            <w:r w:rsidRPr="00131165">
              <w:rPr>
                <w:rStyle w:val="Hyperlink"/>
                <w:rFonts w:ascii="Times New Roman" w:hAnsi="Times New Roman" w:cs="Times New Roman"/>
                <w:b w:val="0"/>
                <w:bCs w:val="0"/>
                <w:noProof/>
                <w:sz w:val="24"/>
                <w:szCs w:val="24"/>
              </w:rPr>
              <w:t>2.2 Theoretical Overview</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_Toc216408868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15</w:t>
            </w:r>
            <w:r w:rsidRPr="00131165">
              <w:rPr>
                <w:rFonts w:ascii="Times New Roman" w:hAnsi="Times New Roman" w:cs="Times New Roman"/>
                <w:b w:val="0"/>
                <w:bCs w:val="0"/>
                <w:noProof/>
                <w:webHidden/>
                <w:sz w:val="24"/>
                <w:szCs w:val="24"/>
              </w:rPr>
              <w:fldChar w:fldCharType="end"/>
            </w:r>
          </w:hyperlink>
        </w:p>
        <w:p w14:paraId="20DF9E7D" w14:textId="158CA381"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869" w:history="1">
            <w:r w:rsidRPr="00131165">
              <w:rPr>
                <w:rStyle w:val="Hyperlink"/>
                <w:rFonts w:ascii="Times New Roman" w:hAnsi="Times New Roman" w:cs="Times New Roman"/>
                <w:noProof/>
                <w:sz w:val="24"/>
                <w:szCs w:val="24"/>
              </w:rPr>
              <w:t>2.2.1 Social Identity Theory</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_Toc216408869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15</w:t>
            </w:r>
            <w:r w:rsidRPr="00131165">
              <w:rPr>
                <w:rFonts w:ascii="Times New Roman" w:hAnsi="Times New Roman" w:cs="Times New Roman"/>
                <w:noProof/>
                <w:webHidden/>
                <w:sz w:val="24"/>
                <w:szCs w:val="24"/>
              </w:rPr>
              <w:fldChar w:fldCharType="end"/>
            </w:r>
          </w:hyperlink>
        </w:p>
        <w:p w14:paraId="3DCFD3FD" w14:textId="14FA4F68"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870" w:history="1">
            <w:r w:rsidRPr="00131165">
              <w:rPr>
                <w:rStyle w:val="Hyperlink"/>
                <w:rFonts w:ascii="Times New Roman" w:hAnsi="Times New Roman" w:cs="Times New Roman"/>
                <w:noProof/>
                <w:sz w:val="24"/>
                <w:szCs w:val="24"/>
              </w:rPr>
              <w:t>2.2.2 Schema Theory</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_Toc216408870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17</w:t>
            </w:r>
            <w:r w:rsidRPr="00131165">
              <w:rPr>
                <w:rFonts w:ascii="Times New Roman" w:hAnsi="Times New Roman" w:cs="Times New Roman"/>
                <w:noProof/>
                <w:webHidden/>
                <w:sz w:val="24"/>
                <w:szCs w:val="24"/>
              </w:rPr>
              <w:fldChar w:fldCharType="end"/>
            </w:r>
          </w:hyperlink>
        </w:p>
        <w:p w14:paraId="69045BB0" w14:textId="60B4779E"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871" w:history="1">
            <w:r w:rsidRPr="00131165">
              <w:rPr>
                <w:rStyle w:val="Hyperlink"/>
                <w:rFonts w:ascii="Times New Roman" w:hAnsi="Times New Roman" w:cs="Times New Roman"/>
                <w:noProof/>
                <w:sz w:val="24"/>
                <w:szCs w:val="24"/>
              </w:rPr>
              <w:t>2.2.3 Contact Theory</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_Toc216408871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18</w:t>
            </w:r>
            <w:r w:rsidRPr="00131165">
              <w:rPr>
                <w:rFonts w:ascii="Times New Roman" w:hAnsi="Times New Roman" w:cs="Times New Roman"/>
                <w:noProof/>
                <w:webHidden/>
                <w:sz w:val="24"/>
                <w:szCs w:val="24"/>
              </w:rPr>
              <w:fldChar w:fldCharType="end"/>
            </w:r>
          </w:hyperlink>
        </w:p>
        <w:p w14:paraId="673E536A" w14:textId="56618ACA"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872" w:history="1">
            <w:r w:rsidRPr="00131165">
              <w:rPr>
                <w:rStyle w:val="Hyperlink"/>
                <w:rFonts w:ascii="Times New Roman" w:hAnsi="Times New Roman" w:cs="Times New Roman"/>
                <w:noProof/>
                <w:sz w:val="24"/>
                <w:szCs w:val="24"/>
              </w:rPr>
              <w:t>2.2.4 Cultural Intelligence (CQ) Theory</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_Toc216408872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19</w:t>
            </w:r>
            <w:r w:rsidRPr="00131165">
              <w:rPr>
                <w:rFonts w:ascii="Times New Roman" w:hAnsi="Times New Roman" w:cs="Times New Roman"/>
                <w:noProof/>
                <w:webHidden/>
                <w:sz w:val="24"/>
                <w:szCs w:val="24"/>
              </w:rPr>
              <w:fldChar w:fldCharType="end"/>
            </w:r>
          </w:hyperlink>
        </w:p>
        <w:p w14:paraId="5D12F999" w14:textId="2AA8E6B3"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73" w:history="1">
            <w:r w:rsidRPr="00131165">
              <w:rPr>
                <w:rStyle w:val="Hyperlink"/>
                <w:rFonts w:ascii="Times New Roman" w:hAnsi="Times New Roman" w:cs="Times New Roman"/>
                <w:b w:val="0"/>
                <w:bCs w:val="0"/>
                <w:noProof/>
                <w:sz w:val="24"/>
                <w:szCs w:val="24"/>
              </w:rPr>
              <w:t>2.3 Diversity and Inclusion Strategies in Healthcare Organisation</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_Toc216408873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20</w:t>
            </w:r>
            <w:r w:rsidRPr="00131165">
              <w:rPr>
                <w:rFonts w:ascii="Times New Roman" w:hAnsi="Times New Roman" w:cs="Times New Roman"/>
                <w:b w:val="0"/>
                <w:bCs w:val="0"/>
                <w:noProof/>
                <w:webHidden/>
                <w:sz w:val="24"/>
                <w:szCs w:val="24"/>
              </w:rPr>
              <w:fldChar w:fldCharType="end"/>
            </w:r>
          </w:hyperlink>
        </w:p>
        <w:p w14:paraId="3BFE5898" w14:textId="26DAA4B3"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74" w:history="1">
            <w:r w:rsidRPr="00131165">
              <w:rPr>
                <w:rStyle w:val="Hyperlink"/>
                <w:rFonts w:ascii="Times New Roman" w:hAnsi="Times New Roman" w:cs="Times New Roman"/>
                <w:b w:val="0"/>
                <w:bCs w:val="0"/>
                <w:noProof/>
                <w:sz w:val="24"/>
                <w:szCs w:val="24"/>
              </w:rPr>
              <w:t>2.4 Staff Perceptions of Inclusivity and Effectiveness</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_Toc216408874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22</w:t>
            </w:r>
            <w:r w:rsidRPr="00131165">
              <w:rPr>
                <w:rFonts w:ascii="Times New Roman" w:hAnsi="Times New Roman" w:cs="Times New Roman"/>
                <w:b w:val="0"/>
                <w:bCs w:val="0"/>
                <w:noProof/>
                <w:webHidden/>
                <w:sz w:val="24"/>
                <w:szCs w:val="24"/>
              </w:rPr>
              <w:fldChar w:fldCharType="end"/>
            </w:r>
          </w:hyperlink>
        </w:p>
        <w:p w14:paraId="27999C48" w14:textId="24C1979E"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75" w:history="1">
            <w:r w:rsidRPr="00131165">
              <w:rPr>
                <w:rStyle w:val="Hyperlink"/>
                <w:rFonts w:ascii="Times New Roman" w:hAnsi="Times New Roman" w:cs="Times New Roman"/>
                <w:b w:val="0"/>
                <w:bCs w:val="0"/>
                <w:noProof/>
                <w:sz w:val="24"/>
                <w:szCs w:val="24"/>
              </w:rPr>
              <w:t>2.5 Inclusivity and Staff Retention in the Healthcare Organisation</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_Toc216408875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23</w:t>
            </w:r>
            <w:r w:rsidRPr="00131165">
              <w:rPr>
                <w:rFonts w:ascii="Times New Roman" w:hAnsi="Times New Roman" w:cs="Times New Roman"/>
                <w:b w:val="0"/>
                <w:bCs w:val="0"/>
                <w:noProof/>
                <w:webHidden/>
                <w:sz w:val="24"/>
                <w:szCs w:val="24"/>
              </w:rPr>
              <w:fldChar w:fldCharType="end"/>
            </w:r>
          </w:hyperlink>
        </w:p>
        <w:p w14:paraId="4B0D408F" w14:textId="4F7BCDE8"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76" w:history="1">
            <w:r w:rsidRPr="00131165">
              <w:rPr>
                <w:rStyle w:val="Hyperlink"/>
                <w:rFonts w:ascii="Times New Roman" w:hAnsi="Times New Roman" w:cs="Times New Roman"/>
                <w:b w:val="0"/>
                <w:bCs w:val="0"/>
                <w:noProof/>
                <w:sz w:val="24"/>
                <w:szCs w:val="24"/>
              </w:rPr>
              <w:t>2.6 Recommendations for Enhancing Diversity and Inclusion and Retention</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_Toc216408876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24</w:t>
            </w:r>
            <w:r w:rsidRPr="00131165">
              <w:rPr>
                <w:rFonts w:ascii="Times New Roman" w:hAnsi="Times New Roman" w:cs="Times New Roman"/>
                <w:b w:val="0"/>
                <w:bCs w:val="0"/>
                <w:noProof/>
                <w:webHidden/>
                <w:sz w:val="24"/>
                <w:szCs w:val="24"/>
              </w:rPr>
              <w:fldChar w:fldCharType="end"/>
            </w:r>
          </w:hyperlink>
        </w:p>
        <w:p w14:paraId="567295F3" w14:textId="51896D77"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77" w:history="1">
            <w:r w:rsidRPr="00131165">
              <w:rPr>
                <w:rStyle w:val="Hyperlink"/>
                <w:rFonts w:ascii="Times New Roman" w:hAnsi="Times New Roman" w:cs="Times New Roman"/>
                <w:b w:val="0"/>
                <w:bCs w:val="0"/>
                <w:noProof/>
                <w:sz w:val="24"/>
                <w:szCs w:val="24"/>
              </w:rPr>
              <w:t>2.7 Research Gap</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_Toc216408877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26</w:t>
            </w:r>
            <w:r w:rsidRPr="00131165">
              <w:rPr>
                <w:rFonts w:ascii="Times New Roman" w:hAnsi="Times New Roman" w:cs="Times New Roman"/>
                <w:b w:val="0"/>
                <w:bCs w:val="0"/>
                <w:noProof/>
                <w:webHidden/>
                <w:sz w:val="24"/>
                <w:szCs w:val="24"/>
              </w:rPr>
              <w:fldChar w:fldCharType="end"/>
            </w:r>
          </w:hyperlink>
        </w:p>
        <w:p w14:paraId="04EF699E" w14:textId="4ECE4063" w:rsidR="00131165" w:rsidRPr="00131165" w:rsidRDefault="00131165" w:rsidP="00131165">
          <w:pPr>
            <w:pStyle w:val="TOC1"/>
            <w:rPr>
              <w:rFonts w:eastAsiaTheme="minorEastAsia"/>
              <w:color w:val="auto"/>
              <w:kern w:val="0"/>
              <w:lang w:eastAsia="en-GB" w:bidi="ar-SA"/>
              <w14:ligatures w14:val="none"/>
            </w:rPr>
          </w:pPr>
          <w:hyperlink w:anchor="_Toc216408878" w:history="1">
            <w:r w:rsidRPr="00131165">
              <w:rPr>
                <w:rStyle w:val="Hyperlink"/>
              </w:rPr>
              <w:t>Chapter Three: Research Methodology</w:t>
            </w:r>
            <w:r w:rsidRPr="00131165">
              <w:rPr>
                <w:webHidden/>
              </w:rPr>
              <w:tab/>
            </w:r>
            <w:r w:rsidRPr="00131165">
              <w:rPr>
                <w:webHidden/>
              </w:rPr>
              <w:fldChar w:fldCharType="begin"/>
            </w:r>
            <w:r w:rsidRPr="00131165">
              <w:rPr>
                <w:webHidden/>
              </w:rPr>
              <w:instrText xml:space="preserve"> PAGEREF _Toc216408878 \h </w:instrText>
            </w:r>
            <w:r w:rsidRPr="00131165">
              <w:rPr>
                <w:webHidden/>
              </w:rPr>
            </w:r>
            <w:r w:rsidRPr="00131165">
              <w:rPr>
                <w:webHidden/>
              </w:rPr>
              <w:fldChar w:fldCharType="separate"/>
            </w:r>
            <w:r w:rsidR="00944B84">
              <w:rPr>
                <w:webHidden/>
              </w:rPr>
              <w:t>27</w:t>
            </w:r>
            <w:r w:rsidRPr="00131165">
              <w:rPr>
                <w:webHidden/>
              </w:rPr>
              <w:fldChar w:fldCharType="end"/>
            </w:r>
          </w:hyperlink>
        </w:p>
        <w:p w14:paraId="6FB379CF" w14:textId="73EED451"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79" w:history="1">
            <w:r w:rsidRPr="00131165">
              <w:rPr>
                <w:rStyle w:val="Hyperlink"/>
                <w:rFonts w:ascii="Times New Roman" w:hAnsi="Times New Roman" w:cs="Times New Roman"/>
                <w:b w:val="0"/>
                <w:bCs w:val="0"/>
                <w:noProof/>
                <w:sz w:val="24"/>
                <w:szCs w:val="24"/>
              </w:rPr>
              <w:t>3.1 Introduction</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_Toc216408879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27</w:t>
            </w:r>
            <w:r w:rsidRPr="00131165">
              <w:rPr>
                <w:rFonts w:ascii="Times New Roman" w:hAnsi="Times New Roman" w:cs="Times New Roman"/>
                <w:b w:val="0"/>
                <w:bCs w:val="0"/>
                <w:noProof/>
                <w:webHidden/>
                <w:sz w:val="24"/>
                <w:szCs w:val="24"/>
              </w:rPr>
              <w:fldChar w:fldCharType="end"/>
            </w:r>
          </w:hyperlink>
        </w:p>
        <w:p w14:paraId="5354E8DE" w14:textId="333C2057"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80" w:history="1">
            <w:r w:rsidRPr="00131165">
              <w:rPr>
                <w:rStyle w:val="Hyperlink"/>
                <w:rFonts w:ascii="Times New Roman" w:hAnsi="Times New Roman" w:cs="Times New Roman"/>
                <w:b w:val="0"/>
                <w:bCs w:val="0"/>
                <w:noProof/>
                <w:sz w:val="24"/>
                <w:szCs w:val="24"/>
              </w:rPr>
              <w:t>3.2 Research Philosophy</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_Toc216408880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28</w:t>
            </w:r>
            <w:r w:rsidRPr="00131165">
              <w:rPr>
                <w:rFonts w:ascii="Times New Roman" w:hAnsi="Times New Roman" w:cs="Times New Roman"/>
                <w:b w:val="0"/>
                <w:bCs w:val="0"/>
                <w:noProof/>
                <w:webHidden/>
                <w:sz w:val="24"/>
                <w:szCs w:val="24"/>
              </w:rPr>
              <w:fldChar w:fldCharType="end"/>
            </w:r>
          </w:hyperlink>
        </w:p>
        <w:p w14:paraId="7B76716C" w14:textId="4799AEC5"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881" w:history="1">
            <w:r w:rsidRPr="00131165">
              <w:rPr>
                <w:rStyle w:val="Hyperlink"/>
                <w:rFonts w:ascii="Times New Roman" w:hAnsi="Times New Roman" w:cs="Times New Roman"/>
                <w:noProof/>
                <w:sz w:val="24"/>
                <w:szCs w:val="24"/>
              </w:rPr>
              <w:t>3.2.1 Ontological Stance</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_Toc216408881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28</w:t>
            </w:r>
            <w:r w:rsidRPr="00131165">
              <w:rPr>
                <w:rFonts w:ascii="Times New Roman" w:hAnsi="Times New Roman" w:cs="Times New Roman"/>
                <w:noProof/>
                <w:webHidden/>
                <w:sz w:val="24"/>
                <w:szCs w:val="24"/>
              </w:rPr>
              <w:fldChar w:fldCharType="end"/>
            </w:r>
          </w:hyperlink>
        </w:p>
        <w:p w14:paraId="09EA4834" w14:textId="41D772AC"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882" w:history="1">
            <w:r w:rsidRPr="00131165">
              <w:rPr>
                <w:rStyle w:val="Hyperlink"/>
                <w:rFonts w:ascii="Times New Roman" w:hAnsi="Times New Roman" w:cs="Times New Roman"/>
                <w:noProof/>
                <w:sz w:val="24"/>
                <w:szCs w:val="24"/>
              </w:rPr>
              <w:t>3.2.2 Epistemological Stance</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_Toc216408882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28</w:t>
            </w:r>
            <w:r w:rsidRPr="00131165">
              <w:rPr>
                <w:rFonts w:ascii="Times New Roman" w:hAnsi="Times New Roman" w:cs="Times New Roman"/>
                <w:noProof/>
                <w:webHidden/>
                <w:sz w:val="24"/>
                <w:szCs w:val="24"/>
              </w:rPr>
              <w:fldChar w:fldCharType="end"/>
            </w:r>
          </w:hyperlink>
        </w:p>
        <w:p w14:paraId="7BE0B20D" w14:textId="0031867D"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883" w:history="1">
            <w:r w:rsidRPr="00131165">
              <w:rPr>
                <w:rStyle w:val="Hyperlink"/>
                <w:rFonts w:ascii="Times New Roman" w:hAnsi="Times New Roman" w:cs="Times New Roman"/>
                <w:noProof/>
                <w:sz w:val="24"/>
                <w:szCs w:val="24"/>
              </w:rPr>
              <w:t>3.2.3 Axiological Stance</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_Toc216408883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29</w:t>
            </w:r>
            <w:r w:rsidRPr="00131165">
              <w:rPr>
                <w:rFonts w:ascii="Times New Roman" w:hAnsi="Times New Roman" w:cs="Times New Roman"/>
                <w:noProof/>
                <w:webHidden/>
                <w:sz w:val="24"/>
                <w:szCs w:val="24"/>
              </w:rPr>
              <w:fldChar w:fldCharType="end"/>
            </w:r>
          </w:hyperlink>
        </w:p>
        <w:p w14:paraId="761BA1A4" w14:textId="4F765C61"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84" w:history="1">
            <w:r w:rsidRPr="00131165">
              <w:rPr>
                <w:rStyle w:val="Hyperlink"/>
                <w:rFonts w:ascii="Times New Roman" w:hAnsi="Times New Roman" w:cs="Times New Roman"/>
                <w:b w:val="0"/>
                <w:bCs w:val="0"/>
                <w:noProof/>
                <w:sz w:val="24"/>
                <w:szCs w:val="24"/>
              </w:rPr>
              <w:t>3.3 Research Approach</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_Toc216408884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30</w:t>
            </w:r>
            <w:r w:rsidRPr="00131165">
              <w:rPr>
                <w:rFonts w:ascii="Times New Roman" w:hAnsi="Times New Roman" w:cs="Times New Roman"/>
                <w:b w:val="0"/>
                <w:bCs w:val="0"/>
                <w:noProof/>
                <w:webHidden/>
                <w:sz w:val="24"/>
                <w:szCs w:val="24"/>
              </w:rPr>
              <w:fldChar w:fldCharType="end"/>
            </w:r>
          </w:hyperlink>
        </w:p>
        <w:p w14:paraId="1D1519C6" w14:textId="6F161DDB"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85" w:history="1">
            <w:r w:rsidRPr="00131165">
              <w:rPr>
                <w:rStyle w:val="Hyperlink"/>
                <w:rFonts w:ascii="Times New Roman" w:hAnsi="Times New Roman" w:cs="Times New Roman"/>
                <w:b w:val="0"/>
                <w:bCs w:val="0"/>
                <w:noProof/>
                <w:sz w:val="24"/>
                <w:szCs w:val="24"/>
              </w:rPr>
              <w:t>3.4 Research Method</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_Toc216408885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30</w:t>
            </w:r>
            <w:r w:rsidRPr="00131165">
              <w:rPr>
                <w:rFonts w:ascii="Times New Roman" w:hAnsi="Times New Roman" w:cs="Times New Roman"/>
                <w:b w:val="0"/>
                <w:bCs w:val="0"/>
                <w:noProof/>
                <w:webHidden/>
                <w:sz w:val="24"/>
                <w:szCs w:val="24"/>
              </w:rPr>
              <w:fldChar w:fldCharType="end"/>
            </w:r>
          </w:hyperlink>
        </w:p>
        <w:p w14:paraId="4D8A8AE2" w14:textId="7641A085"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86" w:history="1">
            <w:r w:rsidRPr="00131165">
              <w:rPr>
                <w:rStyle w:val="Hyperlink"/>
                <w:rFonts w:ascii="Times New Roman" w:hAnsi="Times New Roman" w:cs="Times New Roman"/>
                <w:b w:val="0"/>
                <w:bCs w:val="0"/>
                <w:noProof/>
                <w:sz w:val="24"/>
                <w:szCs w:val="24"/>
              </w:rPr>
              <w:t>3.5 Research Strategy</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_Toc216408886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31</w:t>
            </w:r>
            <w:r w:rsidRPr="00131165">
              <w:rPr>
                <w:rFonts w:ascii="Times New Roman" w:hAnsi="Times New Roman" w:cs="Times New Roman"/>
                <w:b w:val="0"/>
                <w:bCs w:val="0"/>
                <w:noProof/>
                <w:webHidden/>
                <w:sz w:val="24"/>
                <w:szCs w:val="24"/>
              </w:rPr>
              <w:fldChar w:fldCharType="end"/>
            </w:r>
          </w:hyperlink>
        </w:p>
        <w:p w14:paraId="56FEE4A7" w14:textId="0226A347"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87" w:history="1">
            <w:r w:rsidRPr="00131165">
              <w:rPr>
                <w:rStyle w:val="Hyperlink"/>
                <w:rFonts w:ascii="Times New Roman" w:hAnsi="Times New Roman" w:cs="Times New Roman"/>
                <w:b w:val="0"/>
                <w:bCs w:val="0"/>
                <w:noProof/>
                <w:sz w:val="24"/>
                <w:szCs w:val="24"/>
              </w:rPr>
              <w:t>3.6 Data Collection Technique</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_Toc216408887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32</w:t>
            </w:r>
            <w:r w:rsidRPr="00131165">
              <w:rPr>
                <w:rFonts w:ascii="Times New Roman" w:hAnsi="Times New Roman" w:cs="Times New Roman"/>
                <w:b w:val="0"/>
                <w:bCs w:val="0"/>
                <w:noProof/>
                <w:webHidden/>
                <w:sz w:val="24"/>
                <w:szCs w:val="24"/>
              </w:rPr>
              <w:fldChar w:fldCharType="end"/>
            </w:r>
          </w:hyperlink>
        </w:p>
        <w:p w14:paraId="0B96D1BC" w14:textId="3C3FE937"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88" w:history="1">
            <w:r w:rsidRPr="00131165">
              <w:rPr>
                <w:rStyle w:val="Hyperlink"/>
                <w:rFonts w:ascii="Times New Roman" w:hAnsi="Times New Roman" w:cs="Times New Roman"/>
                <w:b w:val="0"/>
                <w:bCs w:val="0"/>
                <w:noProof/>
                <w:sz w:val="24"/>
                <w:szCs w:val="24"/>
              </w:rPr>
              <w:t>3.7 Sampling Method and Sample Size</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_Toc216408888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32</w:t>
            </w:r>
            <w:r w:rsidRPr="00131165">
              <w:rPr>
                <w:rFonts w:ascii="Times New Roman" w:hAnsi="Times New Roman" w:cs="Times New Roman"/>
                <w:b w:val="0"/>
                <w:bCs w:val="0"/>
                <w:noProof/>
                <w:webHidden/>
                <w:sz w:val="24"/>
                <w:szCs w:val="24"/>
              </w:rPr>
              <w:fldChar w:fldCharType="end"/>
            </w:r>
          </w:hyperlink>
        </w:p>
        <w:p w14:paraId="33F8BE76" w14:textId="691C02D2"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89" w:history="1">
            <w:r w:rsidRPr="00131165">
              <w:rPr>
                <w:rStyle w:val="Hyperlink"/>
                <w:rFonts w:ascii="Times New Roman" w:hAnsi="Times New Roman" w:cs="Times New Roman"/>
                <w:b w:val="0"/>
                <w:bCs w:val="0"/>
                <w:noProof/>
                <w:sz w:val="24"/>
                <w:szCs w:val="24"/>
              </w:rPr>
              <w:t>3.8 Data Analysis Technique</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_Toc216408889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33</w:t>
            </w:r>
            <w:r w:rsidRPr="00131165">
              <w:rPr>
                <w:rFonts w:ascii="Times New Roman" w:hAnsi="Times New Roman" w:cs="Times New Roman"/>
                <w:b w:val="0"/>
                <w:bCs w:val="0"/>
                <w:noProof/>
                <w:webHidden/>
                <w:sz w:val="24"/>
                <w:szCs w:val="24"/>
              </w:rPr>
              <w:fldChar w:fldCharType="end"/>
            </w:r>
          </w:hyperlink>
        </w:p>
        <w:p w14:paraId="68AF924D" w14:textId="41591974"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90" w:history="1">
            <w:r w:rsidRPr="00131165">
              <w:rPr>
                <w:rStyle w:val="Hyperlink"/>
                <w:rFonts w:ascii="Times New Roman" w:hAnsi="Times New Roman" w:cs="Times New Roman"/>
                <w:b w:val="0"/>
                <w:bCs w:val="0"/>
                <w:noProof/>
                <w:sz w:val="24"/>
                <w:szCs w:val="24"/>
              </w:rPr>
              <w:t>3.9 Validity and Reliability</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_Toc216408890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34</w:t>
            </w:r>
            <w:r w:rsidRPr="00131165">
              <w:rPr>
                <w:rFonts w:ascii="Times New Roman" w:hAnsi="Times New Roman" w:cs="Times New Roman"/>
                <w:b w:val="0"/>
                <w:bCs w:val="0"/>
                <w:noProof/>
                <w:webHidden/>
                <w:sz w:val="24"/>
                <w:szCs w:val="24"/>
              </w:rPr>
              <w:fldChar w:fldCharType="end"/>
            </w:r>
          </w:hyperlink>
        </w:p>
        <w:p w14:paraId="328C8138" w14:textId="2E6809B8"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91" w:history="1">
            <w:r w:rsidRPr="00131165">
              <w:rPr>
                <w:rStyle w:val="Hyperlink"/>
                <w:rFonts w:ascii="Times New Roman" w:hAnsi="Times New Roman" w:cs="Times New Roman"/>
                <w:b w:val="0"/>
                <w:bCs w:val="0"/>
                <w:noProof/>
                <w:sz w:val="24"/>
                <w:szCs w:val="24"/>
              </w:rPr>
              <w:t>3.10 Ethical Consideration</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_Toc216408891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35</w:t>
            </w:r>
            <w:r w:rsidRPr="00131165">
              <w:rPr>
                <w:rFonts w:ascii="Times New Roman" w:hAnsi="Times New Roman" w:cs="Times New Roman"/>
                <w:b w:val="0"/>
                <w:bCs w:val="0"/>
                <w:noProof/>
                <w:webHidden/>
                <w:sz w:val="24"/>
                <w:szCs w:val="24"/>
              </w:rPr>
              <w:fldChar w:fldCharType="end"/>
            </w:r>
          </w:hyperlink>
        </w:p>
        <w:p w14:paraId="534614BD" w14:textId="6E439778" w:rsidR="00131165" w:rsidRPr="00131165" w:rsidRDefault="00131165" w:rsidP="00131165">
          <w:pPr>
            <w:pStyle w:val="TOC1"/>
            <w:rPr>
              <w:rFonts w:eastAsiaTheme="minorEastAsia"/>
              <w:color w:val="auto"/>
              <w:kern w:val="0"/>
              <w:lang w:eastAsia="en-GB" w:bidi="ar-SA"/>
              <w14:ligatures w14:val="none"/>
            </w:rPr>
          </w:pPr>
          <w:hyperlink w:anchor="_Toc216408892" w:history="1">
            <w:r w:rsidRPr="00131165">
              <w:rPr>
                <w:rStyle w:val="Hyperlink"/>
              </w:rPr>
              <w:t>Chapter Four: Findings and Discussion</w:t>
            </w:r>
            <w:r w:rsidRPr="00131165">
              <w:rPr>
                <w:webHidden/>
              </w:rPr>
              <w:tab/>
            </w:r>
            <w:r w:rsidRPr="00131165">
              <w:rPr>
                <w:webHidden/>
              </w:rPr>
              <w:fldChar w:fldCharType="begin"/>
            </w:r>
            <w:r w:rsidRPr="00131165">
              <w:rPr>
                <w:webHidden/>
              </w:rPr>
              <w:instrText xml:space="preserve"> PAGEREF _Toc216408892 \h </w:instrText>
            </w:r>
            <w:r w:rsidRPr="00131165">
              <w:rPr>
                <w:webHidden/>
              </w:rPr>
            </w:r>
            <w:r w:rsidRPr="00131165">
              <w:rPr>
                <w:webHidden/>
              </w:rPr>
              <w:fldChar w:fldCharType="separate"/>
            </w:r>
            <w:r w:rsidR="00944B84">
              <w:rPr>
                <w:webHidden/>
              </w:rPr>
              <w:t>36</w:t>
            </w:r>
            <w:r w:rsidRPr="00131165">
              <w:rPr>
                <w:webHidden/>
              </w:rPr>
              <w:fldChar w:fldCharType="end"/>
            </w:r>
          </w:hyperlink>
        </w:p>
        <w:p w14:paraId="429676DE" w14:textId="2D754D50"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93" w:history="1">
            <w:r w:rsidRPr="00131165">
              <w:rPr>
                <w:rStyle w:val="Hyperlink"/>
                <w:rFonts w:ascii="Times New Roman" w:hAnsi="Times New Roman" w:cs="Times New Roman"/>
                <w:b w:val="0"/>
                <w:bCs w:val="0"/>
                <w:noProof/>
                <w:sz w:val="24"/>
                <w:szCs w:val="24"/>
              </w:rPr>
              <w:t>4.1 Introduction</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_Toc216408893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36</w:t>
            </w:r>
            <w:r w:rsidRPr="00131165">
              <w:rPr>
                <w:rFonts w:ascii="Times New Roman" w:hAnsi="Times New Roman" w:cs="Times New Roman"/>
                <w:b w:val="0"/>
                <w:bCs w:val="0"/>
                <w:noProof/>
                <w:webHidden/>
                <w:sz w:val="24"/>
                <w:szCs w:val="24"/>
              </w:rPr>
              <w:fldChar w:fldCharType="end"/>
            </w:r>
          </w:hyperlink>
        </w:p>
        <w:p w14:paraId="215B052E" w14:textId="5CAFF358"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94" w:history="1">
            <w:r w:rsidRPr="00131165">
              <w:rPr>
                <w:rStyle w:val="Hyperlink"/>
                <w:rFonts w:ascii="Times New Roman" w:hAnsi="Times New Roman" w:cs="Times New Roman"/>
                <w:b w:val="0"/>
                <w:bCs w:val="0"/>
                <w:noProof/>
                <w:sz w:val="24"/>
                <w:szCs w:val="24"/>
              </w:rPr>
              <w:t>4.2 Findings</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_Toc216408894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36</w:t>
            </w:r>
            <w:r w:rsidRPr="00131165">
              <w:rPr>
                <w:rFonts w:ascii="Times New Roman" w:hAnsi="Times New Roman" w:cs="Times New Roman"/>
                <w:b w:val="0"/>
                <w:bCs w:val="0"/>
                <w:noProof/>
                <w:webHidden/>
                <w:sz w:val="24"/>
                <w:szCs w:val="24"/>
              </w:rPr>
              <w:fldChar w:fldCharType="end"/>
            </w:r>
          </w:hyperlink>
        </w:p>
        <w:p w14:paraId="3BE28A15" w14:textId="4D4FA6AB"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895" w:history="1">
            <w:r w:rsidRPr="00131165">
              <w:rPr>
                <w:rStyle w:val="Hyperlink"/>
                <w:rFonts w:ascii="Times New Roman" w:hAnsi="Times New Roman" w:cs="Times New Roman"/>
                <w:noProof/>
                <w:sz w:val="24"/>
                <w:szCs w:val="24"/>
              </w:rPr>
              <w:t>4.2.1 Demographic</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_Toc216408895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36</w:t>
            </w:r>
            <w:r w:rsidRPr="00131165">
              <w:rPr>
                <w:rFonts w:ascii="Times New Roman" w:hAnsi="Times New Roman" w:cs="Times New Roman"/>
                <w:noProof/>
                <w:webHidden/>
                <w:sz w:val="24"/>
                <w:szCs w:val="24"/>
              </w:rPr>
              <w:fldChar w:fldCharType="end"/>
            </w:r>
          </w:hyperlink>
        </w:p>
        <w:p w14:paraId="7CD80F55" w14:textId="0A9A8A23"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896" w:history="1">
            <w:r w:rsidRPr="00131165">
              <w:rPr>
                <w:rStyle w:val="Hyperlink"/>
                <w:rFonts w:ascii="Times New Roman" w:hAnsi="Times New Roman" w:cs="Times New Roman"/>
                <w:noProof/>
                <w:sz w:val="24"/>
                <w:szCs w:val="24"/>
              </w:rPr>
              <w:t>4.2.2 Reliability and Validity Test</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_Toc216408896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38</w:t>
            </w:r>
            <w:r w:rsidRPr="00131165">
              <w:rPr>
                <w:rFonts w:ascii="Times New Roman" w:hAnsi="Times New Roman" w:cs="Times New Roman"/>
                <w:noProof/>
                <w:webHidden/>
                <w:sz w:val="24"/>
                <w:szCs w:val="24"/>
              </w:rPr>
              <w:fldChar w:fldCharType="end"/>
            </w:r>
          </w:hyperlink>
        </w:p>
        <w:p w14:paraId="07D12991" w14:textId="7A72DC58"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897" w:history="1">
            <w:r w:rsidRPr="00131165">
              <w:rPr>
                <w:rStyle w:val="Hyperlink"/>
                <w:rFonts w:ascii="Times New Roman" w:hAnsi="Times New Roman" w:cs="Times New Roman"/>
                <w:noProof/>
                <w:sz w:val="24"/>
                <w:szCs w:val="24"/>
              </w:rPr>
              <w:t>4.2.3 Descriptive analysis</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_Toc216408897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38</w:t>
            </w:r>
            <w:r w:rsidRPr="00131165">
              <w:rPr>
                <w:rFonts w:ascii="Times New Roman" w:hAnsi="Times New Roman" w:cs="Times New Roman"/>
                <w:noProof/>
                <w:webHidden/>
                <w:sz w:val="24"/>
                <w:szCs w:val="24"/>
              </w:rPr>
              <w:fldChar w:fldCharType="end"/>
            </w:r>
          </w:hyperlink>
        </w:p>
        <w:p w14:paraId="7E34528C" w14:textId="6788E163"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898" w:history="1">
            <w:r w:rsidRPr="00131165">
              <w:rPr>
                <w:rStyle w:val="Hyperlink"/>
                <w:rFonts w:ascii="Times New Roman" w:hAnsi="Times New Roman" w:cs="Times New Roman"/>
                <w:noProof/>
                <w:sz w:val="24"/>
                <w:szCs w:val="24"/>
              </w:rPr>
              <w:t>4.2.4 Inferential Analysis</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_Toc216408898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46</w:t>
            </w:r>
            <w:r w:rsidRPr="00131165">
              <w:rPr>
                <w:rFonts w:ascii="Times New Roman" w:hAnsi="Times New Roman" w:cs="Times New Roman"/>
                <w:noProof/>
                <w:webHidden/>
                <w:sz w:val="24"/>
                <w:szCs w:val="24"/>
              </w:rPr>
              <w:fldChar w:fldCharType="end"/>
            </w:r>
          </w:hyperlink>
        </w:p>
        <w:p w14:paraId="384FD1E0" w14:textId="4AF767E9"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899" w:history="1">
            <w:r w:rsidRPr="00131165">
              <w:rPr>
                <w:rStyle w:val="Hyperlink"/>
                <w:rFonts w:ascii="Times New Roman" w:hAnsi="Times New Roman" w:cs="Times New Roman"/>
                <w:b w:val="0"/>
                <w:bCs w:val="0"/>
                <w:noProof/>
                <w:sz w:val="24"/>
                <w:szCs w:val="24"/>
              </w:rPr>
              <w:t>4.3 Discussion</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_Toc216408899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49</w:t>
            </w:r>
            <w:r w:rsidRPr="00131165">
              <w:rPr>
                <w:rFonts w:ascii="Times New Roman" w:hAnsi="Times New Roman" w:cs="Times New Roman"/>
                <w:b w:val="0"/>
                <w:bCs w:val="0"/>
                <w:noProof/>
                <w:webHidden/>
                <w:sz w:val="24"/>
                <w:szCs w:val="24"/>
              </w:rPr>
              <w:fldChar w:fldCharType="end"/>
            </w:r>
          </w:hyperlink>
        </w:p>
        <w:p w14:paraId="69335284" w14:textId="6C7DF501"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900" w:history="1">
            <w:r w:rsidRPr="00131165">
              <w:rPr>
                <w:rStyle w:val="Hyperlink"/>
                <w:rFonts w:ascii="Times New Roman" w:hAnsi="Times New Roman" w:cs="Times New Roman"/>
                <w:noProof/>
                <w:sz w:val="24"/>
                <w:szCs w:val="24"/>
              </w:rPr>
              <w:t>4.3.1 RQ-1 What diversity and inclusion strategies are currently implemented across different NHS Trusts?</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_Toc216408900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49</w:t>
            </w:r>
            <w:r w:rsidRPr="00131165">
              <w:rPr>
                <w:rFonts w:ascii="Times New Roman" w:hAnsi="Times New Roman" w:cs="Times New Roman"/>
                <w:noProof/>
                <w:webHidden/>
                <w:sz w:val="24"/>
                <w:szCs w:val="24"/>
              </w:rPr>
              <w:fldChar w:fldCharType="end"/>
            </w:r>
          </w:hyperlink>
        </w:p>
        <w:p w14:paraId="70F1917A" w14:textId="5856EE63"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901" w:history="1">
            <w:r w:rsidRPr="00131165">
              <w:rPr>
                <w:rStyle w:val="Hyperlink"/>
                <w:rFonts w:ascii="Times New Roman" w:hAnsi="Times New Roman" w:cs="Times New Roman"/>
                <w:noProof/>
                <w:sz w:val="24"/>
                <w:szCs w:val="24"/>
              </w:rPr>
              <w:t>4.3.2 RQ-2 How do BAME and frontline NHS staff perceive the effectiveness of existing D&amp;I initiatives?</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_Toc216408901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49</w:t>
            </w:r>
            <w:r w:rsidRPr="00131165">
              <w:rPr>
                <w:rFonts w:ascii="Times New Roman" w:hAnsi="Times New Roman" w:cs="Times New Roman"/>
                <w:noProof/>
                <w:webHidden/>
                <w:sz w:val="24"/>
                <w:szCs w:val="24"/>
              </w:rPr>
              <w:fldChar w:fldCharType="end"/>
            </w:r>
          </w:hyperlink>
        </w:p>
        <w:p w14:paraId="7E66FB5D" w14:textId="2E44A953"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902" w:history="1">
            <w:r w:rsidRPr="00131165">
              <w:rPr>
                <w:rStyle w:val="Hyperlink"/>
                <w:rFonts w:ascii="Times New Roman" w:hAnsi="Times New Roman" w:cs="Times New Roman"/>
                <w:noProof/>
                <w:sz w:val="24"/>
                <w:szCs w:val="24"/>
              </w:rPr>
              <w:t>4.3.3 RQ-3 What is the connection between staff perceptions of inclusion and their intent to remain within the NHS?</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_Toc216408902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50</w:t>
            </w:r>
            <w:r w:rsidRPr="00131165">
              <w:rPr>
                <w:rFonts w:ascii="Times New Roman" w:hAnsi="Times New Roman" w:cs="Times New Roman"/>
                <w:noProof/>
                <w:webHidden/>
                <w:sz w:val="24"/>
                <w:szCs w:val="24"/>
              </w:rPr>
              <w:fldChar w:fldCharType="end"/>
            </w:r>
          </w:hyperlink>
        </w:p>
        <w:p w14:paraId="4FC61D57" w14:textId="4F537E8A" w:rsidR="00131165" w:rsidRPr="00131165" w:rsidRDefault="00131165" w:rsidP="00131165">
          <w:pPr>
            <w:pStyle w:val="TOC3"/>
            <w:tabs>
              <w:tab w:val="right" w:leader="dot" w:pos="9016"/>
            </w:tabs>
            <w:rPr>
              <w:rFonts w:ascii="Times New Roman" w:eastAsiaTheme="minorEastAsia" w:hAnsi="Times New Roman" w:cs="Times New Roman"/>
              <w:noProof/>
              <w:color w:val="auto"/>
              <w:kern w:val="0"/>
              <w:sz w:val="24"/>
              <w:szCs w:val="24"/>
              <w:lang w:eastAsia="en-GB" w:bidi="ar-SA"/>
              <w14:ligatures w14:val="none"/>
            </w:rPr>
          </w:pPr>
          <w:hyperlink w:anchor="_Toc216408903" w:history="1">
            <w:r w:rsidRPr="00131165">
              <w:rPr>
                <w:rStyle w:val="Hyperlink"/>
                <w:rFonts w:ascii="Times New Roman" w:hAnsi="Times New Roman" w:cs="Times New Roman"/>
                <w:noProof/>
                <w:sz w:val="24"/>
                <w:szCs w:val="24"/>
              </w:rPr>
              <w:t>4.3.4 RQ-4 What improvements can be made to D&amp;I strategies to better support staff retention, especially for minority and frontline staff?</w:t>
            </w:r>
            <w:r w:rsidRPr="00131165">
              <w:rPr>
                <w:rFonts w:ascii="Times New Roman" w:hAnsi="Times New Roman" w:cs="Times New Roman"/>
                <w:noProof/>
                <w:webHidden/>
                <w:sz w:val="24"/>
                <w:szCs w:val="24"/>
              </w:rPr>
              <w:tab/>
            </w:r>
            <w:r w:rsidRPr="00131165">
              <w:rPr>
                <w:rFonts w:ascii="Times New Roman" w:hAnsi="Times New Roman" w:cs="Times New Roman"/>
                <w:noProof/>
                <w:webHidden/>
                <w:sz w:val="24"/>
                <w:szCs w:val="24"/>
              </w:rPr>
              <w:fldChar w:fldCharType="begin"/>
            </w:r>
            <w:r w:rsidRPr="00131165">
              <w:rPr>
                <w:rFonts w:ascii="Times New Roman" w:hAnsi="Times New Roman" w:cs="Times New Roman"/>
                <w:noProof/>
                <w:webHidden/>
                <w:sz w:val="24"/>
                <w:szCs w:val="24"/>
              </w:rPr>
              <w:instrText xml:space="preserve"> PAGEREF _Toc216408903 \h </w:instrText>
            </w:r>
            <w:r w:rsidRPr="00131165">
              <w:rPr>
                <w:rFonts w:ascii="Times New Roman" w:hAnsi="Times New Roman" w:cs="Times New Roman"/>
                <w:noProof/>
                <w:webHidden/>
                <w:sz w:val="24"/>
                <w:szCs w:val="24"/>
              </w:rPr>
            </w:r>
            <w:r w:rsidRPr="00131165">
              <w:rPr>
                <w:rFonts w:ascii="Times New Roman" w:hAnsi="Times New Roman" w:cs="Times New Roman"/>
                <w:noProof/>
                <w:webHidden/>
                <w:sz w:val="24"/>
                <w:szCs w:val="24"/>
              </w:rPr>
              <w:fldChar w:fldCharType="separate"/>
            </w:r>
            <w:r w:rsidR="00944B84">
              <w:rPr>
                <w:rFonts w:ascii="Times New Roman" w:hAnsi="Times New Roman" w:cs="Times New Roman"/>
                <w:noProof/>
                <w:webHidden/>
                <w:sz w:val="24"/>
                <w:szCs w:val="24"/>
              </w:rPr>
              <w:t>51</w:t>
            </w:r>
            <w:r w:rsidRPr="00131165">
              <w:rPr>
                <w:rFonts w:ascii="Times New Roman" w:hAnsi="Times New Roman" w:cs="Times New Roman"/>
                <w:noProof/>
                <w:webHidden/>
                <w:sz w:val="24"/>
                <w:szCs w:val="24"/>
              </w:rPr>
              <w:fldChar w:fldCharType="end"/>
            </w:r>
          </w:hyperlink>
        </w:p>
        <w:p w14:paraId="7E606480" w14:textId="61AD1C38"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904" w:history="1">
            <w:r w:rsidRPr="00131165">
              <w:rPr>
                <w:rStyle w:val="Hyperlink"/>
                <w:rFonts w:ascii="Times New Roman" w:hAnsi="Times New Roman" w:cs="Times New Roman"/>
                <w:b w:val="0"/>
                <w:bCs w:val="0"/>
                <w:noProof/>
                <w:sz w:val="24"/>
                <w:szCs w:val="24"/>
              </w:rPr>
              <w:t>4.4 Chapter Summary</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_Toc216408904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52</w:t>
            </w:r>
            <w:r w:rsidRPr="00131165">
              <w:rPr>
                <w:rFonts w:ascii="Times New Roman" w:hAnsi="Times New Roman" w:cs="Times New Roman"/>
                <w:b w:val="0"/>
                <w:bCs w:val="0"/>
                <w:noProof/>
                <w:webHidden/>
                <w:sz w:val="24"/>
                <w:szCs w:val="24"/>
              </w:rPr>
              <w:fldChar w:fldCharType="end"/>
            </w:r>
          </w:hyperlink>
        </w:p>
        <w:p w14:paraId="52FC70CB" w14:textId="7D6529EC" w:rsidR="00131165" w:rsidRPr="00131165" w:rsidRDefault="00131165" w:rsidP="00131165">
          <w:pPr>
            <w:pStyle w:val="TOC1"/>
            <w:rPr>
              <w:rFonts w:eastAsiaTheme="minorEastAsia"/>
              <w:color w:val="auto"/>
              <w:kern w:val="0"/>
              <w:lang w:eastAsia="en-GB" w:bidi="ar-SA"/>
              <w14:ligatures w14:val="none"/>
            </w:rPr>
          </w:pPr>
          <w:hyperlink w:anchor="_Toc216408905" w:history="1">
            <w:r w:rsidRPr="00131165">
              <w:rPr>
                <w:rStyle w:val="Hyperlink"/>
              </w:rPr>
              <w:t>Chapter Five: Conclusion and Recommendation</w:t>
            </w:r>
            <w:r w:rsidRPr="00131165">
              <w:rPr>
                <w:webHidden/>
              </w:rPr>
              <w:tab/>
            </w:r>
            <w:r w:rsidRPr="00131165">
              <w:rPr>
                <w:webHidden/>
              </w:rPr>
              <w:fldChar w:fldCharType="begin"/>
            </w:r>
            <w:r w:rsidRPr="00131165">
              <w:rPr>
                <w:webHidden/>
              </w:rPr>
              <w:instrText xml:space="preserve"> PAGEREF _Toc216408905 \h </w:instrText>
            </w:r>
            <w:r w:rsidRPr="00131165">
              <w:rPr>
                <w:webHidden/>
              </w:rPr>
            </w:r>
            <w:r w:rsidRPr="00131165">
              <w:rPr>
                <w:webHidden/>
              </w:rPr>
              <w:fldChar w:fldCharType="separate"/>
            </w:r>
            <w:r w:rsidR="00944B84">
              <w:rPr>
                <w:webHidden/>
              </w:rPr>
              <w:t>53</w:t>
            </w:r>
            <w:r w:rsidRPr="00131165">
              <w:rPr>
                <w:webHidden/>
              </w:rPr>
              <w:fldChar w:fldCharType="end"/>
            </w:r>
          </w:hyperlink>
        </w:p>
        <w:p w14:paraId="398003F9" w14:textId="627F7750"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906" w:history="1">
            <w:r w:rsidRPr="00131165">
              <w:rPr>
                <w:rStyle w:val="Hyperlink"/>
                <w:rFonts w:ascii="Times New Roman" w:hAnsi="Times New Roman" w:cs="Times New Roman"/>
                <w:b w:val="0"/>
                <w:bCs w:val="0"/>
                <w:noProof/>
                <w:sz w:val="24"/>
                <w:szCs w:val="24"/>
              </w:rPr>
              <w:t>5.1 Conclusion</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_Toc216408906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53</w:t>
            </w:r>
            <w:r w:rsidRPr="00131165">
              <w:rPr>
                <w:rFonts w:ascii="Times New Roman" w:hAnsi="Times New Roman" w:cs="Times New Roman"/>
                <w:b w:val="0"/>
                <w:bCs w:val="0"/>
                <w:noProof/>
                <w:webHidden/>
                <w:sz w:val="24"/>
                <w:szCs w:val="24"/>
              </w:rPr>
              <w:fldChar w:fldCharType="end"/>
            </w:r>
          </w:hyperlink>
        </w:p>
        <w:p w14:paraId="7F253454" w14:textId="5E27AE3C"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907" w:history="1">
            <w:r w:rsidRPr="00131165">
              <w:rPr>
                <w:rStyle w:val="Hyperlink"/>
                <w:rFonts w:ascii="Times New Roman" w:hAnsi="Times New Roman" w:cs="Times New Roman"/>
                <w:b w:val="0"/>
                <w:bCs w:val="0"/>
                <w:noProof/>
                <w:sz w:val="24"/>
                <w:szCs w:val="24"/>
              </w:rPr>
              <w:t>5.2 Recommendation</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_Toc216408907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54</w:t>
            </w:r>
            <w:r w:rsidRPr="00131165">
              <w:rPr>
                <w:rFonts w:ascii="Times New Roman" w:hAnsi="Times New Roman" w:cs="Times New Roman"/>
                <w:b w:val="0"/>
                <w:bCs w:val="0"/>
                <w:noProof/>
                <w:webHidden/>
                <w:sz w:val="24"/>
                <w:szCs w:val="24"/>
              </w:rPr>
              <w:fldChar w:fldCharType="end"/>
            </w:r>
          </w:hyperlink>
        </w:p>
        <w:p w14:paraId="515588A7" w14:textId="3AFAD39F"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908" w:history="1">
            <w:r w:rsidRPr="00131165">
              <w:rPr>
                <w:rStyle w:val="Hyperlink"/>
                <w:rFonts w:ascii="Times New Roman" w:hAnsi="Times New Roman" w:cs="Times New Roman"/>
                <w:b w:val="0"/>
                <w:bCs w:val="0"/>
                <w:noProof/>
                <w:sz w:val="24"/>
                <w:szCs w:val="24"/>
              </w:rPr>
              <w:t>5.3 Contributions to theory</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_Toc216408908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56</w:t>
            </w:r>
            <w:r w:rsidRPr="00131165">
              <w:rPr>
                <w:rFonts w:ascii="Times New Roman" w:hAnsi="Times New Roman" w:cs="Times New Roman"/>
                <w:b w:val="0"/>
                <w:bCs w:val="0"/>
                <w:noProof/>
                <w:webHidden/>
                <w:sz w:val="24"/>
                <w:szCs w:val="24"/>
              </w:rPr>
              <w:fldChar w:fldCharType="end"/>
            </w:r>
          </w:hyperlink>
        </w:p>
        <w:p w14:paraId="59685E89" w14:textId="4FA82E79" w:rsidR="00131165" w:rsidRPr="00131165" w:rsidRDefault="00131165" w:rsidP="00131165">
          <w:pPr>
            <w:pStyle w:val="TOC2"/>
            <w:tabs>
              <w:tab w:val="right" w:leader="dot" w:pos="9016"/>
            </w:tabs>
            <w:rPr>
              <w:rFonts w:ascii="Times New Roman" w:eastAsiaTheme="minorEastAsia" w:hAnsi="Times New Roman" w:cs="Times New Roman"/>
              <w:b w:val="0"/>
              <w:bCs w:val="0"/>
              <w:noProof/>
              <w:color w:val="auto"/>
              <w:kern w:val="0"/>
              <w:sz w:val="24"/>
              <w:szCs w:val="24"/>
              <w:lang w:eastAsia="en-GB" w:bidi="ar-SA"/>
              <w14:ligatures w14:val="none"/>
            </w:rPr>
          </w:pPr>
          <w:hyperlink w:anchor="_Toc216408909" w:history="1">
            <w:r w:rsidRPr="00131165">
              <w:rPr>
                <w:rStyle w:val="Hyperlink"/>
                <w:rFonts w:ascii="Times New Roman" w:hAnsi="Times New Roman" w:cs="Times New Roman"/>
                <w:b w:val="0"/>
                <w:bCs w:val="0"/>
                <w:noProof/>
                <w:sz w:val="24"/>
                <w:szCs w:val="24"/>
              </w:rPr>
              <w:t>5.4 Limitations of the study leading to areas of further research</w:t>
            </w:r>
            <w:r w:rsidRPr="00131165">
              <w:rPr>
                <w:rFonts w:ascii="Times New Roman" w:hAnsi="Times New Roman" w:cs="Times New Roman"/>
                <w:b w:val="0"/>
                <w:bCs w:val="0"/>
                <w:noProof/>
                <w:webHidden/>
                <w:sz w:val="24"/>
                <w:szCs w:val="24"/>
              </w:rPr>
              <w:tab/>
            </w:r>
            <w:r w:rsidRPr="00131165">
              <w:rPr>
                <w:rFonts w:ascii="Times New Roman" w:hAnsi="Times New Roman" w:cs="Times New Roman"/>
                <w:b w:val="0"/>
                <w:bCs w:val="0"/>
                <w:noProof/>
                <w:webHidden/>
                <w:sz w:val="24"/>
                <w:szCs w:val="24"/>
              </w:rPr>
              <w:fldChar w:fldCharType="begin"/>
            </w:r>
            <w:r w:rsidRPr="00131165">
              <w:rPr>
                <w:rFonts w:ascii="Times New Roman" w:hAnsi="Times New Roman" w:cs="Times New Roman"/>
                <w:b w:val="0"/>
                <w:bCs w:val="0"/>
                <w:noProof/>
                <w:webHidden/>
                <w:sz w:val="24"/>
                <w:szCs w:val="24"/>
              </w:rPr>
              <w:instrText xml:space="preserve"> PAGEREF _Toc216408909 \h </w:instrText>
            </w:r>
            <w:r w:rsidRPr="00131165">
              <w:rPr>
                <w:rFonts w:ascii="Times New Roman" w:hAnsi="Times New Roman" w:cs="Times New Roman"/>
                <w:b w:val="0"/>
                <w:bCs w:val="0"/>
                <w:noProof/>
                <w:webHidden/>
                <w:sz w:val="24"/>
                <w:szCs w:val="24"/>
              </w:rPr>
            </w:r>
            <w:r w:rsidRPr="00131165">
              <w:rPr>
                <w:rFonts w:ascii="Times New Roman" w:hAnsi="Times New Roman" w:cs="Times New Roman"/>
                <w:b w:val="0"/>
                <w:bCs w:val="0"/>
                <w:noProof/>
                <w:webHidden/>
                <w:sz w:val="24"/>
                <w:szCs w:val="24"/>
              </w:rPr>
              <w:fldChar w:fldCharType="separate"/>
            </w:r>
            <w:r w:rsidR="00944B84">
              <w:rPr>
                <w:rFonts w:ascii="Times New Roman" w:hAnsi="Times New Roman" w:cs="Times New Roman"/>
                <w:b w:val="0"/>
                <w:bCs w:val="0"/>
                <w:noProof/>
                <w:webHidden/>
                <w:sz w:val="24"/>
                <w:szCs w:val="24"/>
              </w:rPr>
              <w:t>57</w:t>
            </w:r>
            <w:r w:rsidRPr="00131165">
              <w:rPr>
                <w:rFonts w:ascii="Times New Roman" w:hAnsi="Times New Roman" w:cs="Times New Roman"/>
                <w:b w:val="0"/>
                <w:bCs w:val="0"/>
                <w:noProof/>
                <w:webHidden/>
                <w:sz w:val="24"/>
                <w:szCs w:val="24"/>
              </w:rPr>
              <w:fldChar w:fldCharType="end"/>
            </w:r>
          </w:hyperlink>
        </w:p>
        <w:p w14:paraId="13FF8EE1" w14:textId="1928E8D2" w:rsidR="00131165" w:rsidRPr="00131165" w:rsidRDefault="00131165" w:rsidP="00131165">
          <w:pPr>
            <w:pStyle w:val="TOC1"/>
            <w:rPr>
              <w:rFonts w:eastAsiaTheme="minorEastAsia"/>
              <w:color w:val="auto"/>
              <w:kern w:val="0"/>
              <w:lang w:eastAsia="en-GB" w:bidi="ar-SA"/>
              <w14:ligatures w14:val="none"/>
            </w:rPr>
          </w:pPr>
          <w:hyperlink w:anchor="_Toc216408910" w:history="1">
            <w:r w:rsidRPr="00131165">
              <w:rPr>
                <w:rStyle w:val="Hyperlink"/>
              </w:rPr>
              <w:t>Reference list</w:t>
            </w:r>
            <w:r w:rsidRPr="00131165">
              <w:rPr>
                <w:webHidden/>
              </w:rPr>
              <w:tab/>
            </w:r>
            <w:r w:rsidRPr="00131165">
              <w:rPr>
                <w:webHidden/>
              </w:rPr>
              <w:fldChar w:fldCharType="begin"/>
            </w:r>
            <w:r w:rsidRPr="00131165">
              <w:rPr>
                <w:webHidden/>
              </w:rPr>
              <w:instrText xml:space="preserve"> PAGEREF _Toc216408910 \h </w:instrText>
            </w:r>
            <w:r w:rsidRPr="00131165">
              <w:rPr>
                <w:webHidden/>
              </w:rPr>
            </w:r>
            <w:r w:rsidRPr="00131165">
              <w:rPr>
                <w:webHidden/>
              </w:rPr>
              <w:fldChar w:fldCharType="separate"/>
            </w:r>
            <w:r w:rsidR="00944B84">
              <w:rPr>
                <w:webHidden/>
              </w:rPr>
              <w:t>58</w:t>
            </w:r>
            <w:r w:rsidRPr="00131165">
              <w:rPr>
                <w:webHidden/>
              </w:rPr>
              <w:fldChar w:fldCharType="end"/>
            </w:r>
          </w:hyperlink>
        </w:p>
        <w:p w14:paraId="4E1910CC" w14:textId="198FFA3F" w:rsidR="00131165" w:rsidRPr="00131165" w:rsidRDefault="00131165" w:rsidP="00131165">
          <w:pPr>
            <w:pStyle w:val="TOC1"/>
            <w:rPr>
              <w:rFonts w:eastAsiaTheme="minorEastAsia"/>
              <w:color w:val="auto"/>
              <w:kern w:val="0"/>
              <w:lang w:eastAsia="en-GB" w:bidi="ar-SA"/>
              <w14:ligatures w14:val="none"/>
            </w:rPr>
          </w:pPr>
          <w:hyperlink w:anchor="_Toc216408911" w:history="1">
            <w:r w:rsidRPr="00131165">
              <w:rPr>
                <w:rStyle w:val="Hyperlink"/>
              </w:rPr>
              <w:t>Appendix A</w:t>
            </w:r>
            <w:r w:rsidRPr="00131165">
              <w:rPr>
                <w:webHidden/>
              </w:rPr>
              <w:tab/>
            </w:r>
            <w:r w:rsidRPr="00131165">
              <w:rPr>
                <w:webHidden/>
              </w:rPr>
              <w:fldChar w:fldCharType="begin"/>
            </w:r>
            <w:r w:rsidRPr="00131165">
              <w:rPr>
                <w:webHidden/>
              </w:rPr>
              <w:instrText xml:space="preserve"> PAGEREF _Toc216408911 \h </w:instrText>
            </w:r>
            <w:r w:rsidRPr="00131165">
              <w:rPr>
                <w:webHidden/>
              </w:rPr>
            </w:r>
            <w:r w:rsidRPr="00131165">
              <w:rPr>
                <w:webHidden/>
              </w:rPr>
              <w:fldChar w:fldCharType="separate"/>
            </w:r>
            <w:r w:rsidR="00944B84">
              <w:rPr>
                <w:webHidden/>
              </w:rPr>
              <w:t>69</w:t>
            </w:r>
            <w:r w:rsidRPr="00131165">
              <w:rPr>
                <w:webHidden/>
              </w:rPr>
              <w:fldChar w:fldCharType="end"/>
            </w:r>
          </w:hyperlink>
        </w:p>
        <w:p w14:paraId="32A651C1" w14:textId="1F491D64" w:rsidR="00131165" w:rsidRPr="00131165" w:rsidRDefault="00131165" w:rsidP="00131165">
          <w:pPr>
            <w:pStyle w:val="TOC1"/>
            <w:rPr>
              <w:rFonts w:eastAsiaTheme="minorEastAsia"/>
              <w:color w:val="auto"/>
              <w:kern w:val="0"/>
              <w:lang w:eastAsia="en-GB" w:bidi="ar-SA"/>
              <w14:ligatures w14:val="none"/>
            </w:rPr>
          </w:pPr>
          <w:hyperlink w:anchor="_Toc216408912" w:history="1">
            <w:r w:rsidRPr="00131165">
              <w:rPr>
                <w:rStyle w:val="Hyperlink"/>
              </w:rPr>
              <w:t>Appendix B</w:t>
            </w:r>
            <w:r w:rsidRPr="00131165">
              <w:rPr>
                <w:webHidden/>
              </w:rPr>
              <w:tab/>
            </w:r>
            <w:r w:rsidRPr="00131165">
              <w:rPr>
                <w:webHidden/>
              </w:rPr>
              <w:fldChar w:fldCharType="begin"/>
            </w:r>
            <w:r w:rsidRPr="00131165">
              <w:rPr>
                <w:webHidden/>
              </w:rPr>
              <w:instrText xml:space="preserve"> PAGEREF _Toc216408912 \h </w:instrText>
            </w:r>
            <w:r w:rsidRPr="00131165">
              <w:rPr>
                <w:webHidden/>
              </w:rPr>
            </w:r>
            <w:r w:rsidRPr="00131165">
              <w:rPr>
                <w:webHidden/>
              </w:rPr>
              <w:fldChar w:fldCharType="separate"/>
            </w:r>
            <w:r w:rsidR="00944B84">
              <w:rPr>
                <w:webHidden/>
              </w:rPr>
              <w:t>77</w:t>
            </w:r>
            <w:r w:rsidRPr="00131165">
              <w:rPr>
                <w:webHidden/>
              </w:rPr>
              <w:fldChar w:fldCharType="end"/>
            </w:r>
          </w:hyperlink>
        </w:p>
        <w:p w14:paraId="319B2551" w14:textId="3F91B6A9" w:rsidR="00131165" w:rsidRPr="00131165" w:rsidRDefault="00131165" w:rsidP="00131165">
          <w:pPr>
            <w:pStyle w:val="TOC1"/>
            <w:rPr>
              <w:rFonts w:eastAsiaTheme="minorEastAsia"/>
              <w:color w:val="auto"/>
              <w:kern w:val="0"/>
              <w:lang w:eastAsia="en-GB" w:bidi="ar-SA"/>
              <w14:ligatures w14:val="none"/>
            </w:rPr>
          </w:pPr>
          <w:hyperlink w:anchor="_Toc216408913" w:history="1">
            <w:r w:rsidRPr="00131165">
              <w:rPr>
                <w:rStyle w:val="Hyperlink"/>
              </w:rPr>
              <w:t>Appendix C</w:t>
            </w:r>
            <w:r w:rsidRPr="00131165">
              <w:rPr>
                <w:webHidden/>
              </w:rPr>
              <w:tab/>
            </w:r>
            <w:r w:rsidRPr="00131165">
              <w:rPr>
                <w:webHidden/>
              </w:rPr>
              <w:fldChar w:fldCharType="begin"/>
            </w:r>
            <w:r w:rsidRPr="00131165">
              <w:rPr>
                <w:webHidden/>
              </w:rPr>
              <w:instrText xml:space="preserve"> PAGEREF _Toc216408913 \h </w:instrText>
            </w:r>
            <w:r w:rsidRPr="00131165">
              <w:rPr>
                <w:webHidden/>
              </w:rPr>
            </w:r>
            <w:r w:rsidRPr="00131165">
              <w:rPr>
                <w:webHidden/>
              </w:rPr>
              <w:fldChar w:fldCharType="separate"/>
            </w:r>
            <w:r w:rsidR="00944B84">
              <w:rPr>
                <w:webHidden/>
              </w:rPr>
              <w:t>78</w:t>
            </w:r>
            <w:r w:rsidRPr="00131165">
              <w:rPr>
                <w:webHidden/>
              </w:rPr>
              <w:fldChar w:fldCharType="end"/>
            </w:r>
          </w:hyperlink>
        </w:p>
        <w:p w14:paraId="27F363DA" w14:textId="6A59839A" w:rsidR="00131165" w:rsidRPr="00131165" w:rsidRDefault="00131165" w:rsidP="00131165">
          <w:pPr>
            <w:pStyle w:val="TOC1"/>
            <w:rPr>
              <w:rFonts w:eastAsiaTheme="minorEastAsia"/>
              <w:color w:val="auto"/>
              <w:kern w:val="0"/>
              <w:lang w:eastAsia="en-GB" w:bidi="ar-SA"/>
              <w14:ligatures w14:val="none"/>
            </w:rPr>
          </w:pPr>
          <w:hyperlink w:anchor="_Toc216408914" w:history="1">
            <w:r w:rsidRPr="00131165">
              <w:rPr>
                <w:rStyle w:val="Hyperlink"/>
              </w:rPr>
              <w:t>Appendix D Ethics Form</w:t>
            </w:r>
            <w:r w:rsidRPr="00131165">
              <w:rPr>
                <w:webHidden/>
              </w:rPr>
              <w:tab/>
            </w:r>
            <w:r w:rsidRPr="00131165">
              <w:rPr>
                <w:webHidden/>
              </w:rPr>
              <w:fldChar w:fldCharType="begin"/>
            </w:r>
            <w:r w:rsidRPr="00131165">
              <w:rPr>
                <w:webHidden/>
              </w:rPr>
              <w:instrText xml:space="preserve"> PAGEREF _Toc216408914 \h </w:instrText>
            </w:r>
            <w:r w:rsidRPr="00131165">
              <w:rPr>
                <w:webHidden/>
              </w:rPr>
            </w:r>
            <w:r w:rsidRPr="00131165">
              <w:rPr>
                <w:webHidden/>
              </w:rPr>
              <w:fldChar w:fldCharType="separate"/>
            </w:r>
            <w:r w:rsidR="00944B84">
              <w:rPr>
                <w:webHidden/>
              </w:rPr>
              <w:t>84</w:t>
            </w:r>
            <w:r w:rsidRPr="00131165">
              <w:rPr>
                <w:webHidden/>
              </w:rPr>
              <w:fldChar w:fldCharType="end"/>
            </w:r>
          </w:hyperlink>
        </w:p>
        <w:p w14:paraId="5B60CFB5" w14:textId="3F4A6A5A" w:rsidR="009C7ADA" w:rsidRPr="00131165" w:rsidRDefault="009C7ADA" w:rsidP="00131165">
          <w:pPr>
            <w:rPr>
              <w:rFonts w:cs="Times New Roman"/>
              <w:szCs w:val="24"/>
            </w:rPr>
          </w:pPr>
          <w:r w:rsidRPr="00131165">
            <w:rPr>
              <w:rFonts w:cs="Times New Roman"/>
              <w:b/>
              <w:bCs/>
              <w:noProof/>
              <w:szCs w:val="24"/>
            </w:rPr>
            <w:fldChar w:fldCharType="end"/>
          </w:r>
        </w:p>
      </w:sdtContent>
    </w:sdt>
    <w:p w14:paraId="3CF9F7F4" w14:textId="4635B95D" w:rsidR="000D2293" w:rsidRDefault="000D2293">
      <w:pPr>
        <w:spacing w:line="240" w:lineRule="auto"/>
        <w:jc w:val="left"/>
      </w:pPr>
      <w:r>
        <w:br w:type="page"/>
      </w:r>
    </w:p>
    <w:p w14:paraId="16150166" w14:textId="3EE36D03" w:rsidR="00131165" w:rsidRDefault="00131165">
      <w:pPr>
        <w:spacing w:line="240" w:lineRule="auto"/>
        <w:jc w:val="left"/>
      </w:pPr>
    </w:p>
    <w:p w14:paraId="35D9E674" w14:textId="77777777" w:rsidR="00131165" w:rsidRDefault="00131165">
      <w:pPr>
        <w:spacing w:line="240" w:lineRule="auto"/>
        <w:jc w:val="left"/>
      </w:pPr>
    </w:p>
    <w:p w14:paraId="2D4D5BC3" w14:textId="24CD53F0" w:rsidR="00131165" w:rsidRPr="00131165" w:rsidRDefault="00131165" w:rsidP="00131165">
      <w:pPr>
        <w:pStyle w:val="Heading1"/>
      </w:pPr>
      <w:bookmarkStart w:id="3" w:name="_Toc216408855"/>
      <w:r w:rsidRPr="00131165">
        <w:t>LIST OF FIGURE</w:t>
      </w:r>
      <w:r>
        <w:t>S</w:t>
      </w:r>
      <w:bookmarkEnd w:id="3"/>
    </w:p>
    <w:p w14:paraId="1EC85229" w14:textId="24F0E4CE" w:rsidR="00131165" w:rsidRDefault="000D2293">
      <w:pPr>
        <w:pStyle w:val="TableofFigures"/>
        <w:tabs>
          <w:tab w:val="right" w:leader="dot" w:pos="9016"/>
        </w:tabs>
        <w:rPr>
          <w:rFonts w:asciiTheme="minorHAnsi" w:eastAsiaTheme="minorEastAsia" w:hAnsiTheme="minorHAnsi" w:cstheme="minorBidi"/>
          <w:noProof/>
          <w:color w:val="auto"/>
          <w:kern w:val="0"/>
          <w:sz w:val="22"/>
          <w:szCs w:val="22"/>
          <w:lang w:eastAsia="en-GB" w:bidi="ar-SA"/>
          <w14:ligatures w14:val="none"/>
        </w:rPr>
      </w:pPr>
      <w:r>
        <w:fldChar w:fldCharType="begin"/>
      </w:r>
      <w:r>
        <w:instrText xml:space="preserve"> TOC \h \z \c "Figure" </w:instrText>
      </w:r>
      <w:r>
        <w:fldChar w:fldCharType="separate"/>
      </w:r>
      <w:hyperlink w:anchor="_Toc216408776" w:history="1">
        <w:r w:rsidR="00131165" w:rsidRPr="005075E0">
          <w:rPr>
            <w:rStyle w:val="Hyperlink"/>
            <w:noProof/>
          </w:rPr>
          <w:t>Figure 1: Social Identity Theory by Tajfel and Turner (1979)</w:t>
        </w:r>
        <w:r w:rsidR="00131165">
          <w:rPr>
            <w:noProof/>
            <w:webHidden/>
          </w:rPr>
          <w:tab/>
        </w:r>
        <w:r w:rsidR="00131165">
          <w:rPr>
            <w:noProof/>
            <w:webHidden/>
          </w:rPr>
          <w:fldChar w:fldCharType="begin"/>
        </w:r>
        <w:r w:rsidR="00131165">
          <w:rPr>
            <w:noProof/>
            <w:webHidden/>
          </w:rPr>
          <w:instrText xml:space="preserve"> PAGEREF _Toc216408776 \h </w:instrText>
        </w:r>
        <w:r w:rsidR="00131165">
          <w:rPr>
            <w:noProof/>
            <w:webHidden/>
          </w:rPr>
        </w:r>
        <w:r w:rsidR="00131165">
          <w:rPr>
            <w:noProof/>
            <w:webHidden/>
          </w:rPr>
          <w:fldChar w:fldCharType="separate"/>
        </w:r>
        <w:r w:rsidR="00944B84">
          <w:rPr>
            <w:noProof/>
            <w:webHidden/>
          </w:rPr>
          <w:t>16</w:t>
        </w:r>
        <w:r w:rsidR="00131165">
          <w:rPr>
            <w:noProof/>
            <w:webHidden/>
          </w:rPr>
          <w:fldChar w:fldCharType="end"/>
        </w:r>
      </w:hyperlink>
    </w:p>
    <w:p w14:paraId="0604AFF0" w14:textId="6C5C9FB1" w:rsidR="00131165" w:rsidRDefault="00131165">
      <w:pPr>
        <w:pStyle w:val="TableofFigures"/>
        <w:tabs>
          <w:tab w:val="right" w:leader="dot" w:pos="9016"/>
        </w:tabs>
        <w:rPr>
          <w:rFonts w:asciiTheme="minorHAnsi" w:eastAsiaTheme="minorEastAsia" w:hAnsiTheme="minorHAnsi" w:cstheme="minorBidi"/>
          <w:noProof/>
          <w:color w:val="auto"/>
          <w:kern w:val="0"/>
          <w:sz w:val="22"/>
          <w:szCs w:val="22"/>
          <w:lang w:eastAsia="en-GB" w:bidi="ar-SA"/>
          <w14:ligatures w14:val="none"/>
        </w:rPr>
      </w:pPr>
      <w:hyperlink w:anchor="_Toc216408777" w:history="1">
        <w:r w:rsidRPr="005075E0">
          <w:rPr>
            <w:rStyle w:val="Hyperlink"/>
            <w:noProof/>
          </w:rPr>
          <w:t>Figure 2: Contact Theory by Allport (1954)</w:t>
        </w:r>
        <w:r>
          <w:rPr>
            <w:noProof/>
            <w:webHidden/>
          </w:rPr>
          <w:tab/>
        </w:r>
        <w:r>
          <w:rPr>
            <w:noProof/>
            <w:webHidden/>
          </w:rPr>
          <w:fldChar w:fldCharType="begin"/>
        </w:r>
        <w:r>
          <w:rPr>
            <w:noProof/>
            <w:webHidden/>
          </w:rPr>
          <w:instrText xml:space="preserve"> PAGEREF _Toc216408777 \h </w:instrText>
        </w:r>
        <w:r>
          <w:rPr>
            <w:noProof/>
            <w:webHidden/>
          </w:rPr>
        </w:r>
        <w:r>
          <w:rPr>
            <w:noProof/>
            <w:webHidden/>
          </w:rPr>
          <w:fldChar w:fldCharType="separate"/>
        </w:r>
        <w:r w:rsidR="00944B84">
          <w:rPr>
            <w:noProof/>
            <w:webHidden/>
          </w:rPr>
          <w:t>18</w:t>
        </w:r>
        <w:r>
          <w:rPr>
            <w:noProof/>
            <w:webHidden/>
          </w:rPr>
          <w:fldChar w:fldCharType="end"/>
        </w:r>
      </w:hyperlink>
    </w:p>
    <w:p w14:paraId="7CDE30C6" w14:textId="695F9AF1" w:rsidR="00131165" w:rsidRDefault="00131165">
      <w:pPr>
        <w:pStyle w:val="TableofFigures"/>
        <w:tabs>
          <w:tab w:val="right" w:leader="dot" w:pos="9016"/>
        </w:tabs>
        <w:rPr>
          <w:rFonts w:asciiTheme="minorHAnsi" w:eastAsiaTheme="minorEastAsia" w:hAnsiTheme="minorHAnsi" w:cstheme="minorBidi"/>
          <w:noProof/>
          <w:color w:val="auto"/>
          <w:kern w:val="0"/>
          <w:sz w:val="22"/>
          <w:szCs w:val="22"/>
          <w:lang w:eastAsia="en-GB" w:bidi="ar-SA"/>
          <w14:ligatures w14:val="none"/>
        </w:rPr>
      </w:pPr>
      <w:hyperlink w:anchor="_Toc216408778" w:history="1">
        <w:r w:rsidRPr="005075E0">
          <w:rPr>
            <w:rStyle w:val="Hyperlink"/>
            <w:noProof/>
          </w:rPr>
          <w:t>Figure 3: Research Methods</w:t>
        </w:r>
        <w:r>
          <w:rPr>
            <w:noProof/>
            <w:webHidden/>
          </w:rPr>
          <w:tab/>
        </w:r>
        <w:r>
          <w:rPr>
            <w:noProof/>
            <w:webHidden/>
          </w:rPr>
          <w:fldChar w:fldCharType="begin"/>
        </w:r>
        <w:r>
          <w:rPr>
            <w:noProof/>
            <w:webHidden/>
          </w:rPr>
          <w:instrText xml:space="preserve"> PAGEREF _Toc216408778 \h </w:instrText>
        </w:r>
        <w:r>
          <w:rPr>
            <w:noProof/>
            <w:webHidden/>
          </w:rPr>
        </w:r>
        <w:r>
          <w:rPr>
            <w:noProof/>
            <w:webHidden/>
          </w:rPr>
          <w:fldChar w:fldCharType="separate"/>
        </w:r>
        <w:r w:rsidR="00944B84">
          <w:rPr>
            <w:noProof/>
            <w:webHidden/>
          </w:rPr>
          <w:t>27</w:t>
        </w:r>
        <w:r>
          <w:rPr>
            <w:noProof/>
            <w:webHidden/>
          </w:rPr>
          <w:fldChar w:fldCharType="end"/>
        </w:r>
      </w:hyperlink>
    </w:p>
    <w:p w14:paraId="73020AAC" w14:textId="7A1D32CB" w:rsidR="00131165" w:rsidRDefault="00131165">
      <w:pPr>
        <w:pStyle w:val="TableofFigures"/>
        <w:tabs>
          <w:tab w:val="right" w:leader="dot" w:pos="9016"/>
        </w:tabs>
        <w:rPr>
          <w:rFonts w:asciiTheme="minorHAnsi" w:eastAsiaTheme="minorEastAsia" w:hAnsiTheme="minorHAnsi" w:cstheme="minorBidi"/>
          <w:noProof/>
          <w:color w:val="auto"/>
          <w:kern w:val="0"/>
          <w:sz w:val="22"/>
          <w:szCs w:val="22"/>
          <w:lang w:eastAsia="en-GB" w:bidi="ar-SA"/>
          <w14:ligatures w14:val="none"/>
        </w:rPr>
      </w:pPr>
      <w:hyperlink w:anchor="_Toc216408779" w:history="1">
        <w:r w:rsidRPr="005075E0">
          <w:rPr>
            <w:rStyle w:val="Hyperlink"/>
            <w:noProof/>
          </w:rPr>
          <w:t>Figure 4: Gender of the Participants</w:t>
        </w:r>
        <w:r>
          <w:rPr>
            <w:noProof/>
            <w:webHidden/>
          </w:rPr>
          <w:tab/>
        </w:r>
        <w:r>
          <w:rPr>
            <w:noProof/>
            <w:webHidden/>
          </w:rPr>
          <w:fldChar w:fldCharType="begin"/>
        </w:r>
        <w:r>
          <w:rPr>
            <w:noProof/>
            <w:webHidden/>
          </w:rPr>
          <w:instrText xml:space="preserve"> PAGEREF _Toc216408779 \h </w:instrText>
        </w:r>
        <w:r>
          <w:rPr>
            <w:noProof/>
            <w:webHidden/>
          </w:rPr>
        </w:r>
        <w:r>
          <w:rPr>
            <w:noProof/>
            <w:webHidden/>
          </w:rPr>
          <w:fldChar w:fldCharType="separate"/>
        </w:r>
        <w:r w:rsidR="00944B84">
          <w:rPr>
            <w:noProof/>
            <w:webHidden/>
          </w:rPr>
          <w:t>36</w:t>
        </w:r>
        <w:r>
          <w:rPr>
            <w:noProof/>
            <w:webHidden/>
          </w:rPr>
          <w:fldChar w:fldCharType="end"/>
        </w:r>
      </w:hyperlink>
    </w:p>
    <w:p w14:paraId="3060544F" w14:textId="2A10ED32" w:rsidR="00131165" w:rsidRDefault="00131165">
      <w:pPr>
        <w:pStyle w:val="TableofFigures"/>
        <w:tabs>
          <w:tab w:val="right" w:leader="dot" w:pos="9016"/>
        </w:tabs>
        <w:rPr>
          <w:rFonts w:asciiTheme="minorHAnsi" w:eastAsiaTheme="minorEastAsia" w:hAnsiTheme="minorHAnsi" w:cstheme="minorBidi"/>
          <w:noProof/>
          <w:color w:val="auto"/>
          <w:kern w:val="0"/>
          <w:sz w:val="22"/>
          <w:szCs w:val="22"/>
          <w:lang w:eastAsia="en-GB" w:bidi="ar-SA"/>
          <w14:ligatures w14:val="none"/>
        </w:rPr>
      </w:pPr>
      <w:hyperlink w:anchor="_Toc216408780" w:history="1">
        <w:r w:rsidRPr="005075E0">
          <w:rPr>
            <w:rStyle w:val="Hyperlink"/>
            <w:noProof/>
          </w:rPr>
          <w:t>Figure 5: Age of the participants</w:t>
        </w:r>
        <w:r>
          <w:rPr>
            <w:noProof/>
            <w:webHidden/>
          </w:rPr>
          <w:tab/>
        </w:r>
        <w:r>
          <w:rPr>
            <w:noProof/>
            <w:webHidden/>
          </w:rPr>
          <w:fldChar w:fldCharType="begin"/>
        </w:r>
        <w:r>
          <w:rPr>
            <w:noProof/>
            <w:webHidden/>
          </w:rPr>
          <w:instrText xml:space="preserve"> PAGEREF _Toc216408780 \h </w:instrText>
        </w:r>
        <w:r>
          <w:rPr>
            <w:noProof/>
            <w:webHidden/>
          </w:rPr>
        </w:r>
        <w:r>
          <w:rPr>
            <w:noProof/>
            <w:webHidden/>
          </w:rPr>
          <w:fldChar w:fldCharType="separate"/>
        </w:r>
        <w:r w:rsidR="00944B84">
          <w:rPr>
            <w:noProof/>
            <w:webHidden/>
          </w:rPr>
          <w:t>37</w:t>
        </w:r>
        <w:r>
          <w:rPr>
            <w:noProof/>
            <w:webHidden/>
          </w:rPr>
          <w:fldChar w:fldCharType="end"/>
        </w:r>
      </w:hyperlink>
    </w:p>
    <w:p w14:paraId="7A8F1CDC" w14:textId="4AD05E11" w:rsidR="00131165" w:rsidRDefault="00131165">
      <w:pPr>
        <w:pStyle w:val="TableofFigures"/>
        <w:tabs>
          <w:tab w:val="right" w:leader="dot" w:pos="9016"/>
        </w:tabs>
        <w:rPr>
          <w:rFonts w:asciiTheme="minorHAnsi" w:eastAsiaTheme="minorEastAsia" w:hAnsiTheme="minorHAnsi" w:cstheme="minorBidi"/>
          <w:noProof/>
          <w:color w:val="auto"/>
          <w:kern w:val="0"/>
          <w:sz w:val="22"/>
          <w:szCs w:val="22"/>
          <w:lang w:eastAsia="en-GB" w:bidi="ar-SA"/>
          <w14:ligatures w14:val="none"/>
        </w:rPr>
      </w:pPr>
      <w:hyperlink w:anchor="_Toc216408781" w:history="1">
        <w:r w:rsidRPr="005075E0">
          <w:rPr>
            <w:rStyle w:val="Hyperlink"/>
            <w:noProof/>
          </w:rPr>
          <w:t>Figure 6: Ethnic Background of the participants</w:t>
        </w:r>
        <w:r>
          <w:rPr>
            <w:noProof/>
            <w:webHidden/>
          </w:rPr>
          <w:tab/>
        </w:r>
        <w:r>
          <w:rPr>
            <w:noProof/>
            <w:webHidden/>
          </w:rPr>
          <w:fldChar w:fldCharType="begin"/>
        </w:r>
        <w:r>
          <w:rPr>
            <w:noProof/>
            <w:webHidden/>
          </w:rPr>
          <w:instrText xml:space="preserve"> PAGEREF _Toc216408781 \h </w:instrText>
        </w:r>
        <w:r>
          <w:rPr>
            <w:noProof/>
            <w:webHidden/>
          </w:rPr>
        </w:r>
        <w:r>
          <w:rPr>
            <w:noProof/>
            <w:webHidden/>
          </w:rPr>
          <w:fldChar w:fldCharType="separate"/>
        </w:r>
        <w:r w:rsidR="00944B84">
          <w:rPr>
            <w:noProof/>
            <w:webHidden/>
          </w:rPr>
          <w:t>37</w:t>
        </w:r>
        <w:r>
          <w:rPr>
            <w:noProof/>
            <w:webHidden/>
          </w:rPr>
          <w:fldChar w:fldCharType="end"/>
        </w:r>
      </w:hyperlink>
    </w:p>
    <w:p w14:paraId="5F530CAC" w14:textId="6FDD0F32" w:rsidR="00131165" w:rsidRDefault="00131165">
      <w:pPr>
        <w:pStyle w:val="TableofFigures"/>
        <w:tabs>
          <w:tab w:val="right" w:leader="dot" w:pos="9016"/>
        </w:tabs>
        <w:rPr>
          <w:rFonts w:asciiTheme="minorHAnsi" w:eastAsiaTheme="minorEastAsia" w:hAnsiTheme="minorHAnsi" w:cstheme="minorBidi"/>
          <w:noProof/>
          <w:color w:val="auto"/>
          <w:kern w:val="0"/>
          <w:sz w:val="22"/>
          <w:szCs w:val="22"/>
          <w:lang w:eastAsia="en-GB" w:bidi="ar-SA"/>
          <w14:ligatures w14:val="none"/>
        </w:rPr>
      </w:pPr>
      <w:hyperlink w:anchor="_Toc216408782" w:history="1">
        <w:r w:rsidRPr="005075E0">
          <w:rPr>
            <w:rStyle w:val="Hyperlink"/>
            <w:noProof/>
          </w:rPr>
          <w:t>Figure 7: Current role in Healthcare</w:t>
        </w:r>
        <w:r>
          <w:rPr>
            <w:noProof/>
            <w:webHidden/>
          </w:rPr>
          <w:tab/>
        </w:r>
        <w:r>
          <w:rPr>
            <w:noProof/>
            <w:webHidden/>
          </w:rPr>
          <w:fldChar w:fldCharType="begin"/>
        </w:r>
        <w:r>
          <w:rPr>
            <w:noProof/>
            <w:webHidden/>
          </w:rPr>
          <w:instrText xml:space="preserve"> PAGEREF _Toc216408782 \h </w:instrText>
        </w:r>
        <w:r>
          <w:rPr>
            <w:noProof/>
            <w:webHidden/>
          </w:rPr>
        </w:r>
        <w:r>
          <w:rPr>
            <w:noProof/>
            <w:webHidden/>
          </w:rPr>
          <w:fldChar w:fldCharType="separate"/>
        </w:r>
        <w:r w:rsidR="00944B84">
          <w:rPr>
            <w:noProof/>
            <w:webHidden/>
          </w:rPr>
          <w:t>38</w:t>
        </w:r>
        <w:r>
          <w:rPr>
            <w:noProof/>
            <w:webHidden/>
          </w:rPr>
          <w:fldChar w:fldCharType="end"/>
        </w:r>
      </w:hyperlink>
    </w:p>
    <w:p w14:paraId="4CF6B590" w14:textId="1019F9EE" w:rsidR="0040461A" w:rsidRDefault="000D2293" w:rsidP="000D2293">
      <w:r>
        <w:fldChar w:fldCharType="end"/>
      </w:r>
    </w:p>
    <w:p w14:paraId="2D91701C" w14:textId="77777777" w:rsidR="0040461A" w:rsidRDefault="0040461A">
      <w:pPr>
        <w:spacing w:line="240" w:lineRule="auto"/>
        <w:jc w:val="left"/>
      </w:pPr>
      <w:r>
        <w:br w:type="page"/>
      </w:r>
    </w:p>
    <w:p w14:paraId="0FDED3C4" w14:textId="24094752" w:rsidR="0040461A" w:rsidRDefault="00AA55B4" w:rsidP="0040461A">
      <w:pPr>
        <w:pStyle w:val="Heading1"/>
      </w:pPr>
      <w:bookmarkStart w:id="4" w:name="_Toc216408856"/>
      <w:r>
        <w:lastRenderedPageBreak/>
        <w:t>ACKNOWLEDGEMENT</w:t>
      </w:r>
      <w:bookmarkEnd w:id="4"/>
    </w:p>
    <w:p w14:paraId="27E48FC1" w14:textId="77777777" w:rsidR="00AA55B4" w:rsidRPr="00AA55B4" w:rsidRDefault="00AA55B4" w:rsidP="00AA55B4"/>
    <w:p w14:paraId="62D37CA6" w14:textId="08791B9B" w:rsidR="00A541E9" w:rsidRDefault="00A541E9" w:rsidP="00A541E9">
      <w:r>
        <w:t>I am very grateful to my dissertation supervisor who provided invaluable advice, patience, and constructive feedback during this research process. Their particular sphere of advice on the legislative situation in NHS Wales and on the so-called Duty of Quality helped to develop the research angle of this work and guarantee its applicability to the devolved community of the health sector.</w:t>
      </w:r>
    </w:p>
    <w:p w14:paraId="5DDC5B02" w14:textId="77777777" w:rsidR="00831671" w:rsidRDefault="00831671" w:rsidP="00A541E9"/>
    <w:p w14:paraId="55760C00" w14:textId="1A9A4015" w:rsidR="00A541E9" w:rsidRDefault="00A541E9" w:rsidP="00A541E9">
      <w:r>
        <w:t>I also owe big debt of gratitude to academic staff at University of Wales Trinity Saint David, who have been supportive in my postgraduate studies.</w:t>
      </w:r>
    </w:p>
    <w:p w14:paraId="0EDAE547" w14:textId="017C7BEB" w:rsidR="00A541E9" w:rsidRDefault="00A541E9" w:rsidP="00A541E9">
      <w:r>
        <w:t>I would however like to thank in special terms the 154 NHS Wales employees, who volunteered their time to take part in the survey. The primary data on which this research is based is their candid thoughts and experiences about the diversity and inclusion. This study could not have been in existence without them.</w:t>
      </w:r>
    </w:p>
    <w:p w14:paraId="3FF1CF82" w14:textId="77777777" w:rsidR="00AA55B4" w:rsidRDefault="00A541E9" w:rsidP="00A541E9">
      <w:r>
        <w:t>Lastly, I expect to be thankful to my family and friends whose support, understanding, and empathy in difficult months of producing this dissertation could not be ignored.</w:t>
      </w:r>
    </w:p>
    <w:p w14:paraId="6F31994D" w14:textId="77777777" w:rsidR="00AA55B4" w:rsidRDefault="00AA55B4" w:rsidP="00A541E9"/>
    <w:p w14:paraId="4CC37D7C" w14:textId="3AB28F56" w:rsidR="002173E9" w:rsidRPr="000D2293" w:rsidRDefault="002173E9" w:rsidP="00A541E9">
      <w:r w:rsidRPr="000D2293">
        <w:br w:type="page"/>
      </w:r>
    </w:p>
    <w:p w14:paraId="02B1ECCC" w14:textId="77777777" w:rsidR="002173E9" w:rsidRDefault="002173E9" w:rsidP="002173E9">
      <w:pPr>
        <w:pStyle w:val="Heading1"/>
      </w:pPr>
      <w:bookmarkStart w:id="5" w:name="_Toc216408857"/>
      <w:r>
        <w:lastRenderedPageBreak/>
        <w:t>Chapter One: Introduction</w:t>
      </w:r>
      <w:bookmarkEnd w:id="5"/>
    </w:p>
    <w:p w14:paraId="7ED5ED0D" w14:textId="387AF4AE" w:rsidR="002173E9" w:rsidRDefault="002173E9" w:rsidP="00831671">
      <w:pPr>
        <w:pStyle w:val="Heading2"/>
        <w:numPr>
          <w:ilvl w:val="1"/>
          <w:numId w:val="18"/>
        </w:numPr>
      </w:pPr>
      <w:bookmarkStart w:id="6" w:name="_Toc216408858"/>
      <w:r>
        <w:t>Background of the study</w:t>
      </w:r>
      <w:bookmarkEnd w:id="6"/>
    </w:p>
    <w:p w14:paraId="294ADFDD" w14:textId="77777777" w:rsidR="00831671" w:rsidRPr="00831671" w:rsidRDefault="00831671" w:rsidP="00831671"/>
    <w:p w14:paraId="6FF40C99" w14:textId="406B4C2F" w:rsidR="005E42C2" w:rsidRDefault="001033D6" w:rsidP="005E42C2">
      <w:r w:rsidRPr="00877185">
        <w:t>The UK healthcare industry, and especially the National Health Service (NHS), continue to wrestle with staff retention, as vacancies in nursing, medical and frontline roles continue to build pressure on the workforce</w:t>
      </w:r>
      <w:r w:rsidR="00CC3EC5" w:rsidRPr="00877185">
        <w:t xml:space="preserve"> (Karen and Jennifer, 2024)</w:t>
      </w:r>
      <w:r w:rsidRPr="00877185">
        <w:t xml:space="preserve">. </w:t>
      </w:r>
      <w:r w:rsidR="00A73726" w:rsidRPr="00877185">
        <w:t>These are challenges that affect all parts of UK, but NHS Wales (GIG Cymru) faces operational pressures specific to the region. NHS Wales is a Welsh body in charge of state healthcare in Wales and employs over 110,000 people making it the largest employer in the country (NHS Wales, 2025). It is organised administratively into distinct statutory bodies, providing services through seven Local Health Boards (LHBs) and three NHS Trusts (e.g.</w:t>
      </w:r>
      <w:r w:rsidR="00177084" w:rsidRPr="00877185">
        <w:t>,</w:t>
      </w:r>
      <w:r w:rsidR="00A73726" w:rsidRPr="00877185">
        <w:t xml:space="preserve"> Welsh Ambulance Services and </w:t>
      </w:r>
      <w:proofErr w:type="spellStart"/>
      <w:r w:rsidR="00A73726" w:rsidRPr="00877185">
        <w:t>Velindre</w:t>
      </w:r>
      <w:proofErr w:type="spellEnd"/>
      <w:r w:rsidR="00A73726" w:rsidRPr="00877185">
        <w:t xml:space="preserve">). </w:t>
      </w:r>
      <w:r w:rsidR="005E42C2" w:rsidRPr="00877185">
        <w:t>These are organisations that plan and provide both primary and secondary care services to a population of more than 3.1 million citizens</w:t>
      </w:r>
      <w:r w:rsidR="00064CD1" w:rsidRPr="00877185">
        <w:t xml:space="preserve"> (Davis, 2025)</w:t>
      </w:r>
      <w:r w:rsidR="005E42C2" w:rsidRPr="00877185">
        <w:t>.</w:t>
      </w:r>
    </w:p>
    <w:p w14:paraId="5ED8CBEC" w14:textId="77777777" w:rsidR="00831671" w:rsidRPr="00877185" w:rsidRDefault="00831671" w:rsidP="005E42C2"/>
    <w:p w14:paraId="00944AB0" w14:textId="5157A6B9" w:rsidR="005E42C2" w:rsidRDefault="005E42C2" w:rsidP="005E42C2">
      <w:r w:rsidRPr="00877185">
        <w:t>Structural inequalities</w:t>
      </w:r>
      <w:r w:rsidR="002204A2" w:rsidRPr="00877185">
        <w:t xml:space="preserve"> such as disparities in career progression and a lack of diversity in senior leadership</w:t>
      </w:r>
      <w:r w:rsidRPr="00877185">
        <w:t xml:space="preserve"> and underrepresentation add complexity to retention issues as diversity and inclusion (D&amp;I) strategies are at the centre of a sustainable NHS Wales workforce</w:t>
      </w:r>
      <w:r w:rsidR="002204A2" w:rsidRPr="00877185">
        <w:t>,</w:t>
      </w:r>
      <w:r w:rsidR="001652F1" w:rsidRPr="00877185">
        <w:t xml:space="preserve"> according to Hammond et al. (2022)</w:t>
      </w:r>
      <w:r w:rsidRPr="00877185">
        <w:t>. It is more essential than ever because of the multicultural nature of the sector</w:t>
      </w:r>
      <w:r w:rsidR="008C7253" w:rsidRPr="00877185">
        <w:t>,</w:t>
      </w:r>
      <w:r w:rsidRPr="00877185">
        <w:t xml:space="preserve"> where over 200 nationalities are represented in the working population and over half of the vacancies are filled </w:t>
      </w:r>
      <w:r w:rsidR="00177084" w:rsidRPr="00877185">
        <w:t>through</w:t>
      </w:r>
      <w:r w:rsidRPr="00877185">
        <w:t xml:space="preserve"> international recruitment</w:t>
      </w:r>
      <w:r w:rsidR="00177084" w:rsidRPr="00877185">
        <w:t>,</w:t>
      </w:r>
      <w:r w:rsidRPr="00877185">
        <w:t xml:space="preserve"> to create a fair policy and work practi</w:t>
      </w:r>
      <w:r w:rsidR="008C7253" w:rsidRPr="00877185">
        <w:t>c</w:t>
      </w:r>
      <w:r w:rsidRPr="00877185">
        <w:t>es that ensure their moral</w:t>
      </w:r>
      <w:r w:rsidR="008C7253" w:rsidRPr="00877185">
        <w:t>e</w:t>
      </w:r>
      <w:r w:rsidRPr="00877185">
        <w:t xml:space="preserve"> and reduce staff turnover (NHS, 2023).</w:t>
      </w:r>
    </w:p>
    <w:p w14:paraId="21CFB595" w14:textId="77777777" w:rsidR="00831671" w:rsidRPr="00877185" w:rsidRDefault="00831671" w:rsidP="005E42C2"/>
    <w:p w14:paraId="5401F437" w14:textId="58A61A08" w:rsidR="005E42C2" w:rsidRDefault="005E42C2" w:rsidP="005E42C2">
      <w:r w:rsidRPr="00877185">
        <w:t xml:space="preserve">The NHS has been embracing </w:t>
      </w:r>
      <w:r w:rsidR="009B6D3D" w:rsidRPr="00877185">
        <w:t>diversity and inclusion (</w:t>
      </w:r>
      <w:r w:rsidRPr="00877185">
        <w:t>D&amp;I</w:t>
      </w:r>
      <w:r w:rsidR="009B6D3D" w:rsidRPr="00877185">
        <w:t>)</w:t>
      </w:r>
      <w:r w:rsidRPr="00877185">
        <w:t xml:space="preserve"> approaches through some of the most recognisable frameworks, including the Workforce Race Equality Standard (WRES)</w:t>
      </w:r>
      <w:r w:rsidR="00105C2C" w:rsidRPr="00877185">
        <w:t xml:space="preserve"> (Naqvi et al., 2022)</w:t>
      </w:r>
      <w:r w:rsidRPr="00877185">
        <w:t xml:space="preserve">. </w:t>
      </w:r>
      <w:r w:rsidR="00C213CB" w:rsidRPr="00877185">
        <w:t>The WRES, which has been adopted in NHS Wales and is increasingly employed as a model of best practice in the devolved nations, asks healthcare organisations to report an improvement compared to nine indicators shown by Smith et al. (2023).</w:t>
      </w:r>
      <w:r w:rsidRPr="00877185">
        <w:t xml:space="preserve"> </w:t>
      </w:r>
      <w:r w:rsidR="00EA4C24" w:rsidRPr="00877185">
        <w:t>These indicators are divided into four workforce datasets (probability of staff appointment from shortlisting or formal disciplinary action) and five National Staff survey metrics (career progression, harassment, and board representation).</w:t>
      </w:r>
    </w:p>
    <w:p w14:paraId="1A9208FE" w14:textId="77777777" w:rsidR="00831671" w:rsidRPr="00877185" w:rsidRDefault="00831671" w:rsidP="005E42C2"/>
    <w:p w14:paraId="3CEF3E92" w14:textId="77777777" w:rsidR="009512C7" w:rsidRDefault="004E7972" w:rsidP="009512C7">
      <w:r w:rsidRPr="00877185">
        <w:t xml:space="preserve">Although NHS Wales implements its own distinct initiatives, such as the Welsh Government’s Anti-racist Wales Action Plan (which builds on the Equality Act 2010 to create an anti-racist </w:t>
      </w:r>
      <w:r w:rsidRPr="00877185">
        <w:lastRenderedPageBreak/>
        <w:t xml:space="preserve">nation by 2030), the WRES principles remain a critical diagnostic tool (Ogbonna, 2023). </w:t>
      </w:r>
      <w:r w:rsidR="0014337C" w:rsidRPr="00877185">
        <w:t xml:space="preserve">These frameworks show commitment, but the evidence of enhanced retention and </w:t>
      </w:r>
      <w:r w:rsidR="0067280D" w:rsidRPr="00877185">
        <w:t xml:space="preserve">workplace </w:t>
      </w:r>
      <w:r w:rsidR="0014337C" w:rsidRPr="00877185">
        <w:t xml:space="preserve">cultural performance is </w:t>
      </w:r>
      <w:r w:rsidR="0067280D" w:rsidRPr="00877185">
        <w:t>mix</w:t>
      </w:r>
      <w:r w:rsidR="0014337C" w:rsidRPr="00877185">
        <w:t xml:space="preserve">ed. </w:t>
      </w:r>
      <w:r w:rsidR="009512C7">
        <w:t>Organisational inertia, inadequate resources, and minority and frontline staff tokenism sometimes stifle ambition (Chantarat et al., 2022). D&amp;I projects can seem like compliance rather than revolution, and their legitimacy is questioned (Craven, 2021).</w:t>
      </w:r>
    </w:p>
    <w:p w14:paraId="2A693A36" w14:textId="77777777" w:rsidR="00831671" w:rsidRDefault="00831671" w:rsidP="009512C7"/>
    <w:p w14:paraId="414041C7" w14:textId="77777777" w:rsidR="009512C7" w:rsidRDefault="009512C7" w:rsidP="009512C7">
      <w:r>
        <w:t xml:space="preserve">Inclusion and retention may change healthcare organisations' workforce retention. </w:t>
      </w:r>
      <w:proofErr w:type="spellStart"/>
      <w:r>
        <w:t>Moscelli</w:t>
      </w:r>
      <w:proofErr w:type="spellEnd"/>
      <w:r>
        <w:t xml:space="preserve"> et al. (2024) and Owolabi et al. (2024) emphasise the necessity of the subject of inquiry, stating that making workers feel appreciated, represented, and supported is more important than financial incentive for staff retention. Workplaces minimise turnover and boost engagement and loyalty (Jamil and </w:t>
      </w:r>
      <w:proofErr w:type="spellStart"/>
      <w:r>
        <w:t>Hyder</w:t>
      </w:r>
      <w:proofErr w:type="spellEnd"/>
      <w:r>
        <w:t>, 2024). In contrast, exclusivity, unjust promotion, and inability to express minority identity have been associated to minority worker disengagement and attrition, particularly BAMEs (Mahmood, 2025).</w:t>
      </w:r>
    </w:p>
    <w:p w14:paraId="4AB4ED71" w14:textId="77777777" w:rsidR="00831671" w:rsidRDefault="00831671" w:rsidP="009512C7"/>
    <w:p w14:paraId="592847DB" w14:textId="77777777" w:rsidR="009512C7" w:rsidRDefault="009512C7" w:rsidP="009512C7">
      <w:r>
        <w:t xml:space="preserve">The backdrop also shows that NHS Wales has not systematically considered long-term effects of diversity training, recruiting changes, or mentoring programs (Buh et al., 2024). Without frequent communication, it is unclear whether these efforts impact staff retention or are a charade. While most English Trusts are centred in metropolitan areas, NHS Wales must deal with retention issues in rural areas served by Boards like </w:t>
      </w:r>
      <w:proofErr w:type="spellStart"/>
      <w:r>
        <w:t>Hywel</w:t>
      </w:r>
      <w:proofErr w:type="spellEnd"/>
      <w:r>
        <w:t xml:space="preserve"> </w:t>
      </w:r>
      <w:proofErr w:type="spellStart"/>
      <w:r>
        <w:t>Dda</w:t>
      </w:r>
      <w:proofErr w:type="spellEnd"/>
      <w:r>
        <w:t xml:space="preserve"> and Powys. Due to a lack of nationally regulated solutions, personnel in rural Welsh communities sometimes experience professional and social isolation (NCRHC, 2024).</w:t>
      </w:r>
    </w:p>
    <w:p w14:paraId="6EFCB665" w14:textId="77777777" w:rsidR="00831671" w:rsidRDefault="00831671" w:rsidP="009512C7"/>
    <w:p w14:paraId="4FF3239B" w14:textId="7C250A6D" w:rsidR="00105E74" w:rsidRDefault="009512C7" w:rsidP="009512C7">
      <w:r>
        <w:t>The feeling of inclusion affects D&amp;I success. Top and frontline personnel are suspicious of organisational initiatives, especially committees and taskforces that are culturally unfocused (</w:t>
      </w:r>
      <w:proofErr w:type="spellStart"/>
      <w:r>
        <w:t>Alriuili</w:t>
      </w:r>
      <w:proofErr w:type="spellEnd"/>
      <w:r>
        <w:t xml:space="preserve"> et al., 2024). Employee stress, well-being, and commitment are increased by cheque-box diversity definitions (</w:t>
      </w:r>
      <w:proofErr w:type="spellStart"/>
      <w:r>
        <w:t>Ikhsan</w:t>
      </w:r>
      <w:proofErr w:type="spellEnd"/>
      <w:r>
        <w:t xml:space="preserve"> et al., 2025)</w:t>
      </w:r>
      <w:r w:rsidR="00105E74" w:rsidRPr="00877185">
        <w:t xml:space="preserve">. However, </w:t>
      </w:r>
      <w:r w:rsidR="006A53E6" w:rsidRPr="00877185">
        <w:t>Fitriana, (2023)</w:t>
      </w:r>
      <w:r w:rsidR="00105E74" w:rsidRPr="00877185">
        <w:t xml:space="preserve"> suggest that staff happiness and commitment increase when leadership actively encourages and incorporates inclusion into daily practice. </w:t>
      </w:r>
      <w:r w:rsidR="006E577B" w:rsidRPr="00877185">
        <w:t xml:space="preserve">Behnke et al. (2022) </w:t>
      </w:r>
      <w:r w:rsidR="00105E74" w:rsidRPr="00877185">
        <w:t>suggest that leadership is crucial to separating D&amp;I initiatives that succeed from those that are a tick-box.</w:t>
      </w:r>
    </w:p>
    <w:p w14:paraId="1ED849FF" w14:textId="77777777" w:rsidR="00831671" w:rsidRPr="00877185" w:rsidRDefault="00831671" w:rsidP="009512C7"/>
    <w:p w14:paraId="3DA9C0A8" w14:textId="289AD3F6" w:rsidR="00105E74" w:rsidRDefault="00105E74" w:rsidP="00105E74">
      <w:r w:rsidRPr="00877185">
        <w:t xml:space="preserve">NHS Wales' workforce generational makeup is another factor. Youth, particularly Generations Y and Z, prioritise diversity, mental health, and career advancement to remain in their professions (Vries et al. 2023). This generational transition requires retention measures to go beyond incentives and concentrate on creating positive, inclusive communities where workers </w:t>
      </w:r>
      <w:r w:rsidRPr="00877185">
        <w:lastRenderedPageBreak/>
        <w:t>feel like they belong</w:t>
      </w:r>
      <w:r w:rsidR="00524FCD" w:rsidRPr="00877185">
        <w:t xml:space="preserve"> (</w:t>
      </w:r>
      <w:proofErr w:type="spellStart"/>
      <w:r w:rsidR="00524FCD" w:rsidRPr="00877185">
        <w:t>Saraiva</w:t>
      </w:r>
      <w:proofErr w:type="spellEnd"/>
      <w:r w:rsidR="00524FCD" w:rsidRPr="00877185">
        <w:t xml:space="preserve"> and </w:t>
      </w:r>
      <w:proofErr w:type="spellStart"/>
      <w:r w:rsidR="00524FCD" w:rsidRPr="00877185">
        <w:t>Nogueiro</w:t>
      </w:r>
      <w:proofErr w:type="spellEnd"/>
      <w:r w:rsidR="00524FCD" w:rsidRPr="00877185">
        <w:t>, 2025)</w:t>
      </w:r>
      <w:r w:rsidRPr="00877185">
        <w:t>. Failing to do so might worsen turnover at a time when NHS Wales is already thin</w:t>
      </w:r>
      <w:r w:rsidR="003E5C0D" w:rsidRPr="00877185">
        <w:t xml:space="preserve"> (</w:t>
      </w:r>
      <w:proofErr w:type="spellStart"/>
      <w:r w:rsidR="003E5C0D" w:rsidRPr="00877185">
        <w:t>Andah</w:t>
      </w:r>
      <w:proofErr w:type="spellEnd"/>
      <w:r w:rsidR="003E5C0D" w:rsidRPr="00877185">
        <w:t xml:space="preserve"> et al., 2021)</w:t>
      </w:r>
      <w:r w:rsidRPr="00877185">
        <w:t>.</w:t>
      </w:r>
    </w:p>
    <w:p w14:paraId="6B891499" w14:textId="77777777" w:rsidR="00831671" w:rsidRPr="00877185" w:rsidRDefault="00831671" w:rsidP="00105E74"/>
    <w:p w14:paraId="3450D495" w14:textId="1E06C23F" w:rsidR="009849E4" w:rsidRDefault="00261005" w:rsidP="00105E74">
      <w:r w:rsidRPr="00877185">
        <w:t xml:space="preserve">Diversity and inclusion measures play a crucial and difficult role in NHS worker retention. </w:t>
      </w:r>
      <w:r w:rsidR="00105E74" w:rsidRPr="00877185">
        <w:t xml:space="preserve">Some strategies to alleviate disparities and create representativeness have been enacted, but minority and frontline personnel see a disparity between what is planned and what is done. Changing D&amp;I projects from compliance tools to organisational practices for actual organisational incongruence, trust, and workforce sustainability will be difficult. </w:t>
      </w:r>
      <w:r w:rsidR="00DB12E4" w:rsidRPr="00877185">
        <w:t>Understanding staff perceptions is essential to ensure that, within the devolved context of NHS Wales, D&amp;I strategies are not merely bureaucratic requirements but effective tools for sustainable workforce retention</w:t>
      </w:r>
      <w:r w:rsidR="00105E74" w:rsidRPr="00877185">
        <w:t>.</w:t>
      </w:r>
    </w:p>
    <w:p w14:paraId="56866EE9" w14:textId="77777777" w:rsidR="00831671" w:rsidRPr="00877185" w:rsidRDefault="00831671" w:rsidP="00105E74"/>
    <w:p w14:paraId="5345995D" w14:textId="42ECAB00" w:rsidR="00831671" w:rsidRPr="00831671" w:rsidRDefault="009A597A" w:rsidP="00CE052F">
      <w:pPr>
        <w:pStyle w:val="Heading2"/>
        <w:numPr>
          <w:ilvl w:val="1"/>
          <w:numId w:val="18"/>
        </w:numPr>
      </w:pPr>
      <w:bookmarkStart w:id="7" w:name="_Toc216408859"/>
      <w:r w:rsidRPr="00877185">
        <w:t>Problem Statement</w:t>
      </w:r>
      <w:bookmarkEnd w:id="7"/>
    </w:p>
    <w:p w14:paraId="1BCA06F5" w14:textId="25E524C4" w:rsidR="0083014E" w:rsidRDefault="0083014E" w:rsidP="001033D6">
      <w:r w:rsidRPr="00877185">
        <w:t>One of the worst workforce problems in UK healthcare, especially the NHS, is underway</w:t>
      </w:r>
      <w:r w:rsidR="00AF5C91" w:rsidRPr="00877185">
        <w:t xml:space="preserve"> (Anderson et al., 2021)</w:t>
      </w:r>
      <w:r w:rsidRPr="00877185">
        <w:t xml:space="preserve">. With the acute workforce shortfall in clinical and nonclinical fields, the Trusts are discussing recruitment and retention problems to satisfy their service delivery requirements (Martin et al., 2024). </w:t>
      </w:r>
      <w:r w:rsidR="00FD3987" w:rsidRPr="00877185">
        <w:t>NHS (2023) reports that high junior doctor and frontline staff turnover, compounded by nursing recruitment freezes, has put unsustainable strain on the system, which has been worsened by increased health care demand.</w:t>
      </w:r>
      <w:r w:rsidRPr="00877185">
        <w:t xml:space="preserve"> Retaining experienced people is cheaper and helps maintain service continuity, although recruiting tactics have received much attention (Vries et al., 2023).</w:t>
      </w:r>
    </w:p>
    <w:p w14:paraId="30C9112B" w14:textId="77777777" w:rsidR="00CE052F" w:rsidRPr="00877185" w:rsidRDefault="00CE052F" w:rsidP="001033D6"/>
    <w:p w14:paraId="3079AB10" w14:textId="0A390642" w:rsidR="001033D6" w:rsidRDefault="001033D6" w:rsidP="001033D6">
      <w:r w:rsidRPr="00877185">
        <w:t>At the heart of this retention problem is the question of diversity and inclusion (D&amp;I)</w:t>
      </w:r>
      <w:r w:rsidR="00AF14D2" w:rsidRPr="00877185">
        <w:t xml:space="preserve"> (Noon and Ogbonna, 2020)</w:t>
      </w:r>
      <w:r w:rsidRPr="00877185">
        <w:t xml:space="preserve">. Despite being one of the most diverse of the UK's employers with staff hailing from more than 200 different nationalities, the NHS remains institutionally unequal in terms of career advancement, treatment at work and representation. </w:t>
      </w:r>
      <w:r w:rsidR="00AD3C36" w:rsidRPr="00877185">
        <w:t xml:space="preserve">Mahmood, (2025) shows that </w:t>
      </w:r>
      <w:r w:rsidRPr="00877185">
        <w:t>Black, Asian and Minority Ethnic staff are reported to have consistently lower perceptions of organisational support, fewer opportunities to be promoted and higher levels of discrimination than their white colleagues. Such experiences are often contributing factors to disengagement, stress, and ultimately attrition, where those same principles that D&amp;I strategies try to uphold (i.e., equity) are disavowed (Chantarat et al., 2022).</w:t>
      </w:r>
    </w:p>
    <w:p w14:paraId="3B5DC7AC" w14:textId="77777777" w:rsidR="00CE052F" w:rsidRPr="00877185" w:rsidRDefault="00CE052F" w:rsidP="001033D6"/>
    <w:p w14:paraId="46A45848" w14:textId="0CA8ABF0" w:rsidR="001033D6" w:rsidRDefault="001033D6" w:rsidP="001033D6">
      <w:r w:rsidRPr="00877185">
        <w:lastRenderedPageBreak/>
        <w:t xml:space="preserve">Even though frameworks such as the Workforce Race Equality Standard (WRES) have been created, there are questions on whether these initiatives work and are practical to implement. Many staff view D&amp;I strategies as symbolic and </w:t>
      </w:r>
      <w:r w:rsidR="00DD3000" w:rsidRPr="00877185">
        <w:t>compliance-focused</w:t>
      </w:r>
      <w:r w:rsidRPr="00877185">
        <w:t xml:space="preserve"> </w:t>
      </w:r>
      <w:r w:rsidR="00AD3C36" w:rsidRPr="00877185">
        <w:t xml:space="preserve">rather than </w:t>
      </w:r>
      <w:r w:rsidRPr="00877185">
        <w:t xml:space="preserve">transformative, which undermines trust in leadership and impairs morale (Craven, 2021; </w:t>
      </w:r>
      <w:proofErr w:type="spellStart"/>
      <w:r w:rsidRPr="00877185">
        <w:t>Alriuili</w:t>
      </w:r>
      <w:proofErr w:type="spellEnd"/>
      <w:r w:rsidRPr="00877185">
        <w:t xml:space="preserve"> et al., 2024). In addition, organisational cultures </w:t>
      </w:r>
      <w:r w:rsidR="00DD3000" w:rsidRPr="00877185">
        <w:t>that</w:t>
      </w:r>
      <w:r w:rsidRPr="00877185">
        <w:t xml:space="preserve"> exist within NHS Trusts tend to be ineffective at making inclusivity a part of day-to-day practi</w:t>
      </w:r>
      <w:r w:rsidR="00AD3C36" w:rsidRPr="00877185">
        <w:t>ce. S</w:t>
      </w:r>
      <w:r w:rsidRPr="00877185">
        <w:t xml:space="preserve">taff on the frontline and from minority groups are distrustful of whether change is real or </w:t>
      </w:r>
      <w:proofErr w:type="spellStart"/>
      <w:r w:rsidRPr="00877185">
        <w:t>performative</w:t>
      </w:r>
      <w:proofErr w:type="spellEnd"/>
      <w:r w:rsidRPr="00877185">
        <w:t xml:space="preserve"> (</w:t>
      </w:r>
      <w:proofErr w:type="spellStart"/>
      <w:r w:rsidRPr="00877185">
        <w:t>Ikhsan</w:t>
      </w:r>
      <w:proofErr w:type="spellEnd"/>
      <w:r w:rsidRPr="00877185">
        <w:t xml:space="preserve"> et al., 2025).</w:t>
      </w:r>
    </w:p>
    <w:p w14:paraId="02E11E2F" w14:textId="77777777" w:rsidR="00CE052F" w:rsidRPr="00877185" w:rsidRDefault="00CE052F" w:rsidP="001033D6"/>
    <w:p w14:paraId="29DBA956" w14:textId="77777777" w:rsidR="001033D6" w:rsidRDefault="00446038" w:rsidP="001033D6">
      <w:r w:rsidRPr="00877185">
        <w:t xml:space="preserve">Garrick et al. (2024) find that the </w:t>
      </w:r>
      <w:r w:rsidR="001033D6" w:rsidRPr="00877185">
        <w:t xml:space="preserve">problems </w:t>
      </w:r>
      <w:r w:rsidRPr="00877185">
        <w:t xml:space="preserve">are </w:t>
      </w:r>
      <w:r w:rsidR="001033D6" w:rsidRPr="00877185">
        <w:t xml:space="preserve">further complicated by generational change across the workforce. Younger generations of healthcare professionals have an ever-increasing desire for networking spaces that are both inclusive, supportive and transparent, with inclusivity considered a prerequisite of long-term loyalty (Vries et al. 2023). If these expectations are not fulfilled, a greater rate of turnover among early career workers is likely to exacerbate the current shortages. In addition, while such policies have been implemented nationally, in certain areas they do not match up to the working arrangements encountered on the ground, </w:t>
      </w:r>
      <w:proofErr w:type="spellStart"/>
      <w:r w:rsidR="001033D6" w:rsidRPr="00877185">
        <w:t>fueling</w:t>
      </w:r>
      <w:proofErr w:type="spellEnd"/>
      <w:r w:rsidR="001033D6" w:rsidRPr="00877185">
        <w:t xml:space="preserve"> a sense of alienation that is particular to Trusts located in rural areas (NCRHC, 2024).</w:t>
      </w:r>
    </w:p>
    <w:p w14:paraId="398D8E32" w14:textId="77777777" w:rsidR="00CE052F" w:rsidRPr="00877185" w:rsidRDefault="00CE052F" w:rsidP="001033D6"/>
    <w:p w14:paraId="6AFC0049" w14:textId="3A7E329A" w:rsidR="00FC32C8" w:rsidRDefault="009512C7" w:rsidP="001033D6">
      <w:r w:rsidRPr="009512C7">
        <w:t>The challenge is whether D&amp;I initiatives are feasible, workable, and can address disparities in a way that engages and retains workers. D&amp;I might remain a bureaucratic task rather than a key tool for NHS personnel retention.</w:t>
      </w:r>
    </w:p>
    <w:p w14:paraId="1AE2E962" w14:textId="77777777" w:rsidR="00CE052F" w:rsidRPr="00877185" w:rsidRDefault="00CE052F" w:rsidP="001033D6"/>
    <w:p w14:paraId="60A3EBA0" w14:textId="77777777" w:rsidR="009A597A" w:rsidRPr="00877185" w:rsidRDefault="009A597A" w:rsidP="00DC051F">
      <w:pPr>
        <w:pStyle w:val="Heading2"/>
      </w:pPr>
      <w:bookmarkStart w:id="8" w:name="_Toc216408860"/>
      <w:r w:rsidRPr="00877185">
        <w:t>1.3 Rationale of the Research</w:t>
      </w:r>
      <w:bookmarkEnd w:id="8"/>
    </w:p>
    <w:p w14:paraId="0B9343C0" w14:textId="77777777" w:rsidR="00E76966" w:rsidRDefault="00E76966" w:rsidP="00E76966">
      <w:r w:rsidRPr="00877185">
        <w:t>Staff shortages, high turnover, and rising demand are straining the UK healthcare industry, particularly the NHS. Keeping qualified workers reduces expenses, institution, and patient care continuity, making retention a more sustainable strategy than recruiting (Vries et al., 2023). Diversity and inclusion (D&amp;I) measures have been identified as key to improving worker experiences, although their influence on retention is unknown.</w:t>
      </w:r>
    </w:p>
    <w:p w14:paraId="7E94F0EA" w14:textId="77777777" w:rsidR="00CE052F" w:rsidRPr="00877185" w:rsidRDefault="00CE052F" w:rsidP="00E76966"/>
    <w:p w14:paraId="2B9AE26F" w14:textId="057F3B16" w:rsidR="00E76966" w:rsidRDefault="0088552B" w:rsidP="00E76966">
      <w:r w:rsidRPr="00877185">
        <w:t xml:space="preserve">The NHS is one of the most diverse employers in the UK, yet inequalities remain. </w:t>
      </w:r>
      <w:r w:rsidR="00E76966" w:rsidRPr="00877185">
        <w:t xml:space="preserve">Minority workers, especially BAME ones, report discrimination, uneven career opportunities, and exclusive workplaces (Mahmood, 2025). </w:t>
      </w:r>
      <w:proofErr w:type="spellStart"/>
      <w:r w:rsidR="00E76966" w:rsidRPr="00877185">
        <w:t>Ikhsan</w:t>
      </w:r>
      <w:proofErr w:type="spellEnd"/>
      <w:r w:rsidR="00E76966" w:rsidRPr="00877185">
        <w:t xml:space="preserve"> et al. (2025) observed that unpleasant </w:t>
      </w:r>
      <w:r w:rsidR="00E76966" w:rsidRPr="00877185">
        <w:lastRenderedPageBreak/>
        <w:t xml:space="preserve">experiences burden building a big staff, causing disengagement and attrition. Despite a set of principles (Workforce Race Equality Standard, WRES) and development (Davies et al., 2019), some staff see D&amp;I initiatives as tokens and performative, lacking sincerity and long-term impact (Craven, 2021; </w:t>
      </w:r>
      <w:proofErr w:type="spellStart"/>
      <w:r w:rsidR="00E76966" w:rsidRPr="00877185">
        <w:t>Alriuili</w:t>
      </w:r>
      <w:proofErr w:type="spellEnd"/>
      <w:r w:rsidR="00E76966" w:rsidRPr="00877185">
        <w:t>, 2024).</w:t>
      </w:r>
    </w:p>
    <w:p w14:paraId="11687856" w14:textId="77777777" w:rsidR="00CE052F" w:rsidRPr="00877185" w:rsidRDefault="00CE052F" w:rsidP="00E76966"/>
    <w:p w14:paraId="6FED9350" w14:textId="77777777" w:rsidR="001033D6" w:rsidRDefault="001D3B64" w:rsidP="00E76966">
      <w:r w:rsidRPr="00877185">
        <w:t>Frontline NHS minority staff's opinions of D&amp;I's efficacy and how this affects their decision to leave the organisation are understudied. Most of the research has focused on policy level analysis or broad HR-led methods, missing staff experiences in high-pressure circumstances. Rural and under-resourced Trusts have specific obstacles when adopting inclusive entailment, yet research on them is scarce (National Council for Rural Health Care (NCRC), 2024).</w:t>
      </w:r>
    </w:p>
    <w:p w14:paraId="1527C591" w14:textId="77777777" w:rsidR="00CE052F" w:rsidRPr="00877185" w:rsidRDefault="00CE052F" w:rsidP="00E76966"/>
    <w:p w14:paraId="4A308F59" w14:textId="77777777" w:rsidR="00383C71" w:rsidRDefault="00E76966" w:rsidP="00383C71">
      <w:r w:rsidRPr="00877185">
        <w:t xml:space="preserve">This finding is important because the NHS must address its staffing shortages while meeting its legal and moral equality duties. </w:t>
      </w:r>
      <w:r w:rsidR="00383C71">
        <w:t>Diversity and inclusion in the healthcare workforce are still important for loyalty, and new generations of professionals value inclusion, wellness, and career growth (Vries et al., 2023), so D&amp;I initiatives in retention are crucial. Ineffective procedures increase turnover, damage organisational reputations, and impair patient treatment (Camargo, 2023).</w:t>
      </w:r>
    </w:p>
    <w:p w14:paraId="09F1A60C" w14:textId="77777777" w:rsidR="00CE052F" w:rsidRDefault="00CE052F" w:rsidP="00383C71"/>
    <w:p w14:paraId="1C1EBE02" w14:textId="43F8384D" w:rsidR="00A81BDE" w:rsidRDefault="00383C71" w:rsidP="00383C71">
      <w:r>
        <w:t>Thus, this investigation is current and appropriate. The research uses inclusion perceptions and staff retention to provide insights that may be used to improve D&amp;I in NHS Trusts. This helps translate policy aspirations into employee experience and makes diversity and inclusion effective levers of long-term work force sustainability.</w:t>
      </w:r>
    </w:p>
    <w:p w14:paraId="2535AC32" w14:textId="77777777" w:rsidR="00CE052F" w:rsidRPr="00877185" w:rsidRDefault="00CE052F" w:rsidP="00383C71"/>
    <w:p w14:paraId="626C12B7" w14:textId="77777777" w:rsidR="009A597A" w:rsidRPr="00877185" w:rsidRDefault="009A597A" w:rsidP="00DC051F">
      <w:pPr>
        <w:pStyle w:val="Heading2"/>
      </w:pPr>
      <w:bookmarkStart w:id="9" w:name="_Toc216408861"/>
      <w:r w:rsidRPr="00877185">
        <w:t>1.4 Research Aim</w:t>
      </w:r>
      <w:bookmarkEnd w:id="9"/>
    </w:p>
    <w:p w14:paraId="6716D4F7" w14:textId="3D0E7A41" w:rsidR="00FE6108" w:rsidRDefault="00487C64" w:rsidP="00FE6108">
      <w:r w:rsidRPr="00877185">
        <w:t>The aim of the study is to investigate how diversity and inclusion (D&amp;I) strategies influence staff retention within NHS</w:t>
      </w:r>
      <w:r w:rsidR="009B204B" w:rsidRPr="00877185">
        <w:t xml:space="preserve"> Wales</w:t>
      </w:r>
      <w:r w:rsidRPr="00877185">
        <w:t xml:space="preserve"> Trusts, with a specific focus on Black, Asian, and Minority Ethnic (BAME) and frontline healthcare staff.</w:t>
      </w:r>
    </w:p>
    <w:p w14:paraId="1C6B380B" w14:textId="77777777" w:rsidR="00CE052F" w:rsidRPr="00877185" w:rsidRDefault="00CE052F" w:rsidP="00FE6108"/>
    <w:p w14:paraId="71F4E371" w14:textId="77777777" w:rsidR="009A597A" w:rsidRPr="00877185" w:rsidRDefault="009A597A" w:rsidP="00DC051F">
      <w:pPr>
        <w:pStyle w:val="Heading2"/>
      </w:pPr>
      <w:bookmarkStart w:id="10" w:name="_Toc216408862"/>
      <w:r w:rsidRPr="00877185">
        <w:t>1.5 Research Objectives</w:t>
      </w:r>
      <w:bookmarkEnd w:id="10"/>
    </w:p>
    <w:p w14:paraId="5AC64C7A" w14:textId="77777777" w:rsidR="00FE6108" w:rsidRPr="00877185" w:rsidRDefault="00FE6108" w:rsidP="00FE6108">
      <w:pPr>
        <w:pStyle w:val="ListParagraph"/>
        <w:numPr>
          <w:ilvl w:val="0"/>
          <w:numId w:val="3"/>
        </w:numPr>
      </w:pPr>
      <w:r w:rsidRPr="00877185">
        <w:t>To identify and categorise the diversity and inclusion strategies currently implemented within NHS Trusts.</w:t>
      </w:r>
    </w:p>
    <w:p w14:paraId="0470C9DA" w14:textId="40A49F74" w:rsidR="00FE6108" w:rsidRPr="00877185" w:rsidRDefault="00FE6108" w:rsidP="00FE6108">
      <w:pPr>
        <w:pStyle w:val="ListParagraph"/>
        <w:numPr>
          <w:ilvl w:val="0"/>
          <w:numId w:val="3"/>
        </w:numPr>
      </w:pPr>
      <w:r w:rsidRPr="00877185">
        <w:t>To evaluate the perceptions of minority and frontline NHS</w:t>
      </w:r>
      <w:r w:rsidR="009B204B" w:rsidRPr="00877185">
        <w:t xml:space="preserve"> Wales</w:t>
      </w:r>
      <w:r w:rsidRPr="00877185">
        <w:t xml:space="preserve"> staff regarding the effectiveness of these D&amp;I strategies.</w:t>
      </w:r>
    </w:p>
    <w:p w14:paraId="75FC6863" w14:textId="0CEBD28E" w:rsidR="00FE6108" w:rsidRPr="00877185" w:rsidRDefault="00FE6108" w:rsidP="00FE6108">
      <w:pPr>
        <w:pStyle w:val="ListParagraph"/>
        <w:numPr>
          <w:ilvl w:val="0"/>
          <w:numId w:val="3"/>
        </w:numPr>
      </w:pPr>
      <w:r w:rsidRPr="00877185">
        <w:lastRenderedPageBreak/>
        <w:t>To analyse the relationship between perceived inclusivity and staff retention within NHS</w:t>
      </w:r>
      <w:r w:rsidR="009B204B" w:rsidRPr="00877185">
        <w:t xml:space="preserve"> Wales</w:t>
      </w:r>
      <w:r w:rsidRPr="00877185">
        <w:t>.</w:t>
      </w:r>
    </w:p>
    <w:p w14:paraId="6F3DA702" w14:textId="77777777" w:rsidR="00DC051F" w:rsidRDefault="00FE6108" w:rsidP="00FE6108">
      <w:pPr>
        <w:pStyle w:val="ListParagraph"/>
        <w:numPr>
          <w:ilvl w:val="0"/>
          <w:numId w:val="3"/>
        </w:numPr>
      </w:pPr>
      <w:r w:rsidRPr="00877185">
        <w:t>To synthesise findings into actionable recommendations for enhancing D&amp;I approaches to improve long-term staff retention.</w:t>
      </w:r>
    </w:p>
    <w:p w14:paraId="155D812D" w14:textId="77777777" w:rsidR="00CE052F" w:rsidRPr="00877185" w:rsidRDefault="00CE052F" w:rsidP="00FE6108">
      <w:pPr>
        <w:pStyle w:val="ListParagraph"/>
        <w:numPr>
          <w:ilvl w:val="0"/>
          <w:numId w:val="3"/>
        </w:numPr>
      </w:pPr>
    </w:p>
    <w:p w14:paraId="2B3CDA1C" w14:textId="77777777" w:rsidR="009A597A" w:rsidRPr="00877185" w:rsidRDefault="009A597A" w:rsidP="00DC051F">
      <w:pPr>
        <w:pStyle w:val="Heading2"/>
      </w:pPr>
      <w:bookmarkStart w:id="11" w:name="_Toc216408863"/>
      <w:r w:rsidRPr="00877185">
        <w:t>1.6 Research Question</w:t>
      </w:r>
      <w:bookmarkEnd w:id="11"/>
    </w:p>
    <w:p w14:paraId="58882AAE" w14:textId="77777777" w:rsidR="00DC051F" w:rsidRPr="00877185" w:rsidRDefault="00DC051F" w:rsidP="00DC051F">
      <w:r w:rsidRPr="00877185">
        <w:t>How do diversity and inclusion (D&amp;I) strategies influence staff retention within NHS Trusts, particularly among BAME and frontline healthcare staff?</w:t>
      </w:r>
    </w:p>
    <w:p w14:paraId="7ADA2C20" w14:textId="77777777" w:rsidR="00DC051F" w:rsidRPr="00877185" w:rsidRDefault="00DC051F" w:rsidP="00DC051F">
      <w:r w:rsidRPr="00877185">
        <w:t>The sub-research questions are:</w:t>
      </w:r>
    </w:p>
    <w:p w14:paraId="1EDBBC71" w14:textId="5CA085F2" w:rsidR="00DC051F" w:rsidRPr="00877185" w:rsidRDefault="00DC051F" w:rsidP="00DC051F">
      <w:pPr>
        <w:pStyle w:val="ListParagraph"/>
        <w:numPr>
          <w:ilvl w:val="0"/>
          <w:numId w:val="2"/>
        </w:numPr>
        <w:rPr>
          <w:lang w:val="en-IN"/>
        </w:rPr>
      </w:pPr>
      <w:r w:rsidRPr="00877185">
        <w:rPr>
          <w:lang w:val="en-IN"/>
        </w:rPr>
        <w:t>What diversity and inclusion strategies are currently implemented across different NHS</w:t>
      </w:r>
      <w:r w:rsidR="009B204B" w:rsidRPr="00877185">
        <w:rPr>
          <w:lang w:val="en-IN"/>
        </w:rPr>
        <w:t xml:space="preserve"> Wales</w:t>
      </w:r>
      <w:r w:rsidRPr="00877185">
        <w:rPr>
          <w:lang w:val="en-IN"/>
        </w:rPr>
        <w:t xml:space="preserve"> Trusts?</w:t>
      </w:r>
    </w:p>
    <w:p w14:paraId="6ED8F56B" w14:textId="69B521F6" w:rsidR="00DC051F" w:rsidRPr="00877185" w:rsidRDefault="00DC051F" w:rsidP="00DC051F">
      <w:pPr>
        <w:pStyle w:val="ListParagraph"/>
        <w:numPr>
          <w:ilvl w:val="0"/>
          <w:numId w:val="2"/>
        </w:numPr>
        <w:rPr>
          <w:lang w:val="en-IN"/>
        </w:rPr>
      </w:pPr>
      <w:r w:rsidRPr="00877185">
        <w:rPr>
          <w:lang w:val="en-IN"/>
        </w:rPr>
        <w:t>How do BAME and frontline NHS</w:t>
      </w:r>
      <w:r w:rsidR="009B204B" w:rsidRPr="00877185">
        <w:rPr>
          <w:lang w:val="en-IN"/>
        </w:rPr>
        <w:t xml:space="preserve"> Wales</w:t>
      </w:r>
      <w:r w:rsidRPr="00877185">
        <w:rPr>
          <w:lang w:val="en-IN"/>
        </w:rPr>
        <w:t xml:space="preserve"> staff perceive the effectiveness of existing D&amp;I initiatives?</w:t>
      </w:r>
    </w:p>
    <w:p w14:paraId="144BF6D2" w14:textId="298B758C" w:rsidR="00DC051F" w:rsidRPr="00877185" w:rsidRDefault="00DC051F" w:rsidP="00DC051F">
      <w:pPr>
        <w:pStyle w:val="ListParagraph"/>
        <w:numPr>
          <w:ilvl w:val="0"/>
          <w:numId w:val="2"/>
        </w:numPr>
        <w:rPr>
          <w:lang w:val="en-IN"/>
        </w:rPr>
      </w:pPr>
      <w:r w:rsidRPr="00877185">
        <w:rPr>
          <w:lang w:val="en-IN"/>
        </w:rPr>
        <w:t>What is the connection between staff perceptions of inclusion and their intent to remain within the NHS</w:t>
      </w:r>
      <w:r w:rsidR="009B204B" w:rsidRPr="00877185">
        <w:rPr>
          <w:lang w:val="en-IN"/>
        </w:rPr>
        <w:t xml:space="preserve"> Wales</w:t>
      </w:r>
      <w:r w:rsidRPr="00877185">
        <w:rPr>
          <w:lang w:val="en-IN"/>
        </w:rPr>
        <w:t>?</w:t>
      </w:r>
    </w:p>
    <w:p w14:paraId="41488DF6" w14:textId="77777777" w:rsidR="00DC051F" w:rsidRPr="00D37076" w:rsidRDefault="00DC051F" w:rsidP="00DC051F">
      <w:pPr>
        <w:pStyle w:val="ListParagraph"/>
        <w:numPr>
          <w:ilvl w:val="0"/>
          <w:numId w:val="2"/>
        </w:numPr>
      </w:pPr>
      <w:r w:rsidRPr="00877185">
        <w:rPr>
          <w:lang w:val="en-IN"/>
        </w:rPr>
        <w:t>What improvements can be made to D&amp;I strategies to better support staff retention, especially for minority and frontline staff?</w:t>
      </w:r>
    </w:p>
    <w:p w14:paraId="0772CB62" w14:textId="77777777" w:rsidR="00D37076" w:rsidRPr="00877185" w:rsidRDefault="00D37076" w:rsidP="00DC051F">
      <w:pPr>
        <w:pStyle w:val="ListParagraph"/>
        <w:numPr>
          <w:ilvl w:val="0"/>
          <w:numId w:val="2"/>
        </w:numPr>
      </w:pPr>
    </w:p>
    <w:p w14:paraId="177AEEA3" w14:textId="77777777" w:rsidR="009A597A" w:rsidRPr="00877185" w:rsidRDefault="009A597A" w:rsidP="00DC051F">
      <w:pPr>
        <w:pStyle w:val="Heading2"/>
      </w:pPr>
      <w:bookmarkStart w:id="12" w:name="_Toc216408864"/>
      <w:r w:rsidRPr="00877185">
        <w:t>1.7 Summary Research Methodology</w:t>
      </w:r>
      <w:bookmarkEnd w:id="12"/>
    </w:p>
    <w:p w14:paraId="622195A4" w14:textId="6E8D5526" w:rsidR="00066782" w:rsidRDefault="00066782" w:rsidP="00066782">
      <w:r w:rsidRPr="00877185">
        <w:t xml:space="preserve">The research methodology of this study is to explore the effects of diversity and inclusion practices on staff retention in the </w:t>
      </w:r>
      <w:r w:rsidR="00806066" w:rsidRPr="00877185">
        <w:t>NHS Wales</w:t>
      </w:r>
      <w:r w:rsidRPr="00877185">
        <w:t>. The research philosophy is based on a realism ontological position (there is an objective reality exerting its influences upon the individual) and a positivism epistemological position (objective measurement and observable evidence). The research is a deductive research design, which tests previously established theory in relation to empirical evidence to produce generalisable results. Critical analysis is used as the primary research methodology to approach the collection of first-person, context-dependent data directly from healthcare workers.</w:t>
      </w:r>
    </w:p>
    <w:p w14:paraId="17604CE3" w14:textId="77777777" w:rsidR="00D37076" w:rsidRPr="00877185" w:rsidRDefault="00D37076" w:rsidP="00066782"/>
    <w:p w14:paraId="3D7697C9" w14:textId="07837D77" w:rsidR="000910F1" w:rsidRPr="00877185" w:rsidRDefault="00066782" w:rsidP="00066782">
      <w:r w:rsidRPr="00877185">
        <w:t xml:space="preserve">Quantitative approach is used so that numerical data is collected and is used for statistical purposes in order to test the hypotheses and discover relationships derived between diversity programmes and retention measures. The data collection method is an online survey conducted through Google Forms, allowing for easy, anonymous, and scalable data collection from a relatively large sample. Using a convenience sampling approach it aims to target a sample of </w:t>
      </w:r>
      <w:r w:rsidRPr="00877185">
        <w:lastRenderedPageBreak/>
        <w:t>NHS staff, across several Trusts, who are representative (in terms of race and ethnicity) and job roles (frontline and other) of 100 NHS staff, to be realistic and workable within logistical constraints. Data analysis will use both descriptive and inferential statistical techniques to be able to summarise trends and make inferences about the population. Finally, the chapter ends with stringent measures for validity and reliability, such as pilot-testing and Cronbach's alpha</w:t>
      </w:r>
      <w:r w:rsidR="00942BF4" w:rsidRPr="00877185">
        <w:t xml:space="preserve"> (</w:t>
      </w:r>
      <w:proofErr w:type="spellStart"/>
      <w:r w:rsidR="00942BF4" w:rsidRPr="00877185">
        <w:t>Edelsbrunner</w:t>
      </w:r>
      <w:proofErr w:type="spellEnd"/>
      <w:r w:rsidR="00942BF4" w:rsidRPr="00877185">
        <w:t xml:space="preserve"> et al., 2025)</w:t>
      </w:r>
      <w:r w:rsidRPr="00877185">
        <w:t>, and outlines the high ethical considerations maintained in the research process.</w:t>
      </w:r>
    </w:p>
    <w:p w14:paraId="09A9C061" w14:textId="77777777" w:rsidR="009A597A" w:rsidRPr="00877185" w:rsidRDefault="009A597A" w:rsidP="00DC051F">
      <w:pPr>
        <w:pStyle w:val="Heading2"/>
      </w:pPr>
      <w:bookmarkStart w:id="13" w:name="_Toc216408865"/>
      <w:r w:rsidRPr="00877185">
        <w:t xml:space="preserve">1.8 Research </w:t>
      </w:r>
      <w:r w:rsidR="00DC051F" w:rsidRPr="00877185">
        <w:t>Structure</w:t>
      </w:r>
      <w:bookmarkEnd w:id="13"/>
    </w:p>
    <w:p w14:paraId="50461238" w14:textId="77777777" w:rsidR="003A7001" w:rsidRPr="00877185" w:rsidRDefault="003A7001" w:rsidP="00066782">
      <w:pPr>
        <w:jc w:val="center"/>
      </w:pPr>
      <w:r w:rsidRPr="00877185">
        <w:rPr>
          <w:noProof/>
        </w:rPr>
        <w:drawing>
          <wp:inline distT="0" distB="0" distL="0" distR="0" wp14:anchorId="291C2552" wp14:editId="37D07E86">
            <wp:extent cx="4136572" cy="2401879"/>
            <wp:effectExtent l="0" t="0" r="3810" b="0"/>
            <wp:docPr id="1240848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48588" name=""/>
                    <pic:cNvPicPr/>
                  </pic:nvPicPr>
                  <pic:blipFill>
                    <a:blip r:embed="rId9"/>
                    <a:stretch>
                      <a:fillRect/>
                    </a:stretch>
                  </pic:blipFill>
                  <pic:spPr>
                    <a:xfrm>
                      <a:off x="0" y="0"/>
                      <a:ext cx="4159403" cy="2415136"/>
                    </a:xfrm>
                    <a:prstGeom prst="rect">
                      <a:avLst/>
                    </a:prstGeom>
                  </pic:spPr>
                </pic:pic>
              </a:graphicData>
            </a:graphic>
          </wp:inline>
        </w:drawing>
      </w:r>
    </w:p>
    <w:p w14:paraId="2B35C50A" w14:textId="77777777" w:rsidR="000A33FE" w:rsidRPr="00877185" w:rsidRDefault="000A33FE">
      <w:pPr>
        <w:spacing w:line="240" w:lineRule="auto"/>
        <w:jc w:val="left"/>
      </w:pPr>
      <w:r w:rsidRPr="00877185">
        <w:br w:type="page"/>
      </w:r>
    </w:p>
    <w:p w14:paraId="48D4CA2D" w14:textId="77777777" w:rsidR="000A33FE" w:rsidRDefault="000A33FE" w:rsidP="000A33FE">
      <w:pPr>
        <w:pStyle w:val="Heading1"/>
      </w:pPr>
      <w:bookmarkStart w:id="14" w:name="_Toc216408866"/>
      <w:r>
        <w:lastRenderedPageBreak/>
        <w:t>Chapter Two: Literature Review</w:t>
      </w:r>
      <w:bookmarkEnd w:id="14"/>
    </w:p>
    <w:p w14:paraId="265D0D5F" w14:textId="77777777" w:rsidR="000A33FE" w:rsidRPr="00877185" w:rsidRDefault="000A33FE" w:rsidP="000A33FE">
      <w:pPr>
        <w:pStyle w:val="Heading2"/>
      </w:pPr>
      <w:bookmarkStart w:id="15" w:name="_Toc216408867"/>
      <w:r w:rsidRPr="00877185">
        <w:t>2.1 Introduction</w:t>
      </w:r>
      <w:bookmarkEnd w:id="15"/>
    </w:p>
    <w:p w14:paraId="5AD6B400" w14:textId="173696D2" w:rsidR="000A33FE" w:rsidRDefault="005D58E9" w:rsidP="000A33FE">
      <w:r w:rsidRPr="00877185">
        <w:t xml:space="preserve">The chapter offers a critical evaluation of theoretical and empirical research on diversity and inclusion (D&amp;I) and staff retention in NHS Wales (GIG Cymru). Social Identity Theory (Tajfel and Turner, 1979), Contact Theory (Allport, 1954), Schema Theory (Bartlett, 1932), and recent empirical research on organisational socialisation and inclusive workplaces are discussed. The dissertation guide requires this evaluation to describe major theorists and the inconsistencies between policy and </w:t>
      </w:r>
      <w:r w:rsidR="001E217A" w:rsidRPr="00877185">
        <w:t xml:space="preserve">the </w:t>
      </w:r>
      <w:r w:rsidRPr="00877185">
        <w:t>staff minority</w:t>
      </w:r>
      <w:r w:rsidR="001E217A" w:rsidRPr="00877185">
        <w:t>’s</w:t>
      </w:r>
      <w:r w:rsidRPr="00877185">
        <w:t xml:space="preserve"> real existence. </w:t>
      </w:r>
      <w:r w:rsidR="001E217A" w:rsidRPr="00877185">
        <w:t>The review will synthesise information to identify gaps, conflicts, and convergent orientations to explain the underlying mechanisms linking perceived inclusion, organisational commitment, and staff retention</w:t>
      </w:r>
      <w:r w:rsidRPr="00877185">
        <w:t>. Actionable proposals to improve D&amp;I practi</w:t>
      </w:r>
      <w:r w:rsidR="001E217A" w:rsidRPr="00877185">
        <w:t>c</w:t>
      </w:r>
      <w:r w:rsidRPr="00877185">
        <w:t>es in healthcare organisations are based on the theoretical and practical correlations between Welsh legislative responsibilities and workforce sustainability.</w:t>
      </w:r>
    </w:p>
    <w:p w14:paraId="27AE8A91" w14:textId="77777777" w:rsidR="00D37076" w:rsidRPr="00877185" w:rsidRDefault="00D37076" w:rsidP="000A33FE"/>
    <w:p w14:paraId="79C45091" w14:textId="77777777" w:rsidR="000A33FE" w:rsidRPr="00877185" w:rsidRDefault="000A33FE" w:rsidP="000A33FE">
      <w:pPr>
        <w:pStyle w:val="Heading2"/>
      </w:pPr>
      <w:bookmarkStart w:id="16" w:name="_Toc216408868"/>
      <w:r w:rsidRPr="00877185">
        <w:t>2.2 Theoretical Overview</w:t>
      </w:r>
      <w:bookmarkEnd w:id="16"/>
    </w:p>
    <w:p w14:paraId="7B53D271" w14:textId="77777777" w:rsidR="000A33FE" w:rsidRPr="00877185" w:rsidRDefault="000A33FE" w:rsidP="000A33FE">
      <w:pPr>
        <w:pStyle w:val="Heading3"/>
      </w:pPr>
      <w:bookmarkStart w:id="17" w:name="_Toc216408869"/>
      <w:r w:rsidRPr="00877185">
        <w:t>2.2.1 Social Identity Theory</w:t>
      </w:r>
      <w:bookmarkEnd w:id="17"/>
    </w:p>
    <w:p w14:paraId="59BD3E59" w14:textId="21552C50" w:rsidR="000A33FE" w:rsidRPr="00877185" w:rsidRDefault="000A33FE" w:rsidP="000A33FE">
      <w:r w:rsidRPr="00877185">
        <w:t xml:space="preserve">Social Identity Theory (SIT) from Tajfel and Turner (1979) suggests that </w:t>
      </w:r>
      <w:r w:rsidRPr="00877185">
        <w:rPr>
          <w:kern w:val="0"/>
          <w14:ligatures w14:val="none"/>
        </w:rPr>
        <w:t>people derive their identity and status through membership in social groups, and these identities and their associated statuses often form the basis of attitudes and behaviours within an organisational</w:t>
      </w:r>
      <w:r w:rsidRPr="00877185">
        <w:t xml:space="preserve"> context. </w:t>
      </w:r>
      <w:r w:rsidR="009C7ADA" w:rsidRPr="00877185">
        <w:t xml:space="preserve">This approach suggests that minority and frontline healthcare workers may base their working dedication on whether their racial and professional identities are seen. Khadka (2024) affirms that SIT is important in diverse companies because inclusion expresses respect for various identities and encourages loyalty. </w:t>
      </w:r>
      <w:proofErr w:type="spellStart"/>
      <w:r w:rsidR="009C7ADA" w:rsidRPr="00877185">
        <w:t>Salimi</w:t>
      </w:r>
      <w:proofErr w:type="spellEnd"/>
      <w:r w:rsidR="009C7ADA" w:rsidRPr="00877185">
        <w:t xml:space="preserve"> et al. (2022) warn that the theory risks simplifying employee incentive processes by emphasising group identification over individual or structural factors.</w:t>
      </w:r>
    </w:p>
    <w:p w14:paraId="4C0DBB91" w14:textId="77777777" w:rsidR="000A33FE" w:rsidRPr="00877185" w:rsidRDefault="000A33FE" w:rsidP="009C7ADA">
      <w:pPr>
        <w:jc w:val="center"/>
      </w:pPr>
      <w:r w:rsidRPr="00877185">
        <w:lastRenderedPageBreak/>
        <w:fldChar w:fldCharType="begin"/>
      </w:r>
      <w:r w:rsidRPr="00877185">
        <w:instrText xml:space="preserve"> INCLUDEPICTURE "/Users/fahimhassan/Library/Group Containers/UBF8T346G9.ms/WebArchiveCopyPasteTempFiles/com.microsoft.Word/673c75597ec1ab71e9bb759c_645e31af3101f0e603e4bab2_Social%2520identity%2520and%2520self-esteem.png" \* MERGEFORMATINET </w:instrText>
      </w:r>
      <w:r w:rsidRPr="00877185">
        <w:fldChar w:fldCharType="separate"/>
      </w:r>
      <w:r w:rsidRPr="00877185">
        <w:rPr>
          <w:noProof/>
        </w:rPr>
        <w:drawing>
          <wp:inline distT="0" distB="0" distL="0" distR="0" wp14:anchorId="5492BC4F" wp14:editId="24D3A9FE">
            <wp:extent cx="5235203" cy="3492843"/>
            <wp:effectExtent l="0" t="0" r="0" b="0"/>
            <wp:docPr id="1674471420" name="Picture 1" descr="What is Social Identity Theory? Structural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ocial Identity Theory? Structural Learn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171" cy="3516173"/>
                    </a:xfrm>
                    <a:prstGeom prst="rect">
                      <a:avLst/>
                    </a:prstGeom>
                    <a:noFill/>
                    <a:ln>
                      <a:noFill/>
                    </a:ln>
                  </pic:spPr>
                </pic:pic>
              </a:graphicData>
            </a:graphic>
          </wp:inline>
        </w:drawing>
      </w:r>
      <w:r w:rsidRPr="00877185">
        <w:fldChar w:fldCharType="end"/>
      </w:r>
    </w:p>
    <w:p w14:paraId="45E17E58" w14:textId="56B6865C" w:rsidR="000A33FE" w:rsidRPr="00877185" w:rsidRDefault="000A33FE" w:rsidP="000A33FE">
      <w:pPr>
        <w:pStyle w:val="Caption"/>
      </w:pPr>
      <w:bookmarkStart w:id="18" w:name="_Toc216408776"/>
      <w:r w:rsidRPr="00877185">
        <w:t xml:space="preserve">Figure </w:t>
      </w:r>
      <w:r w:rsidR="009C7ADA">
        <w:fldChar w:fldCharType="begin"/>
      </w:r>
      <w:r w:rsidR="009C7ADA">
        <w:instrText xml:space="preserve"> SEQ Figure \* ARABIC </w:instrText>
      </w:r>
      <w:r w:rsidR="009C7ADA">
        <w:fldChar w:fldCharType="separate"/>
      </w:r>
      <w:r w:rsidR="009C7ADA" w:rsidRPr="00877185">
        <w:rPr>
          <w:noProof/>
        </w:rPr>
        <w:t>1</w:t>
      </w:r>
      <w:r w:rsidR="009C7ADA">
        <w:rPr>
          <w:noProof/>
        </w:rPr>
        <w:fldChar w:fldCharType="end"/>
      </w:r>
      <w:r w:rsidRPr="00877185">
        <w:t>: Social Identity Theory by Tajfel and Turner (1979)</w:t>
      </w:r>
      <w:bookmarkEnd w:id="18"/>
    </w:p>
    <w:p w14:paraId="76B8D98C" w14:textId="492F7A74" w:rsidR="000A33FE" w:rsidRDefault="000A33FE" w:rsidP="000A33FE">
      <w:r w:rsidRPr="00877185">
        <w:t>One line of research presents SIT as a key to workplace cohesion</w:t>
      </w:r>
      <w:r w:rsidR="00DD3000" w:rsidRPr="00877185">
        <w:t xml:space="preserve"> acceptance</w:t>
      </w:r>
      <w:r w:rsidRPr="00877185">
        <w:t xml:space="preserve">. Hence, </w:t>
      </w:r>
      <w:proofErr w:type="spellStart"/>
      <w:r w:rsidRPr="00877185">
        <w:t>Gusain</w:t>
      </w:r>
      <w:proofErr w:type="spellEnd"/>
      <w:r w:rsidRPr="00877185">
        <w:t xml:space="preserve"> and </w:t>
      </w:r>
      <w:proofErr w:type="spellStart"/>
      <w:r w:rsidRPr="00877185">
        <w:t>Gujral</w:t>
      </w:r>
      <w:proofErr w:type="spellEnd"/>
      <w:r w:rsidRPr="00877185">
        <w:t xml:space="preserve"> (2024) show that membership values enhance identification with organisational values, which increase engagement and that inclusivity is a key way to increase commitment. </w:t>
      </w:r>
      <w:r w:rsidRPr="00877185">
        <w:rPr>
          <w:kern w:val="0"/>
          <w14:ligatures w14:val="none"/>
        </w:rPr>
        <w:t xml:space="preserve">According to </w:t>
      </w:r>
      <w:r w:rsidRPr="00877185">
        <w:t>Mahmood (2025)</w:t>
      </w:r>
      <w:r w:rsidRPr="00877185">
        <w:rPr>
          <w:kern w:val="0"/>
          <w14:ligatures w14:val="none"/>
        </w:rPr>
        <w:t>, the disengagement of staff through a sense of feeling marginalised, especially BAME employees in the NHS, is related to attrition.</w:t>
      </w:r>
      <w:r w:rsidRPr="00877185">
        <w:t xml:space="preserve"> By contrast, Mujtaba (2025)</w:t>
      </w:r>
      <w:r w:rsidRPr="00877185">
        <w:rPr>
          <w:kern w:val="0"/>
          <w14:ligatures w14:val="none"/>
        </w:rPr>
        <w:t xml:space="preserve"> warn that SIT cannot fully explain patterns of retention in that economic limits, workload pressures,</w:t>
      </w:r>
      <w:r w:rsidRPr="00877185">
        <w:t xml:space="preserve"> and even managerial practices appear to be more important drivers of stay-leave transition as opposed to social attachment/identity. Thus, whilst SIT offers a focus on understanding inclusivity, it may under-emphasise systemic organisational stress</w:t>
      </w:r>
      <w:r w:rsidR="00677C1B" w:rsidRPr="00877185">
        <w:t xml:space="preserve"> (Rovetta et al., 2025)</w:t>
      </w:r>
      <w:r w:rsidRPr="00877185">
        <w:t>.</w:t>
      </w:r>
      <w:r w:rsidR="00677C1B" w:rsidRPr="00877185">
        <w:t xml:space="preserve"> </w:t>
      </w:r>
    </w:p>
    <w:p w14:paraId="0EBAC3FD" w14:textId="77777777" w:rsidR="00D37076" w:rsidRPr="00877185" w:rsidRDefault="00D37076" w:rsidP="000A33FE"/>
    <w:p w14:paraId="2C7EB90F" w14:textId="12094B70" w:rsidR="000A33FE" w:rsidRDefault="000A33FE" w:rsidP="000A33FE">
      <w:r w:rsidRPr="00877185">
        <w:t xml:space="preserve">Other authors </w:t>
      </w:r>
      <w:r w:rsidR="00677C1B" w:rsidRPr="00877185">
        <w:t>emphasise</w:t>
      </w:r>
      <w:r w:rsidRPr="00877185">
        <w:t xml:space="preserve"> the notion of intersectionality within SIT. Ethnic identity interplay is seen in that individuals have multiple-layered identities, as argued by </w:t>
      </w:r>
      <w:proofErr w:type="spellStart"/>
      <w:r w:rsidRPr="00877185">
        <w:t>Boumaza</w:t>
      </w:r>
      <w:proofErr w:type="spellEnd"/>
      <w:r w:rsidRPr="00877185">
        <w:t xml:space="preserve"> and Baker (2025). As such, ethnic membership interacts with professional membership, gender or hierarchical position. </w:t>
      </w:r>
      <w:r w:rsidR="00B50459" w:rsidRPr="00877185">
        <w:t>This subtlety is essential in such a domain as health care, where frontline staff might feel validated by a sense of professional achievement, yet simultaneously excluded through the stereotyping of their ethnicity (Mosley et al., 2025).</w:t>
      </w:r>
      <w:r w:rsidRPr="00877185">
        <w:t xml:space="preserve">However, Diehl et al. (2024) argue that SIT is not sufficiently able to represent this type of overlapping identity and thus its </w:t>
      </w:r>
      <w:r w:rsidRPr="00877185">
        <w:lastRenderedPageBreak/>
        <w:t>explanatory force is limited when dealing with some of the most complex institutions, such as the NHS.</w:t>
      </w:r>
    </w:p>
    <w:p w14:paraId="1E045355" w14:textId="77777777" w:rsidR="00D37076" w:rsidRPr="00877185" w:rsidRDefault="00D37076" w:rsidP="000A33FE"/>
    <w:p w14:paraId="499A278D" w14:textId="77777777" w:rsidR="00993124" w:rsidRDefault="000A33FE" w:rsidP="00993124">
      <w:r w:rsidRPr="00877185">
        <w:t>The integration of SIT with organisational diversity and inclusion initiatives demonstrates its relevance in the workplace</w:t>
      </w:r>
      <w:r w:rsidR="002C0F88" w:rsidRPr="00877185">
        <w:t xml:space="preserve"> (</w:t>
      </w:r>
      <w:proofErr w:type="spellStart"/>
      <w:r w:rsidR="002C0F88" w:rsidRPr="00877185">
        <w:t>Căruceru</w:t>
      </w:r>
      <w:proofErr w:type="spellEnd"/>
      <w:r w:rsidR="002C0F88" w:rsidRPr="00877185">
        <w:t xml:space="preserve"> et al., 2024)</w:t>
      </w:r>
      <w:r w:rsidRPr="00877185">
        <w:t>. Policies that give visible recognition to minority groups could be forceful in boosting organisational identification and lessening a sense of alienation</w:t>
      </w:r>
      <w:r w:rsidR="000502CA" w:rsidRPr="00877185">
        <w:t xml:space="preserve"> (Men et al., 2024)</w:t>
      </w:r>
      <w:r w:rsidRPr="00877185">
        <w:t xml:space="preserve">. Jaarsveld et al. (2019) shows that when employees </w:t>
      </w:r>
      <w:r w:rsidR="00DD3000" w:rsidRPr="00877185">
        <w:t>perceive</w:t>
      </w:r>
      <w:r w:rsidRPr="00877185">
        <w:t xml:space="preserve"> fairness and representation, turnover intention decreases. On the other hand, tokenistic measures which do not include substantive representation can lead to greater threats of identity and disengagement (Weekes, Ward and </w:t>
      </w:r>
      <w:proofErr w:type="spellStart"/>
      <w:r w:rsidRPr="00877185">
        <w:t>Mguni</w:t>
      </w:r>
      <w:proofErr w:type="spellEnd"/>
      <w:r w:rsidRPr="00877185">
        <w:t xml:space="preserve">, 2024). </w:t>
      </w:r>
      <w:r w:rsidR="00993124">
        <w:t>SIT's potency makes it a powerful instrument, yet tokenism makes a group feel like outsiders (</w:t>
      </w:r>
      <w:proofErr w:type="spellStart"/>
      <w:r w:rsidR="00993124">
        <w:t>Tait</w:t>
      </w:r>
      <w:proofErr w:type="spellEnd"/>
      <w:r w:rsidR="00993124">
        <w:t xml:space="preserve">-Signal and </w:t>
      </w:r>
      <w:proofErr w:type="spellStart"/>
      <w:r w:rsidR="00993124">
        <w:t>Febbraro</w:t>
      </w:r>
      <w:proofErr w:type="spellEnd"/>
      <w:r w:rsidR="00993124">
        <w:t>, 2024).</w:t>
      </w:r>
    </w:p>
    <w:p w14:paraId="3280BD01" w14:textId="39EC22B1" w:rsidR="000A33FE" w:rsidRDefault="00993124" w:rsidP="00993124">
      <w:r>
        <w:t xml:space="preserve">SIT provides insight into how identity recognition affects employee workplace commitment, but it does not examine work system limits or overlapping identities (Luiz and </w:t>
      </w:r>
      <w:proofErr w:type="spellStart"/>
      <w:r>
        <w:t>Terziev</w:t>
      </w:r>
      <w:proofErr w:type="spellEnd"/>
      <w:r>
        <w:t>, 2022). To improve healthcare throughput and retention, SIT must be reinforced with high-level organisational and contextual insights.</w:t>
      </w:r>
    </w:p>
    <w:p w14:paraId="6B002014" w14:textId="77777777" w:rsidR="00D37076" w:rsidRPr="00877185" w:rsidRDefault="00D37076" w:rsidP="00993124"/>
    <w:p w14:paraId="0FDF9DAB" w14:textId="10B3A6F9" w:rsidR="000A33FE" w:rsidRPr="00877185" w:rsidRDefault="000A33FE" w:rsidP="000A33FE">
      <w:pPr>
        <w:pStyle w:val="Heading3"/>
      </w:pPr>
      <w:bookmarkStart w:id="19" w:name="_Toc216408870"/>
      <w:r w:rsidRPr="00877185">
        <w:t>2.2.2 Schema Theory</w:t>
      </w:r>
      <w:bookmarkEnd w:id="19"/>
    </w:p>
    <w:p w14:paraId="10B0557B" w14:textId="59442209" w:rsidR="000A33FE" w:rsidRDefault="00993124" w:rsidP="000A33FE">
      <w:r w:rsidRPr="00993124">
        <w:t>Bartlett (1932) proposed the schema theory, which states that people see and react to the environment using mental structures they have constructed from their past. These schemas inspire expectations-based perceptions and actions, so they help organisations understand opportunities to implement diversity and inclusion (D&amp;I) initiatives to change long-held beliefs (Jones et al., 2022).</w:t>
      </w:r>
      <w:r w:rsidR="000A33FE" w:rsidRPr="00877185">
        <w:t xml:space="preserve"> Singha (2024) points out that word strategies </w:t>
      </w:r>
      <w:r w:rsidR="00213D51" w:rsidRPr="00877185">
        <w:t>for</w:t>
      </w:r>
      <w:r w:rsidR="000A33FE" w:rsidRPr="00877185">
        <w:t xml:space="preserve"> the office</w:t>
      </w:r>
      <w:r w:rsidR="00213D51" w:rsidRPr="00877185">
        <w:t>'s inclusion</w:t>
      </w:r>
      <w:r w:rsidR="000A33FE" w:rsidRPr="00877185">
        <w:t xml:space="preserve"> are certainly filtered through acquired schemas and may thus perpetuate or confront prior biases. </w:t>
      </w:r>
      <w:r w:rsidR="0076522B" w:rsidRPr="00877185">
        <w:t xml:space="preserve">Diversity training, for example, is mediated via each employee's cognitive frameworks and personal prejudices </w:t>
      </w:r>
      <w:r w:rsidR="00F409B1" w:rsidRPr="00877185">
        <w:t>(</w:t>
      </w:r>
      <w:proofErr w:type="spellStart"/>
      <w:r w:rsidR="00F409B1" w:rsidRPr="00877185">
        <w:t>Schlüter</w:t>
      </w:r>
      <w:proofErr w:type="spellEnd"/>
      <w:r w:rsidR="00F409B1" w:rsidRPr="00877185">
        <w:t xml:space="preserve"> and Gold, 2025)</w:t>
      </w:r>
      <w:r w:rsidR="000A33FE" w:rsidRPr="00877185">
        <w:t>.</w:t>
      </w:r>
    </w:p>
    <w:p w14:paraId="4A7330E9" w14:textId="77777777" w:rsidR="00D37076" w:rsidRPr="00877185" w:rsidRDefault="00D37076" w:rsidP="000A33FE"/>
    <w:p w14:paraId="3792114C" w14:textId="46F9E9A9" w:rsidR="009C7ADA" w:rsidRDefault="00F409B1" w:rsidP="009C7ADA">
      <w:proofErr w:type="spellStart"/>
      <w:r w:rsidRPr="00877185">
        <w:t>Gündemir</w:t>
      </w:r>
      <w:proofErr w:type="spellEnd"/>
      <w:r w:rsidRPr="00877185">
        <w:t xml:space="preserve"> et al. (2024); </w:t>
      </w:r>
      <w:proofErr w:type="spellStart"/>
      <w:r w:rsidR="00EB478B" w:rsidRPr="00877185">
        <w:t>Onyeador</w:t>
      </w:r>
      <w:proofErr w:type="spellEnd"/>
      <w:r w:rsidR="00EB478B" w:rsidRPr="00877185">
        <w:t xml:space="preserve"> et al. (2025) and</w:t>
      </w:r>
      <w:r w:rsidR="00DB1D91" w:rsidRPr="00877185">
        <w:t xml:space="preserve"> Parsons et al. (2025)</w:t>
      </w:r>
      <w:r w:rsidR="00EB478B" w:rsidRPr="00877185">
        <w:t xml:space="preserve"> </w:t>
      </w:r>
      <w:r w:rsidR="000A33FE" w:rsidRPr="00877185">
        <w:t xml:space="preserve">critically believe that schema adaptation is at the core of overcoming systemic inequalities. </w:t>
      </w:r>
      <w:r w:rsidR="009C7ADA" w:rsidRPr="00877185">
        <w:t xml:space="preserve">Educational interventions, which rebuild cognitive schemas, may deconstruct stereotyped beliefs to alter structural racism in institutions like the NHS, according to Wang and Yin (2023). According to </w:t>
      </w:r>
      <w:proofErr w:type="spellStart"/>
      <w:r w:rsidR="009C7ADA" w:rsidRPr="00877185">
        <w:t>Aladé</w:t>
      </w:r>
      <w:proofErr w:type="spellEnd"/>
      <w:r w:rsidR="009C7ADA" w:rsidRPr="00877185">
        <w:t xml:space="preserve"> et al. (2022), schemas are malleable and counter-stereotypical information changes them after repeated exposure. </w:t>
      </w:r>
      <w:proofErr w:type="spellStart"/>
      <w:r w:rsidR="009C7ADA" w:rsidRPr="00877185">
        <w:t>Giri</w:t>
      </w:r>
      <w:proofErr w:type="spellEnd"/>
      <w:r w:rsidR="009C7ADA" w:rsidRPr="00877185">
        <w:t xml:space="preserve"> et al. (2024) warn that cultural schemata are pre-adhesive and difficult to alter, particularly if it challenges popularised hierarchies, regarding learnt </w:t>
      </w:r>
      <w:r w:rsidR="009C7ADA" w:rsidRPr="00877185">
        <w:lastRenderedPageBreak/>
        <w:t>ontological frameworks. Even with unconscious prejudice, healthcare workers may oppose inclusion initiatives</w:t>
      </w:r>
      <w:r w:rsidR="00102347" w:rsidRPr="00877185">
        <w:t xml:space="preserve"> (Harris et al., 2024)</w:t>
      </w:r>
      <w:r w:rsidR="009C7ADA" w:rsidRPr="00877185">
        <w:t>.</w:t>
      </w:r>
    </w:p>
    <w:p w14:paraId="6D0F3D95" w14:textId="77777777" w:rsidR="00D37076" w:rsidRPr="00877185" w:rsidRDefault="00D37076" w:rsidP="009C7ADA"/>
    <w:p w14:paraId="79AE728A" w14:textId="0394B7DC" w:rsidR="009C7ADA" w:rsidRDefault="009C7ADA" w:rsidP="009C7ADA">
      <w:r w:rsidRPr="00877185">
        <w:t>Explaining the idea is difficult due of its universality</w:t>
      </w:r>
      <w:r w:rsidR="00102347" w:rsidRPr="00877185">
        <w:t xml:space="preserve"> a</w:t>
      </w:r>
      <w:r w:rsidRPr="00877185">
        <w:t xml:space="preserve">s Piaget (1952) noted, assimilation and accommodation advance model schemas, even though organisational contexts bring power, politics, and asset sharing, which cognitive principles can only partially interpret. Schema modification may individualise inclusion and ignore institutional impediments like </w:t>
      </w:r>
      <w:proofErr w:type="spellStart"/>
      <w:r w:rsidRPr="00877185">
        <w:t>biassed</w:t>
      </w:r>
      <w:proofErr w:type="spellEnd"/>
      <w:r w:rsidRPr="00877185">
        <w:t xml:space="preserve"> promotion, according to Wiesel et al. (2022). Schema theory ignores systemic restrictions and overemphasises individual cognition</w:t>
      </w:r>
      <w:r w:rsidR="00D90AAC" w:rsidRPr="00877185">
        <w:t xml:space="preserve"> (</w:t>
      </w:r>
      <w:proofErr w:type="spellStart"/>
      <w:r w:rsidR="00D90AAC" w:rsidRPr="00877185">
        <w:t>Haq</w:t>
      </w:r>
      <w:proofErr w:type="spellEnd"/>
      <w:r w:rsidR="00D90AAC" w:rsidRPr="00877185">
        <w:t xml:space="preserve"> and Kwok, 2025)</w:t>
      </w:r>
      <w:r w:rsidRPr="00877185">
        <w:t>.</w:t>
      </w:r>
    </w:p>
    <w:p w14:paraId="15CF2103" w14:textId="77777777" w:rsidR="00D37076" w:rsidRPr="00877185" w:rsidRDefault="00D37076" w:rsidP="009C7ADA"/>
    <w:p w14:paraId="36BFCF54" w14:textId="3AEC48BC" w:rsidR="000A33FE" w:rsidRPr="00877185" w:rsidRDefault="009C7ADA" w:rsidP="009C7ADA">
      <w:r w:rsidRPr="00877185">
        <w:t xml:space="preserve">Comparative studies also indicate neuropathological cognitive flexibility and rigidity conflict. Devine and Ash (2021) show how preconceptions may survive after comprehensive diversity training because group classifications trigger them. </w:t>
      </w:r>
      <w:r w:rsidR="004C230A" w:rsidRPr="00877185">
        <w:t>Due to this contradiction, schema-changing interventions must be carefully designed to avoid unintended outcomes (</w:t>
      </w:r>
      <w:proofErr w:type="spellStart"/>
      <w:r w:rsidR="004C230A" w:rsidRPr="00877185">
        <w:t>Fuochi</w:t>
      </w:r>
      <w:proofErr w:type="spellEnd"/>
      <w:r w:rsidR="004C230A" w:rsidRPr="00877185">
        <w:t xml:space="preserve"> et al., 2024).</w:t>
      </w:r>
    </w:p>
    <w:p w14:paraId="77818A8D" w14:textId="7CD22371" w:rsidR="000A33FE" w:rsidRDefault="00BC056A" w:rsidP="000A33FE">
      <w:r w:rsidRPr="00877185">
        <w:t xml:space="preserve">Schema theory emphasises the importance of ongoing experiential learning rather than isolated interventions (Lian and Bono, 2023). </w:t>
      </w:r>
      <w:r w:rsidR="000A33FE" w:rsidRPr="00877185">
        <w:t xml:space="preserve">It provides insights into why some staff are bought into inclusivity initiatives, whereas others resist them, but the theorisation </w:t>
      </w:r>
      <w:r w:rsidR="00747FBF" w:rsidRPr="00877185">
        <w:t>is limited in its</w:t>
      </w:r>
      <w:r w:rsidR="000A33FE" w:rsidRPr="00877185">
        <w:t xml:space="preserve"> explanatory p</w:t>
      </w:r>
      <w:r w:rsidR="00747FBF" w:rsidRPr="00877185">
        <w:t>ower</w:t>
      </w:r>
      <w:r w:rsidR="009F57F8" w:rsidRPr="00877185">
        <w:t xml:space="preserve"> (Olds, 2024)</w:t>
      </w:r>
      <w:r w:rsidR="000A33FE" w:rsidRPr="00877185">
        <w:t>. A key application of this qualitative conceptual framework is thus placing schema theory in conjunction with structural and organisational analyses to embrace the aspects of cognition, culture and structural barriers within healthcare organisations</w:t>
      </w:r>
      <w:r w:rsidR="00747FBF" w:rsidRPr="00877185">
        <w:t xml:space="preserve"> (</w:t>
      </w:r>
      <w:proofErr w:type="spellStart"/>
      <w:r w:rsidR="00747FBF" w:rsidRPr="00877185">
        <w:t>Sattin</w:t>
      </w:r>
      <w:proofErr w:type="spellEnd"/>
      <w:r w:rsidR="00747FBF" w:rsidRPr="00877185">
        <w:t xml:space="preserve"> et al., 2023)</w:t>
      </w:r>
      <w:r w:rsidR="000A33FE" w:rsidRPr="00877185">
        <w:t>.</w:t>
      </w:r>
    </w:p>
    <w:p w14:paraId="0FB01F24" w14:textId="77777777" w:rsidR="00D37076" w:rsidRPr="00877185" w:rsidRDefault="00D37076" w:rsidP="000A33FE"/>
    <w:p w14:paraId="3FAD368A" w14:textId="77777777" w:rsidR="000A33FE" w:rsidRDefault="000A33FE" w:rsidP="000A33FE">
      <w:pPr>
        <w:pStyle w:val="Heading3"/>
      </w:pPr>
      <w:bookmarkStart w:id="20" w:name="_Toc216408871"/>
      <w:r w:rsidRPr="00877185">
        <w:t>2.2.3 Contact Theory</w:t>
      </w:r>
      <w:bookmarkEnd w:id="20"/>
    </w:p>
    <w:p w14:paraId="18EBEE36" w14:textId="77777777" w:rsidR="00D37076" w:rsidRPr="00D37076" w:rsidRDefault="00D37076" w:rsidP="00D37076"/>
    <w:p w14:paraId="73121496" w14:textId="77777777" w:rsidR="000A33FE" w:rsidRPr="00877185" w:rsidRDefault="000A33FE" w:rsidP="000A33FE">
      <w:r w:rsidRPr="00877185">
        <w:t xml:space="preserve">Contact Theory, developed by Allport (1954), posits that intergroup prejudice can be minimised through deep and practical interaction between different groups. In settings such as the healthcare setting, this framework is especially relevant since, in some ways, collaboration is key for service delivery. Dharma, </w:t>
      </w:r>
      <w:proofErr w:type="spellStart"/>
      <w:r w:rsidRPr="00877185">
        <w:t>Seneru</w:t>
      </w:r>
      <w:proofErr w:type="spellEnd"/>
      <w:r w:rsidRPr="00877185">
        <w:t xml:space="preserve"> and Obi (2025) pointed out that through communication, mutual understanding and respect are cultivated among the diverse members, and this leads to improved morale seldom found in relationships of the same kind. Crawshaw and McCleary (2025) also mention that team-based healthcare environments are good places for contact-based interventions, because patient outcomes are the collective project of the team and, as such, interdependence is implicit.</w:t>
      </w:r>
    </w:p>
    <w:p w14:paraId="17ACB123" w14:textId="77777777" w:rsidR="000A33FE" w:rsidRPr="00877185" w:rsidRDefault="000A33FE" w:rsidP="000A33FE">
      <w:pPr>
        <w:jc w:val="center"/>
      </w:pPr>
      <w:r w:rsidRPr="00877185">
        <w:lastRenderedPageBreak/>
        <w:fldChar w:fldCharType="begin"/>
      </w:r>
      <w:r w:rsidRPr="00877185">
        <w:instrText xml:space="preserve"> INCLUDEPICTURE "/Users/fahimhassan/Library/Group Containers/UBF8T346G9.ms/WebArchiveCopyPasteTempFiles/com.microsoft.Word/10.1177_0959354313517023-fig1.jpg" \* MERGEFORMATINET </w:instrText>
      </w:r>
      <w:r w:rsidRPr="00877185">
        <w:fldChar w:fldCharType="separate"/>
      </w:r>
      <w:r w:rsidRPr="00877185">
        <w:rPr>
          <w:noProof/>
        </w:rPr>
        <w:drawing>
          <wp:inline distT="0" distB="0" distL="0" distR="0" wp14:anchorId="21207EEE" wp14:editId="76B23F48">
            <wp:extent cx="4464897" cy="1754102"/>
            <wp:effectExtent l="0" t="0" r="5715" b="0"/>
            <wp:docPr id="464995713" name="Picture 2" descr="Contact theory and the concept of prejudice: Metaphysical and moral  explorations and an epistemological question - Buhle Zuma, 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tact theory and the concept of prejudice: Metaphysical and moral  explorations and an epistemological question - Buhle Zuma, 201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91212" cy="1764440"/>
                    </a:xfrm>
                    <a:prstGeom prst="rect">
                      <a:avLst/>
                    </a:prstGeom>
                    <a:noFill/>
                    <a:ln>
                      <a:noFill/>
                    </a:ln>
                  </pic:spPr>
                </pic:pic>
              </a:graphicData>
            </a:graphic>
          </wp:inline>
        </w:drawing>
      </w:r>
      <w:r w:rsidRPr="00877185">
        <w:fldChar w:fldCharType="end"/>
      </w:r>
    </w:p>
    <w:p w14:paraId="57143BE5" w14:textId="7A13FBBB" w:rsidR="000A33FE" w:rsidRPr="00877185" w:rsidRDefault="000A33FE" w:rsidP="000A33FE">
      <w:pPr>
        <w:pStyle w:val="Caption"/>
      </w:pPr>
      <w:bookmarkStart w:id="21" w:name="_Toc216408777"/>
      <w:r w:rsidRPr="00877185">
        <w:t xml:space="preserve">Figure </w:t>
      </w:r>
      <w:r w:rsidR="009C7ADA">
        <w:fldChar w:fldCharType="begin"/>
      </w:r>
      <w:r w:rsidR="009C7ADA">
        <w:instrText xml:space="preserve"> SEQ Figure \* ARABIC </w:instrText>
      </w:r>
      <w:r w:rsidR="009C7ADA">
        <w:fldChar w:fldCharType="separate"/>
      </w:r>
      <w:r w:rsidR="009C7ADA" w:rsidRPr="00877185">
        <w:rPr>
          <w:noProof/>
        </w:rPr>
        <w:t>2</w:t>
      </w:r>
      <w:r w:rsidR="009C7ADA">
        <w:rPr>
          <w:noProof/>
        </w:rPr>
        <w:fldChar w:fldCharType="end"/>
      </w:r>
      <w:r w:rsidRPr="00877185">
        <w:t>: Contact Theory by Allport (1954)</w:t>
      </w:r>
      <w:bookmarkEnd w:id="21"/>
    </w:p>
    <w:p w14:paraId="3E4A922A" w14:textId="463E714D" w:rsidR="000A33FE" w:rsidRDefault="000A33FE" w:rsidP="000A33FE">
      <w:r w:rsidRPr="00877185">
        <w:t xml:space="preserve">While these have been some of the strengths from research studies, some theorists note that it is currently a simple assumption (and tactics) that just contact is enough to shift attitudes. </w:t>
      </w:r>
      <w:proofErr w:type="spellStart"/>
      <w:r w:rsidRPr="00877185">
        <w:t>Aboramadan</w:t>
      </w:r>
      <w:proofErr w:type="spellEnd"/>
      <w:r w:rsidRPr="00877185">
        <w:t xml:space="preserve"> and </w:t>
      </w:r>
      <w:proofErr w:type="spellStart"/>
      <w:r w:rsidRPr="00877185">
        <w:t>Karatepe</w:t>
      </w:r>
      <w:proofErr w:type="spellEnd"/>
      <w:r w:rsidRPr="00877185">
        <w:t xml:space="preserve"> (2021) have suggested that positive outcomes can only occur under certain conditions: equal status, shared goals and institutional support. In the absence of these, stereotypes can become entrenched in messages between individuals, particularly when power imbalances remain. </w:t>
      </w:r>
      <w:proofErr w:type="spellStart"/>
      <w:r w:rsidRPr="00877185">
        <w:t>Sacerdoti</w:t>
      </w:r>
      <w:proofErr w:type="spellEnd"/>
      <w:r w:rsidRPr="00877185">
        <w:t xml:space="preserve"> and </w:t>
      </w:r>
      <w:proofErr w:type="spellStart"/>
      <w:r w:rsidRPr="00877185">
        <w:t>Borlini</w:t>
      </w:r>
      <w:proofErr w:type="spellEnd"/>
      <w:r w:rsidRPr="00877185">
        <w:t xml:space="preserve"> (2023) take this further, arguing at times to see contact as limitations or placations of minority grievances without imagining systemic change, thereby appearing as sites of false unity. Indeed, this criticism is pertinent in hierarchical structures like the one in the NHS, where there is a power differential between management and minority staff, which can weaken the transformative power of contact</w:t>
      </w:r>
      <w:r w:rsidR="007F01E9" w:rsidRPr="00877185">
        <w:t xml:space="preserve"> (Woodhead et al., 2021)</w:t>
      </w:r>
      <w:r w:rsidRPr="00877185">
        <w:t>.</w:t>
      </w:r>
    </w:p>
    <w:p w14:paraId="594C8C0C" w14:textId="77777777" w:rsidR="00D37076" w:rsidRPr="00877185" w:rsidRDefault="00D37076" w:rsidP="000A33FE"/>
    <w:p w14:paraId="4DD62428" w14:textId="55B36FF2" w:rsidR="000A33FE" w:rsidRDefault="000A33FE" w:rsidP="000A33FE">
      <w:pPr>
        <w:rPr>
          <w:kern w:val="0"/>
          <w14:ligatures w14:val="none"/>
        </w:rPr>
      </w:pPr>
      <w:r w:rsidRPr="00877185">
        <w:t>Across studies</w:t>
      </w:r>
      <w:r w:rsidR="001A30FD" w:rsidRPr="00877185">
        <w:t xml:space="preserve"> like </w:t>
      </w:r>
      <w:proofErr w:type="spellStart"/>
      <w:r w:rsidR="001A30FD" w:rsidRPr="00877185">
        <w:t>Ramzy</w:t>
      </w:r>
      <w:proofErr w:type="spellEnd"/>
      <w:r w:rsidR="001A30FD" w:rsidRPr="00877185">
        <w:t xml:space="preserve"> et al. (2024) and </w:t>
      </w:r>
      <w:proofErr w:type="spellStart"/>
      <w:r w:rsidR="0043126B" w:rsidRPr="00877185">
        <w:t>Vivier</w:t>
      </w:r>
      <w:proofErr w:type="spellEnd"/>
      <w:r w:rsidR="0043126B" w:rsidRPr="00877185">
        <w:t xml:space="preserve"> et al. (2024)</w:t>
      </w:r>
      <w:r w:rsidRPr="00877185">
        <w:t xml:space="preserve">, there are conflicting explanations of the nature of institutional support in the literature. While </w:t>
      </w:r>
      <w:proofErr w:type="spellStart"/>
      <w:r w:rsidRPr="00877185">
        <w:t>Järlström</w:t>
      </w:r>
      <w:proofErr w:type="spellEnd"/>
      <w:r w:rsidRPr="00877185">
        <w:t xml:space="preserve"> et al. (2024) emphasise the common good of organisational commitment to inclusivity </w:t>
      </w:r>
      <w:r w:rsidRPr="00877185">
        <w:rPr>
          <w:kern w:val="0"/>
          <w14:ligatures w14:val="none"/>
        </w:rPr>
        <w:t xml:space="preserve">initiatives, which improves levels of trust, </w:t>
      </w:r>
      <w:proofErr w:type="spellStart"/>
      <w:r w:rsidR="00527DF0" w:rsidRPr="00877185">
        <w:t>Siahaan</w:t>
      </w:r>
      <w:proofErr w:type="spellEnd"/>
      <w:r w:rsidR="00527DF0" w:rsidRPr="00877185">
        <w:t xml:space="preserve"> et al. (2025) argue that well-designed initiatives may become tokenism without causal change and organisational transformation. Programmes without systemic alignment might produce surface, performative gestures rather than substantial development (</w:t>
      </w:r>
      <w:proofErr w:type="spellStart"/>
      <w:r w:rsidR="00527DF0" w:rsidRPr="00877185">
        <w:t>Menghwar</w:t>
      </w:r>
      <w:proofErr w:type="spellEnd"/>
      <w:r w:rsidR="00527DF0" w:rsidRPr="00877185">
        <w:t xml:space="preserve"> and </w:t>
      </w:r>
      <w:proofErr w:type="spellStart"/>
      <w:r w:rsidR="00527DF0" w:rsidRPr="00877185">
        <w:t>Daood</w:t>
      </w:r>
      <w:proofErr w:type="spellEnd"/>
      <w:r w:rsidR="00527DF0" w:rsidRPr="00877185">
        <w:t>, 2021; Baker et al., 2023). Thus, companies must discern between strategic caution and 'ersatz' or futile inclusion initiatives.</w:t>
      </w:r>
      <w:r w:rsidRPr="00877185">
        <w:rPr>
          <w:kern w:val="0"/>
          <w14:ligatures w14:val="none"/>
        </w:rPr>
        <w:t xml:space="preserve"> </w:t>
      </w:r>
    </w:p>
    <w:p w14:paraId="2FABF9C5" w14:textId="77777777" w:rsidR="00D37076" w:rsidRPr="00877185" w:rsidRDefault="00D37076" w:rsidP="000A33FE"/>
    <w:p w14:paraId="2B35F6A3" w14:textId="2CAF4FDB" w:rsidR="000A33FE" w:rsidRDefault="000A33FE" w:rsidP="000A33FE">
      <w:pPr>
        <w:rPr>
          <w:kern w:val="0"/>
          <w14:ligatures w14:val="none"/>
        </w:rPr>
      </w:pPr>
      <w:r w:rsidRPr="00877185">
        <w:t xml:space="preserve">The power of contact to reduce prejudice is also questioned. </w:t>
      </w:r>
      <w:proofErr w:type="spellStart"/>
      <w:r w:rsidRPr="00877185">
        <w:t>Kauff</w:t>
      </w:r>
      <w:proofErr w:type="spellEnd"/>
      <w:r w:rsidRPr="00877185">
        <w:t xml:space="preserve"> et al. (2020) claim that trust is embedded through intergroup contact, but </w:t>
      </w:r>
      <w:proofErr w:type="spellStart"/>
      <w:r w:rsidRPr="00877185">
        <w:t>Langendorf</w:t>
      </w:r>
      <w:proofErr w:type="spellEnd"/>
      <w:r w:rsidRPr="00877185">
        <w:t xml:space="preserve"> et al. (2025) </w:t>
      </w:r>
      <w:r w:rsidR="00C46E2C" w:rsidRPr="00877185">
        <w:t>argue that</w:t>
      </w:r>
      <w:r w:rsidRPr="00877185">
        <w:t xml:space="preserve"> contact effects tend to be context-dependent and disappear </w:t>
      </w:r>
      <w:r w:rsidR="00C46E2C" w:rsidRPr="00877185">
        <w:t>when</w:t>
      </w:r>
      <w:r w:rsidRPr="00877185">
        <w:t xml:space="preserve"> one moves out of a structured context. In the NHS, for example, although MDT might enhance rapport in clinical practice, discrimination </w:t>
      </w:r>
      <w:r w:rsidRPr="00877185">
        <w:lastRenderedPageBreak/>
        <w:t>may not end in promotion or allocation of resources</w:t>
      </w:r>
      <w:r w:rsidR="00B3737B" w:rsidRPr="00877185">
        <w:t xml:space="preserve"> (Hussain et al., 2023)</w:t>
      </w:r>
      <w:r w:rsidRPr="00877185">
        <w:t xml:space="preserve">. The limitations of the theory are </w:t>
      </w:r>
      <w:r w:rsidRPr="00877185">
        <w:rPr>
          <w:kern w:val="0"/>
          <w14:ligatures w14:val="none"/>
        </w:rPr>
        <w:t xml:space="preserve">illustrated, suggesting that it is </w:t>
      </w:r>
      <w:r w:rsidR="003E1CF6" w:rsidRPr="00877185">
        <w:rPr>
          <w:kern w:val="0"/>
          <w14:ligatures w14:val="none"/>
        </w:rPr>
        <w:t>insufficient to explain</w:t>
      </w:r>
      <w:r w:rsidRPr="00877185">
        <w:rPr>
          <w:kern w:val="0"/>
          <w14:ligatures w14:val="none"/>
        </w:rPr>
        <w:t xml:space="preserve"> improvements in organisational change, which become effective only when rooted in specific situations.</w:t>
      </w:r>
    </w:p>
    <w:p w14:paraId="6F1A6F97" w14:textId="77777777" w:rsidR="00D37076" w:rsidRPr="00877185" w:rsidRDefault="00D37076" w:rsidP="000A33FE"/>
    <w:p w14:paraId="50439877" w14:textId="5A679155" w:rsidR="000A33FE" w:rsidRDefault="00716970" w:rsidP="000A33FE">
      <w:r w:rsidRPr="00877185">
        <w:t>Contact Theory may illuminate conflicting circumstances and the many advantages of breaking down silos, but its efficacy depends on context (Grady et al., 2023). Interpersonal exposure alone cannot resolve power imbalances and structural inequalities, hence contact programs must be incorporated into organisational reform (</w:t>
      </w:r>
      <w:proofErr w:type="spellStart"/>
      <w:r w:rsidRPr="00877185">
        <w:t>Tropp</w:t>
      </w:r>
      <w:proofErr w:type="spellEnd"/>
      <w:r w:rsidRPr="00877185">
        <w:t xml:space="preserve"> and </w:t>
      </w:r>
      <w:proofErr w:type="spellStart"/>
      <w:r w:rsidRPr="00877185">
        <w:t>Dehrone</w:t>
      </w:r>
      <w:proofErr w:type="spellEnd"/>
      <w:r w:rsidRPr="00877185">
        <w:t>, 2023).</w:t>
      </w:r>
    </w:p>
    <w:p w14:paraId="4E4D9B38" w14:textId="77777777" w:rsidR="00D37076" w:rsidRPr="00877185" w:rsidRDefault="00D37076" w:rsidP="000A33FE"/>
    <w:p w14:paraId="4C3CF17C" w14:textId="77777777" w:rsidR="000A33FE" w:rsidRPr="00877185" w:rsidRDefault="000A33FE" w:rsidP="000A33FE">
      <w:pPr>
        <w:pStyle w:val="Heading3"/>
      </w:pPr>
      <w:bookmarkStart w:id="22" w:name="_Toc216408872"/>
      <w:r w:rsidRPr="00877185">
        <w:t>2.2.4 Cultural Intelligence (CQ) Theory</w:t>
      </w:r>
      <w:bookmarkEnd w:id="22"/>
    </w:p>
    <w:p w14:paraId="6787F57E" w14:textId="034D3934" w:rsidR="009C7ADA" w:rsidRDefault="009C7ADA" w:rsidP="009C7ADA">
      <w:r w:rsidRPr="00877185">
        <w:t xml:space="preserve">Cultural Intelligence (CQ) Theory describes an individual's ability to work successfully in multi-cultural settings, especially in </w:t>
      </w:r>
      <w:r w:rsidR="001F5F56" w:rsidRPr="00877185">
        <w:t>NHS Wales</w:t>
      </w:r>
      <w:r w:rsidRPr="00877185">
        <w:t xml:space="preserve"> (</w:t>
      </w:r>
      <w:proofErr w:type="spellStart"/>
      <w:r w:rsidRPr="00877185">
        <w:t>Kour</w:t>
      </w:r>
      <w:proofErr w:type="spellEnd"/>
      <w:r w:rsidRPr="00877185">
        <w:t xml:space="preserve"> and </w:t>
      </w:r>
      <w:proofErr w:type="spellStart"/>
      <w:r w:rsidRPr="00877185">
        <w:t>Jyoti</w:t>
      </w:r>
      <w:proofErr w:type="spellEnd"/>
      <w:r w:rsidRPr="00877185">
        <w:t xml:space="preserve">, 2021). </w:t>
      </w:r>
      <w:r w:rsidR="00E35600" w:rsidRPr="00877185">
        <w:t xml:space="preserve">Nwankwo et al. (2024) demonstrate that diversity is distinct from inclusion, emphasising that both employees and leaders require the adaptability to </w:t>
      </w:r>
      <w:r w:rsidR="00393CA8" w:rsidRPr="00877185">
        <w:t>manage cultural complexity effectivel</w:t>
      </w:r>
      <w:r w:rsidR="00E35600" w:rsidRPr="00877185">
        <w:t xml:space="preserve">y. </w:t>
      </w:r>
      <w:r w:rsidRPr="00877185">
        <w:t xml:space="preserve">Wang and Goh (2020) found that high CQ may increase respect and collaboration in multicultural teams, minimising situational misunderstandings and improving team member relationships via professionalism. </w:t>
      </w:r>
      <w:r w:rsidR="0018765A" w:rsidRPr="00877185">
        <w:t>Schmidt et al. (2023)</w:t>
      </w:r>
      <w:r w:rsidRPr="00877185">
        <w:t xml:space="preserve"> results apply to healthcare systems because communication errors have direct effects on personnel and patients.</w:t>
      </w:r>
    </w:p>
    <w:p w14:paraId="02F0062D" w14:textId="77777777" w:rsidR="00D37076" w:rsidRPr="00877185" w:rsidRDefault="00D37076" w:rsidP="009C7ADA"/>
    <w:p w14:paraId="65E1C873" w14:textId="1DC3B127" w:rsidR="009C7ADA" w:rsidRDefault="009C7ADA" w:rsidP="009C7ADA">
      <w:r w:rsidRPr="00877185">
        <w:t xml:space="preserve">Metacognitive, cognitive, motivational, and behavioural CQ measure values and attitudes and are largely used to manage cross-cultural encounters, according to </w:t>
      </w:r>
      <w:proofErr w:type="spellStart"/>
      <w:r w:rsidRPr="00877185">
        <w:t>Iskhakova</w:t>
      </w:r>
      <w:proofErr w:type="spellEnd"/>
      <w:r w:rsidRPr="00877185">
        <w:t xml:space="preserve"> and </w:t>
      </w:r>
      <w:proofErr w:type="spellStart"/>
      <w:r w:rsidRPr="00877185">
        <w:t>Ott</w:t>
      </w:r>
      <w:proofErr w:type="spellEnd"/>
      <w:r w:rsidRPr="00877185">
        <w:t xml:space="preserve"> (2020). This paradigm highlights the usefulness of awareness and incentive for proactive adaptive actions</w:t>
      </w:r>
      <w:r w:rsidR="00672C6F" w:rsidRPr="00877185">
        <w:t xml:space="preserve"> (</w:t>
      </w:r>
      <w:proofErr w:type="spellStart"/>
      <w:r w:rsidR="00672C6F" w:rsidRPr="00877185">
        <w:t>Genkova</w:t>
      </w:r>
      <w:proofErr w:type="spellEnd"/>
      <w:r w:rsidR="00672C6F" w:rsidRPr="00877185">
        <w:t xml:space="preserve"> et al., 2021)</w:t>
      </w:r>
      <w:r w:rsidRPr="00877185">
        <w:t xml:space="preserve">. Some argue that focusing on individual skill ignores institutional frameworks. </w:t>
      </w:r>
      <w:proofErr w:type="spellStart"/>
      <w:r w:rsidRPr="00877185">
        <w:t>Paiuc</w:t>
      </w:r>
      <w:proofErr w:type="spellEnd"/>
      <w:r w:rsidRPr="00877185">
        <w:t xml:space="preserve"> (2021) believes that CQ training is feasible but requires ongoing investment and leadership buy-in, which are increasingly off-priorities in underfunded healthcare systems. </w:t>
      </w:r>
      <w:proofErr w:type="spellStart"/>
      <w:r w:rsidR="00672C6F" w:rsidRPr="00877185">
        <w:t>Vindrola-Padros</w:t>
      </w:r>
      <w:proofErr w:type="spellEnd"/>
      <w:r w:rsidR="00672C6F" w:rsidRPr="00877185">
        <w:t xml:space="preserve"> et al. (2022)</w:t>
      </w:r>
      <w:r w:rsidRPr="00877185">
        <w:t xml:space="preserve"> failure suggests that CQ is not a magic pill and must be part of organisational plans.</w:t>
      </w:r>
    </w:p>
    <w:p w14:paraId="542E103E" w14:textId="77777777" w:rsidR="00D37076" w:rsidRPr="00877185" w:rsidRDefault="00D37076" w:rsidP="009C7ADA"/>
    <w:p w14:paraId="7E295B22" w14:textId="2A9AB43F" w:rsidR="000A33FE" w:rsidRDefault="009C7ADA" w:rsidP="009C7ADA">
      <w:r w:rsidRPr="00877185">
        <w:t xml:space="preserve">Comparative literature shows varied impacts of CQ on long-term organisational performance. </w:t>
      </w:r>
      <w:r w:rsidR="000A33FE" w:rsidRPr="00877185">
        <w:t xml:space="preserve">An empowerment analysis by </w:t>
      </w:r>
      <w:proofErr w:type="spellStart"/>
      <w:r w:rsidR="000A33FE" w:rsidRPr="00877185">
        <w:t>Perera</w:t>
      </w:r>
      <w:proofErr w:type="spellEnd"/>
      <w:r w:rsidR="000A33FE" w:rsidRPr="00877185">
        <w:t xml:space="preserve"> (2025) suggests that high-CQ leaders produce more cohesive and inventive teams. Sarvari et al. (2025) warn that structural inequalities, including biased promotion practices, would prevent CQ from directly increasing retention. Since institutional pressures are too intense for individual flexibility, CQ theory is necessary but </w:t>
      </w:r>
      <w:r w:rsidR="000A33FE" w:rsidRPr="00877185">
        <w:lastRenderedPageBreak/>
        <w:t xml:space="preserve">insufficient. </w:t>
      </w:r>
      <w:r w:rsidR="006643D7" w:rsidRPr="00877185">
        <w:t>It is important not to overestimate the impact of short-term interventions, since CQ improvements will not last without long-term reinforcement (</w:t>
      </w:r>
      <w:proofErr w:type="spellStart"/>
      <w:r w:rsidR="006643D7" w:rsidRPr="00877185">
        <w:t>Surapto</w:t>
      </w:r>
      <w:proofErr w:type="spellEnd"/>
      <w:r w:rsidR="006643D7" w:rsidRPr="00877185">
        <w:t>, 2025)</w:t>
      </w:r>
      <w:r w:rsidR="000A33FE" w:rsidRPr="00877185">
        <w:t>.</w:t>
      </w:r>
    </w:p>
    <w:p w14:paraId="471652D5" w14:textId="77777777" w:rsidR="00D37076" w:rsidRPr="00877185" w:rsidRDefault="00D37076" w:rsidP="009C7ADA"/>
    <w:p w14:paraId="139A22B0" w14:textId="4769EB18" w:rsidR="000A33FE" w:rsidRDefault="000A33FE" w:rsidP="000A33FE">
      <w:r w:rsidRPr="00877185">
        <w:t>CQ theory helps explain how cultural sensitivity and flexibility affect employment and working unit cohesiveness. It relies on long-term investment and systemic change objectification</w:t>
      </w:r>
      <w:r w:rsidR="005B72AF" w:rsidRPr="00877185">
        <w:t xml:space="preserve"> (Semenov and </w:t>
      </w:r>
      <w:proofErr w:type="spellStart"/>
      <w:r w:rsidR="005B72AF" w:rsidRPr="00877185">
        <w:t>Randrianasolo</w:t>
      </w:r>
      <w:proofErr w:type="spellEnd"/>
      <w:r w:rsidR="005B72AF" w:rsidRPr="00877185">
        <w:t>, 2024)</w:t>
      </w:r>
      <w:r w:rsidRPr="00877185">
        <w:t>.  More significantly, if CQ is to be taken seriously, it must be part of a multi-faceted, comprehensive commitment to inclusion and fairness, not an add-on capability with an inflexible framework.</w:t>
      </w:r>
    </w:p>
    <w:p w14:paraId="1BA3C69E" w14:textId="77777777" w:rsidR="00D37076" w:rsidRPr="00877185" w:rsidRDefault="00D37076" w:rsidP="000A33FE"/>
    <w:p w14:paraId="1B316CD1" w14:textId="77777777" w:rsidR="000A33FE" w:rsidRPr="00877185" w:rsidRDefault="000A33FE" w:rsidP="000A33FE">
      <w:pPr>
        <w:pStyle w:val="Heading2"/>
      </w:pPr>
      <w:bookmarkStart w:id="23" w:name="_Toc216408873"/>
      <w:r w:rsidRPr="00877185">
        <w:t>2.3 Diversity and Inclusion Strategies in Healthcare Organisation</w:t>
      </w:r>
      <w:bookmarkEnd w:id="23"/>
    </w:p>
    <w:p w14:paraId="52284E37" w14:textId="391CCDBC" w:rsidR="000D52AB" w:rsidRDefault="000D52AB" w:rsidP="000D52AB">
      <w:r w:rsidRPr="00877185">
        <w:t>The strategies of diversity and inclusion (D&amp;I) are not considered as HR initiatives anymore but, instead, they are becoming the core of the legal and operational requirements of NHS Wales</w:t>
      </w:r>
      <w:r w:rsidR="00F86DA7" w:rsidRPr="00877185">
        <w:t xml:space="preserve"> (Hogan et al., 2023</w:t>
      </w:r>
      <w:r w:rsidR="002A302D" w:rsidRPr="00877185">
        <w:t xml:space="preserve">; </w:t>
      </w:r>
      <w:proofErr w:type="spellStart"/>
      <w:r w:rsidR="002A302D" w:rsidRPr="00877185">
        <w:t>Sackitey</w:t>
      </w:r>
      <w:proofErr w:type="spellEnd"/>
      <w:r w:rsidR="002A302D" w:rsidRPr="00877185">
        <w:t>, 2023</w:t>
      </w:r>
      <w:r w:rsidR="00F86DA7" w:rsidRPr="00877185">
        <w:t>)</w:t>
      </w:r>
      <w:r w:rsidRPr="00877185">
        <w:t xml:space="preserve">. It is believed that institutional diversity and workforce management influence </w:t>
      </w:r>
      <w:r w:rsidR="007645A5" w:rsidRPr="00877185">
        <w:t>healthcar</w:t>
      </w:r>
      <w:r w:rsidRPr="00877185">
        <w:t xml:space="preserve">e outcomes (Buh et al., 2024; </w:t>
      </w:r>
      <w:proofErr w:type="spellStart"/>
      <w:r w:rsidRPr="00877185">
        <w:t>Alriuili</w:t>
      </w:r>
      <w:proofErr w:type="spellEnd"/>
      <w:r w:rsidRPr="00877185">
        <w:t xml:space="preserve"> et al., 2024). The legal situation in Wales is, however, vastly different </w:t>
      </w:r>
      <w:r w:rsidR="007645A5" w:rsidRPr="00877185">
        <w:t>from</w:t>
      </w:r>
      <w:r w:rsidRPr="00877185">
        <w:t xml:space="preserve"> the rest of the UK, so a different strategy should be pursued.</w:t>
      </w:r>
    </w:p>
    <w:p w14:paraId="36CB1DA1" w14:textId="77777777" w:rsidR="00D37076" w:rsidRPr="00877185" w:rsidRDefault="00D37076" w:rsidP="000D52AB"/>
    <w:p w14:paraId="6F4D67F9" w14:textId="05EF8D96" w:rsidR="000D52AB" w:rsidRDefault="000D52AB" w:rsidP="000D52AB">
      <w:r w:rsidRPr="00877185">
        <w:t>In contrast to NHS England, which largely uses the Workforce Race Equality Standard (WRES) NHS Wales is currently governed by the Well-being of Future Generations (Wales) Act 2015</w:t>
      </w:r>
      <w:r w:rsidR="006D71C7" w:rsidRPr="00877185">
        <w:t xml:space="preserve"> (Dhanani et al., 2024)</w:t>
      </w:r>
      <w:r w:rsidRPr="00877185">
        <w:t xml:space="preserve">. </w:t>
      </w:r>
      <w:r w:rsidR="009A2A29" w:rsidRPr="00877185">
        <w:t xml:space="preserve">This revolutionary law requires government entities like Local Health Boards to show progress towards seven well-being objectives, including ‘A More Equal Wales’ and ‘A Resilient Wales’, under regulatory scrutiny (Cummings, </w:t>
      </w:r>
      <w:proofErr w:type="spellStart"/>
      <w:r w:rsidR="009A2A29" w:rsidRPr="00877185">
        <w:t>Burvill</w:t>
      </w:r>
      <w:proofErr w:type="spellEnd"/>
      <w:r w:rsidR="009A2A29" w:rsidRPr="00877185">
        <w:t xml:space="preserve"> and Bowen, 2024).</w:t>
      </w:r>
      <w:r w:rsidRPr="00877185">
        <w:t xml:space="preserve"> This Act changes the </w:t>
      </w:r>
      <w:proofErr w:type="gramStart"/>
      <w:r w:rsidRPr="00877185">
        <w:t>to</w:t>
      </w:r>
      <w:proofErr w:type="gramEnd"/>
      <w:r w:rsidRPr="00877185">
        <w:t xml:space="preserve"> short-term recruitment goal to long-term sustainability, viewing staff retention as the way to averting the staff crisis in the future one of the fundamental ideas of the Acts five ways of working (prevention and long-term thinking)</w:t>
      </w:r>
      <w:r w:rsidR="0083217E" w:rsidRPr="00877185">
        <w:t xml:space="preserve"> (Anderson et al., 2021)</w:t>
      </w:r>
      <w:r w:rsidRPr="00877185">
        <w:t>.</w:t>
      </w:r>
    </w:p>
    <w:p w14:paraId="7EB230FC" w14:textId="77777777" w:rsidR="00D37076" w:rsidRPr="00877185" w:rsidRDefault="00D37076" w:rsidP="000D52AB"/>
    <w:p w14:paraId="079AAD0D" w14:textId="53450108" w:rsidR="000D52AB" w:rsidRPr="00877185" w:rsidRDefault="000D52AB" w:rsidP="000D52AB">
      <w:r w:rsidRPr="00877185">
        <w:t>Moreover, the Anti-racist Wales Action Plan specifies that by 2030, the public sector organisations should be anti-racist and not simply non-racist</w:t>
      </w:r>
      <w:r w:rsidR="001943E1" w:rsidRPr="00877185">
        <w:t xml:space="preserve"> (</w:t>
      </w:r>
      <w:proofErr w:type="spellStart"/>
      <w:r w:rsidR="001943E1" w:rsidRPr="00877185">
        <w:t>McGinnity</w:t>
      </w:r>
      <w:proofErr w:type="spellEnd"/>
      <w:r w:rsidR="001943E1" w:rsidRPr="00877185">
        <w:t xml:space="preserve"> et al., 2021)</w:t>
      </w:r>
      <w:r w:rsidRPr="00877185">
        <w:t xml:space="preserve">. </w:t>
      </w:r>
      <w:r w:rsidR="004423F7" w:rsidRPr="00877185">
        <w:t xml:space="preserve">This represents a shift from passive compliance to the active dismantling of systemic blockers. </w:t>
      </w:r>
      <w:r w:rsidRPr="00877185">
        <w:t>In the case of NHS Wales, this has certain objectives</w:t>
      </w:r>
      <w:r w:rsidR="00424AD7" w:rsidRPr="00877185">
        <w:t>, including</w:t>
      </w:r>
      <w:r w:rsidRPr="00877185">
        <w:t xml:space="preserve"> a target of 20</w:t>
      </w:r>
      <w:r w:rsidR="001943E1" w:rsidRPr="00877185">
        <w:t>%</w:t>
      </w:r>
      <w:r w:rsidRPr="00877185">
        <w:t xml:space="preserve"> ethnic minority recruitment </w:t>
      </w:r>
      <w:r w:rsidR="001943E1" w:rsidRPr="00877185">
        <w:t>(Ogbonna, 2023)</w:t>
      </w:r>
      <w:r w:rsidRPr="00877185">
        <w:t xml:space="preserve">. Nevertheless, </w:t>
      </w:r>
      <w:proofErr w:type="spellStart"/>
      <w:r w:rsidR="00424AD7" w:rsidRPr="00877185">
        <w:t>Ciuk</w:t>
      </w:r>
      <w:proofErr w:type="spellEnd"/>
      <w:r w:rsidR="00424AD7" w:rsidRPr="00877185">
        <w:t xml:space="preserve"> et al., (2022)</w:t>
      </w:r>
      <w:r w:rsidRPr="00877185">
        <w:t xml:space="preserve"> claim that there are still tensions between the concepts of procedural compliance </w:t>
      </w:r>
      <w:r w:rsidR="0083217E" w:rsidRPr="00877185">
        <w:t>with</w:t>
      </w:r>
      <w:r w:rsidRPr="00877185">
        <w:t xml:space="preserve"> statutory obligations and the substantive quality, which is the transformation of the existing workplace culture.</w:t>
      </w:r>
    </w:p>
    <w:p w14:paraId="53ED8D49" w14:textId="34B2C93C" w:rsidR="000D52AB" w:rsidRDefault="0063386D" w:rsidP="000D52AB">
      <w:proofErr w:type="spellStart"/>
      <w:r w:rsidRPr="00877185">
        <w:lastRenderedPageBreak/>
        <w:t>Bamrah</w:t>
      </w:r>
      <w:proofErr w:type="spellEnd"/>
      <w:r w:rsidRPr="00877185">
        <w:t xml:space="preserve"> et al. (2025) </w:t>
      </w:r>
      <w:r w:rsidR="000D52AB" w:rsidRPr="00877185">
        <w:t>confirm that even highly ambitious D&amp;I policies have their entrenched challenges of implementation. Although the Equality Act 2010 regulates the precise responsibilities of Health Boards within this sector, such as the publication of Strategic Equality Plans, it has been i</w:t>
      </w:r>
      <w:r w:rsidR="00424AD7" w:rsidRPr="00877185">
        <w:t>dentified as</w:t>
      </w:r>
      <w:r w:rsidR="000D52AB" w:rsidRPr="00877185">
        <w:t xml:space="preserve"> a source of tick-box culture in these areas</w:t>
      </w:r>
      <w:r w:rsidR="00220378" w:rsidRPr="00877185">
        <w:t xml:space="preserve"> (Dhanani et al., 2024)</w:t>
      </w:r>
      <w:r w:rsidR="000D52AB" w:rsidRPr="00877185">
        <w:t>. According to Mousa et al. (2021), women constitute a significant share of the healthcare labour force, yet there are fewer opportunities to take on top positions. Another role that has brought inequalities of outcome in the Welsh context is the Socio-economic Duty (to be implemented in 2021)</w:t>
      </w:r>
      <w:r w:rsidR="00DF15A6" w:rsidRPr="00877185">
        <w:t>,</w:t>
      </w:r>
      <w:r w:rsidR="000D52AB" w:rsidRPr="00877185">
        <w:t xml:space="preserve"> </w:t>
      </w:r>
      <w:r w:rsidR="00DF15A6" w:rsidRPr="00877185">
        <w:t>which</w:t>
      </w:r>
      <w:r w:rsidR="000D52AB" w:rsidRPr="00877185">
        <w:t xml:space="preserve"> compels Health Boards to reflect on their strategic choices</w:t>
      </w:r>
      <w:r w:rsidR="00642985" w:rsidRPr="00877185">
        <w:t xml:space="preserve">, </w:t>
      </w:r>
      <w:r w:rsidR="000D52AB" w:rsidRPr="00877185">
        <w:t>including retention strategies</w:t>
      </w:r>
      <w:r w:rsidR="00642985" w:rsidRPr="00877185">
        <w:t xml:space="preserve">, </w:t>
      </w:r>
      <w:r w:rsidR="000D52AB" w:rsidRPr="00877185">
        <w:t>t</w:t>
      </w:r>
      <w:r w:rsidR="00DF15A6" w:rsidRPr="00877185">
        <w:t>o</w:t>
      </w:r>
      <w:r w:rsidR="000D52AB" w:rsidRPr="00877185">
        <w:t xml:space="preserve"> minimise inequalities of outcome. </w:t>
      </w:r>
      <w:r w:rsidR="00642985" w:rsidRPr="00877185">
        <w:t>This adds another layer to compliance quality, as D&amp;I now balances representation with a legislative duty to boost worker socioeconomic resilience</w:t>
      </w:r>
      <w:r w:rsidR="0048040B" w:rsidRPr="00877185">
        <w:t xml:space="preserve"> </w:t>
      </w:r>
      <w:r w:rsidR="00436B87" w:rsidRPr="00877185">
        <w:t>(</w:t>
      </w:r>
      <w:proofErr w:type="spellStart"/>
      <w:r w:rsidR="00436B87" w:rsidRPr="00877185">
        <w:t>Yuksek</w:t>
      </w:r>
      <w:proofErr w:type="spellEnd"/>
      <w:r w:rsidR="00436B87" w:rsidRPr="00877185">
        <w:t xml:space="preserve"> et al., 2024)</w:t>
      </w:r>
      <w:r w:rsidR="00642985" w:rsidRPr="00877185">
        <w:t>.</w:t>
      </w:r>
    </w:p>
    <w:p w14:paraId="5A603B77" w14:textId="77777777" w:rsidR="00D37076" w:rsidRPr="00877185" w:rsidRDefault="00D37076" w:rsidP="000D52AB"/>
    <w:p w14:paraId="5B5200E2" w14:textId="227B1F5E" w:rsidR="005D58E9" w:rsidRDefault="0089202D" w:rsidP="000D52AB">
      <w:proofErr w:type="spellStart"/>
      <w:r w:rsidRPr="00877185">
        <w:t>Alriuili</w:t>
      </w:r>
      <w:proofErr w:type="spellEnd"/>
      <w:r w:rsidRPr="00877185">
        <w:t xml:space="preserve"> et al. (2024) argue that diversity training and equal promotional opportunities are ethical requirements, aligning with the Social Partnership and Public Procurement (Wales) Act 2023, which utilises social partnership and procurement levers to embed fair work practices within public services. </w:t>
      </w:r>
      <w:r w:rsidR="00F35E76" w:rsidRPr="00877185">
        <w:t>Organisations that fail to align this high-tier legal system with frontline workers risk violating the Health and Social Care (Quality and Engagement) (Wales) Act 2020's Duty of Quality. This law directly ties worker involvement to service standards, making exclusion-driven disengagement a governance failure. Thus, the deterioration in service supply endangers patient care and violates the legal requirement to enhance quality (</w:t>
      </w:r>
      <w:proofErr w:type="spellStart"/>
      <w:r w:rsidR="00F35E76" w:rsidRPr="00877185">
        <w:t>Pahi</w:t>
      </w:r>
      <w:proofErr w:type="spellEnd"/>
      <w:r w:rsidR="00F35E76" w:rsidRPr="00877185">
        <w:t xml:space="preserve"> et al., 2022).</w:t>
      </w:r>
    </w:p>
    <w:p w14:paraId="0AA27AD3" w14:textId="77777777" w:rsidR="00D37076" w:rsidRPr="00877185" w:rsidRDefault="00D37076" w:rsidP="000D52AB"/>
    <w:p w14:paraId="73F8D65C" w14:textId="77777777" w:rsidR="000A33FE" w:rsidRPr="00877185" w:rsidRDefault="000A33FE" w:rsidP="000A33FE">
      <w:pPr>
        <w:pStyle w:val="Heading2"/>
      </w:pPr>
      <w:bookmarkStart w:id="24" w:name="_Toc216408874"/>
      <w:r w:rsidRPr="00877185">
        <w:t>2.4 Staff Perceptions of Inclusivity and Effectiveness</w:t>
      </w:r>
      <w:bookmarkEnd w:id="24"/>
    </w:p>
    <w:p w14:paraId="659FB21E" w14:textId="77777777" w:rsidR="00A015E3" w:rsidRDefault="00A015E3" w:rsidP="00A015E3">
      <w:r>
        <w:t xml:space="preserve">Without assessing minority and frontline staff attitudes, diversity and inclusion (D&amp;I) programs in healthcare cannot be measured. </w:t>
      </w:r>
      <w:proofErr w:type="spellStart"/>
      <w:r>
        <w:t>Chastney</w:t>
      </w:r>
      <w:proofErr w:type="spellEnd"/>
      <w:r>
        <w:t xml:space="preserve"> et al. (2024) argue that NHS Trusts are motivated and enlightened to implement D&amp;I initiatives, but their under-represented groups' opinions are unfavourable, indicating discontent, doubts, and disappointment. This shows that organisational aim and workplace experience vary greatly (Fletcher and Marvell, 2022).</w:t>
      </w:r>
    </w:p>
    <w:p w14:paraId="63292A14" w14:textId="77777777" w:rsidR="00D37076" w:rsidRDefault="00D37076" w:rsidP="00A015E3"/>
    <w:p w14:paraId="3A811DF0" w14:textId="77777777" w:rsidR="00A015E3" w:rsidRDefault="00A015E3" w:rsidP="00A015E3">
      <w:r>
        <w:t xml:space="preserve">More than half of </w:t>
      </w:r>
      <w:proofErr w:type="spellStart"/>
      <w:r>
        <w:t>Chandarat</w:t>
      </w:r>
      <w:proofErr w:type="spellEnd"/>
      <w:r>
        <w:t xml:space="preserve"> et al. (2022) survey participants did not think its personnel represented the diversity of the communities it serves. Almost 40% saw D&amp;I programs as tokenistic, related to ethnic minorities, women, and workers with impairments (</w:t>
      </w:r>
      <w:proofErr w:type="spellStart"/>
      <w:r>
        <w:t>Gichane</w:t>
      </w:r>
      <w:proofErr w:type="spellEnd"/>
      <w:r>
        <w:t xml:space="preserve"> et al., 2024). NHS Trusts may organise taskforces or committees, although intensive planning cannot lead to significant implementation (Hilling et al., 2025). Cultural inertia and institutional </w:t>
      </w:r>
      <w:r>
        <w:lastRenderedPageBreak/>
        <w:t xml:space="preserve">resistance prevent frontline workers from properly integrating into the organisation, according to </w:t>
      </w:r>
      <w:proofErr w:type="spellStart"/>
      <w:r>
        <w:t>Alriuili</w:t>
      </w:r>
      <w:proofErr w:type="spellEnd"/>
      <w:r>
        <w:t xml:space="preserve"> et al. (2024).</w:t>
      </w:r>
    </w:p>
    <w:p w14:paraId="00978970" w14:textId="77777777" w:rsidR="00D37076" w:rsidRDefault="00D37076" w:rsidP="00A015E3"/>
    <w:p w14:paraId="06664F64" w14:textId="77777777" w:rsidR="00A015E3" w:rsidRDefault="00A015E3" w:rsidP="00A015E3">
      <w:r>
        <w:t>Fitriana (2023) counters that top management-led diversity and inclusion (D&amp;I) initiatives boost employee happiness. Credible leadership sends powerful signals, and inclusive teams feel like they belong (Kim and Meister, 2022). Mousa et al. (2021) say organisational accountability and multilevel change create fair viewpoints, not symbolic gestures. NHS leadership professes to encourage D&amp;I, while frontline personnel report lacking institutional support (Boland et al., 2025).</w:t>
      </w:r>
    </w:p>
    <w:p w14:paraId="63031D6C" w14:textId="77777777" w:rsidR="00D37076" w:rsidRDefault="00D37076" w:rsidP="00A015E3"/>
    <w:p w14:paraId="721A0143" w14:textId="1E006295" w:rsidR="000A33FE" w:rsidRDefault="00A015E3" w:rsidP="00A015E3">
      <w:r>
        <w:t xml:space="preserve">Not just NHS tokenism is perceived. Craven (2021) views diversity initiatives as bureaucratic tick-box exercises that demonstrate compliance rather than transformation. Chantarat et al. (2022) found that policy pledges do not decrease prejudice against under-represented populations. </w:t>
      </w:r>
      <w:proofErr w:type="spellStart"/>
      <w:r>
        <w:t>Bilderback</w:t>
      </w:r>
      <w:proofErr w:type="spellEnd"/>
      <w:r>
        <w:t xml:space="preserve"> (2023) found that actual, long-lasting, and quantifiable unconscious bias training treatments are more than abstract or symbolic therapies staff would accept.</w:t>
      </w:r>
    </w:p>
    <w:p w14:paraId="71E0A828" w14:textId="77777777" w:rsidR="00D37076" w:rsidRPr="00877185" w:rsidRDefault="00D37076" w:rsidP="00A015E3"/>
    <w:p w14:paraId="6AAF5721" w14:textId="7D4C4017" w:rsidR="000A33FE" w:rsidRDefault="000A33FE" w:rsidP="000A33FE">
      <w:r w:rsidRPr="00877185">
        <w:t>Moreover, where the intersection of identity and frontline pressures happens makes things complicated. Frontline NHS staff who are also disproportionately from BAME backgrounds exhibit greater levels of stress and disengagement, especially when inclusionary efforts do not reflect and tackle a lack of structural inequality in terms of promotion, pay and distribution of workloads (</w:t>
      </w:r>
      <w:proofErr w:type="spellStart"/>
      <w:r w:rsidRPr="00877185">
        <w:t>Ikhsan</w:t>
      </w:r>
      <w:proofErr w:type="spellEnd"/>
      <w:r w:rsidRPr="00877185">
        <w:t xml:space="preserve"> et al., 2025). Such experiences undermine the credibility of D&amp;I initiatives, reinforcing the understanding that D&amp;I programmes benefit organisational image at the expense of employee wellbeing</w:t>
      </w:r>
      <w:r w:rsidR="002D5359" w:rsidRPr="00877185">
        <w:t xml:space="preserve"> (Ding and </w:t>
      </w:r>
      <w:proofErr w:type="spellStart"/>
      <w:r w:rsidR="002D5359" w:rsidRPr="00877185">
        <w:t>Broek</w:t>
      </w:r>
      <w:proofErr w:type="spellEnd"/>
      <w:r w:rsidR="002D5359" w:rsidRPr="00877185">
        <w:t>, 2023)</w:t>
      </w:r>
      <w:r w:rsidRPr="00877185">
        <w:t>.</w:t>
      </w:r>
    </w:p>
    <w:p w14:paraId="5E520183" w14:textId="77777777" w:rsidR="00D37076" w:rsidRPr="00877185" w:rsidRDefault="00D37076" w:rsidP="000A33FE"/>
    <w:p w14:paraId="63AE8D7D" w14:textId="525A14C5" w:rsidR="000A33FE" w:rsidRDefault="000A33FE" w:rsidP="000A33FE">
      <w:r w:rsidRPr="00877185">
        <w:t>In addition to this gap, many D&amp;I mandates are top-down and often politically disconnected from the reality of the frontline workforce</w:t>
      </w:r>
      <w:r w:rsidR="008F1C4B" w:rsidRPr="00877185">
        <w:t xml:space="preserve"> (Ren and Clarke, 2025)</w:t>
      </w:r>
      <w:r w:rsidRPr="00877185">
        <w:t>. Craven (2021) suggests this alienation has a different dimension in rural NHS settings, where feelings of alienation are exacerbated by geographic and professional isolation. National solutions, tailored to urban, diverse communities, may not translate well to the rural trusts, and the less diverse workforce and patient community may make a D&amp;I effort feel subjective or irrelevant</w:t>
      </w:r>
      <w:r w:rsidR="00A618B4" w:rsidRPr="00877185">
        <w:t>,</w:t>
      </w:r>
      <w:r w:rsidR="00585227" w:rsidRPr="00877185">
        <w:t xml:space="preserve"> according to </w:t>
      </w:r>
      <w:proofErr w:type="spellStart"/>
      <w:r w:rsidR="00585227" w:rsidRPr="00877185">
        <w:t>Perrigino</w:t>
      </w:r>
      <w:proofErr w:type="spellEnd"/>
      <w:r w:rsidR="00585227" w:rsidRPr="00877185">
        <w:t xml:space="preserve"> and Jenkins (2023)</w:t>
      </w:r>
      <w:r w:rsidRPr="00877185">
        <w:t xml:space="preserve">. As a result, local staff delivering in these settings can view </w:t>
      </w:r>
      <w:r w:rsidRPr="00877185">
        <w:rPr>
          <w:kern w:val="0"/>
          <w14:ligatures w14:val="none"/>
        </w:rPr>
        <w:t>centrally led programmes as symbolic gestures with no regard for their immediate context, reinforcing existing levels of cynicism —a reluctance to larger-scale policies that these policies are meant to address (Chantarat et al.,</w:t>
      </w:r>
      <w:r w:rsidRPr="00877185">
        <w:t xml:space="preserve"> 2022; NCRHC, 2024).</w:t>
      </w:r>
    </w:p>
    <w:p w14:paraId="204EA581" w14:textId="77777777" w:rsidR="00D37076" w:rsidRPr="00877185" w:rsidRDefault="00D37076" w:rsidP="000A33FE"/>
    <w:p w14:paraId="24AD4708" w14:textId="77777777" w:rsidR="00677640" w:rsidRDefault="000A33FE" w:rsidP="00677640">
      <w:r w:rsidRPr="00877185">
        <w:t>Taken together, there's a recurring theme in the literature indicating that minority and frontline staff are sceptical about D&amp;I initiatives when they</w:t>
      </w:r>
      <w:r w:rsidR="00A618B4" w:rsidRPr="00877185">
        <w:t xml:space="preserve"> are</w:t>
      </w:r>
      <w:r w:rsidRPr="00877185">
        <w:t xml:space="preserve"> viewed as tokenistic, leadership-lite or a disconnected profile from systemic inequities</w:t>
      </w:r>
      <w:r w:rsidR="001F09AE" w:rsidRPr="00877185">
        <w:t xml:space="preserve"> (Williams and Cox, 2022)</w:t>
      </w:r>
      <w:r w:rsidRPr="00877185">
        <w:t xml:space="preserve">. </w:t>
      </w:r>
      <w:r w:rsidR="00677640">
        <w:t>Although valuable leadership support, practical design, and team inclusiveness may promote a positive perception (Fitriana, 2023), the use of symbolic or surface-level strategies usually leads to the situation where users become disillusioned (Chantarat et al., 2022; Ahmed, 2012).</w:t>
      </w:r>
    </w:p>
    <w:p w14:paraId="448DB5F4" w14:textId="77777777" w:rsidR="00D37076" w:rsidRDefault="00D37076" w:rsidP="00677640"/>
    <w:p w14:paraId="7DC73CE8" w14:textId="32704684" w:rsidR="000A33FE" w:rsidRDefault="00677640" w:rsidP="00677640">
      <w:r>
        <w:t>It is not whether NHS Trusts have adopted D&amp;I strategies; it is whether these are seen and felt by staff as meaningful, sustained and effective in ensuring the barriers that exist throughout health delivery are dismantled (</w:t>
      </w:r>
      <w:proofErr w:type="spellStart"/>
      <w:r>
        <w:t>Shrotri</w:t>
      </w:r>
      <w:proofErr w:type="spellEnd"/>
      <w:r>
        <w:t xml:space="preserve"> et al., 2023). </w:t>
      </w:r>
      <w:r w:rsidR="000A33FE" w:rsidRPr="00877185">
        <w:t>Perceptions play a litmus test role, when minority staff and frontline staff see D&amp;I initiatives as authentic organisational culture benefits, organisational culture will be strengthened; when they see D&amp;I initiatives as tokenistic and the initiatives run this risk of fostering further disengagement.</w:t>
      </w:r>
    </w:p>
    <w:p w14:paraId="4C0F5DBF" w14:textId="77777777" w:rsidR="00D37076" w:rsidRPr="00877185" w:rsidRDefault="00D37076" w:rsidP="00677640"/>
    <w:p w14:paraId="5F78865E" w14:textId="77777777" w:rsidR="000A33FE" w:rsidRPr="00877185" w:rsidRDefault="000A33FE" w:rsidP="000A33FE">
      <w:r w:rsidRPr="00877185">
        <w:t>The hypothesis came from here is:</w:t>
      </w:r>
    </w:p>
    <w:p w14:paraId="2DC7A82E" w14:textId="77777777" w:rsidR="000A33FE" w:rsidRDefault="000A33FE" w:rsidP="000A33FE">
      <w:r w:rsidRPr="00877185">
        <w:t>H</w:t>
      </w:r>
      <w:r w:rsidRPr="00877185">
        <w:rPr>
          <w:vertAlign w:val="subscript"/>
        </w:rPr>
        <w:t>1</w:t>
      </w:r>
      <w:r w:rsidRPr="00877185">
        <w:t>: There is a significant positive impact of diversity and inclusion (D&amp;I) strategies on staff retention within NHS Trusts, particularly among BAME and frontline healthcare staff.</w:t>
      </w:r>
    </w:p>
    <w:p w14:paraId="152B8D5B" w14:textId="77777777" w:rsidR="00D37076" w:rsidRPr="00877185" w:rsidRDefault="00D37076" w:rsidP="000A33FE"/>
    <w:p w14:paraId="5F8BB2FE" w14:textId="77777777" w:rsidR="000A33FE" w:rsidRPr="00877185" w:rsidRDefault="000A33FE" w:rsidP="000A33FE">
      <w:pPr>
        <w:pStyle w:val="Heading2"/>
      </w:pPr>
      <w:bookmarkStart w:id="25" w:name="_Toc216408875"/>
      <w:r w:rsidRPr="00877185">
        <w:t>2.5 Inclusivity and Staff Retention in the Healthcare Organisation</w:t>
      </w:r>
      <w:bookmarkEnd w:id="25"/>
    </w:p>
    <w:p w14:paraId="0D5EA2A7" w14:textId="11EC0810" w:rsidR="000301D0" w:rsidRDefault="000301D0" w:rsidP="000301D0">
      <w:r w:rsidRPr="00877185">
        <w:t>There has been an increasingly tangible interest among the educational community of scholars that examines the conne</w:t>
      </w:r>
      <w:r w:rsidR="00A618B4" w:rsidRPr="00877185">
        <w:t>c</w:t>
      </w:r>
      <w:r w:rsidR="00593F95" w:rsidRPr="00877185">
        <w:t>t</w:t>
      </w:r>
      <w:r w:rsidRPr="00877185">
        <w:t xml:space="preserve">ion between inclusivity and retaining staff in healthcare. </w:t>
      </w:r>
      <w:r w:rsidR="00593F95" w:rsidRPr="00877185">
        <w:t>It is however to be interpreted in the light of the publicly funded healthcare sector where workforce stability is a factor that determines the quality of patient care.</w:t>
      </w:r>
    </w:p>
    <w:p w14:paraId="56EF1EDC" w14:textId="77777777" w:rsidR="00D37076" w:rsidRPr="00877185" w:rsidRDefault="00D37076" w:rsidP="000301D0"/>
    <w:p w14:paraId="167468C7" w14:textId="2E4CB644" w:rsidR="00430A6D" w:rsidRDefault="00305318" w:rsidP="00430A6D">
      <w:proofErr w:type="spellStart"/>
      <w:r w:rsidRPr="00877185">
        <w:t>Ngozi</w:t>
      </w:r>
      <w:proofErr w:type="spellEnd"/>
      <w:r w:rsidRPr="00877185">
        <w:t xml:space="preserve"> and </w:t>
      </w:r>
      <w:proofErr w:type="spellStart"/>
      <w:r w:rsidRPr="00877185">
        <w:t>Edwinah</w:t>
      </w:r>
      <w:proofErr w:type="spellEnd"/>
      <w:r w:rsidRPr="00877185">
        <w:t xml:space="preserve"> (2022) and </w:t>
      </w:r>
      <w:proofErr w:type="spellStart"/>
      <w:r w:rsidR="000B194C" w:rsidRPr="00877185">
        <w:t>Alkan</w:t>
      </w:r>
      <w:proofErr w:type="spellEnd"/>
      <w:r w:rsidR="000B194C" w:rsidRPr="00877185">
        <w:t xml:space="preserve"> et al., (2024)</w:t>
      </w:r>
      <w:r w:rsidR="00430A6D" w:rsidRPr="00877185">
        <w:t xml:space="preserve"> have shown that retention is not about income but how personnel in the retention program see themselves in their workplaces. Jamil and </w:t>
      </w:r>
      <w:proofErr w:type="spellStart"/>
      <w:r w:rsidR="00430A6D" w:rsidRPr="00877185">
        <w:t>Hyder</w:t>
      </w:r>
      <w:proofErr w:type="spellEnd"/>
      <w:r w:rsidR="00430A6D" w:rsidRPr="00877185">
        <w:t xml:space="preserve"> (2024) argued that inclusiveness in corporate socialisation improves commitment and performance. NHS Wales population health is affected by this. The Health and Social Care (Quality and Engagement) (Wales) Act 2020 mandated a Duty of Quality for all NHS organisations. Exclusion, including retention difficulties, threatens a Health Board's capacity to execute its commitment</w:t>
      </w:r>
      <w:r w:rsidR="000100EC" w:rsidRPr="00877185">
        <w:t xml:space="preserve"> (Huang et al., 2022)</w:t>
      </w:r>
      <w:r w:rsidR="00430A6D" w:rsidRPr="00877185">
        <w:t xml:space="preserve">. Minority worker churn disrupts </w:t>
      </w:r>
      <w:r w:rsidR="00683CA9" w:rsidRPr="00877185">
        <w:t xml:space="preserve">service </w:t>
      </w:r>
      <w:r w:rsidR="00683CA9" w:rsidRPr="00877185">
        <w:lastRenderedPageBreak/>
        <w:t>continuity</w:t>
      </w:r>
      <w:r w:rsidR="00430A6D" w:rsidRPr="00877185">
        <w:t xml:space="preserve"> and deprives the public health sector of the cultural competency </w:t>
      </w:r>
      <w:r w:rsidR="00683CA9" w:rsidRPr="00877185">
        <w:t>need</w:t>
      </w:r>
      <w:r w:rsidR="00430A6D" w:rsidRPr="00877185">
        <w:t xml:space="preserve">ed to </w:t>
      </w:r>
      <w:r w:rsidR="00683CA9" w:rsidRPr="00877185">
        <w:t>serv</w:t>
      </w:r>
      <w:r w:rsidR="00430A6D" w:rsidRPr="00877185">
        <w:t>e a diverse Welsh population</w:t>
      </w:r>
      <w:r w:rsidR="00D1622E" w:rsidRPr="00877185">
        <w:t xml:space="preserve"> (Broadhead, 2025)</w:t>
      </w:r>
      <w:r w:rsidR="00430A6D" w:rsidRPr="00877185">
        <w:t>.</w:t>
      </w:r>
    </w:p>
    <w:p w14:paraId="0A209390" w14:textId="77777777" w:rsidR="00CD5B24" w:rsidRPr="00877185" w:rsidRDefault="00CD5B24" w:rsidP="00430A6D"/>
    <w:p w14:paraId="4C6F7F6E" w14:textId="6983DDF1" w:rsidR="000301D0" w:rsidRDefault="00430A6D" w:rsidP="00430A6D">
      <w:r w:rsidRPr="00877185">
        <w:t xml:space="preserve">Retention methods are now social health initiatives, not HR concerns. Onboarding and mentoring are </w:t>
      </w:r>
      <w:r w:rsidR="000100EC" w:rsidRPr="00877185">
        <w:t xml:space="preserve">the emphasis of </w:t>
      </w:r>
      <w:r w:rsidRPr="00877185">
        <w:t>Vries et al. (2023). However, without addressing the absence of professional engagement in rural Welsh Health Boards, these efforts will not retain workers (NCRHC, 2024). BME immigration creates health inequities</w:t>
      </w:r>
      <w:r w:rsidR="00D1622E" w:rsidRPr="00877185">
        <w:t>;</w:t>
      </w:r>
      <w:r w:rsidRPr="00877185">
        <w:t xml:space="preserve"> hence</w:t>
      </w:r>
      <w:r w:rsidR="00D1622E" w:rsidRPr="00877185">
        <w:t>,</w:t>
      </w:r>
      <w:r w:rsidRPr="00877185">
        <w:t xml:space="preserve"> public health sector exclusion of BME personnel risks the health care system and increases service gaps</w:t>
      </w:r>
      <w:r w:rsidR="002E1F3F" w:rsidRPr="00877185">
        <w:t xml:space="preserve"> (Sharma et al, 2025)</w:t>
      </w:r>
      <w:r w:rsidRPr="00877185">
        <w:t>.</w:t>
      </w:r>
    </w:p>
    <w:p w14:paraId="39DBD1B6" w14:textId="77777777" w:rsidR="00CD5B24" w:rsidRPr="00877185" w:rsidRDefault="00CD5B24" w:rsidP="00430A6D"/>
    <w:p w14:paraId="6C788F81" w14:textId="04CC9CE8" w:rsidR="00CB23AF" w:rsidRDefault="00CB23AF" w:rsidP="000301D0">
      <w:r w:rsidRPr="00877185">
        <w:t>Inclusion may not help retention issues like workload and stress if it is seen as symbolic or procedural. While inclusivity is generally praised, some writers identify unexpected consequences</w:t>
      </w:r>
      <w:r w:rsidR="00583DDD" w:rsidRPr="00877185">
        <w:t xml:space="preserve"> (Ng et al., 2025)</w:t>
      </w:r>
      <w:r w:rsidRPr="00877185">
        <w:t>. If forced and overdone, mandatory inclusion training may produce employee resistance, interpersonal issues, and poor retention, according to Sweeting (2023). Kirton and Greene (2021) warn that NHS inclusion principles are praised but inconsistently implemented, leading to worker disengagement. NHS employees who feel inclusively cared for enjoy their job and are less likely to burnout (NHS, 2023). Thus, the idea is that large D&amp;I programs are necessary to achieve the 'Duty of Quality' in public health.</w:t>
      </w:r>
    </w:p>
    <w:p w14:paraId="126E2E40" w14:textId="77777777" w:rsidR="00CD5B24" w:rsidRPr="00877185" w:rsidRDefault="00CD5B24" w:rsidP="000301D0"/>
    <w:p w14:paraId="682631F6" w14:textId="77777777" w:rsidR="000301D0" w:rsidRPr="00877185" w:rsidRDefault="000301D0" w:rsidP="000301D0">
      <w:r w:rsidRPr="00877185">
        <w:t>The hypothesis came from here is:</w:t>
      </w:r>
    </w:p>
    <w:p w14:paraId="1C578C00" w14:textId="77777777" w:rsidR="000301D0" w:rsidRDefault="000301D0" w:rsidP="000301D0">
      <w:r w:rsidRPr="00877185">
        <w:t>H</w:t>
      </w:r>
      <w:r w:rsidRPr="00877185">
        <w:rPr>
          <w:vertAlign w:val="subscript"/>
        </w:rPr>
        <w:t>2</w:t>
      </w:r>
      <w:r w:rsidRPr="00877185">
        <w:t>: There is a significant relationship between perceived inclusivity and staff retention within the NHS.</w:t>
      </w:r>
    </w:p>
    <w:p w14:paraId="6359B561" w14:textId="77777777" w:rsidR="00CD5B24" w:rsidRPr="00877185" w:rsidRDefault="00CD5B24" w:rsidP="000301D0"/>
    <w:p w14:paraId="65A2A979" w14:textId="053982A0" w:rsidR="000A33FE" w:rsidRPr="00877185" w:rsidRDefault="000A33FE" w:rsidP="000A33FE">
      <w:pPr>
        <w:pStyle w:val="Heading2"/>
      </w:pPr>
      <w:bookmarkStart w:id="26" w:name="_Toc216408876"/>
      <w:r w:rsidRPr="00877185">
        <w:t xml:space="preserve">2.6 Recommendations for Enhancing </w:t>
      </w:r>
      <w:r w:rsidR="00327144" w:rsidRPr="00877185">
        <w:t xml:space="preserve">Diversity and Inclusion </w:t>
      </w:r>
      <w:r w:rsidRPr="00877185">
        <w:t>and Retention</w:t>
      </w:r>
      <w:bookmarkEnd w:id="26"/>
    </w:p>
    <w:p w14:paraId="2C4C801E" w14:textId="5AED7ABD" w:rsidR="000A33FE" w:rsidRDefault="000A33FE" w:rsidP="000A33FE">
      <w:pPr>
        <w:rPr>
          <w:kern w:val="0"/>
          <w14:ligatures w14:val="none"/>
        </w:rPr>
      </w:pPr>
      <w:r w:rsidRPr="00877185">
        <w:t xml:space="preserve">The prevailing consensus </w:t>
      </w:r>
      <w:r w:rsidR="00A8637D" w:rsidRPr="00877185">
        <w:t xml:space="preserve">by </w:t>
      </w:r>
      <w:proofErr w:type="spellStart"/>
      <w:r w:rsidR="00A8637D" w:rsidRPr="00877185">
        <w:t>Leuhery</w:t>
      </w:r>
      <w:proofErr w:type="spellEnd"/>
      <w:r w:rsidR="00A8637D" w:rsidRPr="00877185">
        <w:t xml:space="preserve"> et al. (2024)</w:t>
      </w:r>
      <w:r w:rsidRPr="00877185">
        <w:t xml:space="preserve"> that Diversity and Inclusion (D&amp;I) is not only a normative obligation, but also an effective lever that can deliver value for years to come through staff retention. However, there is </w:t>
      </w:r>
      <w:r w:rsidRPr="00877185">
        <w:rPr>
          <w:kern w:val="0"/>
          <w14:ligatures w14:val="none"/>
        </w:rPr>
        <w:t>considerable variation in the interpretation of actionable recommendations as a concept, specifically regarding whether they should be implemented through HR-led, culturally embedded, or structurally enforced approaches</w:t>
      </w:r>
      <w:r w:rsidR="009C7ADA" w:rsidRPr="00877185">
        <w:rPr>
          <w:kern w:val="0"/>
          <w14:ligatures w14:val="none"/>
        </w:rPr>
        <w:t xml:space="preserve"> </w:t>
      </w:r>
      <w:r w:rsidR="009C7ADA" w:rsidRPr="00877185">
        <w:t>(</w:t>
      </w:r>
      <w:proofErr w:type="spellStart"/>
      <w:r w:rsidR="009C7ADA" w:rsidRPr="00877185">
        <w:t>Sylejmani</w:t>
      </w:r>
      <w:proofErr w:type="spellEnd"/>
      <w:r w:rsidR="009C7ADA" w:rsidRPr="00877185">
        <w:t xml:space="preserve"> and </w:t>
      </w:r>
      <w:proofErr w:type="spellStart"/>
      <w:r w:rsidR="009C7ADA" w:rsidRPr="00877185">
        <w:t>Mesko</w:t>
      </w:r>
      <w:proofErr w:type="spellEnd"/>
      <w:r w:rsidR="009C7ADA" w:rsidRPr="00877185">
        <w:t>, 2024)</w:t>
      </w:r>
      <w:r w:rsidRPr="00877185">
        <w:rPr>
          <w:kern w:val="0"/>
          <w14:ligatures w14:val="none"/>
        </w:rPr>
        <w:t>.</w:t>
      </w:r>
    </w:p>
    <w:p w14:paraId="4E3788BE" w14:textId="77777777" w:rsidR="00CD5B24" w:rsidRPr="00877185" w:rsidRDefault="00CD5B24" w:rsidP="000A33FE"/>
    <w:p w14:paraId="0DDBCDBA" w14:textId="44D6E21E" w:rsidR="000A33FE" w:rsidRDefault="000A33FE" w:rsidP="000A33FE">
      <w:r w:rsidRPr="00877185">
        <w:t xml:space="preserve">Lima et al. (2025) contend </w:t>
      </w:r>
      <w:r w:rsidR="00A8637D" w:rsidRPr="00877185">
        <w:t>that</w:t>
      </w:r>
      <w:r w:rsidRPr="00877185">
        <w:t xml:space="preserve"> HRM processes (recruitment, onboarding, leadership, performance management) form the backbone of sustainable D&amp;I practices. </w:t>
      </w:r>
      <w:proofErr w:type="spellStart"/>
      <w:r w:rsidR="009C7ADA" w:rsidRPr="00877185">
        <w:t>Treffers</w:t>
      </w:r>
      <w:proofErr w:type="spellEnd"/>
      <w:r w:rsidR="009C7ADA" w:rsidRPr="00877185">
        <w:t xml:space="preserve"> et al. </w:t>
      </w:r>
      <w:r w:rsidR="009C7ADA" w:rsidRPr="00877185">
        <w:lastRenderedPageBreak/>
        <w:t>(2024)</w:t>
      </w:r>
      <w:r w:rsidRPr="00877185">
        <w:t xml:space="preserve"> f</w:t>
      </w:r>
      <w:r w:rsidR="009C7ADA" w:rsidRPr="00877185">
        <w:t>ou</w:t>
      </w:r>
      <w:r w:rsidRPr="00877185">
        <w:t>nd that practices like unconscious bias training and structured mentorship can weave inclusivity into organisational practices, thus improving morale and lowering turnover rates. However, their insistence on HRM as the driver can be criticised as underestimating the agency of employees, since D&amp;I is not maintained just through managerial formulation</w:t>
      </w:r>
      <w:r w:rsidR="00A8637D" w:rsidRPr="00877185">
        <w:t>;</w:t>
      </w:r>
      <w:r w:rsidRPr="00877185">
        <w:t xml:space="preserve"> it is also related to the bottom-up reception (Caldwell, 2022).</w:t>
      </w:r>
    </w:p>
    <w:p w14:paraId="5166C58F" w14:textId="77777777" w:rsidR="00CD5B24" w:rsidRPr="00877185" w:rsidRDefault="00CD5B24" w:rsidP="000A33FE"/>
    <w:p w14:paraId="44700F58" w14:textId="2341DDE0" w:rsidR="000A33FE" w:rsidRDefault="000A33FE" w:rsidP="000A33FE">
      <w:r w:rsidRPr="00877185">
        <w:t>By merging, Lima and Rahman (2025) position actionable recommendations within intercultural complexities and emphasise employee resource groups (ERGs), sponsoring programs, and cultural recruitment. Performance-based KPIs, qualitative feedback, and a paradigm that places leadership commitment at the centre of D&amp;I are dangerous approaches that reduce the notion to a cash value</w:t>
      </w:r>
      <w:r w:rsidR="009C7ADA" w:rsidRPr="00877185">
        <w:t xml:space="preserve"> (</w:t>
      </w:r>
      <w:proofErr w:type="spellStart"/>
      <w:r w:rsidR="009C7ADA" w:rsidRPr="00877185">
        <w:t>Morfaki</w:t>
      </w:r>
      <w:proofErr w:type="spellEnd"/>
      <w:r w:rsidR="009C7ADA" w:rsidRPr="00877185">
        <w:t xml:space="preserve"> and </w:t>
      </w:r>
      <w:proofErr w:type="spellStart"/>
      <w:r w:rsidR="009C7ADA" w:rsidRPr="00877185">
        <w:t>Morfaki</w:t>
      </w:r>
      <w:proofErr w:type="spellEnd"/>
      <w:r w:rsidR="009C7ADA" w:rsidRPr="00877185">
        <w:t>, 2022)</w:t>
      </w:r>
      <w:r w:rsidRPr="00877185">
        <w:t xml:space="preserve">. </w:t>
      </w:r>
      <w:proofErr w:type="spellStart"/>
      <w:r w:rsidRPr="00877185">
        <w:t>Dobusch</w:t>
      </w:r>
      <w:proofErr w:type="spellEnd"/>
      <w:r w:rsidRPr="00877185">
        <w:t xml:space="preserve"> (2020) suggests that inclusiveness is social and experiential; therefore, relying on demographics to assess employee inclusion may miss the mark. NHS criticisms are also valid. The company may have statistical "diversity", but personnel nevertheless feel trapped in daily life</w:t>
      </w:r>
      <w:r w:rsidR="00D00B0C" w:rsidRPr="00877185">
        <w:t xml:space="preserve"> (</w:t>
      </w:r>
      <w:proofErr w:type="spellStart"/>
      <w:r w:rsidR="00D00B0C" w:rsidRPr="00877185">
        <w:t>Castelino</w:t>
      </w:r>
      <w:proofErr w:type="spellEnd"/>
      <w:r w:rsidR="00D00B0C" w:rsidRPr="00877185">
        <w:t xml:space="preserve"> and </w:t>
      </w:r>
      <w:proofErr w:type="spellStart"/>
      <w:r w:rsidR="00D00B0C" w:rsidRPr="00877185">
        <w:t>Shinde</w:t>
      </w:r>
      <w:proofErr w:type="spellEnd"/>
      <w:r w:rsidR="00D00B0C" w:rsidRPr="00877185">
        <w:t>, 2022)</w:t>
      </w:r>
      <w:r w:rsidRPr="00877185">
        <w:t>.</w:t>
      </w:r>
    </w:p>
    <w:p w14:paraId="53C012BB" w14:textId="77777777" w:rsidR="00CD5B24" w:rsidRPr="00877185" w:rsidRDefault="00CD5B24" w:rsidP="000A33FE"/>
    <w:p w14:paraId="1A097458" w14:textId="50D5BC43" w:rsidR="000A33FE" w:rsidRDefault="000A33FE" w:rsidP="000A33FE">
      <w:proofErr w:type="spellStart"/>
      <w:r w:rsidRPr="00877185">
        <w:t>Apelehin</w:t>
      </w:r>
      <w:proofErr w:type="spellEnd"/>
      <w:r w:rsidRPr="00877185">
        <w:t xml:space="preserve"> et al. (2025) emphasise leader responsibility rather than HR initiatives to embed inclusion into company culture. Lima et al. (2025) disagree, seeing HRM as the change leader. In the absence of inclusive leadership, </w:t>
      </w:r>
      <w:r w:rsidR="009C7ADA" w:rsidRPr="00877185">
        <w:t>Storm et al. (2023)</w:t>
      </w:r>
      <w:r w:rsidRPr="00877185">
        <w:t xml:space="preserve"> advised treating specific treatments with cynicism and as symbolic gestures, such as unconscious bias training. </w:t>
      </w:r>
      <w:proofErr w:type="spellStart"/>
      <w:r w:rsidRPr="00877185">
        <w:t>Mou</w:t>
      </w:r>
      <w:proofErr w:type="spellEnd"/>
      <w:r w:rsidRPr="00877185">
        <w:t xml:space="preserve"> et al. (2025) suggest that obligatory training may lead to resistance and hinder retention.</w:t>
      </w:r>
    </w:p>
    <w:p w14:paraId="09E1C3D3" w14:textId="77777777" w:rsidR="00CD5B24" w:rsidRPr="00877185" w:rsidRDefault="00CD5B24" w:rsidP="000A33FE"/>
    <w:p w14:paraId="406154AB" w14:textId="7896FEB2" w:rsidR="00430A6D" w:rsidRDefault="00430A6D" w:rsidP="00430A6D">
      <w:r w:rsidRPr="00877185">
        <w:t>Another important consideration is generational expectations. Vries et al. (2023) indicate that Generation Y and Z demand demonstrable inclusion and psychological well-being for retention. The standard HR-led measures suggested by Lima et al. (2025) may not be enough to handle generational norms' changing nature. Work transition programs and early career scholar mentorship may be better than policy-level commitments</w:t>
      </w:r>
      <w:r w:rsidR="009C7ADA" w:rsidRPr="00877185">
        <w:t xml:space="preserve"> (</w:t>
      </w:r>
      <w:proofErr w:type="spellStart"/>
      <w:r w:rsidR="009C7ADA" w:rsidRPr="00877185">
        <w:t>Shinde</w:t>
      </w:r>
      <w:proofErr w:type="spellEnd"/>
      <w:r w:rsidR="009C7ADA" w:rsidRPr="00877185">
        <w:t xml:space="preserve"> and </w:t>
      </w:r>
      <w:proofErr w:type="spellStart"/>
      <w:r w:rsidR="009C7ADA" w:rsidRPr="00877185">
        <w:t>Surve</w:t>
      </w:r>
      <w:proofErr w:type="spellEnd"/>
      <w:r w:rsidR="009C7ADA" w:rsidRPr="00877185">
        <w:t>, 2025)</w:t>
      </w:r>
      <w:r w:rsidRPr="00877185">
        <w:t>.</w:t>
      </w:r>
    </w:p>
    <w:p w14:paraId="7CFD8CB9" w14:textId="77777777" w:rsidR="00CD5B24" w:rsidRPr="00877185" w:rsidRDefault="00CD5B24" w:rsidP="00430A6D"/>
    <w:p w14:paraId="70F9E8D4" w14:textId="570C0B53" w:rsidR="00430A6D" w:rsidRDefault="00430A6D" w:rsidP="00430A6D">
      <w:r w:rsidRPr="00877185">
        <w:t xml:space="preserve">Technology-enabled diversity and inclusion (D&amp;I) solutions, such as AI-supported recruiting platforms, may also provide possibilities and challenges. Lima and Rahman (2025) suggest that AI could improve recruitment inclusivity, but </w:t>
      </w:r>
      <w:proofErr w:type="spellStart"/>
      <w:r w:rsidRPr="00877185">
        <w:t>Kordzadeh</w:t>
      </w:r>
      <w:proofErr w:type="spellEnd"/>
      <w:r w:rsidRPr="00877185">
        <w:t xml:space="preserve"> and </w:t>
      </w:r>
      <w:proofErr w:type="spellStart"/>
      <w:r w:rsidRPr="00877185">
        <w:t>Ghasemaghaei</w:t>
      </w:r>
      <w:proofErr w:type="spellEnd"/>
      <w:r w:rsidRPr="00877185">
        <w:t xml:space="preserve"> (2021) argue that multiple minority selection algorithms have algorithmic bias errors, replicating systemic inequality and potentially discouraging minority recruitment and retention efforts. Unintended </w:t>
      </w:r>
      <w:r w:rsidRPr="00877185">
        <w:lastRenderedPageBreak/>
        <w:t>outcomes must be rigorously assessed before making practical advice</w:t>
      </w:r>
      <w:r w:rsidR="009C7ADA" w:rsidRPr="00877185">
        <w:t xml:space="preserve"> (</w:t>
      </w:r>
      <w:proofErr w:type="spellStart"/>
      <w:r w:rsidR="009C7ADA" w:rsidRPr="00877185">
        <w:t>Parasurama</w:t>
      </w:r>
      <w:proofErr w:type="spellEnd"/>
      <w:r w:rsidR="009C7ADA" w:rsidRPr="00877185">
        <w:t xml:space="preserve"> and </w:t>
      </w:r>
      <w:proofErr w:type="spellStart"/>
      <w:r w:rsidR="009C7ADA" w:rsidRPr="00877185">
        <w:t>Ipeirotis</w:t>
      </w:r>
      <w:proofErr w:type="spellEnd"/>
      <w:r w:rsidR="009C7ADA" w:rsidRPr="00877185">
        <w:t>, 2025)</w:t>
      </w:r>
      <w:r w:rsidRPr="00877185">
        <w:t>.</w:t>
      </w:r>
    </w:p>
    <w:p w14:paraId="4A907D1E" w14:textId="77777777" w:rsidR="00CD5B24" w:rsidRPr="00877185" w:rsidRDefault="00CD5B24" w:rsidP="00430A6D"/>
    <w:p w14:paraId="3E65FC82" w14:textId="3F829D31" w:rsidR="00430A6D" w:rsidRDefault="00430A6D" w:rsidP="00430A6D">
      <w:r w:rsidRPr="00877185">
        <w:t>Thus, HR recommendations must reflect context and politics. For lasting effect, national NHS institutions must allow and fund local Trusts to co-design diversity and inclusion (D&amp;I) activities (Lima &amp; Rahman, 2025). Rural Trusts need virtual peer networks to combat professional isolation and place-based recruiting to attract and maintain a diverse staff</w:t>
      </w:r>
      <w:r w:rsidR="00907C37" w:rsidRPr="00877185">
        <w:t xml:space="preserve"> (Maclaren et al., 2025)</w:t>
      </w:r>
      <w:r w:rsidRPr="00877185">
        <w:t>. To ensure D&amp;I programs work in England and Wales' varied healthcare systems and promote retention, politicians must examine inclusivity's lived experience rather than merely fulfilling national standards.</w:t>
      </w:r>
    </w:p>
    <w:p w14:paraId="7E2D223C" w14:textId="77777777" w:rsidR="00CD5B24" w:rsidRPr="00877185" w:rsidRDefault="00CD5B24" w:rsidP="00430A6D"/>
    <w:p w14:paraId="2FAB6C00" w14:textId="1610B3FA" w:rsidR="000A33FE" w:rsidRDefault="00430A6D" w:rsidP="00430A6D">
      <w:r w:rsidRPr="00877185">
        <w:t>Multilayer D&amp;I is recommended in the literature. Lima et al. (2025) prefer HRM-facilitated cultural interventions, whereas Lima and Rahman (2025) worry about cross-cultural adaptability and leadership dos and don'ts. Critics caution against overreliance on metrics or symbolic interventions. Leadership roles, HRM systems, generational expectations, and protection against performativity and technological bias are needed for D&amp;I models that sustain work and person retention</w:t>
      </w:r>
      <w:r w:rsidR="00511D98" w:rsidRPr="00877185">
        <w:t xml:space="preserve"> (Lima and Rahman, 2025a)</w:t>
      </w:r>
      <w:r w:rsidRPr="00877185">
        <w:t>. Organisations must resolve these tensions to ensure long-term inclusion.</w:t>
      </w:r>
    </w:p>
    <w:p w14:paraId="75C97ADF" w14:textId="77777777" w:rsidR="00CD5B24" w:rsidRPr="00877185" w:rsidRDefault="00CD5B24" w:rsidP="00430A6D"/>
    <w:p w14:paraId="5E5AFC36" w14:textId="77777777" w:rsidR="000A33FE" w:rsidRPr="00877185" w:rsidRDefault="000A33FE" w:rsidP="000A33FE">
      <w:pPr>
        <w:pStyle w:val="Heading2"/>
      </w:pPr>
      <w:bookmarkStart w:id="27" w:name="_Toc216408877"/>
      <w:r w:rsidRPr="00877185">
        <w:t>2.7 Research Gap</w:t>
      </w:r>
      <w:bookmarkEnd w:id="27"/>
    </w:p>
    <w:p w14:paraId="638A9701" w14:textId="77777777" w:rsidR="0087307C" w:rsidRDefault="0087307C" w:rsidP="0087307C">
      <w:r w:rsidRPr="00877185">
        <w:t xml:space="preserve">Although much existing scholarship connects inclusivity with retention (Lima et al., 2025), the available frameworks are mostly organisational or HR focused (Lima and Rahman, 2025) without paying particular attention to the legislative context of nations in devolution. Existing empirical research (Vries et al., 2023) and models of socialisation (Jamil and </w:t>
      </w:r>
      <w:proofErr w:type="spellStart"/>
      <w:r w:rsidRPr="00877185">
        <w:t>Hyder</w:t>
      </w:r>
      <w:proofErr w:type="spellEnd"/>
      <w:r w:rsidRPr="00877185">
        <w:t>, 2024) is successful in outlining structural supports but does not take into consideration the specific statutory responsibilities that regulate NHS Wales. In particular, the existing body of research on the research question of the impact that the Well-being of Future Generations (Wales) Act 2015 and the Anti-racist Wales Action Plan has on the lived experience of minority staff, as opposed to adherence to a particular procedure.</w:t>
      </w:r>
    </w:p>
    <w:p w14:paraId="1AEC48A3" w14:textId="77777777" w:rsidR="00CD5B24" w:rsidRPr="00877185" w:rsidRDefault="00CD5B24" w:rsidP="0087307C"/>
    <w:p w14:paraId="56CFF713" w14:textId="52E21486" w:rsidR="00487C64" w:rsidRPr="00877185" w:rsidRDefault="0087307C" w:rsidP="0087307C">
      <w:r w:rsidRPr="00877185">
        <w:t xml:space="preserve">The vast majority of those studies are urban-centred, and they do not reflect on the peculiarities of the developed urban-rural conflict of compliance and quality in Welsh Rural Health Boards. </w:t>
      </w:r>
      <w:r w:rsidR="00A47D1C" w:rsidRPr="00877185">
        <w:t xml:space="preserve">Besides, the connection between staff retention and the statutory Duty of Quality in the publicly </w:t>
      </w:r>
      <w:r w:rsidR="00A47D1C" w:rsidRPr="00877185">
        <w:lastRenderedPageBreak/>
        <w:t xml:space="preserve">funded healthcare sector has not been extensively explored. </w:t>
      </w:r>
      <w:r w:rsidRPr="00877185">
        <w:t>The existing literature</w:t>
      </w:r>
      <w:r w:rsidR="00112376" w:rsidRPr="00877185">
        <w:t>,</w:t>
      </w:r>
      <w:r w:rsidRPr="00877185">
        <w:t xml:space="preserve"> therefore</w:t>
      </w:r>
      <w:r w:rsidR="00112376" w:rsidRPr="00877185">
        <w:t>,</w:t>
      </w:r>
      <w:r w:rsidRPr="00877185">
        <w:t xml:space="preserve"> does not clarify the interaction of the unique Welsh legal requirements with the geographic isolation to influence the retention of BAME front</w:t>
      </w:r>
      <w:r w:rsidR="00112376" w:rsidRPr="00877185">
        <w:t>-</w:t>
      </w:r>
      <w:r w:rsidRPr="00877185">
        <w:t>line employees. It is this gap in this research that locates D&amp;I solution area within the legal and public health context of NHS Wales.</w:t>
      </w:r>
    </w:p>
    <w:p w14:paraId="03467B75" w14:textId="77777777" w:rsidR="000A33FE" w:rsidRPr="00877185" w:rsidRDefault="000A33FE">
      <w:pPr>
        <w:spacing w:line="240" w:lineRule="auto"/>
        <w:jc w:val="left"/>
      </w:pPr>
      <w:r w:rsidRPr="00877185">
        <w:br w:type="page"/>
      </w:r>
    </w:p>
    <w:p w14:paraId="41FAEC07" w14:textId="77777777" w:rsidR="000A33FE" w:rsidRDefault="000A33FE" w:rsidP="000A33FE">
      <w:pPr>
        <w:pStyle w:val="Heading1"/>
      </w:pPr>
      <w:bookmarkStart w:id="28" w:name="_Toc216408878"/>
      <w:r>
        <w:lastRenderedPageBreak/>
        <w:t>Chapter Three: Research Methodology</w:t>
      </w:r>
      <w:bookmarkEnd w:id="28"/>
    </w:p>
    <w:p w14:paraId="523DAF0C" w14:textId="77777777" w:rsidR="000A33FE" w:rsidRPr="00877185" w:rsidRDefault="000A33FE" w:rsidP="000A33FE">
      <w:pPr>
        <w:pStyle w:val="Heading2"/>
      </w:pPr>
      <w:bookmarkStart w:id="29" w:name="_Toc216408879"/>
      <w:r w:rsidRPr="00877185">
        <w:t>3.1 Introduction</w:t>
      </w:r>
      <w:bookmarkEnd w:id="29"/>
    </w:p>
    <w:p w14:paraId="23713C6C" w14:textId="47978D29" w:rsidR="000A33FE" w:rsidRPr="00877185" w:rsidRDefault="000A33FE" w:rsidP="000A33FE">
      <w:r w:rsidRPr="00877185">
        <w:t xml:space="preserve">This chapter outlines the research methodology used to investigate the impact of diversity and inclusion strategies on staff retention in the </w:t>
      </w:r>
      <w:r w:rsidR="009B204B" w:rsidRPr="00877185">
        <w:t>NHS Wales</w:t>
      </w:r>
      <w:r w:rsidRPr="00877185">
        <w:t>. It includes the philosophical position, research approach, data collection and utilisation, methods of gathering, sampling technique, and data analysis procedures employed. The methodology is designed to ensure reliability, validity, and ethical integrity, providing robust and evidence-based insights. Each section explains the reasoning behind the chosen methods and why other approaches were deemed inappropriate for this study.</w:t>
      </w:r>
    </w:p>
    <w:p w14:paraId="4A27C5A3" w14:textId="77777777" w:rsidR="000A33FE" w:rsidRPr="00877185" w:rsidRDefault="000A33FE" w:rsidP="000A33FE">
      <w:r w:rsidRPr="00877185">
        <w:rPr>
          <w:noProof/>
        </w:rPr>
        <w:drawing>
          <wp:inline distT="0" distB="0" distL="0" distR="0" wp14:anchorId="2F32B0A8" wp14:editId="46AFEE7A">
            <wp:extent cx="5731510" cy="5709285"/>
            <wp:effectExtent l="0" t="0" r="0" b="5715"/>
            <wp:docPr id="1475332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332959" name="Picture 1475332959"/>
                    <pic:cNvPicPr/>
                  </pic:nvPicPr>
                  <pic:blipFill>
                    <a:blip r:embed="rId12">
                      <a:extLst>
                        <a:ext uri="{28A0092B-C50C-407E-A947-70E740481C1C}">
                          <a14:useLocalDpi xmlns:a14="http://schemas.microsoft.com/office/drawing/2010/main" val="0"/>
                        </a:ext>
                      </a:extLst>
                    </a:blip>
                    <a:stretch>
                      <a:fillRect/>
                    </a:stretch>
                  </pic:blipFill>
                  <pic:spPr>
                    <a:xfrm>
                      <a:off x="0" y="0"/>
                      <a:ext cx="5731510" cy="5709285"/>
                    </a:xfrm>
                    <a:prstGeom prst="rect">
                      <a:avLst/>
                    </a:prstGeom>
                  </pic:spPr>
                </pic:pic>
              </a:graphicData>
            </a:graphic>
          </wp:inline>
        </w:drawing>
      </w:r>
    </w:p>
    <w:p w14:paraId="72D5E636" w14:textId="3B960BB3" w:rsidR="000A33FE" w:rsidRPr="00877185" w:rsidRDefault="000A33FE" w:rsidP="000A33FE">
      <w:pPr>
        <w:pStyle w:val="Caption"/>
      </w:pPr>
      <w:bookmarkStart w:id="30" w:name="_Toc216408778"/>
      <w:r w:rsidRPr="00877185">
        <w:t xml:space="preserve">Figure </w:t>
      </w:r>
      <w:r w:rsidR="009C7ADA">
        <w:fldChar w:fldCharType="begin"/>
      </w:r>
      <w:r w:rsidR="009C7ADA">
        <w:instrText xml:space="preserve"> SEQ Figure \* ARABIC </w:instrText>
      </w:r>
      <w:r w:rsidR="009C7ADA">
        <w:fldChar w:fldCharType="separate"/>
      </w:r>
      <w:r w:rsidR="009C7ADA" w:rsidRPr="00877185">
        <w:rPr>
          <w:noProof/>
        </w:rPr>
        <w:t>3</w:t>
      </w:r>
      <w:r w:rsidR="009C7ADA">
        <w:rPr>
          <w:noProof/>
        </w:rPr>
        <w:fldChar w:fldCharType="end"/>
      </w:r>
      <w:r w:rsidRPr="00877185">
        <w:t>: Research Methods</w:t>
      </w:r>
      <w:bookmarkEnd w:id="30"/>
    </w:p>
    <w:p w14:paraId="12EDAA51" w14:textId="77777777" w:rsidR="000A33FE" w:rsidRPr="00877185" w:rsidRDefault="000A33FE" w:rsidP="000A33FE">
      <w:pPr>
        <w:pStyle w:val="Heading2"/>
      </w:pPr>
      <w:bookmarkStart w:id="31" w:name="_Toc216408880"/>
      <w:r w:rsidRPr="00877185">
        <w:lastRenderedPageBreak/>
        <w:t>3.2 Research Philosophy</w:t>
      </w:r>
      <w:bookmarkEnd w:id="31"/>
    </w:p>
    <w:p w14:paraId="42ABB347" w14:textId="77777777" w:rsidR="000A33FE" w:rsidRPr="00877185" w:rsidRDefault="000A33FE" w:rsidP="000A33FE">
      <w:pPr>
        <w:pStyle w:val="Heading3"/>
      </w:pPr>
      <w:bookmarkStart w:id="32" w:name="_Toc216408881"/>
      <w:r w:rsidRPr="00877185">
        <w:t>3.2.1 Ontological Stance</w:t>
      </w:r>
      <w:bookmarkEnd w:id="32"/>
      <w:r w:rsidRPr="00877185">
        <w:t xml:space="preserve"> </w:t>
      </w:r>
    </w:p>
    <w:p w14:paraId="50097A11" w14:textId="5D4A3C5F" w:rsidR="000A33FE" w:rsidRDefault="00762C6A" w:rsidP="000A33FE">
      <w:r w:rsidRPr="00762C6A">
        <w:t>The realist ontological position is especially an apt method to evaluate the impact of diversity and inclusion programmes on the retention of employees in the UK health sector since it is one that acknowledges that an objective reality is present, but that social constructs mediate the experience of this reality. Realism believes that organisational practises, including inclusion policies, influence people.</w:t>
      </w:r>
      <w:r>
        <w:t xml:space="preserve"> </w:t>
      </w:r>
      <w:r w:rsidR="000A33FE" w:rsidRPr="00877185">
        <w:t>It may react to qualitative data, such as retention rates and worker experiences (Creswell and Creswell, 2018).</w:t>
      </w:r>
    </w:p>
    <w:p w14:paraId="55C8E584" w14:textId="77777777" w:rsidR="00CD5B24" w:rsidRPr="00877185" w:rsidRDefault="00CD5B24" w:rsidP="000A33FE"/>
    <w:p w14:paraId="169CBEC3" w14:textId="77777777" w:rsidR="000A33FE" w:rsidRDefault="000A33FE" w:rsidP="000A33FE">
      <w:r w:rsidRPr="00877185">
        <w:t xml:space="preserve"> Realists believe there is an independent reality, but human perception affects it (</w:t>
      </w:r>
      <w:proofErr w:type="spellStart"/>
      <w:r w:rsidRPr="00877185">
        <w:t>Harkiolakis</w:t>
      </w:r>
      <w:proofErr w:type="spellEnd"/>
      <w:r w:rsidRPr="00877185">
        <w:t xml:space="preserve"> 2019). This method </w:t>
      </w:r>
      <w:r w:rsidRPr="00877185">
        <w:rPr>
          <w:kern w:val="0"/>
          <w14:ligatures w14:val="none"/>
        </w:rPr>
        <w:t>enables healthcare researchers to objectively evaluate the impact of diversity initiatives on staff retention and employee perceptions in both quantitative</w:t>
      </w:r>
      <w:r w:rsidRPr="00877185">
        <w:t xml:space="preserve"> and qualitative ways. Due to legislation and workplace culture, retention is challenging and requires this dual consideration (</w:t>
      </w:r>
      <w:proofErr w:type="spellStart"/>
      <w:r w:rsidRPr="00877185">
        <w:t>Kiani</w:t>
      </w:r>
      <w:proofErr w:type="spellEnd"/>
      <w:r w:rsidRPr="00877185">
        <w:t xml:space="preserve"> et al., 2022).</w:t>
      </w:r>
    </w:p>
    <w:p w14:paraId="55E939B5" w14:textId="77777777" w:rsidR="00CD5B24" w:rsidRPr="00877185" w:rsidRDefault="00CD5B24" w:rsidP="000A33FE"/>
    <w:p w14:paraId="164EF77D" w14:textId="420A0806" w:rsidR="000A33FE" w:rsidRDefault="000A33FE" w:rsidP="000A33FE">
      <w:r w:rsidRPr="00877185">
        <w:t xml:space="preserve"> Some philosophical approaches are unsuitable. Positivism values numbers above worker experiences. This would limit understanding why employees stay or depart despite diversity measures (Kruger and Mitchell, 2021). Interpretivism emphasises subjective meaning but may downplay retention numbers, therefore not linking perception to organisational diversity. On the one hand, pragmatism might be </w:t>
      </w:r>
      <w:r w:rsidR="00226C7D" w:rsidRPr="00877185">
        <w:t>considered given</w:t>
      </w:r>
      <w:r w:rsidRPr="00877185">
        <w:t xml:space="preserve"> the risk of prioritising the practical without a clear ontological foundation, thereby detracting from theoretical robustness (</w:t>
      </w:r>
      <w:proofErr w:type="spellStart"/>
      <w:r w:rsidRPr="00877185">
        <w:t>Palanski</w:t>
      </w:r>
      <w:proofErr w:type="spellEnd"/>
      <w:r w:rsidRPr="00877185">
        <w:t xml:space="preserve"> et al., 2021).</w:t>
      </w:r>
    </w:p>
    <w:p w14:paraId="15472710" w14:textId="77777777" w:rsidR="00CD5B24" w:rsidRPr="00877185" w:rsidRDefault="00CD5B24" w:rsidP="000A33FE"/>
    <w:p w14:paraId="6E79362C" w14:textId="70512075" w:rsidR="000A33FE" w:rsidRDefault="0015739A" w:rsidP="000A33FE">
      <w:r w:rsidRPr="0015739A">
        <w:t>Thus, realism offers a moderated philosophical perspective that encompasses objective and subjective aspects of diversity and inclusion initiatives and their practical effects on staff retention in NHS Wales (</w:t>
      </w:r>
      <w:proofErr w:type="spellStart"/>
      <w:r w:rsidRPr="0015739A">
        <w:t>Luquis</w:t>
      </w:r>
      <w:proofErr w:type="spellEnd"/>
      <w:r w:rsidRPr="0015739A">
        <w:t xml:space="preserve"> and Perez, 2025).</w:t>
      </w:r>
    </w:p>
    <w:p w14:paraId="0262E306" w14:textId="77777777" w:rsidR="00CD5B24" w:rsidRPr="00877185" w:rsidRDefault="00CD5B24" w:rsidP="000A33FE"/>
    <w:p w14:paraId="3B2025EE" w14:textId="77777777" w:rsidR="000A33FE" w:rsidRPr="00877185" w:rsidRDefault="000A33FE" w:rsidP="000A33FE">
      <w:pPr>
        <w:pStyle w:val="Heading3"/>
      </w:pPr>
      <w:bookmarkStart w:id="33" w:name="_Toc216408882"/>
      <w:r w:rsidRPr="00877185">
        <w:t>3.2.2 Epistemological Stance</w:t>
      </w:r>
      <w:bookmarkEnd w:id="33"/>
    </w:p>
    <w:p w14:paraId="008FB3A8" w14:textId="77777777" w:rsidR="00B05FA7" w:rsidRDefault="00B05FA7" w:rsidP="00B05FA7">
      <w:r>
        <w:t>The positivism epistemological approach allows the use of this approach to evaluate the impact of diversity and inclusion policies on staff retention in the NHS Wales since it prioritises the objective measurement and observational evidence. Positivism states that empirical information and facts can be systematically tested, measured, and validated to be knowledge (</w:t>
      </w:r>
      <w:proofErr w:type="spellStart"/>
      <w:r>
        <w:t>Welman</w:t>
      </w:r>
      <w:proofErr w:type="spellEnd"/>
      <w:r>
        <w:t xml:space="preserve"> et al., 2019). This paper uses quantitative data to objectively estimate retention rates </w:t>
      </w:r>
      <w:r>
        <w:lastRenderedPageBreak/>
        <w:t>and intention to turnover, making it possible to analyse staff profiles and make statistical conclusions about the effect of D&amp;I strategies (Goddard and Melville, 2020).</w:t>
      </w:r>
    </w:p>
    <w:p w14:paraId="3418B6E9" w14:textId="77777777" w:rsidR="00CD5B24" w:rsidRDefault="00CD5B24" w:rsidP="00B05FA7"/>
    <w:p w14:paraId="6E468607" w14:textId="23EBF260" w:rsidR="000A33FE" w:rsidRDefault="00B05FA7" w:rsidP="00B05FA7">
      <w:proofErr w:type="spellStart"/>
      <w:r>
        <w:t>Harkiolakis</w:t>
      </w:r>
      <w:proofErr w:type="spellEnd"/>
      <w:r>
        <w:t xml:space="preserve"> (2019) described positivism as a type of epistemology that focuses on the adequacy of scientific evidence, testing hypotheses, and the presence of causal factors. The perspective empowers healthcare providers to determine the role played by diversity and inclusion interventions to improve retention. Evidence should guide policy and management decisions, and statistical analysis may help the researchers identify trends and generalised conclusions (</w:t>
      </w:r>
      <w:proofErr w:type="spellStart"/>
      <w:r>
        <w:t>Kiani</w:t>
      </w:r>
      <w:proofErr w:type="spellEnd"/>
      <w:r>
        <w:t xml:space="preserve"> et al., 2022).</w:t>
      </w:r>
    </w:p>
    <w:p w14:paraId="4BD365C8" w14:textId="77777777" w:rsidR="00CD5B24" w:rsidRPr="00877185" w:rsidRDefault="00CD5B24" w:rsidP="00B05FA7"/>
    <w:p w14:paraId="2290A252" w14:textId="38333A73" w:rsidR="000A33FE" w:rsidRDefault="000A33FE" w:rsidP="000A33FE">
      <w:r w:rsidRPr="00877185">
        <w:t>Interpretivism emphasises subjective meaning and individual experiences, which may provide context-specific and difficult-to-generalise healthcare discoveries (Bloomfield and Fisher, 2019). Realism, even though balanced, there is a risk of overemphasising both the objective and subjective dimensions, which complicates the need for clarity in policy-oriented research (Kruger and Mitchell, 2021). Pragmatism, being as flexible as it is, may retreat into fragmented methods that prioritise immediate solutions over generating systematic evidence for long-term strategic planning (</w:t>
      </w:r>
      <w:proofErr w:type="spellStart"/>
      <w:r w:rsidRPr="00877185">
        <w:t>Palanski</w:t>
      </w:r>
      <w:proofErr w:type="spellEnd"/>
      <w:r w:rsidRPr="00877185">
        <w:t xml:space="preserve"> et al., 2021).</w:t>
      </w:r>
    </w:p>
    <w:p w14:paraId="4DA9EB2D" w14:textId="77777777" w:rsidR="00CD5B24" w:rsidRPr="00877185" w:rsidRDefault="00CD5B24" w:rsidP="000A33FE"/>
    <w:p w14:paraId="21AFED4C" w14:textId="77777777" w:rsidR="000A33FE" w:rsidRDefault="000A33FE" w:rsidP="000A33FE">
      <w:r w:rsidRPr="00877185">
        <w:t xml:space="preserve">Therefore, the positivist stance </w:t>
      </w:r>
      <w:r w:rsidRPr="00877185">
        <w:rPr>
          <w:kern w:val="0"/>
          <w14:ligatures w14:val="none"/>
        </w:rPr>
        <w:t>provides a solid and objective framework for evaluating diversity and inclusion initiatives, enabling healthcare organisations to develop policies that promote</w:t>
      </w:r>
      <w:r w:rsidRPr="00877185">
        <w:t xml:space="preserve"> improved staff retention (</w:t>
      </w:r>
      <w:proofErr w:type="spellStart"/>
      <w:r w:rsidRPr="00877185">
        <w:t>Luquis</w:t>
      </w:r>
      <w:proofErr w:type="spellEnd"/>
      <w:r w:rsidRPr="00877185">
        <w:t xml:space="preserve"> and Perez, 2025).</w:t>
      </w:r>
    </w:p>
    <w:p w14:paraId="1A1B3017" w14:textId="77777777" w:rsidR="00CD5B24" w:rsidRPr="00877185" w:rsidRDefault="00CD5B24" w:rsidP="000A33FE"/>
    <w:p w14:paraId="752F375A" w14:textId="77777777" w:rsidR="000A33FE" w:rsidRDefault="000A33FE" w:rsidP="000A33FE">
      <w:pPr>
        <w:pStyle w:val="Heading3"/>
      </w:pPr>
      <w:bookmarkStart w:id="34" w:name="_Toc216408883"/>
      <w:r w:rsidRPr="00877185">
        <w:t>3.2.3 Axiological Stance</w:t>
      </w:r>
      <w:bookmarkEnd w:id="34"/>
    </w:p>
    <w:p w14:paraId="36DB035B" w14:textId="77777777" w:rsidR="00CD5B24" w:rsidRPr="00CD5B24" w:rsidRDefault="00CD5B24" w:rsidP="00CD5B24"/>
    <w:p w14:paraId="2F6B611F" w14:textId="77777777" w:rsidR="000A33FE" w:rsidRDefault="000A33FE" w:rsidP="000A33FE">
      <w:r w:rsidRPr="00877185">
        <w:t xml:space="preserve">The axiological position should therefore be value-free, being objective and neutral when researching the effects of diversity and inclusion policies on employees' intentions to stay in the change processes of the UK healthcare service. These points of view suggest that researchers should separate their personal values, beliefs, and biases from the study and focus only on the evidence-based conclusions (Goddard and Melville, 2020). Maintaining a value-free approach in </w:t>
      </w:r>
      <w:r w:rsidRPr="00877185">
        <w:rPr>
          <w:kern w:val="0"/>
          <w14:ligatures w14:val="none"/>
        </w:rPr>
        <w:t>areas where opinions can be distorted, such as diversity and inclusion, ensures that the outcomes produced are</w:t>
      </w:r>
      <w:r w:rsidRPr="00877185">
        <w:t xml:space="preserve"> reliable and credible for policymakers.</w:t>
      </w:r>
    </w:p>
    <w:p w14:paraId="5EE4B872" w14:textId="77777777" w:rsidR="00CD5B24" w:rsidRPr="00877185" w:rsidRDefault="00CD5B24" w:rsidP="000A33FE"/>
    <w:p w14:paraId="4579AB9E" w14:textId="77777777" w:rsidR="000A33FE" w:rsidRDefault="000A33FE" w:rsidP="000A33FE">
      <w:r w:rsidRPr="00877185">
        <w:lastRenderedPageBreak/>
        <w:t xml:space="preserve">Value-free axiology: This approach represents the concept that research </w:t>
      </w:r>
      <w:r w:rsidRPr="00877185">
        <w:rPr>
          <w:kern w:val="0"/>
          <w14:ligatures w14:val="none"/>
        </w:rPr>
        <w:t>should also be unbiased, wherein the data speaks for itself without any judgment based on the researcher's moral or cultural background (</w:t>
      </w:r>
      <w:proofErr w:type="spellStart"/>
      <w:r w:rsidRPr="00877185">
        <w:rPr>
          <w:kern w:val="0"/>
          <w14:ligatures w14:val="none"/>
        </w:rPr>
        <w:t>Harkiolakis</w:t>
      </w:r>
      <w:proofErr w:type="spellEnd"/>
      <w:r w:rsidRPr="00877185">
        <w:rPr>
          <w:kern w:val="0"/>
          <w14:ligatures w14:val="none"/>
        </w:rPr>
        <w:t>,</w:t>
      </w:r>
      <w:r w:rsidRPr="00877185">
        <w:t xml:space="preserve"> 2019). This is crucial in healthcare, where decisions must be based on facts rather than an individual's opinion.</w:t>
      </w:r>
    </w:p>
    <w:p w14:paraId="0E246009" w14:textId="77777777" w:rsidR="00CD5B24" w:rsidRPr="00877185" w:rsidRDefault="00CD5B24" w:rsidP="000A33FE"/>
    <w:p w14:paraId="67B99F91" w14:textId="77777777" w:rsidR="000A33FE" w:rsidRDefault="000A33FE" w:rsidP="000A33FE">
      <w:r w:rsidRPr="00877185">
        <w:t>Other axiological theory positions are less appropriate. A value-laden stance may unwittingly introduce bias to the researcher's work, where the researcher's findings represent his/her own perspectives rather than the facts of life (</w:t>
      </w:r>
      <w:proofErr w:type="spellStart"/>
      <w:r w:rsidRPr="00877185">
        <w:t>Luquis</w:t>
      </w:r>
      <w:proofErr w:type="spellEnd"/>
      <w:r w:rsidRPr="00877185">
        <w:t xml:space="preserve"> and Perez, 2025). Or, a pragmatic approach would rightly focus at the level of easy solutions, disregarding deeper evidence-based analysis for long-term wisdom in sustainability-based retention.</w:t>
      </w:r>
    </w:p>
    <w:p w14:paraId="1B868109" w14:textId="77777777" w:rsidR="00CD5B24" w:rsidRPr="00877185" w:rsidRDefault="00CD5B24" w:rsidP="000A33FE"/>
    <w:p w14:paraId="572B6F57" w14:textId="02E6781D" w:rsidR="000A33FE" w:rsidRDefault="00F75B68" w:rsidP="000A33FE">
      <w:r>
        <w:t>Thus</w:t>
      </w:r>
      <w:r w:rsidRPr="00F75B68">
        <w:t>, the value-free approach will enhance the study, as it will allow data not to be polluted by subjectivity when making important decisions as a healthcare stakeholder, based on objective, unprejudiced evidence.</w:t>
      </w:r>
    </w:p>
    <w:p w14:paraId="2DE13630" w14:textId="77777777" w:rsidR="00CD5B24" w:rsidRPr="00877185" w:rsidRDefault="00CD5B24" w:rsidP="000A33FE"/>
    <w:p w14:paraId="385B4B80" w14:textId="77777777" w:rsidR="000A33FE" w:rsidRPr="00877185" w:rsidRDefault="000A33FE" w:rsidP="000A33FE">
      <w:pPr>
        <w:pStyle w:val="Heading2"/>
      </w:pPr>
      <w:bookmarkStart w:id="35" w:name="_Toc216408884"/>
      <w:r w:rsidRPr="00877185">
        <w:t>3.3 Research Approach</w:t>
      </w:r>
      <w:bookmarkEnd w:id="35"/>
    </w:p>
    <w:p w14:paraId="07A6E32D" w14:textId="0B9E1B2E" w:rsidR="00E902A6" w:rsidRDefault="00E902A6" w:rsidP="00E902A6">
      <w:r>
        <w:t>The deductive research approach is appropriate when investigating the efficacy of diversity and inclusion practises on employee retention in the NHS Wales because it starts with a familiar theory and models, and tries them with the empirical facts. Deduction enables researchers to come up with hypotheses, e.g., diversity and inclusion programmes enhance personnel retention, and proceed to test them statistically (Creswell and Creswell, 2018). This could especially be useful in the medical context where strategic policy-making and workforce management need evidence-based judgements (Goddard and Melville, 2020).</w:t>
      </w:r>
    </w:p>
    <w:p w14:paraId="003FB422" w14:textId="77777777" w:rsidR="00CD5B24" w:rsidRDefault="00CD5B24" w:rsidP="00E902A6"/>
    <w:p w14:paraId="2865E60E" w14:textId="77777777" w:rsidR="00E902A6" w:rsidRDefault="00E902A6" w:rsidP="00E902A6">
      <w:r>
        <w:t>Deduction refers to a logical method used to connect theory and empirical evidence to evaluate and generalise research findings (</w:t>
      </w:r>
      <w:proofErr w:type="spellStart"/>
      <w:r>
        <w:t>Harkiolakis</w:t>
      </w:r>
      <w:proofErr w:type="spellEnd"/>
      <w:r>
        <w:t>, 2019). Using this strategy, researchers can directly attribute diversity policies to retention rates, employee turnover, and demographic trends. Strong grounds in decision-making enhance the reliance and reproducibility of the sector (</w:t>
      </w:r>
      <w:proofErr w:type="spellStart"/>
      <w:r>
        <w:t>Kiani</w:t>
      </w:r>
      <w:proofErr w:type="spellEnd"/>
      <w:r>
        <w:t xml:space="preserve"> et al., 2022).</w:t>
      </w:r>
    </w:p>
    <w:p w14:paraId="49A28144" w14:textId="77777777" w:rsidR="00CD5B24" w:rsidRDefault="00CD5B24" w:rsidP="00E902A6"/>
    <w:p w14:paraId="68375D1B" w14:textId="77777777" w:rsidR="00E902A6" w:rsidRDefault="00E902A6" w:rsidP="00E902A6">
      <w:r>
        <w:t xml:space="preserve">Observational-based theories can also give context-on-specific results that cannot be generalised to other healthcare institutions (Bloomfield and Fisher, 2019). The abductive strategy, albeit flexible, risks being cast into ambiguity between the data and the theory, but </w:t>
      </w:r>
      <w:r>
        <w:lastRenderedPageBreak/>
        <w:t>devoid of the attendant dialectical clarity needed in the formulation of policies (Kruger and Mitchell, 2021).</w:t>
      </w:r>
    </w:p>
    <w:p w14:paraId="65FBDABC" w14:textId="77777777" w:rsidR="00CD5B24" w:rsidRDefault="00CD5B24" w:rsidP="00E902A6"/>
    <w:p w14:paraId="53800674" w14:textId="2EFBD397" w:rsidR="000A33FE" w:rsidRDefault="00E902A6" w:rsidP="00E902A6">
      <w:r>
        <w:t>Thus, our deductive methodology means that we get a systematic, theory-based analysis, with clear, generalizable, and actionable discoveries. This enables health care organisations to determine the practical influence of diversity and inclusion policies on cognate outcomes like staff retention and place solid empirical evidence foundation on analysis of inclusion endeavours.</w:t>
      </w:r>
    </w:p>
    <w:p w14:paraId="3DF12A50" w14:textId="77777777" w:rsidR="00CD5B24" w:rsidRPr="00877185" w:rsidRDefault="00CD5B24" w:rsidP="00E902A6"/>
    <w:p w14:paraId="71848540" w14:textId="77777777" w:rsidR="000A33FE" w:rsidRDefault="000A33FE" w:rsidP="000A33FE">
      <w:pPr>
        <w:pStyle w:val="Heading2"/>
      </w:pPr>
      <w:bookmarkStart w:id="36" w:name="_Toc216408885"/>
      <w:r w:rsidRPr="00877185">
        <w:t>3.4 Research Method</w:t>
      </w:r>
      <w:bookmarkEnd w:id="36"/>
    </w:p>
    <w:p w14:paraId="24080D9D" w14:textId="77777777" w:rsidR="00CD5B24" w:rsidRPr="00CD5B24" w:rsidRDefault="00CD5B24" w:rsidP="00CD5B24"/>
    <w:p w14:paraId="1BE3B126" w14:textId="77777777" w:rsidR="00E902A6" w:rsidRDefault="00E902A6" w:rsidP="00E902A6">
      <w:r>
        <w:t>The main form of research is appropriate to determine how diversity and inclusion practises affect retention of staff in the UK health sector because it offers direct contact with the locally relevant information through direct employee and manager interviews. Primary research refers to the procedure, as a result of which, initial data are collected using surveys, interviews or focus groups, on a specific issue (Creswell and Creswell, 2018). This study relies on primary data to analyse the views of healthcare staff on diversity and inclusion programmes, which influence staff retention (</w:t>
      </w:r>
      <w:proofErr w:type="spellStart"/>
      <w:r>
        <w:t>Kiani</w:t>
      </w:r>
      <w:proofErr w:type="spellEnd"/>
      <w:r>
        <w:t xml:space="preserve"> et al., 2022).</w:t>
      </w:r>
    </w:p>
    <w:p w14:paraId="4A181480" w14:textId="77777777" w:rsidR="00CD5B24" w:rsidRDefault="00CD5B24" w:rsidP="00E902A6"/>
    <w:p w14:paraId="7E6DA24C" w14:textId="090FBC8D" w:rsidR="000A33FE" w:rsidRDefault="00E902A6" w:rsidP="00E902A6">
      <w:r>
        <w:t>Primary research involves getting new information on a study, not using already published information.</w:t>
      </w:r>
      <w:r w:rsidR="000A33FE" w:rsidRPr="00877185">
        <w:t xml:space="preserve"> It excels in statistical, timely, and targeted insights. Because workplace cultures in healthcare change rapidly, inclusion plans must be grounded in current research (</w:t>
      </w:r>
      <w:proofErr w:type="spellStart"/>
      <w:r w:rsidR="000A33FE" w:rsidRPr="00877185">
        <w:t>Luquis</w:t>
      </w:r>
      <w:proofErr w:type="spellEnd"/>
      <w:r w:rsidR="000A33FE" w:rsidRPr="00877185">
        <w:t xml:space="preserve"> and Perez, 2025).</w:t>
      </w:r>
    </w:p>
    <w:p w14:paraId="146AD05F" w14:textId="77777777" w:rsidR="00CD5B24" w:rsidRPr="00877185" w:rsidRDefault="00CD5B24" w:rsidP="00E902A6"/>
    <w:p w14:paraId="4EF82F0D" w14:textId="77777777" w:rsidR="000A33FE" w:rsidRDefault="000A33FE" w:rsidP="000A33FE">
      <w:r w:rsidRPr="00877185">
        <w:t xml:space="preserve">Secondary research based on pre-existing investigations and reports may not correctly represent the UK healthcare industry's current difficulties or changes (Bloomfield and Fisher, 2019), hence it may not be appropriate for some ethnic groups. Mixed </w:t>
      </w:r>
      <w:r w:rsidRPr="00877185">
        <w:rPr>
          <w:kern w:val="0"/>
          <w14:ligatures w14:val="none"/>
        </w:rPr>
        <w:t>methods, despite being holistic, can be resource-intensive and may create complexities that divert focus from the primary area of interest,</w:t>
      </w:r>
      <w:r w:rsidRPr="00877185">
        <w:t xml:space="preserve"> which is staff retention (Kruger and Mitchell, 2021).</w:t>
      </w:r>
    </w:p>
    <w:p w14:paraId="05E5E9F7" w14:textId="77777777" w:rsidR="00CD5B24" w:rsidRPr="00877185" w:rsidRDefault="00CD5B24" w:rsidP="000A33FE"/>
    <w:p w14:paraId="2231DFDD" w14:textId="77777777" w:rsidR="000A33FE" w:rsidRDefault="000A33FE" w:rsidP="000A33FE">
      <w:r w:rsidRPr="00877185">
        <w:t xml:space="preserve">Therefore, the use of a primary research method guarantees the collection of reliable, context-specific and actionable data. It </w:t>
      </w:r>
      <w:r w:rsidRPr="00877185">
        <w:rPr>
          <w:kern w:val="0"/>
          <w14:ligatures w14:val="none"/>
        </w:rPr>
        <w:t xml:space="preserve">enables healthcare organisations to directly link diversity and </w:t>
      </w:r>
      <w:r w:rsidRPr="00877185">
        <w:rPr>
          <w:kern w:val="0"/>
          <w14:ligatures w14:val="none"/>
        </w:rPr>
        <w:lastRenderedPageBreak/>
        <w:t>inclusion practices to tangible results for their employees, providing practical evidence to inform</w:t>
      </w:r>
      <w:r w:rsidRPr="00877185">
        <w:t xml:space="preserve"> their retention strategies.</w:t>
      </w:r>
    </w:p>
    <w:p w14:paraId="1560D1B3" w14:textId="77777777" w:rsidR="00CD5B24" w:rsidRPr="00877185" w:rsidRDefault="00CD5B24" w:rsidP="000A33FE"/>
    <w:p w14:paraId="6E65E877" w14:textId="77777777" w:rsidR="000A33FE" w:rsidRPr="00877185" w:rsidRDefault="000A33FE" w:rsidP="000A33FE">
      <w:pPr>
        <w:pStyle w:val="Heading2"/>
      </w:pPr>
      <w:bookmarkStart w:id="37" w:name="_Toc216408886"/>
      <w:r w:rsidRPr="00877185">
        <w:t>3.5 Research Strategy</w:t>
      </w:r>
      <w:bookmarkEnd w:id="37"/>
    </w:p>
    <w:p w14:paraId="56940C7F" w14:textId="70C45792" w:rsidR="000A33FE" w:rsidRDefault="000A33FE" w:rsidP="000A33FE">
      <w:r w:rsidRPr="00877185">
        <w:t xml:space="preserve">A quantitative research approach will be most appropriate when assessing the impact of diversity and inclusion strategies on retaining staff within the </w:t>
      </w:r>
      <w:r w:rsidR="00806066" w:rsidRPr="00877185">
        <w:t>NHS Wales</w:t>
      </w:r>
      <w:r w:rsidRPr="00877185">
        <w:t xml:space="preserve">; because it allows for the collection and analysis of numerical data with which to test hypotheses and measure relationships. Quantitative research can be objectively and reliably measured in terms of retention rates and turnover figures, as well as the relationship between diversity practices and employee tenure </w:t>
      </w:r>
      <w:r w:rsidR="009C0527" w:rsidRPr="00877185">
        <w:t>(Mukherjee, 2020)</w:t>
      </w:r>
      <w:r w:rsidRPr="00877185">
        <w:t xml:space="preserve">. Identifying trends across </w:t>
      </w:r>
      <w:r w:rsidRPr="00877185">
        <w:rPr>
          <w:kern w:val="0"/>
          <w14:ligatures w14:val="none"/>
        </w:rPr>
        <w:t>large staff groups provides generalisable evidence throughout the healthcare industry (</w:t>
      </w:r>
      <w:proofErr w:type="spellStart"/>
      <w:r w:rsidRPr="00877185">
        <w:rPr>
          <w:kern w:val="0"/>
          <w14:ligatures w14:val="none"/>
        </w:rPr>
        <w:t>Kiani</w:t>
      </w:r>
      <w:proofErr w:type="spellEnd"/>
      <w:r w:rsidRPr="00877185">
        <w:rPr>
          <w:kern w:val="0"/>
          <w14:ligatures w14:val="none"/>
        </w:rPr>
        <w:t xml:space="preserve"> et al.,</w:t>
      </w:r>
      <w:r w:rsidRPr="00877185">
        <w:t xml:space="preserve"> 2022).</w:t>
      </w:r>
    </w:p>
    <w:p w14:paraId="0CC73E77" w14:textId="77777777" w:rsidR="00CD5B24" w:rsidRPr="00877185" w:rsidRDefault="00CD5B24" w:rsidP="000A33FE"/>
    <w:p w14:paraId="08B05A4D" w14:textId="77777777" w:rsidR="000A33FE" w:rsidRDefault="000A33FE" w:rsidP="000A33FE">
      <w:r w:rsidRPr="00877185">
        <w:t xml:space="preserve"> Quantitative research involves organised data collection, statistical analysis, and hypothesis testing (</w:t>
      </w:r>
      <w:proofErr w:type="spellStart"/>
      <w:r w:rsidRPr="00877185">
        <w:t>Harkiolakis</w:t>
      </w:r>
      <w:proofErr w:type="spellEnd"/>
      <w:r w:rsidRPr="00877185">
        <w:t>, 2019).  It is ideal for healthcare research that needs evidence-based data to evaluate diversity and inclusion initiatives.  To determine whether inclusive policies increase retention, statistical linkage analysis may employ involuntary detention data.</w:t>
      </w:r>
    </w:p>
    <w:p w14:paraId="56207ED9" w14:textId="77777777" w:rsidR="00CD5B24" w:rsidRPr="00877185" w:rsidRDefault="00CD5B24" w:rsidP="000A33FE"/>
    <w:p w14:paraId="7085009B" w14:textId="77777777" w:rsidR="000A33FE" w:rsidRDefault="000A33FE" w:rsidP="000A33FE">
      <w:r w:rsidRPr="00877185">
        <w:t xml:space="preserve"> Qualitative approaches can help in understanding subjective experiences and perceptions.  However, the absence of statistical data and generalisability implies that such research does not represent the industry as a whole and does not improve policy (Bloomfield and Fisher, 2019). A mixed-methods approach, no matter how comprehensive and complete, can be resource-intensive and a potential source of needless complexity, drawing attention away from observable retention outcomes (Kruger and Mitchell, 2021).</w:t>
      </w:r>
    </w:p>
    <w:p w14:paraId="5868E643" w14:textId="77777777" w:rsidR="00CD5B24" w:rsidRPr="00877185" w:rsidRDefault="00CD5B24" w:rsidP="000A33FE"/>
    <w:p w14:paraId="397522D6" w14:textId="77777777" w:rsidR="000A33FE" w:rsidRDefault="000A33FE" w:rsidP="000A33FE">
      <w:r w:rsidRPr="00877185">
        <w:t xml:space="preserve">Therefore, a quantitative </w:t>
      </w:r>
      <w:r w:rsidRPr="00877185">
        <w:rPr>
          <w:kern w:val="0"/>
          <w14:ligatures w14:val="none"/>
        </w:rPr>
        <w:t>research approach means that the evidence generated from a study is objective, measurable, and generalizable.</w:t>
      </w:r>
      <w:r w:rsidRPr="00877185">
        <w:t xml:space="preserve"> It gives healthcare organisations a statistical foundation for creating effective diversity and inclusion strategies to specifically impact on staff retention.</w:t>
      </w:r>
    </w:p>
    <w:p w14:paraId="515B1E5F" w14:textId="77777777" w:rsidR="00CD5B24" w:rsidRPr="00877185" w:rsidRDefault="00CD5B24" w:rsidP="000A33FE"/>
    <w:p w14:paraId="5DC62E34" w14:textId="77777777" w:rsidR="000A33FE" w:rsidRPr="00877185" w:rsidRDefault="000A33FE" w:rsidP="000A33FE">
      <w:pPr>
        <w:pStyle w:val="Heading2"/>
      </w:pPr>
      <w:bookmarkStart w:id="38" w:name="_Toc216408887"/>
      <w:r w:rsidRPr="00877185">
        <w:t>3.6 Data Collection Technique</w:t>
      </w:r>
      <w:bookmarkEnd w:id="38"/>
    </w:p>
    <w:p w14:paraId="5B5EC183" w14:textId="77777777" w:rsidR="007A5411" w:rsidRDefault="000A33FE" w:rsidP="007A5411">
      <w:r w:rsidRPr="00877185">
        <w:t xml:space="preserve">The method of collecting data using an online survey, especially when using Google Forms, is highly appropriate for assessing the contribution of diversity and inclusion to staff retention in </w:t>
      </w:r>
      <w:r w:rsidR="00806066" w:rsidRPr="00877185">
        <w:t>NHS Wales (Saunders et al., 2023)</w:t>
      </w:r>
      <w:r w:rsidRPr="00877185">
        <w:t xml:space="preserve">. </w:t>
      </w:r>
      <w:r w:rsidR="007A5411">
        <w:t xml:space="preserve">Online surveys enable researchers to quickly get </w:t>
      </w:r>
      <w:r w:rsidR="007A5411">
        <w:lastRenderedPageBreak/>
        <w:t>quantitative data on how employees feel, think, and intend to stay with the organisation (Creswell and Creswell, 2018). Staff at multiple healthcare organisations may take the survey anonymously and honestly using Google Forms, which is cost-effective and simple to disseminate and access (Goddard and Melville, 2020). In sensitive domains like diversity and inclusion, anonymity helps workers share their thoughts without fear of prejudice or penalty (</w:t>
      </w:r>
      <w:proofErr w:type="spellStart"/>
      <w:r w:rsidR="007A5411">
        <w:t>Kiani</w:t>
      </w:r>
      <w:proofErr w:type="spellEnd"/>
      <w:r w:rsidR="007A5411">
        <w:t xml:space="preserve"> et al., 2022).</w:t>
      </w:r>
    </w:p>
    <w:p w14:paraId="7F61CBD3" w14:textId="77777777" w:rsidR="00CD5B24" w:rsidRDefault="00CD5B24" w:rsidP="007A5411"/>
    <w:p w14:paraId="453A21FA" w14:textId="5D32B892" w:rsidR="000A33FE" w:rsidRDefault="007A5411" w:rsidP="007A5411">
      <w:r>
        <w:t>Online surveys are questionnaires issued online to collect quantitative or qualitative feedback from a large sample (</w:t>
      </w:r>
      <w:proofErr w:type="spellStart"/>
      <w:r>
        <w:t>Harkiolakis</w:t>
      </w:r>
      <w:proofErr w:type="spellEnd"/>
      <w:r>
        <w:t>, 2019). They give quantifiable data on employee retention and diversity program impacts, allowing statistical testing of hypotheses.</w:t>
      </w:r>
    </w:p>
    <w:p w14:paraId="09FDDF22" w14:textId="77777777" w:rsidR="00752474" w:rsidRPr="00877185" w:rsidRDefault="00752474" w:rsidP="007A5411"/>
    <w:p w14:paraId="6236403F" w14:textId="77777777" w:rsidR="000A33FE" w:rsidRDefault="000A33FE" w:rsidP="000A33FE">
      <w:r w:rsidRPr="00877185">
        <w:t xml:space="preserve">Other bodies of data collection are less suitable. Face-to-face interviews, whilst rich in detail, are time-consuming and potentially only feasible with the involvement of many participants, given staff availability in busy healthcare environments (Bloomfield and Fisher, 2019). Focus groups </w:t>
      </w:r>
      <w:r w:rsidRPr="00877185">
        <w:rPr>
          <w:kern w:val="0"/>
          <w14:ligatures w14:val="none"/>
        </w:rPr>
        <w:t>are susceptible to social desirability bias, which occurs when participants in group settings refrain from expressing their genuine views (Kruger</w:t>
      </w:r>
      <w:r w:rsidRPr="00877185">
        <w:t xml:space="preserve"> and Mitchell, 2021). Although important, secondary data may not accurately reflect the latest and context-specific knowledge regarding inclusion strategies in the evolving healthcare sector (</w:t>
      </w:r>
      <w:proofErr w:type="spellStart"/>
      <w:r w:rsidRPr="00877185">
        <w:t>Palanski</w:t>
      </w:r>
      <w:proofErr w:type="spellEnd"/>
      <w:r w:rsidRPr="00877185">
        <w:t xml:space="preserve"> et al., 2021).</w:t>
      </w:r>
    </w:p>
    <w:p w14:paraId="3EF287B3" w14:textId="77777777" w:rsidR="00752474" w:rsidRPr="00877185" w:rsidRDefault="00752474" w:rsidP="000A33FE"/>
    <w:p w14:paraId="564B9537" w14:textId="77777777" w:rsidR="000A33FE" w:rsidRPr="00877185" w:rsidRDefault="000A33FE" w:rsidP="000A33FE">
      <w:r w:rsidRPr="00877185">
        <w:t>Therefore, the online survey using Google Forms provides a considerable means of data collection, which is scalable, feasible, and reliable. They provide evidence, in a statistically sound manner, for healthcare organisations to combat and enhance diversity and inclusion strategies, thereby achieving better staff retention.</w:t>
      </w:r>
    </w:p>
    <w:p w14:paraId="2CA84123" w14:textId="77777777" w:rsidR="000A33FE" w:rsidRPr="00877185" w:rsidRDefault="000A33FE" w:rsidP="000A33FE">
      <w:pPr>
        <w:pStyle w:val="Heading2"/>
      </w:pPr>
      <w:bookmarkStart w:id="39" w:name="_Toc216408888"/>
      <w:r w:rsidRPr="00877185">
        <w:t>3.7 Sampling Method and Sample Size</w:t>
      </w:r>
      <w:bookmarkEnd w:id="39"/>
    </w:p>
    <w:p w14:paraId="670F31CA" w14:textId="77777777" w:rsidR="00AA7BDC" w:rsidRDefault="000A33FE" w:rsidP="00AA7BDC">
      <w:r w:rsidRPr="00877185">
        <w:rPr>
          <w:kern w:val="0"/>
          <w14:ligatures w14:val="none"/>
        </w:rPr>
        <w:t xml:space="preserve">The convenience sampling technique is adequate when testing the effect of diversity and inclusion strategies on staff retention in the </w:t>
      </w:r>
      <w:r w:rsidR="00806066" w:rsidRPr="00877185">
        <w:rPr>
          <w:kern w:val="0"/>
          <w14:ligatures w14:val="none"/>
        </w:rPr>
        <w:t>NHS Wales</w:t>
      </w:r>
      <w:r w:rsidRPr="00877185">
        <w:rPr>
          <w:kern w:val="0"/>
          <w14:ligatures w14:val="none"/>
        </w:rPr>
        <w:t>, with a</w:t>
      </w:r>
      <w:r w:rsidRPr="00877185">
        <w:t xml:space="preserve"> sample size of 100 NHS staff, with an emphasis on those from Black, Asian, and Minority Ethnic (BAME) backgrounds and frontline healthcare roles. </w:t>
      </w:r>
      <w:r w:rsidR="00AA7BDC">
        <w:t>The convenience sampling is a sampling method whereby the respondents who are easily found and willing to take part in the research study are chosen, thus, it is easy and efficient to collect data (Creswell and Creswell, 2018). This mixture is especially applicable to the busy healthcare environment, and the fact that this combination is included allows gathering real-time data without the logistical hurdles of reaching a wide and varied audience (Goddard and Melville, 2020).</w:t>
      </w:r>
    </w:p>
    <w:p w14:paraId="238EFC20" w14:textId="77777777" w:rsidR="00503827" w:rsidRDefault="00503827" w:rsidP="00AA7BDC"/>
    <w:p w14:paraId="67121D9E" w14:textId="4CF5F0DE" w:rsidR="000A33FE" w:rsidRDefault="00AA7BDC" w:rsidP="00AA7BDC">
      <w:r>
        <w:t>Convenience sampling is a non-probability sampling method when the study subjects are determined by their scope and desire to take part in research (</w:t>
      </w:r>
      <w:proofErr w:type="spellStart"/>
      <w:r>
        <w:t>Harkiolakis</w:t>
      </w:r>
      <w:proofErr w:type="spellEnd"/>
      <w:r>
        <w:t>, 2019). By applying this method within the NHS Wales, the researcher will be able to receive first-hand feedback on how employees view diversity and inclusion strategies and how they contribute to retention. The sample size of 100 will be appropriate because, it will be large enough to guarantee meaningful statistical computation and, it will be small enough to comply with time and resource limitations (</w:t>
      </w:r>
      <w:proofErr w:type="spellStart"/>
      <w:r>
        <w:t>Kiani</w:t>
      </w:r>
      <w:proofErr w:type="spellEnd"/>
      <w:r>
        <w:t xml:space="preserve"> et al., 2022).</w:t>
      </w:r>
    </w:p>
    <w:p w14:paraId="14D8A449" w14:textId="77777777" w:rsidR="00503827" w:rsidRPr="00877185" w:rsidRDefault="00503827" w:rsidP="00AA7BDC"/>
    <w:p w14:paraId="3D072E36" w14:textId="77777777" w:rsidR="000A33FE" w:rsidRDefault="000A33FE" w:rsidP="000A33FE">
      <w:r w:rsidRPr="00877185">
        <w:t>Other methods of sampling are not without design flaws. Random sampling is more statistically sound but may be both time-intensive and challenging in a healthcare environment where compiling a population list can be difficult. Stratified sampling requires information on personal characteristics (demographics), which can be lacking and hinder research (Kruger and Mitchell, 2021). While purposive sampling, despite its narrow focus, is likely to include selection bias by applying filters to particular groups' employees instead of a larger employee population (</w:t>
      </w:r>
      <w:proofErr w:type="spellStart"/>
      <w:r w:rsidRPr="00877185">
        <w:t>Palanski</w:t>
      </w:r>
      <w:proofErr w:type="spellEnd"/>
      <w:r w:rsidRPr="00877185">
        <w:t xml:space="preserve"> et al., 2021).</w:t>
      </w:r>
    </w:p>
    <w:p w14:paraId="0B1C7906" w14:textId="77777777" w:rsidR="00503827" w:rsidRPr="00877185" w:rsidRDefault="00503827" w:rsidP="000A33FE"/>
    <w:p w14:paraId="5784921A" w14:textId="77777777" w:rsidR="000A33FE" w:rsidRDefault="000A33FE" w:rsidP="000A33FE">
      <w:r w:rsidRPr="00877185">
        <w:t xml:space="preserve">Hence, convenience sampling is justified because it is particularly practical, efficient, and effective </w:t>
      </w:r>
      <w:r w:rsidRPr="00877185">
        <w:rPr>
          <w:kern w:val="0"/>
          <w14:ligatures w14:val="none"/>
        </w:rPr>
        <w:t>in obtaining information on time and for a relevant purpose, thereby benefiting an evidence-based assessment of diversity and inclusion policies. The effectiveness of these policies can be established in terms of employee</w:t>
      </w:r>
      <w:r w:rsidRPr="00877185">
        <w:t xml:space="preserve"> retention.</w:t>
      </w:r>
    </w:p>
    <w:p w14:paraId="6439520E" w14:textId="77777777" w:rsidR="003B66D8" w:rsidRPr="00877185" w:rsidRDefault="003B66D8" w:rsidP="000A33FE"/>
    <w:p w14:paraId="13E5CA09" w14:textId="77777777" w:rsidR="000A33FE" w:rsidRPr="00877185" w:rsidRDefault="000A33FE" w:rsidP="000A33FE">
      <w:pPr>
        <w:pStyle w:val="Heading2"/>
      </w:pPr>
      <w:bookmarkStart w:id="40" w:name="_Toc216408889"/>
      <w:r w:rsidRPr="00877185">
        <w:t>3.8 Data Analysis Technique</w:t>
      </w:r>
      <w:bookmarkEnd w:id="40"/>
    </w:p>
    <w:p w14:paraId="718485E5" w14:textId="66434926" w:rsidR="000A33FE" w:rsidRDefault="000A33FE" w:rsidP="000A33FE">
      <w:r w:rsidRPr="00877185">
        <w:t xml:space="preserve">The use of descriptive and inferential data analysis techniques are appropriate to evaluate the impact of diversity and inclusion strategies on staff retention within </w:t>
      </w:r>
      <w:r w:rsidR="00806066" w:rsidRPr="00877185">
        <w:t>NHS Wales</w:t>
      </w:r>
      <w:r w:rsidRPr="00877185">
        <w:t xml:space="preserve"> because it does not only provide a summary of data but also enables us to make an inference about the wider population. Descriptive analysis, involves data summary using measures such as frequencies, percentages and averages to provide an easy analysis of trends in terms of staff retention and attitudes to diversity initiatives (Creswell and Creswell, 2018). Inferential analysis goes even further by allowing the researcher to make predictions and test hypotheses related to the relationships between the variables e.g., does the correlation of diversity strategies and retention rates exist (Goddard and Melville, 2020)?</w:t>
      </w:r>
    </w:p>
    <w:p w14:paraId="5AD02258" w14:textId="77777777" w:rsidR="003B66D8" w:rsidRPr="00877185" w:rsidRDefault="003B66D8" w:rsidP="000A33FE"/>
    <w:p w14:paraId="04119F1A" w14:textId="77777777" w:rsidR="000A33FE" w:rsidRDefault="000A33FE" w:rsidP="000A33FE">
      <w:r w:rsidRPr="00877185">
        <w:lastRenderedPageBreak/>
        <w:t>Descriptive and inferential data analysis method using the descriptive and inferential data analysis methods are defined as complementary methods where descriptive statistics sum up and organises data. In contrast, inferential statistics involves using probability theory to identify whether the patterns that are observed in the sample can be generalized to the overall population (</w:t>
      </w:r>
      <w:proofErr w:type="spellStart"/>
      <w:r w:rsidRPr="00877185">
        <w:t>Harkiolakis</w:t>
      </w:r>
      <w:proofErr w:type="spellEnd"/>
      <w:r w:rsidRPr="00877185">
        <w:t>, 2019). Together, they present the possibility of a balanced and robust interpretation of the present situation, as well as the broader implications of that situation.</w:t>
      </w:r>
    </w:p>
    <w:p w14:paraId="44D885A0" w14:textId="77777777" w:rsidR="003B66D8" w:rsidRPr="00877185" w:rsidRDefault="003B66D8" w:rsidP="000A33FE"/>
    <w:p w14:paraId="33115421" w14:textId="77777777" w:rsidR="000A33FE" w:rsidRDefault="000A33FE" w:rsidP="000A33FE">
      <w:r w:rsidRPr="00877185">
        <w:t>Other methods of analysis tend to be less suitable. Solely descriptive analysis, although helpful in summarising data and providing information, cannot prove cause and effect or relationships, which is essential for evaluating policy effectiveness. Purely qualitative analysis, while interesting in perceiving, lacks statistical rigour and generalisability (Kruger and Mitchell, 2021). Although powerful, advanced causal modelling still requires significant data volumes and resources; therefore, it is less feasible to apply this statistical technique to a sample size of 100 participants (</w:t>
      </w:r>
      <w:proofErr w:type="spellStart"/>
      <w:r w:rsidRPr="00877185">
        <w:t>Palanski</w:t>
      </w:r>
      <w:proofErr w:type="spellEnd"/>
      <w:r w:rsidRPr="00877185">
        <w:t xml:space="preserve"> et al., 2021).</w:t>
      </w:r>
    </w:p>
    <w:p w14:paraId="1077FC07" w14:textId="77777777" w:rsidR="003B66D8" w:rsidRPr="00877185" w:rsidRDefault="003B66D8" w:rsidP="000A33FE"/>
    <w:p w14:paraId="3AD54BDB" w14:textId="77777777" w:rsidR="000A33FE" w:rsidRDefault="000A33FE" w:rsidP="000A33FE">
      <w:r w:rsidRPr="00877185">
        <w:t>Therefore, a combination of descriptive and inferential techniques should be employed to establish a practical, reliable, and theoretically grounded approach to assessing strategies of diversity and inclusion. This approach provides healthcare organisations with actionable insights to make their policies more robust when it comes to retaining their staff.</w:t>
      </w:r>
    </w:p>
    <w:p w14:paraId="036DCF3B" w14:textId="77777777" w:rsidR="003B66D8" w:rsidRPr="00877185" w:rsidRDefault="003B66D8" w:rsidP="000A33FE"/>
    <w:p w14:paraId="23CBF08B" w14:textId="77777777" w:rsidR="000A33FE" w:rsidRPr="00877185" w:rsidRDefault="000A33FE" w:rsidP="000A33FE">
      <w:pPr>
        <w:pStyle w:val="Heading2"/>
      </w:pPr>
      <w:bookmarkStart w:id="41" w:name="_Toc216408890"/>
      <w:r w:rsidRPr="00877185">
        <w:t>3.9 Validity and Reliability</w:t>
      </w:r>
      <w:bookmarkEnd w:id="41"/>
    </w:p>
    <w:p w14:paraId="6C30A042" w14:textId="77777777" w:rsidR="00E60FD4" w:rsidRDefault="000A33FE" w:rsidP="00E60FD4">
      <w:r w:rsidRPr="00877185">
        <w:t xml:space="preserve">Ensuring validity and reliability is crucial in having credible results from research. Validity is the extent to which the research instrument measures what it claims to measure, but reliability shows the measurement is consistent over time (Creswell and Creswell, 2018). </w:t>
      </w:r>
      <w:r w:rsidR="00E60FD4">
        <w:t xml:space="preserve">Cronbach alpha will be used to evaluate the reliability of these measures in this study which discusses the effectiveness of diversity and </w:t>
      </w:r>
      <w:proofErr w:type="gramStart"/>
      <w:r w:rsidR="00E60FD4">
        <w:t>addition based</w:t>
      </w:r>
      <w:proofErr w:type="gramEnd"/>
      <w:r w:rsidR="00E60FD4">
        <w:t xml:space="preserve"> strategies in minimising turnover in the NHS Wales.</w:t>
      </w:r>
    </w:p>
    <w:p w14:paraId="57AEEF25" w14:textId="77777777" w:rsidR="003B66D8" w:rsidRDefault="003B66D8" w:rsidP="00E60FD4"/>
    <w:p w14:paraId="2080F771" w14:textId="77777777" w:rsidR="00E60FD4" w:rsidRDefault="00E60FD4" w:rsidP="00E60FD4">
      <w:r>
        <w:t>Cronbach alpha is a statistical statistic to assess the internal correlation of an item set; the differences between the items in the set (Goddard and Melville, 2020). An alpha that is higher (usually above 0.70) is a sign of good reliability and means that survey measures measure the same underlying construct (</w:t>
      </w:r>
      <w:proofErr w:type="spellStart"/>
      <w:r>
        <w:t>Edelsbrunner</w:t>
      </w:r>
      <w:proofErr w:type="spellEnd"/>
      <w:r>
        <w:t xml:space="preserve"> et al., 2025).</w:t>
      </w:r>
    </w:p>
    <w:p w14:paraId="7E017CF0" w14:textId="77777777" w:rsidR="003B66D8" w:rsidRDefault="003B66D8" w:rsidP="00E60FD4"/>
    <w:p w14:paraId="60CC3038" w14:textId="0EA18072" w:rsidR="000A33FE" w:rsidRDefault="00E60FD4" w:rsidP="00E60FD4">
      <w:r>
        <w:lastRenderedPageBreak/>
        <w:t>To enhance validity, the survey will be built on proven diversity and inclusion frameworks and will be tested by pilots to spot the ambiguities and solve them. High validity and a good reliability test as measured by Cronbach alpha method provide the confidence that the results obtained are both valid and a reliable research design, which enhances credibility of the research and applicability.</w:t>
      </w:r>
    </w:p>
    <w:p w14:paraId="49044A94" w14:textId="77777777" w:rsidR="003B66D8" w:rsidRPr="00877185" w:rsidRDefault="003B66D8" w:rsidP="00E60FD4"/>
    <w:p w14:paraId="1462B23B" w14:textId="77777777" w:rsidR="000A33FE" w:rsidRPr="00877185" w:rsidRDefault="000A33FE" w:rsidP="000A33FE">
      <w:pPr>
        <w:pStyle w:val="Heading2"/>
      </w:pPr>
      <w:bookmarkStart w:id="42" w:name="_Toc216408891"/>
      <w:r w:rsidRPr="00877185">
        <w:t>3.10 Ethical Consideration</w:t>
      </w:r>
      <w:bookmarkEnd w:id="42"/>
    </w:p>
    <w:p w14:paraId="3A529638" w14:textId="77777777" w:rsidR="00366F61" w:rsidRDefault="00366F61" w:rsidP="00366F61">
      <w:r>
        <w:t>The validity, authenticity, and morality of this research on diversity and inclusion policies and retention of UK healthcare workers rely on ethical considerations. The study will adhere to ethical standards such as informed consent, privacy, voluntariness, and confidentiality of data (Creswell and Creswell, 2018).</w:t>
      </w:r>
    </w:p>
    <w:p w14:paraId="60C1FBA4" w14:textId="77777777" w:rsidR="003B66D8" w:rsidRDefault="003B66D8" w:rsidP="00366F61"/>
    <w:p w14:paraId="0D59B704" w14:textId="77777777" w:rsidR="00366F61" w:rsidRDefault="00366F61" w:rsidP="00366F61">
      <w:r>
        <w:t>Each volunteer would understand the purpose of the study, their participation, and their right to drop out willingly. Informed consent will act as a starting point of data collection. Respondents will be anonymised in order to keep participant and work place identity.</w:t>
      </w:r>
    </w:p>
    <w:p w14:paraId="4FF90B3F" w14:textId="77777777" w:rsidR="003B66D8" w:rsidRDefault="003B66D8" w:rsidP="00366F61"/>
    <w:p w14:paraId="45CED1AB" w14:textId="77777777" w:rsidR="00366F61" w:rsidRDefault="00366F61" w:rsidP="00366F61">
      <w:r>
        <w:t>Online data on surveys will be readily available and password-protected by our study scientists. Participants will be anonymous and results will be aggregated (Goddard and Melville, 2020).</w:t>
      </w:r>
    </w:p>
    <w:p w14:paraId="2A4E7652" w14:textId="77777777" w:rsidR="00366F61" w:rsidRDefault="00366F61" w:rsidP="00366F61">
      <w:r>
        <w:t>Given that the experiences of diversity and inclusion are subjective, the sensitive surveys will be employed to ensure that the participants are not harmed or made feel uneasy.</w:t>
      </w:r>
    </w:p>
    <w:p w14:paraId="21500EEE" w14:textId="77777777" w:rsidR="003B66D8" w:rsidRDefault="003B66D8" w:rsidP="00366F61"/>
    <w:p w14:paraId="4D25D777" w14:textId="1F1E0288" w:rsidR="000A33FE" w:rsidRPr="00877185" w:rsidRDefault="00366F61" w:rsidP="00366F61">
      <w:r>
        <w:t>These ethical considerations assist in ensuring the study satisfies ethical research criteria, win the trust of the participants, and enhance the reliability and validity to create viable and responsible diversity and inclusion strategies in the healthcare field.</w:t>
      </w:r>
    </w:p>
    <w:p w14:paraId="3F2FE351" w14:textId="77777777" w:rsidR="00EE1657" w:rsidRDefault="00EE1657" w:rsidP="000A33FE">
      <w:pPr>
        <w:spacing w:line="240" w:lineRule="auto"/>
        <w:jc w:val="left"/>
      </w:pPr>
    </w:p>
    <w:p w14:paraId="7D1FC3EA" w14:textId="77777777" w:rsidR="00EE1657" w:rsidRDefault="00EE1657">
      <w:pPr>
        <w:spacing w:line="240" w:lineRule="auto"/>
        <w:jc w:val="left"/>
      </w:pPr>
      <w:r>
        <w:br w:type="page"/>
      </w:r>
    </w:p>
    <w:p w14:paraId="634A163D" w14:textId="77777777" w:rsidR="00EE1657" w:rsidRDefault="00EE1657" w:rsidP="00EE1657">
      <w:pPr>
        <w:pStyle w:val="Heading1"/>
      </w:pPr>
      <w:bookmarkStart w:id="43" w:name="_Toc216408892"/>
      <w:r>
        <w:lastRenderedPageBreak/>
        <w:t>Chapter Four: Findings and Discussion</w:t>
      </w:r>
      <w:bookmarkEnd w:id="43"/>
    </w:p>
    <w:p w14:paraId="7D58F849" w14:textId="5A45C627" w:rsidR="003B66D8" w:rsidRPr="003B66D8" w:rsidRDefault="00EE1657" w:rsidP="003B66D8">
      <w:pPr>
        <w:pStyle w:val="Heading2"/>
      </w:pPr>
      <w:bookmarkStart w:id="44" w:name="_Toc216408893"/>
      <w:r>
        <w:t>4.1 Introduction</w:t>
      </w:r>
      <w:bookmarkEnd w:id="44"/>
    </w:p>
    <w:p w14:paraId="14C99313" w14:textId="07A4EDC3" w:rsidR="00EE1657" w:rsidRDefault="00D54647" w:rsidP="00EE1657">
      <w:r w:rsidRPr="00D54647">
        <w:t>In this chapter, the authors have provided the empirical results of the quantitative survey carried out on 154 staffs of NHS Wales. It starts with a descriptive statistical analysis of staff perception of diversity policies, inclusivity, and retention intentions. This is followed by inferential tests, such as correlation and regression analysis, to test the research hypotheses rigorously. Lastly, the results are critically examined as comparing them with the literature review and Welsh legislative context.</w:t>
      </w:r>
    </w:p>
    <w:p w14:paraId="2CFD41C2" w14:textId="77777777" w:rsidR="003B66D8" w:rsidRPr="00EE1657" w:rsidRDefault="003B66D8" w:rsidP="00EE1657"/>
    <w:p w14:paraId="510DE4C5" w14:textId="27CF0857" w:rsidR="00EE1657" w:rsidRDefault="00EE1657" w:rsidP="009C7ADA">
      <w:pPr>
        <w:pStyle w:val="Heading2"/>
      </w:pPr>
      <w:bookmarkStart w:id="45" w:name="_Toc216408894"/>
      <w:r>
        <w:t>4.2 Findings</w:t>
      </w:r>
      <w:bookmarkEnd w:id="45"/>
    </w:p>
    <w:p w14:paraId="37FA7A6A" w14:textId="77777777" w:rsidR="00EE1657" w:rsidRDefault="00EE1657" w:rsidP="004C023B">
      <w:pPr>
        <w:pStyle w:val="Heading3"/>
      </w:pPr>
      <w:bookmarkStart w:id="46" w:name="_Toc216408895"/>
      <w:r>
        <w:t>4.2.1 Demographic</w:t>
      </w:r>
      <w:bookmarkEnd w:id="46"/>
      <w:r>
        <w:t xml:space="preserve"> </w:t>
      </w:r>
    </w:p>
    <w:p w14:paraId="2CD707ED" w14:textId="77777777" w:rsidR="00123098" w:rsidRDefault="00123098" w:rsidP="00123098">
      <w:pPr>
        <w:autoSpaceDE w:val="0"/>
        <w:autoSpaceDN w:val="0"/>
        <w:adjustRightInd w:val="0"/>
        <w:spacing w:line="240" w:lineRule="auto"/>
        <w:jc w:val="left"/>
        <w:rPr>
          <w:rFonts w:cs="Times New Roman"/>
          <w:kern w:val="0"/>
          <w:szCs w:val="24"/>
          <w:lang w:val="en-US"/>
        </w:rPr>
      </w:pPr>
      <w:r>
        <w:rPr>
          <w:rFonts w:cs="Times New Roman"/>
          <w:noProof/>
          <w:kern w:val="0"/>
          <w:szCs w:val="24"/>
          <w:lang w:val="en-US"/>
        </w:rPr>
        <w:drawing>
          <wp:inline distT="0" distB="0" distL="0" distR="0" wp14:anchorId="7E4FFC6D" wp14:editId="5D93D12A">
            <wp:extent cx="5732145" cy="3369310"/>
            <wp:effectExtent l="0" t="0" r="1905" b="2540"/>
            <wp:docPr id="3145905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2145" cy="3369310"/>
                    </a:xfrm>
                    <a:prstGeom prst="rect">
                      <a:avLst/>
                    </a:prstGeom>
                    <a:noFill/>
                    <a:ln>
                      <a:noFill/>
                    </a:ln>
                  </pic:spPr>
                </pic:pic>
              </a:graphicData>
            </a:graphic>
          </wp:inline>
        </w:drawing>
      </w:r>
    </w:p>
    <w:p w14:paraId="5057C81F" w14:textId="77777777" w:rsidR="00123098" w:rsidRDefault="00123098" w:rsidP="00123098">
      <w:pPr>
        <w:autoSpaceDE w:val="0"/>
        <w:autoSpaceDN w:val="0"/>
        <w:adjustRightInd w:val="0"/>
        <w:spacing w:line="240" w:lineRule="auto"/>
        <w:jc w:val="left"/>
        <w:rPr>
          <w:rFonts w:cs="Times New Roman"/>
          <w:kern w:val="0"/>
          <w:szCs w:val="24"/>
          <w:lang w:val="en-US"/>
        </w:rPr>
      </w:pPr>
    </w:p>
    <w:p w14:paraId="52A52082" w14:textId="391C90A2" w:rsidR="00123098" w:rsidRDefault="009C7ADA" w:rsidP="009C7ADA">
      <w:pPr>
        <w:pStyle w:val="Caption"/>
      </w:pPr>
      <w:bookmarkStart w:id="47" w:name="_Toc216408779"/>
      <w:r>
        <w:t xml:space="preserve">Figure </w:t>
      </w:r>
      <w:r>
        <w:fldChar w:fldCharType="begin"/>
      </w:r>
      <w:r>
        <w:instrText xml:space="preserve"> SEQ Figure \* ARABIC </w:instrText>
      </w:r>
      <w:r>
        <w:fldChar w:fldCharType="separate"/>
      </w:r>
      <w:r>
        <w:rPr>
          <w:noProof/>
        </w:rPr>
        <w:t>4</w:t>
      </w:r>
      <w:r>
        <w:rPr>
          <w:noProof/>
        </w:rPr>
        <w:fldChar w:fldCharType="end"/>
      </w:r>
      <w:r>
        <w:t>: Gender of the Participants</w:t>
      </w:r>
      <w:bookmarkEnd w:id="47"/>
    </w:p>
    <w:p w14:paraId="0E6755D9" w14:textId="7F3535C4" w:rsidR="009C7ADA" w:rsidRPr="009C7ADA" w:rsidRDefault="007D161E" w:rsidP="009C7ADA">
      <w:r w:rsidRPr="007D161E">
        <w:t>Demographic profile indicates a large number of male respondents, of which 58.4% are males and 41.6% are females.</w:t>
      </w:r>
    </w:p>
    <w:p w14:paraId="23DCED80" w14:textId="77777777" w:rsidR="00123098" w:rsidRDefault="00123098" w:rsidP="00123098">
      <w:pPr>
        <w:autoSpaceDE w:val="0"/>
        <w:autoSpaceDN w:val="0"/>
        <w:adjustRightInd w:val="0"/>
        <w:spacing w:line="240" w:lineRule="auto"/>
        <w:jc w:val="left"/>
        <w:rPr>
          <w:rFonts w:cs="Times New Roman"/>
          <w:kern w:val="0"/>
          <w:szCs w:val="24"/>
          <w:lang w:val="en-US"/>
        </w:rPr>
      </w:pPr>
      <w:r>
        <w:rPr>
          <w:rFonts w:cs="Times New Roman"/>
          <w:noProof/>
          <w:kern w:val="0"/>
          <w:szCs w:val="24"/>
          <w:lang w:val="en-US"/>
        </w:rPr>
        <w:lastRenderedPageBreak/>
        <w:drawing>
          <wp:inline distT="0" distB="0" distL="0" distR="0" wp14:anchorId="0ACC23EF" wp14:editId="548B3BF9">
            <wp:extent cx="5732145" cy="3369310"/>
            <wp:effectExtent l="0" t="0" r="1905" b="2540"/>
            <wp:docPr id="7596468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145" cy="3369310"/>
                    </a:xfrm>
                    <a:prstGeom prst="rect">
                      <a:avLst/>
                    </a:prstGeom>
                    <a:noFill/>
                    <a:ln>
                      <a:noFill/>
                    </a:ln>
                  </pic:spPr>
                </pic:pic>
              </a:graphicData>
            </a:graphic>
          </wp:inline>
        </w:drawing>
      </w:r>
    </w:p>
    <w:p w14:paraId="3A6E5617" w14:textId="74727B13" w:rsidR="009C7ADA" w:rsidRDefault="009C7ADA" w:rsidP="009C7ADA">
      <w:pPr>
        <w:pStyle w:val="Caption"/>
        <w:rPr>
          <w:rFonts w:cs="Times New Roman"/>
          <w:kern w:val="0"/>
          <w:szCs w:val="24"/>
          <w:lang w:val="en-US"/>
        </w:rPr>
      </w:pPr>
      <w:bookmarkStart w:id="48" w:name="_Toc216408780"/>
      <w:r>
        <w:t xml:space="preserve">Figure </w:t>
      </w:r>
      <w:r>
        <w:fldChar w:fldCharType="begin"/>
      </w:r>
      <w:r>
        <w:instrText xml:space="preserve"> SEQ Figure \* ARABIC </w:instrText>
      </w:r>
      <w:r>
        <w:fldChar w:fldCharType="separate"/>
      </w:r>
      <w:r>
        <w:rPr>
          <w:noProof/>
        </w:rPr>
        <w:t>5</w:t>
      </w:r>
      <w:r>
        <w:rPr>
          <w:noProof/>
        </w:rPr>
        <w:fldChar w:fldCharType="end"/>
      </w:r>
      <w:r>
        <w:t>: Age of the participants</w:t>
      </w:r>
      <w:bookmarkEnd w:id="48"/>
    </w:p>
    <w:p w14:paraId="4A25BD44" w14:textId="0333FCEF" w:rsidR="00123098" w:rsidRDefault="007D161E" w:rsidP="009C7ADA">
      <w:pPr>
        <w:rPr>
          <w:lang w:val="en-US"/>
        </w:rPr>
      </w:pPr>
      <w:r w:rsidRPr="007D161E">
        <w:rPr>
          <w:lang w:val="en-US"/>
        </w:rPr>
        <w:t>Age is concentrated in the latter phases of career, with 35-44 years making up 38.3% and 25-34 years 34.4. With 45-54 (18.8), 18-24 (6.5), and 55+ (1.9) workers, the workforce is mostly in their working age.</w:t>
      </w:r>
    </w:p>
    <w:p w14:paraId="59A883F8" w14:textId="77777777" w:rsidR="003B66D8" w:rsidRPr="009C7ADA" w:rsidRDefault="003B66D8" w:rsidP="009C7ADA">
      <w:pPr>
        <w:rPr>
          <w:lang w:val="en-US"/>
        </w:rPr>
      </w:pPr>
    </w:p>
    <w:p w14:paraId="24DAA874" w14:textId="77777777" w:rsidR="00123098" w:rsidRDefault="00123098" w:rsidP="00123098">
      <w:pPr>
        <w:autoSpaceDE w:val="0"/>
        <w:autoSpaceDN w:val="0"/>
        <w:adjustRightInd w:val="0"/>
        <w:spacing w:line="240" w:lineRule="auto"/>
        <w:jc w:val="left"/>
        <w:rPr>
          <w:rFonts w:cs="Times New Roman"/>
          <w:kern w:val="0"/>
          <w:szCs w:val="24"/>
          <w:lang w:val="en-US"/>
        </w:rPr>
      </w:pPr>
      <w:r>
        <w:rPr>
          <w:rFonts w:cs="Times New Roman"/>
          <w:noProof/>
          <w:kern w:val="0"/>
          <w:szCs w:val="24"/>
          <w:lang w:val="en-US"/>
        </w:rPr>
        <w:drawing>
          <wp:inline distT="0" distB="0" distL="0" distR="0" wp14:anchorId="7C88A97A" wp14:editId="21DAAE59">
            <wp:extent cx="5732145" cy="3369310"/>
            <wp:effectExtent l="0" t="0" r="1905" b="2540"/>
            <wp:docPr id="19497173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2145" cy="3369310"/>
                    </a:xfrm>
                    <a:prstGeom prst="rect">
                      <a:avLst/>
                    </a:prstGeom>
                    <a:noFill/>
                    <a:ln>
                      <a:noFill/>
                    </a:ln>
                  </pic:spPr>
                </pic:pic>
              </a:graphicData>
            </a:graphic>
          </wp:inline>
        </w:drawing>
      </w:r>
    </w:p>
    <w:p w14:paraId="527A8588" w14:textId="46DC3D6D" w:rsidR="009C7ADA" w:rsidRDefault="009C7ADA" w:rsidP="009C7ADA">
      <w:pPr>
        <w:pStyle w:val="Caption"/>
        <w:rPr>
          <w:rFonts w:cs="Times New Roman"/>
          <w:kern w:val="0"/>
          <w:szCs w:val="24"/>
          <w:lang w:val="en-US"/>
        </w:rPr>
      </w:pPr>
      <w:bookmarkStart w:id="49" w:name="_Toc216408781"/>
      <w:r>
        <w:t xml:space="preserve">Figure </w:t>
      </w:r>
      <w:r>
        <w:fldChar w:fldCharType="begin"/>
      </w:r>
      <w:r>
        <w:instrText xml:space="preserve"> SEQ Figure \* ARABIC </w:instrText>
      </w:r>
      <w:r>
        <w:fldChar w:fldCharType="separate"/>
      </w:r>
      <w:r>
        <w:rPr>
          <w:noProof/>
        </w:rPr>
        <w:t>6</w:t>
      </w:r>
      <w:r>
        <w:rPr>
          <w:noProof/>
        </w:rPr>
        <w:fldChar w:fldCharType="end"/>
      </w:r>
      <w:r>
        <w:t>: Ethnic Background of the participants</w:t>
      </w:r>
      <w:bookmarkEnd w:id="49"/>
    </w:p>
    <w:p w14:paraId="737D404E" w14:textId="77777777" w:rsidR="00123098" w:rsidRDefault="00123098" w:rsidP="00123098">
      <w:pPr>
        <w:autoSpaceDE w:val="0"/>
        <w:autoSpaceDN w:val="0"/>
        <w:adjustRightInd w:val="0"/>
        <w:spacing w:line="240" w:lineRule="auto"/>
        <w:jc w:val="left"/>
        <w:rPr>
          <w:rFonts w:cs="Times New Roman"/>
          <w:kern w:val="0"/>
          <w:szCs w:val="24"/>
          <w:lang w:val="en-US"/>
        </w:rPr>
      </w:pPr>
    </w:p>
    <w:p w14:paraId="2718EC32" w14:textId="32E6C97E" w:rsidR="00123098" w:rsidRDefault="007D161E" w:rsidP="009C7ADA">
      <w:pPr>
        <w:rPr>
          <w:lang w:val="en-US"/>
        </w:rPr>
      </w:pPr>
      <w:r w:rsidRPr="007D161E">
        <w:rPr>
          <w:lang w:val="en-US"/>
        </w:rPr>
        <w:lastRenderedPageBreak/>
        <w:t>The ethnic diversity is also quite high, with Mixed/Multiple ethnic groups and Black/African/Caribbean/Black British staff members coming in at 42.2 and 26.6 percent respectively. There is a significant diversity of ethnicity in a sample, with white staff constituting only 6.5, and 5.2 not specifying ethnicity.</w:t>
      </w:r>
    </w:p>
    <w:p w14:paraId="56932EE1" w14:textId="77777777" w:rsidR="003B66D8" w:rsidRDefault="003B66D8" w:rsidP="009C7ADA">
      <w:pPr>
        <w:rPr>
          <w:lang w:val="en-US"/>
        </w:rPr>
      </w:pPr>
    </w:p>
    <w:p w14:paraId="0229F762" w14:textId="77777777" w:rsidR="00123098" w:rsidRDefault="00123098" w:rsidP="00123098">
      <w:pPr>
        <w:autoSpaceDE w:val="0"/>
        <w:autoSpaceDN w:val="0"/>
        <w:adjustRightInd w:val="0"/>
        <w:spacing w:line="240" w:lineRule="auto"/>
        <w:jc w:val="left"/>
        <w:rPr>
          <w:rFonts w:cs="Times New Roman"/>
          <w:kern w:val="0"/>
          <w:szCs w:val="24"/>
          <w:lang w:val="en-US"/>
        </w:rPr>
      </w:pPr>
      <w:r>
        <w:rPr>
          <w:rFonts w:cs="Times New Roman"/>
          <w:noProof/>
          <w:kern w:val="0"/>
          <w:szCs w:val="24"/>
          <w:lang w:val="en-US"/>
        </w:rPr>
        <w:drawing>
          <wp:inline distT="0" distB="0" distL="0" distR="0" wp14:anchorId="5D5F5E14" wp14:editId="2EA905A0">
            <wp:extent cx="5732145" cy="3369310"/>
            <wp:effectExtent l="0" t="0" r="1905" b="2540"/>
            <wp:docPr id="108764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2145" cy="3369310"/>
                    </a:xfrm>
                    <a:prstGeom prst="rect">
                      <a:avLst/>
                    </a:prstGeom>
                    <a:noFill/>
                    <a:ln>
                      <a:noFill/>
                    </a:ln>
                  </pic:spPr>
                </pic:pic>
              </a:graphicData>
            </a:graphic>
          </wp:inline>
        </w:drawing>
      </w:r>
    </w:p>
    <w:p w14:paraId="4EC36A8F" w14:textId="73C88A47" w:rsidR="009C7ADA" w:rsidRDefault="009C7ADA" w:rsidP="009C7ADA">
      <w:pPr>
        <w:pStyle w:val="Caption"/>
        <w:rPr>
          <w:rFonts w:cs="Times New Roman"/>
          <w:kern w:val="0"/>
          <w:szCs w:val="24"/>
          <w:lang w:val="en-US"/>
        </w:rPr>
      </w:pPr>
      <w:bookmarkStart w:id="50" w:name="_Toc216408782"/>
      <w:r>
        <w:t xml:space="preserve">Figure </w:t>
      </w:r>
      <w:r>
        <w:fldChar w:fldCharType="begin"/>
      </w:r>
      <w:r>
        <w:instrText xml:space="preserve"> SEQ Figure \* ARABIC </w:instrText>
      </w:r>
      <w:r>
        <w:fldChar w:fldCharType="separate"/>
      </w:r>
      <w:r>
        <w:rPr>
          <w:noProof/>
        </w:rPr>
        <w:t>7</w:t>
      </w:r>
      <w:r>
        <w:rPr>
          <w:noProof/>
        </w:rPr>
        <w:fldChar w:fldCharType="end"/>
      </w:r>
      <w:r>
        <w:t>: Current role in Healthcare</w:t>
      </w:r>
      <w:bookmarkEnd w:id="50"/>
    </w:p>
    <w:p w14:paraId="5FF6DCFE" w14:textId="2347E7FB" w:rsidR="00123098" w:rsidRDefault="009C7ADA" w:rsidP="00123098">
      <w:pPr>
        <w:rPr>
          <w:lang w:val="en-US"/>
        </w:rPr>
      </w:pPr>
      <w:r w:rsidRPr="009C7ADA">
        <w:rPr>
          <w:lang w:val="en-US"/>
        </w:rPr>
        <w:t>Regarding professional roles, Management/Leadership positions dominate at 55.8%, suggesting significant representation from decision-making levels. Administrative/Support Staff comprise 33.1%, while Clinical roles account for 7.8% and Allied Health Professionals represent the smallest segment at 3.2%. This distribution indicates the survey captured perspectives primarily from managerial and administrative functions rather than frontline clinical staff.</w:t>
      </w:r>
    </w:p>
    <w:p w14:paraId="775FEBA0" w14:textId="77777777" w:rsidR="003B66D8" w:rsidRPr="009C7ADA" w:rsidRDefault="003B66D8" w:rsidP="00123098">
      <w:pPr>
        <w:rPr>
          <w:lang w:val="en-US"/>
        </w:rPr>
      </w:pPr>
    </w:p>
    <w:p w14:paraId="25D3E9C9" w14:textId="77777777" w:rsidR="00EE1657" w:rsidRDefault="00EE1657" w:rsidP="004C023B">
      <w:pPr>
        <w:pStyle w:val="Heading3"/>
      </w:pPr>
      <w:bookmarkStart w:id="51" w:name="_Toc216408896"/>
      <w:r>
        <w:t>4.2.2 Reliability and Validity Test</w:t>
      </w:r>
      <w:bookmarkEnd w:id="51"/>
    </w:p>
    <w:p w14:paraId="61D8B33A" w14:textId="16B349DF" w:rsidR="009C7ADA" w:rsidRPr="009C7ADA" w:rsidRDefault="009C7ADA" w:rsidP="009C7ADA">
      <w:pPr>
        <w:pStyle w:val="Caption"/>
        <w:jc w:val="both"/>
      </w:pPr>
      <w:r>
        <w:t xml:space="preserve">Table </w:t>
      </w:r>
      <w:r>
        <w:fldChar w:fldCharType="begin"/>
      </w:r>
      <w:r>
        <w:instrText xml:space="preserve"> SEQ Table \* ARABIC </w:instrText>
      </w:r>
      <w:r>
        <w:fldChar w:fldCharType="separate"/>
      </w:r>
      <w:r>
        <w:rPr>
          <w:noProof/>
        </w:rPr>
        <w:t>1</w:t>
      </w:r>
      <w:r>
        <w:rPr>
          <w:noProof/>
        </w:rPr>
        <w:fldChar w:fldCharType="end"/>
      </w:r>
      <w:r>
        <w:t>: Reliability test</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4712"/>
        <w:gridCol w:w="4314"/>
      </w:tblGrid>
      <w:tr w:rsidR="00123098" w:rsidRPr="004E50B3" w14:paraId="3FF95C93" w14:textId="77777777" w:rsidTr="00F033A7">
        <w:trPr>
          <w:cantSplit/>
        </w:trPr>
        <w:tc>
          <w:tcPr>
            <w:tcW w:w="5000" w:type="pct"/>
            <w:gridSpan w:val="2"/>
            <w:tcBorders>
              <w:top w:val="nil"/>
              <w:left w:val="nil"/>
              <w:bottom w:val="nil"/>
              <w:right w:val="nil"/>
            </w:tcBorders>
            <w:shd w:val="clear" w:color="auto" w:fill="FFFFFF"/>
            <w:vAlign w:val="center"/>
          </w:tcPr>
          <w:p w14:paraId="7665F1C7" w14:textId="77777777" w:rsidR="00123098" w:rsidRPr="004E50B3" w:rsidRDefault="00123098" w:rsidP="00F033A7">
            <w:pPr>
              <w:autoSpaceDE w:val="0"/>
              <w:autoSpaceDN w:val="0"/>
              <w:adjustRightInd w:val="0"/>
              <w:ind w:left="60" w:right="60"/>
              <w:jc w:val="left"/>
              <w:rPr>
                <w:rFonts w:ascii="Arial" w:hAnsi="Arial" w:cs="Arial"/>
                <w:color w:val="000000"/>
                <w:kern w:val="0"/>
                <w:szCs w:val="24"/>
                <w:lang w:val="en-US"/>
              </w:rPr>
            </w:pPr>
            <w:r w:rsidRPr="004E50B3">
              <w:rPr>
                <w:rFonts w:ascii="Arial" w:hAnsi="Arial" w:cs="Arial"/>
                <w:i/>
                <w:iCs/>
                <w:color w:val="000000"/>
                <w:kern w:val="0"/>
                <w:szCs w:val="24"/>
                <w:lang w:val="en-US"/>
              </w:rPr>
              <w:t>Reliability Statistics</w:t>
            </w:r>
          </w:p>
        </w:tc>
      </w:tr>
      <w:tr w:rsidR="00123098" w:rsidRPr="004E50B3" w14:paraId="11B4192D" w14:textId="77777777" w:rsidTr="00F033A7">
        <w:trPr>
          <w:cantSplit/>
        </w:trPr>
        <w:tc>
          <w:tcPr>
            <w:tcW w:w="2610" w:type="pct"/>
            <w:tcBorders>
              <w:left w:val="nil"/>
              <w:right w:val="nil"/>
            </w:tcBorders>
            <w:shd w:val="clear" w:color="auto" w:fill="FFFFFF"/>
            <w:vAlign w:val="bottom"/>
          </w:tcPr>
          <w:p w14:paraId="5C6141DA" w14:textId="77777777" w:rsidR="00123098" w:rsidRPr="004E50B3" w:rsidRDefault="00123098" w:rsidP="00F033A7">
            <w:pPr>
              <w:autoSpaceDE w:val="0"/>
              <w:autoSpaceDN w:val="0"/>
              <w:adjustRightInd w:val="0"/>
              <w:ind w:left="60" w:right="60"/>
              <w:jc w:val="center"/>
              <w:rPr>
                <w:rFonts w:ascii="Arial" w:hAnsi="Arial" w:cs="Arial"/>
                <w:color w:val="000000"/>
                <w:kern w:val="0"/>
                <w:szCs w:val="24"/>
                <w:lang w:val="en-US"/>
              </w:rPr>
            </w:pPr>
            <w:r w:rsidRPr="004E50B3">
              <w:rPr>
                <w:rFonts w:ascii="Arial" w:hAnsi="Arial" w:cs="Arial"/>
                <w:color w:val="000000"/>
                <w:kern w:val="0"/>
                <w:szCs w:val="24"/>
                <w:lang w:val="en-US"/>
              </w:rPr>
              <w:t>Cronbach's Alpha</w:t>
            </w:r>
          </w:p>
        </w:tc>
        <w:tc>
          <w:tcPr>
            <w:tcW w:w="2390" w:type="pct"/>
            <w:tcBorders>
              <w:left w:val="nil"/>
              <w:right w:val="nil"/>
            </w:tcBorders>
            <w:shd w:val="clear" w:color="auto" w:fill="FFFFFF"/>
            <w:vAlign w:val="bottom"/>
          </w:tcPr>
          <w:p w14:paraId="1A2828DB" w14:textId="77777777" w:rsidR="00123098" w:rsidRPr="004E50B3" w:rsidRDefault="00123098" w:rsidP="00F033A7">
            <w:pPr>
              <w:autoSpaceDE w:val="0"/>
              <w:autoSpaceDN w:val="0"/>
              <w:adjustRightInd w:val="0"/>
              <w:ind w:left="60" w:right="60"/>
              <w:jc w:val="center"/>
              <w:rPr>
                <w:rFonts w:ascii="Arial" w:hAnsi="Arial" w:cs="Arial"/>
                <w:color w:val="000000"/>
                <w:kern w:val="0"/>
                <w:szCs w:val="24"/>
                <w:lang w:val="en-US"/>
              </w:rPr>
            </w:pPr>
            <w:r w:rsidRPr="004E50B3">
              <w:rPr>
                <w:rFonts w:ascii="Arial" w:hAnsi="Arial" w:cs="Arial"/>
                <w:color w:val="000000"/>
                <w:kern w:val="0"/>
                <w:szCs w:val="24"/>
                <w:lang w:val="en-US"/>
              </w:rPr>
              <w:t>N of Items</w:t>
            </w:r>
          </w:p>
        </w:tc>
      </w:tr>
      <w:tr w:rsidR="00123098" w:rsidRPr="004E50B3" w14:paraId="199645A0" w14:textId="77777777" w:rsidTr="00F033A7">
        <w:trPr>
          <w:cantSplit/>
        </w:trPr>
        <w:tc>
          <w:tcPr>
            <w:tcW w:w="2610" w:type="pct"/>
            <w:tcBorders>
              <w:left w:val="nil"/>
              <w:right w:val="nil"/>
            </w:tcBorders>
            <w:shd w:val="clear" w:color="auto" w:fill="FFFFFF"/>
          </w:tcPr>
          <w:p w14:paraId="45368EFE" w14:textId="77777777" w:rsidR="00123098" w:rsidRPr="004E50B3" w:rsidRDefault="00123098" w:rsidP="00F033A7">
            <w:pPr>
              <w:autoSpaceDE w:val="0"/>
              <w:autoSpaceDN w:val="0"/>
              <w:adjustRightInd w:val="0"/>
              <w:ind w:left="60" w:right="60"/>
              <w:jc w:val="right"/>
              <w:rPr>
                <w:rFonts w:ascii="Arial" w:hAnsi="Arial" w:cs="Arial"/>
                <w:color w:val="000000"/>
                <w:kern w:val="0"/>
                <w:szCs w:val="24"/>
                <w:lang w:val="en-US"/>
              </w:rPr>
            </w:pPr>
            <w:r w:rsidRPr="004E50B3">
              <w:rPr>
                <w:rFonts w:ascii="Arial" w:hAnsi="Arial" w:cs="Arial"/>
                <w:color w:val="000000"/>
                <w:kern w:val="0"/>
                <w:szCs w:val="24"/>
                <w:lang w:val="en-US"/>
              </w:rPr>
              <w:t>.805</w:t>
            </w:r>
          </w:p>
        </w:tc>
        <w:tc>
          <w:tcPr>
            <w:tcW w:w="2390" w:type="pct"/>
            <w:tcBorders>
              <w:left w:val="nil"/>
              <w:right w:val="nil"/>
            </w:tcBorders>
            <w:shd w:val="clear" w:color="auto" w:fill="FFFFFF"/>
          </w:tcPr>
          <w:p w14:paraId="5918703A" w14:textId="77777777" w:rsidR="00123098" w:rsidRPr="004E50B3" w:rsidRDefault="00123098" w:rsidP="00F033A7">
            <w:pPr>
              <w:autoSpaceDE w:val="0"/>
              <w:autoSpaceDN w:val="0"/>
              <w:adjustRightInd w:val="0"/>
              <w:ind w:left="60" w:right="60"/>
              <w:jc w:val="right"/>
              <w:rPr>
                <w:rFonts w:ascii="Arial" w:hAnsi="Arial" w:cs="Arial"/>
                <w:color w:val="000000"/>
                <w:kern w:val="0"/>
                <w:szCs w:val="24"/>
                <w:lang w:val="en-US"/>
              </w:rPr>
            </w:pPr>
            <w:r w:rsidRPr="004E50B3">
              <w:rPr>
                <w:rFonts w:ascii="Arial" w:hAnsi="Arial" w:cs="Arial"/>
                <w:color w:val="000000"/>
                <w:kern w:val="0"/>
                <w:szCs w:val="24"/>
                <w:lang w:val="en-US"/>
              </w:rPr>
              <w:t>3</w:t>
            </w:r>
          </w:p>
        </w:tc>
      </w:tr>
    </w:tbl>
    <w:p w14:paraId="2137D7FE" w14:textId="77777777" w:rsidR="00123098" w:rsidRPr="00123098" w:rsidRDefault="00123098" w:rsidP="00123098"/>
    <w:p w14:paraId="50C3EF18" w14:textId="77777777" w:rsidR="00EE1657" w:rsidRDefault="00EE1657" w:rsidP="004C023B">
      <w:pPr>
        <w:pStyle w:val="Heading3"/>
      </w:pPr>
      <w:bookmarkStart w:id="52" w:name="_Toc216408897"/>
      <w:r>
        <w:lastRenderedPageBreak/>
        <w:t>4.2.3 Descriptive analysis</w:t>
      </w:r>
      <w:bookmarkEnd w:id="52"/>
    </w:p>
    <w:p w14:paraId="7F02B757" w14:textId="77777777" w:rsidR="004C023B" w:rsidRDefault="004C023B" w:rsidP="004C023B">
      <w:pPr>
        <w:pStyle w:val="Heading4"/>
      </w:pPr>
      <w:bookmarkStart w:id="53" w:name="_Hlk215197766"/>
      <w:r>
        <w:t>Awareness and Perception of Current D&amp;I Strategies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96"/>
        <w:gridCol w:w="867"/>
        <w:gridCol w:w="868"/>
        <w:gridCol w:w="593"/>
        <w:gridCol w:w="1019"/>
        <w:gridCol w:w="972"/>
        <w:gridCol w:w="868"/>
        <w:gridCol w:w="593"/>
        <w:gridCol w:w="867"/>
        <w:gridCol w:w="583"/>
      </w:tblGrid>
      <w:tr w:rsidR="00123098" w:rsidRPr="00ED2AE5" w14:paraId="19664634" w14:textId="77777777" w:rsidTr="00F033A7">
        <w:trPr>
          <w:cantSplit/>
        </w:trPr>
        <w:tc>
          <w:tcPr>
            <w:tcW w:w="5000" w:type="pct"/>
            <w:gridSpan w:val="10"/>
            <w:tcBorders>
              <w:top w:val="nil"/>
              <w:left w:val="nil"/>
              <w:bottom w:val="nil"/>
              <w:right w:val="nil"/>
            </w:tcBorders>
            <w:shd w:val="clear" w:color="auto" w:fill="FFFFFF"/>
            <w:vAlign w:val="center"/>
          </w:tcPr>
          <w:p w14:paraId="50564A1E"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Descriptive Statistics</w:t>
            </w:r>
          </w:p>
        </w:tc>
      </w:tr>
      <w:tr w:rsidR="00123098" w:rsidRPr="00ED2AE5" w14:paraId="071F845C" w14:textId="77777777" w:rsidTr="009C7ADA">
        <w:trPr>
          <w:cantSplit/>
        </w:trPr>
        <w:tc>
          <w:tcPr>
            <w:tcW w:w="995" w:type="pct"/>
            <w:vMerge w:val="restart"/>
            <w:tcBorders>
              <w:left w:val="nil"/>
              <w:bottom w:val="nil"/>
              <w:right w:val="nil"/>
            </w:tcBorders>
            <w:shd w:val="clear" w:color="auto" w:fill="FFFFFF"/>
            <w:vAlign w:val="bottom"/>
          </w:tcPr>
          <w:p w14:paraId="03A0028D"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480" w:type="pct"/>
            <w:tcBorders>
              <w:left w:val="nil"/>
            </w:tcBorders>
            <w:shd w:val="clear" w:color="auto" w:fill="FFFFFF"/>
            <w:vAlign w:val="bottom"/>
          </w:tcPr>
          <w:p w14:paraId="2C8E7D8B"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N</w:t>
            </w:r>
          </w:p>
        </w:tc>
        <w:tc>
          <w:tcPr>
            <w:tcW w:w="809" w:type="pct"/>
            <w:gridSpan w:val="2"/>
            <w:tcBorders>
              <w:left w:val="nil"/>
            </w:tcBorders>
            <w:shd w:val="clear" w:color="auto" w:fill="FFFFFF"/>
            <w:vAlign w:val="bottom"/>
          </w:tcPr>
          <w:p w14:paraId="7172F850"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Mean</w:t>
            </w:r>
          </w:p>
        </w:tc>
        <w:tc>
          <w:tcPr>
            <w:tcW w:w="564" w:type="pct"/>
            <w:tcBorders>
              <w:left w:val="nil"/>
            </w:tcBorders>
            <w:shd w:val="clear" w:color="auto" w:fill="FFFFFF"/>
            <w:vAlign w:val="bottom"/>
          </w:tcPr>
          <w:p w14:paraId="62AD0574"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Std. Deviation</w:t>
            </w:r>
          </w:p>
        </w:tc>
        <w:tc>
          <w:tcPr>
            <w:tcW w:w="538" w:type="pct"/>
            <w:tcBorders>
              <w:left w:val="nil"/>
            </w:tcBorders>
            <w:shd w:val="clear" w:color="auto" w:fill="FFFFFF"/>
            <w:vAlign w:val="bottom"/>
          </w:tcPr>
          <w:p w14:paraId="22B71EAA"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Variance</w:t>
            </w:r>
          </w:p>
        </w:tc>
        <w:tc>
          <w:tcPr>
            <w:tcW w:w="809" w:type="pct"/>
            <w:gridSpan w:val="2"/>
            <w:tcBorders>
              <w:left w:val="nil"/>
            </w:tcBorders>
            <w:shd w:val="clear" w:color="auto" w:fill="FFFFFF"/>
            <w:vAlign w:val="bottom"/>
          </w:tcPr>
          <w:p w14:paraId="66202C55"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Skewness</w:t>
            </w:r>
          </w:p>
        </w:tc>
        <w:tc>
          <w:tcPr>
            <w:tcW w:w="803" w:type="pct"/>
            <w:gridSpan w:val="2"/>
            <w:tcBorders>
              <w:left w:val="nil"/>
              <w:right w:val="nil"/>
            </w:tcBorders>
            <w:shd w:val="clear" w:color="auto" w:fill="FFFFFF"/>
            <w:vAlign w:val="bottom"/>
          </w:tcPr>
          <w:p w14:paraId="7B51AB24"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Kurtosis</w:t>
            </w:r>
          </w:p>
        </w:tc>
      </w:tr>
      <w:tr w:rsidR="00123098" w:rsidRPr="00ED2AE5" w14:paraId="6C835B39" w14:textId="77777777" w:rsidTr="009C7ADA">
        <w:trPr>
          <w:cantSplit/>
        </w:trPr>
        <w:tc>
          <w:tcPr>
            <w:tcW w:w="995" w:type="pct"/>
            <w:vMerge/>
            <w:tcBorders>
              <w:left w:val="nil"/>
              <w:bottom w:val="nil"/>
              <w:right w:val="nil"/>
            </w:tcBorders>
            <w:shd w:val="clear" w:color="auto" w:fill="FFFFFF"/>
            <w:vAlign w:val="bottom"/>
          </w:tcPr>
          <w:p w14:paraId="5F256FB2" w14:textId="77777777" w:rsidR="00123098" w:rsidRPr="00ED2AE5" w:rsidRDefault="00123098" w:rsidP="00F033A7">
            <w:pPr>
              <w:autoSpaceDE w:val="0"/>
              <w:autoSpaceDN w:val="0"/>
              <w:adjustRightInd w:val="0"/>
              <w:spacing w:line="240" w:lineRule="auto"/>
              <w:jc w:val="left"/>
              <w:rPr>
                <w:rFonts w:ascii="Arial" w:hAnsi="Arial" w:cs="Arial"/>
                <w:color w:val="000000"/>
                <w:kern w:val="0"/>
                <w:szCs w:val="24"/>
                <w:lang w:val="en-US"/>
              </w:rPr>
            </w:pPr>
          </w:p>
        </w:tc>
        <w:tc>
          <w:tcPr>
            <w:tcW w:w="480" w:type="pct"/>
            <w:tcBorders>
              <w:left w:val="nil"/>
            </w:tcBorders>
            <w:shd w:val="clear" w:color="auto" w:fill="FFFFFF"/>
            <w:vAlign w:val="bottom"/>
          </w:tcPr>
          <w:p w14:paraId="3A3AFB4C"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481" w:type="pct"/>
            <w:tcBorders>
              <w:left w:val="nil"/>
              <w:right w:val="nil"/>
            </w:tcBorders>
            <w:shd w:val="clear" w:color="auto" w:fill="FFFFFF"/>
            <w:vAlign w:val="bottom"/>
          </w:tcPr>
          <w:p w14:paraId="03C76137"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328" w:type="pct"/>
            <w:tcBorders>
              <w:left w:val="nil"/>
            </w:tcBorders>
            <w:shd w:val="clear" w:color="auto" w:fill="FFFFFF"/>
            <w:vAlign w:val="bottom"/>
          </w:tcPr>
          <w:p w14:paraId="12E91CDA"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Std. Error</w:t>
            </w:r>
          </w:p>
        </w:tc>
        <w:tc>
          <w:tcPr>
            <w:tcW w:w="564" w:type="pct"/>
            <w:tcBorders>
              <w:left w:val="nil"/>
            </w:tcBorders>
            <w:shd w:val="clear" w:color="auto" w:fill="FFFFFF"/>
            <w:vAlign w:val="bottom"/>
          </w:tcPr>
          <w:p w14:paraId="14048E92"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538" w:type="pct"/>
            <w:tcBorders>
              <w:left w:val="nil"/>
            </w:tcBorders>
            <w:shd w:val="clear" w:color="auto" w:fill="FFFFFF"/>
            <w:vAlign w:val="bottom"/>
          </w:tcPr>
          <w:p w14:paraId="0DDE336F"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481" w:type="pct"/>
            <w:tcBorders>
              <w:left w:val="nil"/>
              <w:right w:val="nil"/>
            </w:tcBorders>
            <w:shd w:val="clear" w:color="auto" w:fill="FFFFFF"/>
            <w:vAlign w:val="bottom"/>
          </w:tcPr>
          <w:p w14:paraId="2067EC3D"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328" w:type="pct"/>
            <w:tcBorders>
              <w:left w:val="nil"/>
            </w:tcBorders>
            <w:shd w:val="clear" w:color="auto" w:fill="FFFFFF"/>
            <w:vAlign w:val="bottom"/>
          </w:tcPr>
          <w:p w14:paraId="4DDE9B81"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Std. Error</w:t>
            </w:r>
          </w:p>
        </w:tc>
        <w:tc>
          <w:tcPr>
            <w:tcW w:w="480" w:type="pct"/>
            <w:tcBorders>
              <w:left w:val="nil"/>
              <w:right w:val="nil"/>
            </w:tcBorders>
            <w:shd w:val="clear" w:color="auto" w:fill="FFFFFF"/>
            <w:vAlign w:val="bottom"/>
          </w:tcPr>
          <w:p w14:paraId="7000784E"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323" w:type="pct"/>
            <w:tcBorders>
              <w:left w:val="nil"/>
              <w:right w:val="nil"/>
            </w:tcBorders>
            <w:shd w:val="clear" w:color="auto" w:fill="FFFFFF"/>
            <w:vAlign w:val="bottom"/>
          </w:tcPr>
          <w:p w14:paraId="5D143D5F"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Std. Error</w:t>
            </w:r>
          </w:p>
        </w:tc>
      </w:tr>
      <w:tr w:rsidR="00123098" w:rsidRPr="00ED2AE5" w14:paraId="4F52D6A1" w14:textId="77777777" w:rsidTr="009C7ADA">
        <w:trPr>
          <w:cantSplit/>
        </w:trPr>
        <w:tc>
          <w:tcPr>
            <w:tcW w:w="995" w:type="pct"/>
            <w:tcBorders>
              <w:left w:val="nil"/>
              <w:bottom w:val="nil"/>
              <w:right w:val="nil"/>
            </w:tcBorders>
            <w:shd w:val="clear" w:color="auto" w:fill="FFFFFF"/>
          </w:tcPr>
          <w:p w14:paraId="064F8143"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 xml:space="preserve">5. I am aware of my Trust's formal </w:t>
            </w:r>
            <w:proofErr w:type="spellStart"/>
            <w:r w:rsidRPr="00ED2AE5">
              <w:rPr>
                <w:rFonts w:ascii="Arial" w:hAnsi="Arial" w:cs="Arial"/>
                <w:color w:val="000000"/>
                <w:kern w:val="0"/>
                <w:szCs w:val="24"/>
                <w:lang w:val="en-US"/>
              </w:rPr>
              <w:t>D&amp;amp;I</w:t>
            </w:r>
            <w:proofErr w:type="spellEnd"/>
            <w:r w:rsidRPr="00ED2AE5">
              <w:rPr>
                <w:rFonts w:ascii="Arial" w:hAnsi="Arial" w:cs="Arial"/>
                <w:color w:val="000000"/>
                <w:kern w:val="0"/>
                <w:szCs w:val="24"/>
                <w:lang w:val="en-US"/>
              </w:rPr>
              <w:t xml:space="preserve"> policy or strategy.</w:t>
            </w:r>
          </w:p>
        </w:tc>
        <w:tc>
          <w:tcPr>
            <w:tcW w:w="480" w:type="pct"/>
            <w:tcBorders>
              <w:left w:val="nil"/>
              <w:bottom w:val="nil"/>
            </w:tcBorders>
            <w:shd w:val="clear" w:color="auto" w:fill="FFFFFF"/>
          </w:tcPr>
          <w:p w14:paraId="331E9C04"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481" w:type="pct"/>
            <w:tcBorders>
              <w:left w:val="nil"/>
              <w:bottom w:val="nil"/>
              <w:right w:val="nil"/>
            </w:tcBorders>
            <w:shd w:val="clear" w:color="auto" w:fill="FFFFFF"/>
          </w:tcPr>
          <w:p w14:paraId="38541387"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3.49</w:t>
            </w:r>
          </w:p>
        </w:tc>
        <w:tc>
          <w:tcPr>
            <w:tcW w:w="328" w:type="pct"/>
            <w:tcBorders>
              <w:left w:val="nil"/>
              <w:bottom w:val="nil"/>
            </w:tcBorders>
            <w:shd w:val="clear" w:color="auto" w:fill="FFFFFF"/>
          </w:tcPr>
          <w:p w14:paraId="0C7E063A"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.084</w:t>
            </w:r>
          </w:p>
        </w:tc>
        <w:tc>
          <w:tcPr>
            <w:tcW w:w="564" w:type="pct"/>
            <w:tcBorders>
              <w:left w:val="nil"/>
              <w:bottom w:val="nil"/>
            </w:tcBorders>
            <w:shd w:val="clear" w:color="auto" w:fill="FFFFFF"/>
          </w:tcPr>
          <w:p w14:paraId="59C18CED"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1.037</w:t>
            </w:r>
          </w:p>
        </w:tc>
        <w:tc>
          <w:tcPr>
            <w:tcW w:w="538" w:type="pct"/>
            <w:tcBorders>
              <w:left w:val="nil"/>
              <w:bottom w:val="nil"/>
            </w:tcBorders>
            <w:shd w:val="clear" w:color="auto" w:fill="FFFFFF"/>
          </w:tcPr>
          <w:p w14:paraId="7148403A"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1.075</w:t>
            </w:r>
          </w:p>
        </w:tc>
        <w:tc>
          <w:tcPr>
            <w:tcW w:w="481" w:type="pct"/>
            <w:tcBorders>
              <w:left w:val="nil"/>
              <w:bottom w:val="nil"/>
              <w:right w:val="nil"/>
            </w:tcBorders>
            <w:shd w:val="clear" w:color="auto" w:fill="FFFFFF"/>
          </w:tcPr>
          <w:p w14:paraId="7BD4F2FE"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-.517</w:t>
            </w:r>
          </w:p>
        </w:tc>
        <w:tc>
          <w:tcPr>
            <w:tcW w:w="328" w:type="pct"/>
            <w:tcBorders>
              <w:left w:val="nil"/>
              <w:bottom w:val="nil"/>
            </w:tcBorders>
            <w:shd w:val="clear" w:color="auto" w:fill="FFFFFF"/>
          </w:tcPr>
          <w:p w14:paraId="337AF947"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480" w:type="pct"/>
            <w:tcBorders>
              <w:left w:val="nil"/>
              <w:bottom w:val="nil"/>
              <w:right w:val="nil"/>
            </w:tcBorders>
            <w:shd w:val="clear" w:color="auto" w:fill="FFFFFF"/>
          </w:tcPr>
          <w:p w14:paraId="0FB9EE24"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-.190</w:t>
            </w:r>
          </w:p>
        </w:tc>
        <w:tc>
          <w:tcPr>
            <w:tcW w:w="323" w:type="pct"/>
            <w:tcBorders>
              <w:left w:val="nil"/>
              <w:bottom w:val="nil"/>
              <w:right w:val="nil"/>
            </w:tcBorders>
            <w:shd w:val="clear" w:color="auto" w:fill="FFFFFF"/>
          </w:tcPr>
          <w:p w14:paraId="6AF18A48"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.389</w:t>
            </w:r>
          </w:p>
        </w:tc>
      </w:tr>
      <w:tr w:rsidR="00123098" w:rsidRPr="00ED2AE5" w14:paraId="59924BF4" w14:textId="77777777" w:rsidTr="009C7ADA">
        <w:trPr>
          <w:cantSplit/>
        </w:trPr>
        <w:tc>
          <w:tcPr>
            <w:tcW w:w="995" w:type="pct"/>
            <w:tcBorders>
              <w:top w:val="nil"/>
              <w:left w:val="nil"/>
              <w:bottom w:val="nil"/>
              <w:right w:val="nil"/>
            </w:tcBorders>
            <w:shd w:val="clear" w:color="auto" w:fill="FFFFFF"/>
          </w:tcPr>
          <w:p w14:paraId="3800BCAD"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6. My Trust has effective staff networks or affinity groups (e.g., for BAME, disabled staff).</w:t>
            </w:r>
          </w:p>
        </w:tc>
        <w:tc>
          <w:tcPr>
            <w:tcW w:w="480" w:type="pct"/>
            <w:tcBorders>
              <w:top w:val="nil"/>
              <w:left w:val="nil"/>
              <w:bottom w:val="nil"/>
            </w:tcBorders>
            <w:shd w:val="clear" w:color="auto" w:fill="FFFFFF"/>
          </w:tcPr>
          <w:p w14:paraId="0F52F8B1"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481" w:type="pct"/>
            <w:tcBorders>
              <w:top w:val="nil"/>
              <w:left w:val="nil"/>
              <w:bottom w:val="nil"/>
              <w:right w:val="nil"/>
            </w:tcBorders>
            <w:shd w:val="clear" w:color="auto" w:fill="FFFFFF"/>
          </w:tcPr>
          <w:p w14:paraId="7D1B487B"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3.41</w:t>
            </w:r>
          </w:p>
        </w:tc>
        <w:tc>
          <w:tcPr>
            <w:tcW w:w="328" w:type="pct"/>
            <w:tcBorders>
              <w:top w:val="nil"/>
              <w:left w:val="nil"/>
              <w:bottom w:val="nil"/>
            </w:tcBorders>
            <w:shd w:val="clear" w:color="auto" w:fill="FFFFFF"/>
          </w:tcPr>
          <w:p w14:paraId="1AB8A101"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.112</w:t>
            </w:r>
          </w:p>
        </w:tc>
        <w:tc>
          <w:tcPr>
            <w:tcW w:w="564" w:type="pct"/>
            <w:tcBorders>
              <w:top w:val="nil"/>
              <w:left w:val="nil"/>
              <w:bottom w:val="nil"/>
            </w:tcBorders>
            <w:shd w:val="clear" w:color="auto" w:fill="FFFFFF"/>
          </w:tcPr>
          <w:p w14:paraId="380562D4"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1.389</w:t>
            </w:r>
          </w:p>
        </w:tc>
        <w:tc>
          <w:tcPr>
            <w:tcW w:w="538" w:type="pct"/>
            <w:tcBorders>
              <w:top w:val="nil"/>
              <w:left w:val="nil"/>
              <w:bottom w:val="nil"/>
            </w:tcBorders>
            <w:shd w:val="clear" w:color="auto" w:fill="FFFFFF"/>
          </w:tcPr>
          <w:p w14:paraId="41AD3316"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1.930</w:t>
            </w:r>
          </w:p>
        </w:tc>
        <w:tc>
          <w:tcPr>
            <w:tcW w:w="481" w:type="pct"/>
            <w:tcBorders>
              <w:top w:val="nil"/>
              <w:left w:val="nil"/>
              <w:bottom w:val="nil"/>
              <w:right w:val="nil"/>
            </w:tcBorders>
            <w:shd w:val="clear" w:color="auto" w:fill="FFFFFF"/>
          </w:tcPr>
          <w:p w14:paraId="2C8DA531"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-.469</w:t>
            </w:r>
          </w:p>
        </w:tc>
        <w:tc>
          <w:tcPr>
            <w:tcW w:w="328" w:type="pct"/>
            <w:tcBorders>
              <w:top w:val="nil"/>
              <w:left w:val="nil"/>
              <w:bottom w:val="nil"/>
            </w:tcBorders>
            <w:shd w:val="clear" w:color="auto" w:fill="FFFFFF"/>
          </w:tcPr>
          <w:p w14:paraId="5107063E"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480" w:type="pct"/>
            <w:tcBorders>
              <w:top w:val="nil"/>
              <w:left w:val="nil"/>
              <w:bottom w:val="nil"/>
              <w:right w:val="nil"/>
            </w:tcBorders>
            <w:shd w:val="clear" w:color="auto" w:fill="FFFFFF"/>
          </w:tcPr>
          <w:p w14:paraId="15875044"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-1.054</w:t>
            </w:r>
          </w:p>
        </w:tc>
        <w:tc>
          <w:tcPr>
            <w:tcW w:w="323" w:type="pct"/>
            <w:tcBorders>
              <w:top w:val="nil"/>
              <w:left w:val="nil"/>
              <w:bottom w:val="nil"/>
              <w:right w:val="nil"/>
            </w:tcBorders>
            <w:shd w:val="clear" w:color="auto" w:fill="FFFFFF"/>
          </w:tcPr>
          <w:p w14:paraId="031F0F15"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.389</w:t>
            </w:r>
          </w:p>
        </w:tc>
      </w:tr>
      <w:tr w:rsidR="00123098" w:rsidRPr="00ED2AE5" w14:paraId="1C253792" w14:textId="77777777" w:rsidTr="009C7ADA">
        <w:trPr>
          <w:cantSplit/>
        </w:trPr>
        <w:tc>
          <w:tcPr>
            <w:tcW w:w="995" w:type="pct"/>
            <w:tcBorders>
              <w:top w:val="nil"/>
              <w:left w:val="nil"/>
              <w:bottom w:val="nil"/>
              <w:right w:val="nil"/>
            </w:tcBorders>
            <w:shd w:val="clear" w:color="auto" w:fill="FFFFFF"/>
          </w:tcPr>
          <w:p w14:paraId="5C78B9BD"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 xml:space="preserve">7. Senior leadership visibly champions and communicates the importance of </w:t>
            </w:r>
            <w:proofErr w:type="spellStart"/>
            <w:r w:rsidRPr="00ED2AE5">
              <w:rPr>
                <w:rFonts w:ascii="Arial" w:hAnsi="Arial" w:cs="Arial"/>
                <w:color w:val="000000"/>
                <w:kern w:val="0"/>
                <w:szCs w:val="24"/>
                <w:lang w:val="en-US"/>
              </w:rPr>
              <w:t>D&amp;amp;I</w:t>
            </w:r>
            <w:proofErr w:type="spellEnd"/>
            <w:r w:rsidRPr="00ED2AE5">
              <w:rPr>
                <w:rFonts w:ascii="Arial" w:hAnsi="Arial" w:cs="Arial"/>
                <w:color w:val="000000"/>
                <w:kern w:val="0"/>
                <w:szCs w:val="24"/>
                <w:lang w:val="en-US"/>
              </w:rPr>
              <w:t>.</w:t>
            </w:r>
          </w:p>
        </w:tc>
        <w:tc>
          <w:tcPr>
            <w:tcW w:w="480" w:type="pct"/>
            <w:tcBorders>
              <w:top w:val="nil"/>
              <w:left w:val="nil"/>
              <w:bottom w:val="nil"/>
            </w:tcBorders>
            <w:shd w:val="clear" w:color="auto" w:fill="FFFFFF"/>
          </w:tcPr>
          <w:p w14:paraId="1E7A804C"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481" w:type="pct"/>
            <w:tcBorders>
              <w:top w:val="nil"/>
              <w:left w:val="nil"/>
              <w:bottom w:val="nil"/>
              <w:right w:val="nil"/>
            </w:tcBorders>
            <w:shd w:val="clear" w:color="auto" w:fill="FFFFFF"/>
          </w:tcPr>
          <w:p w14:paraId="5C98A804"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3.39</w:t>
            </w:r>
          </w:p>
        </w:tc>
        <w:tc>
          <w:tcPr>
            <w:tcW w:w="328" w:type="pct"/>
            <w:tcBorders>
              <w:top w:val="nil"/>
              <w:left w:val="nil"/>
              <w:bottom w:val="nil"/>
            </w:tcBorders>
            <w:shd w:val="clear" w:color="auto" w:fill="FFFFFF"/>
          </w:tcPr>
          <w:p w14:paraId="67729B6F"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.122</w:t>
            </w:r>
          </w:p>
        </w:tc>
        <w:tc>
          <w:tcPr>
            <w:tcW w:w="564" w:type="pct"/>
            <w:tcBorders>
              <w:top w:val="nil"/>
              <w:left w:val="nil"/>
              <w:bottom w:val="nil"/>
            </w:tcBorders>
            <w:shd w:val="clear" w:color="auto" w:fill="FFFFFF"/>
          </w:tcPr>
          <w:p w14:paraId="32C1E670"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1.509</w:t>
            </w:r>
          </w:p>
        </w:tc>
        <w:tc>
          <w:tcPr>
            <w:tcW w:w="538" w:type="pct"/>
            <w:tcBorders>
              <w:top w:val="nil"/>
              <w:left w:val="nil"/>
              <w:bottom w:val="nil"/>
            </w:tcBorders>
            <w:shd w:val="clear" w:color="auto" w:fill="FFFFFF"/>
          </w:tcPr>
          <w:p w14:paraId="53B22CDB"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2.279</w:t>
            </w:r>
          </w:p>
        </w:tc>
        <w:tc>
          <w:tcPr>
            <w:tcW w:w="481" w:type="pct"/>
            <w:tcBorders>
              <w:top w:val="nil"/>
              <w:left w:val="nil"/>
              <w:bottom w:val="nil"/>
              <w:right w:val="nil"/>
            </w:tcBorders>
            <w:shd w:val="clear" w:color="auto" w:fill="FFFFFF"/>
          </w:tcPr>
          <w:p w14:paraId="756FA30D"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-.467</w:t>
            </w:r>
          </w:p>
        </w:tc>
        <w:tc>
          <w:tcPr>
            <w:tcW w:w="328" w:type="pct"/>
            <w:tcBorders>
              <w:top w:val="nil"/>
              <w:left w:val="nil"/>
              <w:bottom w:val="nil"/>
            </w:tcBorders>
            <w:shd w:val="clear" w:color="auto" w:fill="FFFFFF"/>
          </w:tcPr>
          <w:p w14:paraId="56CF0D3A"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480" w:type="pct"/>
            <w:tcBorders>
              <w:top w:val="nil"/>
              <w:left w:val="nil"/>
              <w:bottom w:val="nil"/>
              <w:right w:val="nil"/>
            </w:tcBorders>
            <w:shd w:val="clear" w:color="auto" w:fill="FFFFFF"/>
          </w:tcPr>
          <w:p w14:paraId="603B4C4D"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-1.257</w:t>
            </w:r>
          </w:p>
        </w:tc>
        <w:tc>
          <w:tcPr>
            <w:tcW w:w="323" w:type="pct"/>
            <w:tcBorders>
              <w:top w:val="nil"/>
              <w:left w:val="nil"/>
              <w:bottom w:val="nil"/>
              <w:right w:val="nil"/>
            </w:tcBorders>
            <w:shd w:val="clear" w:color="auto" w:fill="FFFFFF"/>
          </w:tcPr>
          <w:p w14:paraId="5DEB04D5"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.389</w:t>
            </w:r>
          </w:p>
        </w:tc>
      </w:tr>
      <w:tr w:rsidR="00123098" w:rsidRPr="00ED2AE5" w14:paraId="1CCE53D3" w14:textId="77777777" w:rsidTr="009C7ADA">
        <w:trPr>
          <w:cantSplit/>
        </w:trPr>
        <w:tc>
          <w:tcPr>
            <w:tcW w:w="995" w:type="pct"/>
            <w:tcBorders>
              <w:top w:val="nil"/>
              <w:left w:val="nil"/>
              <w:bottom w:val="nil"/>
              <w:right w:val="nil"/>
            </w:tcBorders>
            <w:shd w:val="clear" w:color="auto" w:fill="FFFFFF"/>
          </w:tcPr>
          <w:p w14:paraId="5AD1ADDC"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8. Staff from underrepresented groups have equal access to career development opportunities.</w:t>
            </w:r>
          </w:p>
        </w:tc>
        <w:tc>
          <w:tcPr>
            <w:tcW w:w="480" w:type="pct"/>
            <w:tcBorders>
              <w:top w:val="nil"/>
              <w:left w:val="nil"/>
              <w:bottom w:val="nil"/>
            </w:tcBorders>
            <w:shd w:val="clear" w:color="auto" w:fill="FFFFFF"/>
          </w:tcPr>
          <w:p w14:paraId="3907B840"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481" w:type="pct"/>
            <w:tcBorders>
              <w:top w:val="nil"/>
              <w:left w:val="nil"/>
              <w:bottom w:val="nil"/>
              <w:right w:val="nil"/>
            </w:tcBorders>
            <w:shd w:val="clear" w:color="auto" w:fill="FFFFFF"/>
          </w:tcPr>
          <w:p w14:paraId="7834353B"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3.40</w:t>
            </w:r>
          </w:p>
        </w:tc>
        <w:tc>
          <w:tcPr>
            <w:tcW w:w="328" w:type="pct"/>
            <w:tcBorders>
              <w:top w:val="nil"/>
              <w:left w:val="nil"/>
              <w:bottom w:val="nil"/>
            </w:tcBorders>
            <w:shd w:val="clear" w:color="auto" w:fill="FFFFFF"/>
          </w:tcPr>
          <w:p w14:paraId="05EB0B4D"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.115</w:t>
            </w:r>
          </w:p>
        </w:tc>
        <w:tc>
          <w:tcPr>
            <w:tcW w:w="564" w:type="pct"/>
            <w:tcBorders>
              <w:top w:val="nil"/>
              <w:left w:val="nil"/>
              <w:bottom w:val="nil"/>
            </w:tcBorders>
            <w:shd w:val="clear" w:color="auto" w:fill="FFFFFF"/>
          </w:tcPr>
          <w:p w14:paraId="251D4DFC"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1.421</w:t>
            </w:r>
          </w:p>
        </w:tc>
        <w:tc>
          <w:tcPr>
            <w:tcW w:w="538" w:type="pct"/>
            <w:tcBorders>
              <w:top w:val="nil"/>
              <w:left w:val="nil"/>
              <w:bottom w:val="nil"/>
            </w:tcBorders>
            <w:shd w:val="clear" w:color="auto" w:fill="FFFFFF"/>
          </w:tcPr>
          <w:p w14:paraId="70457B2F"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2.020</w:t>
            </w:r>
          </w:p>
        </w:tc>
        <w:tc>
          <w:tcPr>
            <w:tcW w:w="481" w:type="pct"/>
            <w:tcBorders>
              <w:top w:val="nil"/>
              <w:left w:val="nil"/>
              <w:bottom w:val="nil"/>
              <w:right w:val="nil"/>
            </w:tcBorders>
            <w:shd w:val="clear" w:color="auto" w:fill="FFFFFF"/>
          </w:tcPr>
          <w:p w14:paraId="3493B495"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-.464</w:t>
            </w:r>
          </w:p>
        </w:tc>
        <w:tc>
          <w:tcPr>
            <w:tcW w:w="328" w:type="pct"/>
            <w:tcBorders>
              <w:top w:val="nil"/>
              <w:left w:val="nil"/>
              <w:bottom w:val="nil"/>
            </w:tcBorders>
            <w:shd w:val="clear" w:color="auto" w:fill="FFFFFF"/>
          </w:tcPr>
          <w:p w14:paraId="2183915F"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480" w:type="pct"/>
            <w:tcBorders>
              <w:top w:val="nil"/>
              <w:left w:val="nil"/>
              <w:bottom w:val="nil"/>
              <w:right w:val="nil"/>
            </w:tcBorders>
            <w:shd w:val="clear" w:color="auto" w:fill="FFFFFF"/>
          </w:tcPr>
          <w:p w14:paraId="4F6CA9CD"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-1.151</w:t>
            </w:r>
          </w:p>
        </w:tc>
        <w:tc>
          <w:tcPr>
            <w:tcW w:w="323" w:type="pct"/>
            <w:tcBorders>
              <w:top w:val="nil"/>
              <w:left w:val="nil"/>
              <w:bottom w:val="nil"/>
              <w:right w:val="nil"/>
            </w:tcBorders>
            <w:shd w:val="clear" w:color="auto" w:fill="FFFFFF"/>
          </w:tcPr>
          <w:p w14:paraId="16BAF178"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.389</w:t>
            </w:r>
          </w:p>
        </w:tc>
      </w:tr>
      <w:tr w:rsidR="00123098" w:rsidRPr="00ED2AE5" w14:paraId="4C4F66CE" w14:textId="77777777" w:rsidTr="009C7ADA">
        <w:trPr>
          <w:cantSplit/>
        </w:trPr>
        <w:tc>
          <w:tcPr>
            <w:tcW w:w="995" w:type="pct"/>
            <w:tcBorders>
              <w:top w:val="nil"/>
              <w:left w:val="nil"/>
              <w:right w:val="nil"/>
            </w:tcBorders>
            <w:shd w:val="clear" w:color="auto" w:fill="FFFFFF"/>
          </w:tcPr>
          <w:p w14:paraId="32728737"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 N (listwise)</w:t>
            </w:r>
          </w:p>
        </w:tc>
        <w:tc>
          <w:tcPr>
            <w:tcW w:w="480" w:type="pct"/>
            <w:tcBorders>
              <w:top w:val="nil"/>
              <w:left w:val="nil"/>
            </w:tcBorders>
            <w:shd w:val="clear" w:color="auto" w:fill="FFFFFF"/>
          </w:tcPr>
          <w:p w14:paraId="6EBA2058"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481" w:type="pct"/>
            <w:tcBorders>
              <w:top w:val="nil"/>
              <w:left w:val="nil"/>
              <w:right w:val="nil"/>
            </w:tcBorders>
            <w:shd w:val="clear" w:color="auto" w:fill="FFFFFF"/>
            <w:vAlign w:val="center"/>
          </w:tcPr>
          <w:p w14:paraId="7577C83A"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328" w:type="pct"/>
            <w:tcBorders>
              <w:top w:val="nil"/>
              <w:left w:val="nil"/>
            </w:tcBorders>
            <w:shd w:val="clear" w:color="auto" w:fill="FFFFFF"/>
            <w:vAlign w:val="center"/>
          </w:tcPr>
          <w:p w14:paraId="0F494771"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564" w:type="pct"/>
            <w:tcBorders>
              <w:top w:val="nil"/>
              <w:left w:val="nil"/>
            </w:tcBorders>
            <w:shd w:val="clear" w:color="auto" w:fill="FFFFFF"/>
            <w:vAlign w:val="center"/>
          </w:tcPr>
          <w:p w14:paraId="094682F6"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538" w:type="pct"/>
            <w:tcBorders>
              <w:top w:val="nil"/>
              <w:left w:val="nil"/>
            </w:tcBorders>
            <w:shd w:val="clear" w:color="auto" w:fill="FFFFFF"/>
            <w:vAlign w:val="center"/>
          </w:tcPr>
          <w:p w14:paraId="711AC0BA"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481" w:type="pct"/>
            <w:tcBorders>
              <w:top w:val="nil"/>
              <w:left w:val="nil"/>
              <w:right w:val="nil"/>
            </w:tcBorders>
            <w:shd w:val="clear" w:color="auto" w:fill="FFFFFF"/>
            <w:vAlign w:val="center"/>
          </w:tcPr>
          <w:p w14:paraId="2A60839A"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328" w:type="pct"/>
            <w:tcBorders>
              <w:top w:val="nil"/>
              <w:left w:val="nil"/>
            </w:tcBorders>
            <w:shd w:val="clear" w:color="auto" w:fill="FFFFFF"/>
            <w:vAlign w:val="center"/>
          </w:tcPr>
          <w:p w14:paraId="53A5714D"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480" w:type="pct"/>
            <w:tcBorders>
              <w:top w:val="nil"/>
              <w:left w:val="nil"/>
              <w:right w:val="nil"/>
            </w:tcBorders>
            <w:shd w:val="clear" w:color="auto" w:fill="FFFFFF"/>
            <w:vAlign w:val="center"/>
          </w:tcPr>
          <w:p w14:paraId="0CF88652"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323" w:type="pct"/>
            <w:tcBorders>
              <w:top w:val="nil"/>
              <w:left w:val="nil"/>
              <w:right w:val="nil"/>
            </w:tcBorders>
            <w:shd w:val="clear" w:color="auto" w:fill="FFFFFF"/>
            <w:vAlign w:val="center"/>
          </w:tcPr>
          <w:p w14:paraId="3545A81E"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r>
    </w:tbl>
    <w:p w14:paraId="614219F4" w14:textId="77777777" w:rsidR="00033A7F" w:rsidRDefault="00033A7F" w:rsidP="00033A7F">
      <w:r>
        <w:t>The descriptive statistics provide the evidence of the average awareness and positive perception of diversity and inclusion (D&amp;I) strategies among 154 respondents on four major dimensions.</w:t>
      </w:r>
    </w:p>
    <w:p w14:paraId="3FEA9CA1" w14:textId="77777777" w:rsidR="00033A7F" w:rsidRDefault="00033A7F" w:rsidP="00033A7F">
      <w:r>
        <w:t xml:space="preserve">The average scores fall in a very close range of 3.39-3.49, which implies that the people tend to support D&amp;I statements but not passionately. The largest score (3.49) is associated with </w:t>
      </w:r>
      <w:r>
        <w:lastRenderedPageBreak/>
        <w:t>being aware of official D&amp;I policies, which demonstrates reasonable knowledge of organisational practises. Career opportunities were rated equally (3.40), employee support organisations (3.41) and support offered by top leaders were rated almost the same (3.39).</w:t>
      </w:r>
    </w:p>
    <w:p w14:paraId="2687910D" w14:textId="77777777" w:rsidR="00033A7F" w:rsidRDefault="00033A7F" w:rsidP="00033A7F">
      <w:r>
        <w:t>The difference in responses is between 1.037 and 1.509. The largest differences are in leadership visibility (question 7), where people have very different opinions regarding the extent to which senior managers are committed to D&amp;I. Policy awareness has minimum differences (1.037), meaning that the people largely agree on this issue.</w:t>
      </w:r>
    </w:p>
    <w:p w14:paraId="54B1FA6B" w14:textId="77777777" w:rsidR="003B66D8" w:rsidRDefault="003B66D8" w:rsidP="00033A7F"/>
    <w:p w14:paraId="39D45AEB" w14:textId="77777777" w:rsidR="00033A7F" w:rsidRDefault="00033A7F" w:rsidP="00033A7F">
      <w:r>
        <w:t>There are no questions that are skewed towards disagreement (skewness between -0.464 and -0.517). This has a usually positive perception, but not high interest.</w:t>
      </w:r>
    </w:p>
    <w:p w14:paraId="1D748E7B" w14:textId="77777777" w:rsidR="003B66D8" w:rsidRDefault="003B66D8" w:rsidP="00033A7F"/>
    <w:p w14:paraId="22B0AFE1" w14:textId="77777777" w:rsidR="00033A7F" w:rsidRDefault="00033A7F" w:rsidP="00033A7F">
      <w:r>
        <w:t>All the questions have flatter, more dispersed patterns of responses than normal bell curves (kurtosis between -.190 and -1.257). Question 7 presents the most flattened trend (-1.257), which implies that people are not grouped around the entirety but strived to spread across the rating scale. This ensures the high variation that has been noted.</w:t>
      </w:r>
    </w:p>
    <w:p w14:paraId="49422149" w14:textId="77777777" w:rsidR="003B66D8" w:rsidRDefault="003B66D8" w:rsidP="00033A7F"/>
    <w:p w14:paraId="34EFE13F" w14:textId="77777777" w:rsidR="003B66D8" w:rsidRDefault="003B66D8" w:rsidP="00033A7F"/>
    <w:p w14:paraId="548101AB" w14:textId="6F5821A7" w:rsidR="004C023B" w:rsidRDefault="00033A7F" w:rsidP="00033A7F">
      <w:r>
        <w:t>The equal averages with different levels of agreement imply that the perception of D&amp;I is slightly positive, although individuals are more in agreement on certain issues than other. Employee networks and leadership attention lead to more ambivalent views, possibly indicating unequal experiences or disparities in the spectrums of D&amp;I application in different organisational levels.</w:t>
      </w:r>
    </w:p>
    <w:p w14:paraId="720C5A31" w14:textId="77777777" w:rsidR="003B66D8" w:rsidRPr="004C023B" w:rsidRDefault="003B66D8" w:rsidP="00033A7F"/>
    <w:p w14:paraId="2640809D" w14:textId="77777777" w:rsidR="004C023B" w:rsidRDefault="004C023B" w:rsidP="004C023B">
      <w:pPr>
        <w:pStyle w:val="Heading4"/>
      </w:pPr>
      <w:r>
        <w:t>Personal Experience of Inclusivity</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385"/>
        <w:gridCol w:w="916"/>
        <w:gridCol w:w="917"/>
        <w:gridCol w:w="627"/>
        <w:gridCol w:w="1077"/>
        <w:gridCol w:w="1027"/>
        <w:gridCol w:w="917"/>
        <w:gridCol w:w="627"/>
        <w:gridCol w:w="916"/>
        <w:gridCol w:w="617"/>
      </w:tblGrid>
      <w:tr w:rsidR="00123098" w:rsidRPr="00ED2AE5" w14:paraId="42781FD6" w14:textId="77777777" w:rsidTr="00F033A7">
        <w:trPr>
          <w:cantSplit/>
        </w:trPr>
        <w:tc>
          <w:tcPr>
            <w:tcW w:w="5000" w:type="pct"/>
            <w:gridSpan w:val="10"/>
            <w:tcBorders>
              <w:top w:val="nil"/>
              <w:left w:val="nil"/>
              <w:bottom w:val="nil"/>
              <w:right w:val="nil"/>
            </w:tcBorders>
            <w:shd w:val="clear" w:color="auto" w:fill="FFFFFF"/>
            <w:vAlign w:val="center"/>
          </w:tcPr>
          <w:p w14:paraId="4D43F0C2"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Descriptive Statistics</w:t>
            </w:r>
          </w:p>
        </w:tc>
      </w:tr>
      <w:tr w:rsidR="00123098" w:rsidRPr="00ED2AE5" w14:paraId="33B01BDD" w14:textId="77777777" w:rsidTr="009C7ADA">
        <w:trPr>
          <w:cantSplit/>
        </w:trPr>
        <w:tc>
          <w:tcPr>
            <w:tcW w:w="767" w:type="pct"/>
            <w:vMerge w:val="restart"/>
            <w:tcBorders>
              <w:left w:val="nil"/>
              <w:bottom w:val="nil"/>
              <w:right w:val="nil"/>
            </w:tcBorders>
            <w:shd w:val="clear" w:color="auto" w:fill="FFFFFF"/>
            <w:vAlign w:val="bottom"/>
          </w:tcPr>
          <w:p w14:paraId="156A3B06"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507" w:type="pct"/>
            <w:tcBorders>
              <w:left w:val="nil"/>
            </w:tcBorders>
            <w:shd w:val="clear" w:color="auto" w:fill="FFFFFF"/>
            <w:vAlign w:val="bottom"/>
          </w:tcPr>
          <w:p w14:paraId="27670656"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N</w:t>
            </w:r>
          </w:p>
        </w:tc>
        <w:tc>
          <w:tcPr>
            <w:tcW w:w="855" w:type="pct"/>
            <w:gridSpan w:val="2"/>
            <w:tcBorders>
              <w:left w:val="nil"/>
            </w:tcBorders>
            <w:shd w:val="clear" w:color="auto" w:fill="FFFFFF"/>
            <w:vAlign w:val="bottom"/>
          </w:tcPr>
          <w:p w14:paraId="366ACAB7"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Mean</w:t>
            </w:r>
          </w:p>
        </w:tc>
        <w:tc>
          <w:tcPr>
            <w:tcW w:w="597" w:type="pct"/>
            <w:tcBorders>
              <w:left w:val="nil"/>
            </w:tcBorders>
            <w:shd w:val="clear" w:color="auto" w:fill="FFFFFF"/>
            <w:vAlign w:val="bottom"/>
          </w:tcPr>
          <w:p w14:paraId="39EF8E2C"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Std. Deviation</w:t>
            </w:r>
          </w:p>
        </w:tc>
        <w:tc>
          <w:tcPr>
            <w:tcW w:w="569" w:type="pct"/>
            <w:tcBorders>
              <w:left w:val="nil"/>
            </w:tcBorders>
            <w:shd w:val="clear" w:color="auto" w:fill="FFFFFF"/>
            <w:vAlign w:val="bottom"/>
          </w:tcPr>
          <w:p w14:paraId="362DF099"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Variance</w:t>
            </w:r>
          </w:p>
        </w:tc>
        <w:tc>
          <w:tcPr>
            <w:tcW w:w="855" w:type="pct"/>
            <w:gridSpan w:val="2"/>
            <w:tcBorders>
              <w:left w:val="nil"/>
            </w:tcBorders>
            <w:shd w:val="clear" w:color="auto" w:fill="FFFFFF"/>
            <w:vAlign w:val="bottom"/>
          </w:tcPr>
          <w:p w14:paraId="1B73E36B"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Skewness</w:t>
            </w:r>
          </w:p>
        </w:tc>
        <w:tc>
          <w:tcPr>
            <w:tcW w:w="849" w:type="pct"/>
            <w:gridSpan w:val="2"/>
            <w:tcBorders>
              <w:left w:val="nil"/>
              <w:right w:val="nil"/>
            </w:tcBorders>
            <w:shd w:val="clear" w:color="auto" w:fill="FFFFFF"/>
            <w:vAlign w:val="bottom"/>
          </w:tcPr>
          <w:p w14:paraId="47E83E70"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Kurtosis</w:t>
            </w:r>
          </w:p>
        </w:tc>
      </w:tr>
      <w:tr w:rsidR="00123098" w:rsidRPr="00ED2AE5" w14:paraId="3206351E" w14:textId="77777777" w:rsidTr="009C7ADA">
        <w:trPr>
          <w:cantSplit/>
        </w:trPr>
        <w:tc>
          <w:tcPr>
            <w:tcW w:w="767" w:type="pct"/>
            <w:vMerge/>
            <w:tcBorders>
              <w:left w:val="nil"/>
              <w:bottom w:val="nil"/>
              <w:right w:val="nil"/>
            </w:tcBorders>
            <w:shd w:val="clear" w:color="auto" w:fill="FFFFFF"/>
            <w:vAlign w:val="bottom"/>
          </w:tcPr>
          <w:p w14:paraId="0629CA93" w14:textId="77777777" w:rsidR="00123098" w:rsidRPr="00ED2AE5" w:rsidRDefault="00123098" w:rsidP="00F033A7">
            <w:pPr>
              <w:autoSpaceDE w:val="0"/>
              <w:autoSpaceDN w:val="0"/>
              <w:adjustRightInd w:val="0"/>
              <w:spacing w:line="240" w:lineRule="auto"/>
              <w:jc w:val="left"/>
              <w:rPr>
                <w:rFonts w:ascii="Arial" w:hAnsi="Arial" w:cs="Arial"/>
                <w:color w:val="000000"/>
                <w:kern w:val="0"/>
                <w:szCs w:val="24"/>
                <w:lang w:val="en-US"/>
              </w:rPr>
            </w:pPr>
          </w:p>
        </w:tc>
        <w:tc>
          <w:tcPr>
            <w:tcW w:w="507" w:type="pct"/>
            <w:tcBorders>
              <w:left w:val="nil"/>
            </w:tcBorders>
            <w:shd w:val="clear" w:color="auto" w:fill="FFFFFF"/>
            <w:vAlign w:val="bottom"/>
          </w:tcPr>
          <w:p w14:paraId="0C4D225A"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508" w:type="pct"/>
            <w:tcBorders>
              <w:left w:val="nil"/>
              <w:right w:val="nil"/>
            </w:tcBorders>
            <w:shd w:val="clear" w:color="auto" w:fill="FFFFFF"/>
            <w:vAlign w:val="bottom"/>
          </w:tcPr>
          <w:p w14:paraId="062B8BF9"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347" w:type="pct"/>
            <w:tcBorders>
              <w:left w:val="nil"/>
            </w:tcBorders>
            <w:shd w:val="clear" w:color="auto" w:fill="FFFFFF"/>
            <w:vAlign w:val="bottom"/>
          </w:tcPr>
          <w:p w14:paraId="4FA5888D"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Std. Error</w:t>
            </w:r>
          </w:p>
        </w:tc>
        <w:tc>
          <w:tcPr>
            <w:tcW w:w="597" w:type="pct"/>
            <w:tcBorders>
              <w:left w:val="nil"/>
            </w:tcBorders>
            <w:shd w:val="clear" w:color="auto" w:fill="FFFFFF"/>
            <w:vAlign w:val="bottom"/>
          </w:tcPr>
          <w:p w14:paraId="1C7472CD"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569" w:type="pct"/>
            <w:tcBorders>
              <w:left w:val="nil"/>
            </w:tcBorders>
            <w:shd w:val="clear" w:color="auto" w:fill="FFFFFF"/>
            <w:vAlign w:val="bottom"/>
          </w:tcPr>
          <w:p w14:paraId="3A64D354"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508" w:type="pct"/>
            <w:tcBorders>
              <w:left w:val="nil"/>
              <w:right w:val="nil"/>
            </w:tcBorders>
            <w:shd w:val="clear" w:color="auto" w:fill="FFFFFF"/>
            <w:vAlign w:val="bottom"/>
          </w:tcPr>
          <w:p w14:paraId="490C017A"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347" w:type="pct"/>
            <w:tcBorders>
              <w:left w:val="nil"/>
            </w:tcBorders>
            <w:shd w:val="clear" w:color="auto" w:fill="FFFFFF"/>
            <w:vAlign w:val="bottom"/>
          </w:tcPr>
          <w:p w14:paraId="6CA1757E"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Std. Error</w:t>
            </w:r>
          </w:p>
        </w:tc>
        <w:tc>
          <w:tcPr>
            <w:tcW w:w="507" w:type="pct"/>
            <w:tcBorders>
              <w:left w:val="nil"/>
              <w:right w:val="nil"/>
            </w:tcBorders>
            <w:shd w:val="clear" w:color="auto" w:fill="FFFFFF"/>
            <w:vAlign w:val="bottom"/>
          </w:tcPr>
          <w:p w14:paraId="09254A41"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Statistic</w:t>
            </w:r>
          </w:p>
        </w:tc>
        <w:tc>
          <w:tcPr>
            <w:tcW w:w="342" w:type="pct"/>
            <w:tcBorders>
              <w:left w:val="nil"/>
              <w:right w:val="nil"/>
            </w:tcBorders>
            <w:shd w:val="clear" w:color="auto" w:fill="FFFFFF"/>
            <w:vAlign w:val="bottom"/>
          </w:tcPr>
          <w:p w14:paraId="769E4D3E" w14:textId="77777777" w:rsidR="00123098" w:rsidRPr="00ED2AE5"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Std. Error</w:t>
            </w:r>
          </w:p>
        </w:tc>
      </w:tr>
      <w:tr w:rsidR="00123098" w:rsidRPr="00ED2AE5" w14:paraId="43BC1A5E" w14:textId="77777777" w:rsidTr="009C7ADA">
        <w:trPr>
          <w:cantSplit/>
        </w:trPr>
        <w:tc>
          <w:tcPr>
            <w:tcW w:w="767" w:type="pct"/>
            <w:tcBorders>
              <w:left w:val="nil"/>
              <w:bottom w:val="nil"/>
              <w:right w:val="nil"/>
            </w:tcBorders>
            <w:shd w:val="clear" w:color="auto" w:fill="FFFFFF"/>
          </w:tcPr>
          <w:p w14:paraId="33308176"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lastRenderedPageBreak/>
              <w:t>9. I feel that I can be my authentic self at work without fear of judgement.</w:t>
            </w:r>
          </w:p>
        </w:tc>
        <w:tc>
          <w:tcPr>
            <w:tcW w:w="507" w:type="pct"/>
            <w:tcBorders>
              <w:left w:val="nil"/>
              <w:bottom w:val="nil"/>
            </w:tcBorders>
            <w:shd w:val="clear" w:color="auto" w:fill="FFFFFF"/>
          </w:tcPr>
          <w:p w14:paraId="66E3633B"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508" w:type="pct"/>
            <w:tcBorders>
              <w:left w:val="nil"/>
              <w:bottom w:val="nil"/>
              <w:right w:val="nil"/>
            </w:tcBorders>
            <w:shd w:val="clear" w:color="auto" w:fill="FFFFFF"/>
          </w:tcPr>
          <w:p w14:paraId="3C62C6B2"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3.79</w:t>
            </w:r>
          </w:p>
        </w:tc>
        <w:tc>
          <w:tcPr>
            <w:tcW w:w="347" w:type="pct"/>
            <w:tcBorders>
              <w:left w:val="nil"/>
              <w:bottom w:val="nil"/>
            </w:tcBorders>
            <w:shd w:val="clear" w:color="auto" w:fill="FFFFFF"/>
          </w:tcPr>
          <w:p w14:paraId="346D6299"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.097</w:t>
            </w:r>
          </w:p>
        </w:tc>
        <w:tc>
          <w:tcPr>
            <w:tcW w:w="597" w:type="pct"/>
            <w:tcBorders>
              <w:left w:val="nil"/>
              <w:bottom w:val="nil"/>
            </w:tcBorders>
            <w:shd w:val="clear" w:color="auto" w:fill="FFFFFF"/>
          </w:tcPr>
          <w:p w14:paraId="636C4971"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1.203</w:t>
            </w:r>
          </w:p>
        </w:tc>
        <w:tc>
          <w:tcPr>
            <w:tcW w:w="569" w:type="pct"/>
            <w:tcBorders>
              <w:left w:val="nil"/>
              <w:bottom w:val="nil"/>
            </w:tcBorders>
            <w:shd w:val="clear" w:color="auto" w:fill="FFFFFF"/>
          </w:tcPr>
          <w:p w14:paraId="4C4A674A"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1.447</w:t>
            </w:r>
          </w:p>
        </w:tc>
        <w:tc>
          <w:tcPr>
            <w:tcW w:w="508" w:type="pct"/>
            <w:tcBorders>
              <w:left w:val="nil"/>
              <w:bottom w:val="nil"/>
              <w:right w:val="nil"/>
            </w:tcBorders>
            <w:shd w:val="clear" w:color="auto" w:fill="FFFFFF"/>
          </w:tcPr>
          <w:p w14:paraId="5D6969A8"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-.824</w:t>
            </w:r>
          </w:p>
        </w:tc>
        <w:tc>
          <w:tcPr>
            <w:tcW w:w="347" w:type="pct"/>
            <w:tcBorders>
              <w:left w:val="nil"/>
              <w:bottom w:val="nil"/>
            </w:tcBorders>
            <w:shd w:val="clear" w:color="auto" w:fill="FFFFFF"/>
          </w:tcPr>
          <w:p w14:paraId="300741D3"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507" w:type="pct"/>
            <w:tcBorders>
              <w:left w:val="nil"/>
              <w:bottom w:val="nil"/>
              <w:right w:val="nil"/>
            </w:tcBorders>
            <w:shd w:val="clear" w:color="auto" w:fill="FFFFFF"/>
          </w:tcPr>
          <w:p w14:paraId="217515CB"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-.207</w:t>
            </w:r>
          </w:p>
        </w:tc>
        <w:tc>
          <w:tcPr>
            <w:tcW w:w="342" w:type="pct"/>
            <w:tcBorders>
              <w:left w:val="nil"/>
              <w:bottom w:val="nil"/>
              <w:right w:val="nil"/>
            </w:tcBorders>
            <w:shd w:val="clear" w:color="auto" w:fill="FFFFFF"/>
          </w:tcPr>
          <w:p w14:paraId="23D1D3EE"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.389</w:t>
            </w:r>
          </w:p>
        </w:tc>
      </w:tr>
      <w:tr w:rsidR="00123098" w:rsidRPr="00ED2AE5" w14:paraId="4C1EB2C7" w14:textId="77777777" w:rsidTr="009C7ADA">
        <w:trPr>
          <w:cantSplit/>
        </w:trPr>
        <w:tc>
          <w:tcPr>
            <w:tcW w:w="767" w:type="pct"/>
            <w:tcBorders>
              <w:top w:val="nil"/>
              <w:left w:val="nil"/>
              <w:bottom w:val="nil"/>
              <w:right w:val="nil"/>
            </w:tcBorders>
            <w:shd w:val="clear" w:color="auto" w:fill="FFFFFF"/>
          </w:tcPr>
          <w:p w14:paraId="224C57E0"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10. My opinions are valued and listened to by my colleagues and line manager.</w:t>
            </w:r>
          </w:p>
        </w:tc>
        <w:tc>
          <w:tcPr>
            <w:tcW w:w="507" w:type="pct"/>
            <w:tcBorders>
              <w:top w:val="nil"/>
              <w:left w:val="nil"/>
              <w:bottom w:val="nil"/>
            </w:tcBorders>
            <w:shd w:val="clear" w:color="auto" w:fill="FFFFFF"/>
          </w:tcPr>
          <w:p w14:paraId="65D3EA0A"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508" w:type="pct"/>
            <w:tcBorders>
              <w:top w:val="nil"/>
              <w:left w:val="nil"/>
              <w:bottom w:val="nil"/>
              <w:right w:val="nil"/>
            </w:tcBorders>
            <w:shd w:val="clear" w:color="auto" w:fill="FFFFFF"/>
          </w:tcPr>
          <w:p w14:paraId="0DC66E48"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3.86</w:t>
            </w:r>
          </w:p>
        </w:tc>
        <w:tc>
          <w:tcPr>
            <w:tcW w:w="347" w:type="pct"/>
            <w:tcBorders>
              <w:top w:val="nil"/>
              <w:left w:val="nil"/>
              <w:bottom w:val="nil"/>
            </w:tcBorders>
            <w:shd w:val="clear" w:color="auto" w:fill="FFFFFF"/>
          </w:tcPr>
          <w:p w14:paraId="1081822C"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.098</w:t>
            </w:r>
          </w:p>
        </w:tc>
        <w:tc>
          <w:tcPr>
            <w:tcW w:w="597" w:type="pct"/>
            <w:tcBorders>
              <w:top w:val="nil"/>
              <w:left w:val="nil"/>
              <w:bottom w:val="nil"/>
            </w:tcBorders>
            <w:shd w:val="clear" w:color="auto" w:fill="FFFFFF"/>
          </w:tcPr>
          <w:p w14:paraId="536B866F"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1.221</w:t>
            </w:r>
          </w:p>
        </w:tc>
        <w:tc>
          <w:tcPr>
            <w:tcW w:w="569" w:type="pct"/>
            <w:tcBorders>
              <w:top w:val="nil"/>
              <w:left w:val="nil"/>
              <w:bottom w:val="nil"/>
            </w:tcBorders>
            <w:shd w:val="clear" w:color="auto" w:fill="FFFFFF"/>
          </w:tcPr>
          <w:p w14:paraId="5F112FDB"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1.491</w:t>
            </w:r>
          </w:p>
        </w:tc>
        <w:tc>
          <w:tcPr>
            <w:tcW w:w="508" w:type="pct"/>
            <w:tcBorders>
              <w:top w:val="nil"/>
              <w:left w:val="nil"/>
              <w:bottom w:val="nil"/>
              <w:right w:val="nil"/>
            </w:tcBorders>
            <w:shd w:val="clear" w:color="auto" w:fill="FFFFFF"/>
          </w:tcPr>
          <w:p w14:paraId="3165D51A"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-.958</w:t>
            </w:r>
          </w:p>
        </w:tc>
        <w:tc>
          <w:tcPr>
            <w:tcW w:w="347" w:type="pct"/>
            <w:tcBorders>
              <w:top w:val="nil"/>
              <w:left w:val="nil"/>
              <w:bottom w:val="nil"/>
            </w:tcBorders>
            <w:shd w:val="clear" w:color="auto" w:fill="FFFFFF"/>
          </w:tcPr>
          <w:p w14:paraId="2AAD198B"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507" w:type="pct"/>
            <w:tcBorders>
              <w:top w:val="nil"/>
              <w:left w:val="nil"/>
              <w:bottom w:val="nil"/>
              <w:right w:val="nil"/>
            </w:tcBorders>
            <w:shd w:val="clear" w:color="auto" w:fill="FFFFFF"/>
          </w:tcPr>
          <w:p w14:paraId="4DB9ADD5"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-.082</w:t>
            </w:r>
          </w:p>
        </w:tc>
        <w:tc>
          <w:tcPr>
            <w:tcW w:w="342" w:type="pct"/>
            <w:tcBorders>
              <w:top w:val="nil"/>
              <w:left w:val="nil"/>
              <w:bottom w:val="nil"/>
              <w:right w:val="nil"/>
            </w:tcBorders>
            <w:shd w:val="clear" w:color="auto" w:fill="FFFFFF"/>
          </w:tcPr>
          <w:p w14:paraId="674E9107"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.389</w:t>
            </w:r>
          </w:p>
        </w:tc>
      </w:tr>
      <w:tr w:rsidR="00123098" w:rsidRPr="00ED2AE5" w14:paraId="60691E73" w14:textId="77777777" w:rsidTr="009C7ADA">
        <w:trPr>
          <w:cantSplit/>
        </w:trPr>
        <w:tc>
          <w:tcPr>
            <w:tcW w:w="767" w:type="pct"/>
            <w:tcBorders>
              <w:top w:val="nil"/>
              <w:left w:val="nil"/>
              <w:bottom w:val="nil"/>
              <w:right w:val="nil"/>
            </w:tcBorders>
            <w:shd w:val="clear" w:color="auto" w:fill="FFFFFF"/>
          </w:tcPr>
          <w:p w14:paraId="50BD5216"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11. I feel that my unique background and perspectives are seen as an asset.</w:t>
            </w:r>
          </w:p>
        </w:tc>
        <w:tc>
          <w:tcPr>
            <w:tcW w:w="507" w:type="pct"/>
            <w:tcBorders>
              <w:top w:val="nil"/>
              <w:left w:val="nil"/>
              <w:bottom w:val="nil"/>
            </w:tcBorders>
            <w:shd w:val="clear" w:color="auto" w:fill="FFFFFF"/>
          </w:tcPr>
          <w:p w14:paraId="0A02EF03"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508" w:type="pct"/>
            <w:tcBorders>
              <w:top w:val="nil"/>
              <w:left w:val="nil"/>
              <w:bottom w:val="nil"/>
              <w:right w:val="nil"/>
            </w:tcBorders>
            <w:shd w:val="clear" w:color="auto" w:fill="FFFFFF"/>
          </w:tcPr>
          <w:p w14:paraId="2D97F17A"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3.85</w:t>
            </w:r>
          </w:p>
        </w:tc>
        <w:tc>
          <w:tcPr>
            <w:tcW w:w="347" w:type="pct"/>
            <w:tcBorders>
              <w:top w:val="nil"/>
              <w:left w:val="nil"/>
              <w:bottom w:val="nil"/>
            </w:tcBorders>
            <w:shd w:val="clear" w:color="auto" w:fill="FFFFFF"/>
          </w:tcPr>
          <w:p w14:paraId="39178F51"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.098</w:t>
            </w:r>
          </w:p>
        </w:tc>
        <w:tc>
          <w:tcPr>
            <w:tcW w:w="597" w:type="pct"/>
            <w:tcBorders>
              <w:top w:val="nil"/>
              <w:left w:val="nil"/>
              <w:bottom w:val="nil"/>
            </w:tcBorders>
            <w:shd w:val="clear" w:color="auto" w:fill="FFFFFF"/>
          </w:tcPr>
          <w:p w14:paraId="57E1E087"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1.214</w:t>
            </w:r>
          </w:p>
        </w:tc>
        <w:tc>
          <w:tcPr>
            <w:tcW w:w="569" w:type="pct"/>
            <w:tcBorders>
              <w:top w:val="nil"/>
              <w:left w:val="nil"/>
              <w:bottom w:val="nil"/>
            </w:tcBorders>
            <w:shd w:val="clear" w:color="auto" w:fill="FFFFFF"/>
          </w:tcPr>
          <w:p w14:paraId="0F6F8D89"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1.474</w:t>
            </w:r>
          </w:p>
        </w:tc>
        <w:tc>
          <w:tcPr>
            <w:tcW w:w="508" w:type="pct"/>
            <w:tcBorders>
              <w:top w:val="nil"/>
              <w:left w:val="nil"/>
              <w:bottom w:val="nil"/>
              <w:right w:val="nil"/>
            </w:tcBorders>
            <w:shd w:val="clear" w:color="auto" w:fill="FFFFFF"/>
          </w:tcPr>
          <w:p w14:paraId="4595893A"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-.974</w:t>
            </w:r>
          </w:p>
        </w:tc>
        <w:tc>
          <w:tcPr>
            <w:tcW w:w="347" w:type="pct"/>
            <w:tcBorders>
              <w:top w:val="nil"/>
              <w:left w:val="nil"/>
              <w:bottom w:val="nil"/>
            </w:tcBorders>
            <w:shd w:val="clear" w:color="auto" w:fill="FFFFFF"/>
          </w:tcPr>
          <w:p w14:paraId="14BE425A"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507" w:type="pct"/>
            <w:tcBorders>
              <w:top w:val="nil"/>
              <w:left w:val="nil"/>
              <w:bottom w:val="nil"/>
              <w:right w:val="nil"/>
            </w:tcBorders>
            <w:shd w:val="clear" w:color="auto" w:fill="FFFFFF"/>
          </w:tcPr>
          <w:p w14:paraId="620426B9"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.034</w:t>
            </w:r>
          </w:p>
        </w:tc>
        <w:tc>
          <w:tcPr>
            <w:tcW w:w="342" w:type="pct"/>
            <w:tcBorders>
              <w:top w:val="nil"/>
              <w:left w:val="nil"/>
              <w:bottom w:val="nil"/>
              <w:right w:val="nil"/>
            </w:tcBorders>
            <w:shd w:val="clear" w:color="auto" w:fill="FFFFFF"/>
          </w:tcPr>
          <w:p w14:paraId="544E719B"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.389</w:t>
            </w:r>
          </w:p>
        </w:tc>
      </w:tr>
      <w:tr w:rsidR="00123098" w:rsidRPr="00ED2AE5" w14:paraId="0ECEA38F" w14:textId="77777777" w:rsidTr="009C7ADA">
        <w:trPr>
          <w:cantSplit/>
        </w:trPr>
        <w:tc>
          <w:tcPr>
            <w:tcW w:w="767" w:type="pct"/>
            <w:tcBorders>
              <w:top w:val="nil"/>
              <w:left w:val="nil"/>
              <w:bottom w:val="nil"/>
              <w:right w:val="nil"/>
            </w:tcBorders>
            <w:shd w:val="clear" w:color="auto" w:fill="FFFFFF"/>
          </w:tcPr>
          <w:p w14:paraId="3BC20522"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12. I am treated with respect and dignity by everyone in my team.</w:t>
            </w:r>
          </w:p>
        </w:tc>
        <w:tc>
          <w:tcPr>
            <w:tcW w:w="507" w:type="pct"/>
            <w:tcBorders>
              <w:top w:val="nil"/>
              <w:left w:val="nil"/>
              <w:bottom w:val="nil"/>
            </w:tcBorders>
            <w:shd w:val="clear" w:color="auto" w:fill="FFFFFF"/>
          </w:tcPr>
          <w:p w14:paraId="1D4BBDA6"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508" w:type="pct"/>
            <w:tcBorders>
              <w:top w:val="nil"/>
              <w:left w:val="nil"/>
              <w:bottom w:val="nil"/>
              <w:right w:val="nil"/>
            </w:tcBorders>
            <w:shd w:val="clear" w:color="auto" w:fill="FFFFFF"/>
          </w:tcPr>
          <w:p w14:paraId="7DB74A0A"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3.84</w:t>
            </w:r>
          </w:p>
        </w:tc>
        <w:tc>
          <w:tcPr>
            <w:tcW w:w="347" w:type="pct"/>
            <w:tcBorders>
              <w:top w:val="nil"/>
              <w:left w:val="nil"/>
              <w:bottom w:val="nil"/>
            </w:tcBorders>
            <w:shd w:val="clear" w:color="auto" w:fill="FFFFFF"/>
          </w:tcPr>
          <w:p w14:paraId="7BA05F6F"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.106</w:t>
            </w:r>
          </w:p>
        </w:tc>
        <w:tc>
          <w:tcPr>
            <w:tcW w:w="597" w:type="pct"/>
            <w:tcBorders>
              <w:top w:val="nil"/>
              <w:left w:val="nil"/>
              <w:bottom w:val="nil"/>
            </w:tcBorders>
            <w:shd w:val="clear" w:color="auto" w:fill="FFFFFF"/>
          </w:tcPr>
          <w:p w14:paraId="527A24A0"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1.319</w:t>
            </w:r>
          </w:p>
        </w:tc>
        <w:tc>
          <w:tcPr>
            <w:tcW w:w="569" w:type="pct"/>
            <w:tcBorders>
              <w:top w:val="nil"/>
              <w:left w:val="nil"/>
              <w:bottom w:val="nil"/>
            </w:tcBorders>
            <w:shd w:val="clear" w:color="auto" w:fill="FFFFFF"/>
          </w:tcPr>
          <w:p w14:paraId="32DBFF58"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1.740</w:t>
            </w:r>
          </w:p>
        </w:tc>
        <w:tc>
          <w:tcPr>
            <w:tcW w:w="508" w:type="pct"/>
            <w:tcBorders>
              <w:top w:val="nil"/>
              <w:left w:val="nil"/>
              <w:bottom w:val="nil"/>
              <w:right w:val="nil"/>
            </w:tcBorders>
            <w:shd w:val="clear" w:color="auto" w:fill="FFFFFF"/>
          </w:tcPr>
          <w:p w14:paraId="3CDF980E"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-1.024</w:t>
            </w:r>
          </w:p>
        </w:tc>
        <w:tc>
          <w:tcPr>
            <w:tcW w:w="347" w:type="pct"/>
            <w:tcBorders>
              <w:top w:val="nil"/>
              <w:left w:val="nil"/>
              <w:bottom w:val="nil"/>
            </w:tcBorders>
            <w:shd w:val="clear" w:color="auto" w:fill="FFFFFF"/>
          </w:tcPr>
          <w:p w14:paraId="68D916B1"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507" w:type="pct"/>
            <w:tcBorders>
              <w:top w:val="nil"/>
              <w:left w:val="nil"/>
              <w:bottom w:val="nil"/>
              <w:right w:val="nil"/>
            </w:tcBorders>
            <w:shd w:val="clear" w:color="auto" w:fill="FFFFFF"/>
          </w:tcPr>
          <w:p w14:paraId="6B487AAF"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-.129</w:t>
            </w:r>
          </w:p>
        </w:tc>
        <w:tc>
          <w:tcPr>
            <w:tcW w:w="342" w:type="pct"/>
            <w:tcBorders>
              <w:top w:val="nil"/>
              <w:left w:val="nil"/>
              <w:bottom w:val="nil"/>
              <w:right w:val="nil"/>
            </w:tcBorders>
            <w:shd w:val="clear" w:color="auto" w:fill="FFFFFF"/>
          </w:tcPr>
          <w:p w14:paraId="56978B7A"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.389</w:t>
            </w:r>
          </w:p>
        </w:tc>
      </w:tr>
      <w:tr w:rsidR="00123098" w:rsidRPr="00ED2AE5" w14:paraId="0F6FC36F" w14:textId="77777777" w:rsidTr="009C7ADA">
        <w:trPr>
          <w:cantSplit/>
        </w:trPr>
        <w:tc>
          <w:tcPr>
            <w:tcW w:w="767" w:type="pct"/>
            <w:tcBorders>
              <w:top w:val="nil"/>
              <w:left w:val="nil"/>
              <w:right w:val="nil"/>
            </w:tcBorders>
            <w:shd w:val="clear" w:color="auto" w:fill="FFFFFF"/>
          </w:tcPr>
          <w:p w14:paraId="28656F6E" w14:textId="77777777" w:rsidR="00123098" w:rsidRPr="00ED2AE5"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 N (listwise)</w:t>
            </w:r>
          </w:p>
        </w:tc>
        <w:tc>
          <w:tcPr>
            <w:tcW w:w="507" w:type="pct"/>
            <w:tcBorders>
              <w:top w:val="nil"/>
              <w:left w:val="nil"/>
            </w:tcBorders>
            <w:shd w:val="clear" w:color="auto" w:fill="FFFFFF"/>
          </w:tcPr>
          <w:p w14:paraId="56709791" w14:textId="77777777" w:rsidR="00123098" w:rsidRPr="00ED2AE5"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508" w:type="pct"/>
            <w:tcBorders>
              <w:top w:val="nil"/>
              <w:left w:val="nil"/>
              <w:right w:val="nil"/>
            </w:tcBorders>
            <w:shd w:val="clear" w:color="auto" w:fill="FFFFFF"/>
            <w:vAlign w:val="center"/>
          </w:tcPr>
          <w:p w14:paraId="38736FE4"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347" w:type="pct"/>
            <w:tcBorders>
              <w:top w:val="nil"/>
              <w:left w:val="nil"/>
            </w:tcBorders>
            <w:shd w:val="clear" w:color="auto" w:fill="FFFFFF"/>
            <w:vAlign w:val="center"/>
          </w:tcPr>
          <w:p w14:paraId="3F984BFB"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597" w:type="pct"/>
            <w:tcBorders>
              <w:top w:val="nil"/>
              <w:left w:val="nil"/>
            </w:tcBorders>
            <w:shd w:val="clear" w:color="auto" w:fill="FFFFFF"/>
            <w:vAlign w:val="center"/>
          </w:tcPr>
          <w:p w14:paraId="50A7A0F8"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569" w:type="pct"/>
            <w:tcBorders>
              <w:top w:val="nil"/>
              <w:left w:val="nil"/>
            </w:tcBorders>
            <w:shd w:val="clear" w:color="auto" w:fill="FFFFFF"/>
            <w:vAlign w:val="center"/>
          </w:tcPr>
          <w:p w14:paraId="49D71A31"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508" w:type="pct"/>
            <w:tcBorders>
              <w:top w:val="nil"/>
              <w:left w:val="nil"/>
              <w:right w:val="nil"/>
            </w:tcBorders>
            <w:shd w:val="clear" w:color="auto" w:fill="FFFFFF"/>
            <w:vAlign w:val="center"/>
          </w:tcPr>
          <w:p w14:paraId="5C14AA4F"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347" w:type="pct"/>
            <w:tcBorders>
              <w:top w:val="nil"/>
              <w:left w:val="nil"/>
            </w:tcBorders>
            <w:shd w:val="clear" w:color="auto" w:fill="FFFFFF"/>
            <w:vAlign w:val="center"/>
          </w:tcPr>
          <w:p w14:paraId="1FD670BE"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507" w:type="pct"/>
            <w:tcBorders>
              <w:top w:val="nil"/>
              <w:left w:val="nil"/>
              <w:right w:val="nil"/>
            </w:tcBorders>
            <w:shd w:val="clear" w:color="auto" w:fill="FFFFFF"/>
            <w:vAlign w:val="center"/>
          </w:tcPr>
          <w:p w14:paraId="00AFECEA"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c>
          <w:tcPr>
            <w:tcW w:w="342" w:type="pct"/>
            <w:tcBorders>
              <w:top w:val="nil"/>
              <w:left w:val="nil"/>
              <w:right w:val="nil"/>
            </w:tcBorders>
            <w:shd w:val="clear" w:color="auto" w:fill="FFFFFF"/>
            <w:vAlign w:val="center"/>
          </w:tcPr>
          <w:p w14:paraId="78206FD9" w14:textId="77777777" w:rsidR="00123098" w:rsidRPr="00ED2AE5" w:rsidRDefault="00123098" w:rsidP="00F033A7">
            <w:pPr>
              <w:autoSpaceDE w:val="0"/>
              <w:autoSpaceDN w:val="0"/>
              <w:adjustRightInd w:val="0"/>
              <w:spacing w:line="240" w:lineRule="auto"/>
              <w:jc w:val="left"/>
              <w:rPr>
                <w:rFonts w:cs="Times New Roman"/>
                <w:kern w:val="0"/>
                <w:szCs w:val="24"/>
                <w:lang w:val="en-US"/>
              </w:rPr>
            </w:pPr>
          </w:p>
        </w:tc>
      </w:tr>
    </w:tbl>
    <w:p w14:paraId="4ABBB51A" w14:textId="77777777" w:rsidR="008F41ED" w:rsidRDefault="008F41ED" w:rsidP="008F41ED">
      <w:r>
        <w:t xml:space="preserve">The descriptive statistics comparing personal experiences of inclusivity indicate significantly positive perception with regard to four major themes in the mean scale of 3.79 to 3.86. Employees are best aligned with the idea that their opinions are appreciated and listened to by </w:t>
      </w:r>
      <w:proofErr w:type="spellStart"/>
      <w:r>
        <w:t>coworkers</w:t>
      </w:r>
      <w:proofErr w:type="spellEnd"/>
      <w:r>
        <w:t xml:space="preserve"> and managers (M=3.86), with the perception of distinct backgrounds as assets (M=3.85) and respectful, dignified treatment coming in second place (M=3.84). Being able to express true selves free of judgement depicts slightly smaller, yet positive, agreement (M=3.79).</w:t>
      </w:r>
    </w:p>
    <w:p w14:paraId="3202C228" w14:textId="77777777" w:rsidR="0081590A" w:rsidRDefault="008F41ED" w:rsidP="0081590A">
      <w:r>
        <w:lastRenderedPageBreak/>
        <w:t xml:space="preserve">There are also standard deviations ranging between 1.203 and 1.319, and a variance ranging between 1.447 and 1.740, which are moderate variances in the responses. The most spread theme is proper treatment (SD=1.319), implying a wider range of experiences of dignity and respect in teams. </w:t>
      </w:r>
      <w:r w:rsidR="0081590A">
        <w:t>However, genuineness in the workplace has the lowest variance (SD=1.203), indicating more consensus among respondents.</w:t>
      </w:r>
    </w:p>
    <w:p w14:paraId="4740D320" w14:textId="77777777" w:rsidR="003B66D8" w:rsidRDefault="003B66D8" w:rsidP="0081590A"/>
    <w:p w14:paraId="38F3C8EB" w14:textId="2EDF4123" w:rsidR="008F41ED" w:rsidRDefault="0081590A" w:rsidP="0081590A">
      <w:r>
        <w:t>All topics have a negative skewness of -.824 to -1.024, with respectful treatment being the worst. This suggests that responses are more positive than universal and indicate overwhelmingly positive inclusion experiences. The increasing negative skewness of authenticity to respectful treatment suggests that interpersonal dignity is valued more than psychological safety.</w:t>
      </w:r>
    </w:p>
    <w:p w14:paraId="4BD18A76" w14:textId="77777777" w:rsidR="003B66D8" w:rsidRDefault="003B66D8" w:rsidP="0081590A"/>
    <w:p w14:paraId="04F763BB" w14:textId="7B6FA8DF" w:rsidR="004C023B" w:rsidRDefault="008F41ED" w:rsidP="008F41ED">
      <w:r>
        <w:t>The values of kurtosis are close to zero (-.207 to .034) which means the distributions are close to normal curves with no extreme peaking or flattening. The theme of unique backgrounds as assets indicates a slight positive kurtosis (.034), which implies a low level of concentration at the mean. On the whole, these distributions indicate mostly positive inclusivity experiences and decent consensus but the moderate standard deviations also show that there is a significant variation in the perceptions of people throughout the organisation.</w:t>
      </w:r>
    </w:p>
    <w:p w14:paraId="2C07E840" w14:textId="77777777" w:rsidR="003B66D8" w:rsidRPr="004C023B" w:rsidRDefault="003B66D8" w:rsidP="008F41ED"/>
    <w:p w14:paraId="1392D231" w14:textId="77777777" w:rsidR="004C023B" w:rsidRDefault="004C023B" w:rsidP="004C023B">
      <w:pPr>
        <w:pStyle w:val="Heading4"/>
      </w:pPr>
      <w:r>
        <w:t>Impact on Staff Retention</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519"/>
        <w:gridCol w:w="900"/>
        <w:gridCol w:w="901"/>
        <w:gridCol w:w="616"/>
        <w:gridCol w:w="1058"/>
        <w:gridCol w:w="1009"/>
        <w:gridCol w:w="901"/>
        <w:gridCol w:w="616"/>
        <w:gridCol w:w="900"/>
        <w:gridCol w:w="606"/>
      </w:tblGrid>
      <w:tr w:rsidR="00123098" w:rsidRPr="00E0478C" w14:paraId="5437CBD4" w14:textId="77777777" w:rsidTr="00F033A7">
        <w:trPr>
          <w:cantSplit/>
        </w:trPr>
        <w:tc>
          <w:tcPr>
            <w:tcW w:w="5000" w:type="pct"/>
            <w:gridSpan w:val="10"/>
            <w:tcBorders>
              <w:top w:val="nil"/>
              <w:left w:val="nil"/>
              <w:bottom w:val="nil"/>
              <w:right w:val="nil"/>
            </w:tcBorders>
            <w:shd w:val="clear" w:color="auto" w:fill="FFFFFF"/>
            <w:vAlign w:val="center"/>
          </w:tcPr>
          <w:p w14:paraId="68C477E0" w14:textId="77777777" w:rsidR="00123098" w:rsidRPr="00E0478C"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0478C">
              <w:rPr>
                <w:rFonts w:ascii="Arial" w:hAnsi="Arial" w:cs="Arial"/>
                <w:i/>
                <w:iCs/>
                <w:color w:val="000000"/>
                <w:kern w:val="0"/>
                <w:szCs w:val="24"/>
                <w:lang w:val="en-US"/>
              </w:rPr>
              <w:t>Descriptive Statistics</w:t>
            </w:r>
          </w:p>
        </w:tc>
      </w:tr>
      <w:tr w:rsidR="00123098" w:rsidRPr="00E0478C" w14:paraId="4007DE88" w14:textId="77777777" w:rsidTr="009C7ADA">
        <w:trPr>
          <w:cantSplit/>
        </w:trPr>
        <w:tc>
          <w:tcPr>
            <w:tcW w:w="841" w:type="pct"/>
            <w:vMerge w:val="restart"/>
            <w:tcBorders>
              <w:left w:val="nil"/>
              <w:bottom w:val="nil"/>
              <w:right w:val="nil"/>
            </w:tcBorders>
            <w:shd w:val="clear" w:color="auto" w:fill="FFFFFF"/>
            <w:vAlign w:val="bottom"/>
          </w:tcPr>
          <w:p w14:paraId="7B935CBA" w14:textId="77777777" w:rsidR="00123098" w:rsidRPr="00E0478C" w:rsidRDefault="00123098" w:rsidP="00F033A7">
            <w:pPr>
              <w:autoSpaceDE w:val="0"/>
              <w:autoSpaceDN w:val="0"/>
              <w:adjustRightInd w:val="0"/>
              <w:spacing w:line="240" w:lineRule="auto"/>
              <w:jc w:val="left"/>
              <w:rPr>
                <w:rFonts w:cs="Times New Roman"/>
                <w:kern w:val="0"/>
                <w:szCs w:val="24"/>
                <w:lang w:val="en-US"/>
              </w:rPr>
            </w:pPr>
          </w:p>
        </w:tc>
        <w:tc>
          <w:tcPr>
            <w:tcW w:w="499" w:type="pct"/>
            <w:tcBorders>
              <w:left w:val="nil"/>
            </w:tcBorders>
            <w:shd w:val="clear" w:color="auto" w:fill="FFFFFF"/>
            <w:vAlign w:val="bottom"/>
          </w:tcPr>
          <w:p w14:paraId="5F594E2B"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N</w:t>
            </w:r>
          </w:p>
        </w:tc>
        <w:tc>
          <w:tcPr>
            <w:tcW w:w="840" w:type="pct"/>
            <w:gridSpan w:val="2"/>
            <w:tcBorders>
              <w:left w:val="nil"/>
            </w:tcBorders>
            <w:shd w:val="clear" w:color="auto" w:fill="FFFFFF"/>
            <w:vAlign w:val="bottom"/>
          </w:tcPr>
          <w:p w14:paraId="0018B88B"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Mean</w:t>
            </w:r>
          </w:p>
        </w:tc>
        <w:tc>
          <w:tcPr>
            <w:tcW w:w="586" w:type="pct"/>
            <w:tcBorders>
              <w:left w:val="nil"/>
            </w:tcBorders>
            <w:shd w:val="clear" w:color="auto" w:fill="FFFFFF"/>
            <w:vAlign w:val="bottom"/>
          </w:tcPr>
          <w:p w14:paraId="4F6C55B5"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Std. Deviation</w:t>
            </w:r>
          </w:p>
        </w:tc>
        <w:tc>
          <w:tcPr>
            <w:tcW w:w="559" w:type="pct"/>
            <w:tcBorders>
              <w:left w:val="nil"/>
            </w:tcBorders>
            <w:shd w:val="clear" w:color="auto" w:fill="FFFFFF"/>
            <w:vAlign w:val="bottom"/>
          </w:tcPr>
          <w:p w14:paraId="0A20D6DA"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Variance</w:t>
            </w:r>
          </w:p>
        </w:tc>
        <w:tc>
          <w:tcPr>
            <w:tcW w:w="840" w:type="pct"/>
            <w:gridSpan w:val="2"/>
            <w:tcBorders>
              <w:left w:val="nil"/>
            </w:tcBorders>
            <w:shd w:val="clear" w:color="auto" w:fill="FFFFFF"/>
            <w:vAlign w:val="bottom"/>
          </w:tcPr>
          <w:p w14:paraId="28DF1EFF"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Skewness</w:t>
            </w:r>
          </w:p>
        </w:tc>
        <w:tc>
          <w:tcPr>
            <w:tcW w:w="834" w:type="pct"/>
            <w:gridSpan w:val="2"/>
            <w:tcBorders>
              <w:left w:val="nil"/>
              <w:right w:val="nil"/>
            </w:tcBorders>
            <w:shd w:val="clear" w:color="auto" w:fill="FFFFFF"/>
            <w:vAlign w:val="bottom"/>
          </w:tcPr>
          <w:p w14:paraId="12B4E026"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Kurtosis</w:t>
            </w:r>
          </w:p>
        </w:tc>
      </w:tr>
      <w:tr w:rsidR="00123098" w:rsidRPr="00E0478C" w14:paraId="73A67AAC" w14:textId="77777777" w:rsidTr="009C7ADA">
        <w:trPr>
          <w:cantSplit/>
        </w:trPr>
        <w:tc>
          <w:tcPr>
            <w:tcW w:w="841" w:type="pct"/>
            <w:vMerge/>
            <w:tcBorders>
              <w:left w:val="nil"/>
              <w:bottom w:val="nil"/>
              <w:right w:val="nil"/>
            </w:tcBorders>
            <w:shd w:val="clear" w:color="auto" w:fill="FFFFFF"/>
            <w:vAlign w:val="bottom"/>
          </w:tcPr>
          <w:p w14:paraId="08F0E140" w14:textId="77777777" w:rsidR="00123098" w:rsidRPr="00E0478C" w:rsidRDefault="00123098" w:rsidP="00F033A7">
            <w:pPr>
              <w:autoSpaceDE w:val="0"/>
              <w:autoSpaceDN w:val="0"/>
              <w:adjustRightInd w:val="0"/>
              <w:spacing w:line="240" w:lineRule="auto"/>
              <w:jc w:val="left"/>
              <w:rPr>
                <w:rFonts w:ascii="Arial" w:hAnsi="Arial" w:cs="Arial"/>
                <w:color w:val="000000"/>
                <w:kern w:val="0"/>
                <w:szCs w:val="24"/>
                <w:lang w:val="en-US"/>
              </w:rPr>
            </w:pPr>
          </w:p>
        </w:tc>
        <w:tc>
          <w:tcPr>
            <w:tcW w:w="499" w:type="pct"/>
            <w:tcBorders>
              <w:left w:val="nil"/>
            </w:tcBorders>
            <w:shd w:val="clear" w:color="auto" w:fill="FFFFFF"/>
            <w:vAlign w:val="bottom"/>
          </w:tcPr>
          <w:p w14:paraId="1BFDFF90"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Statistic</w:t>
            </w:r>
          </w:p>
        </w:tc>
        <w:tc>
          <w:tcPr>
            <w:tcW w:w="499" w:type="pct"/>
            <w:tcBorders>
              <w:left w:val="nil"/>
              <w:right w:val="nil"/>
            </w:tcBorders>
            <w:shd w:val="clear" w:color="auto" w:fill="FFFFFF"/>
            <w:vAlign w:val="bottom"/>
          </w:tcPr>
          <w:p w14:paraId="7A41EA56"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Statistic</w:t>
            </w:r>
          </w:p>
        </w:tc>
        <w:tc>
          <w:tcPr>
            <w:tcW w:w="341" w:type="pct"/>
            <w:tcBorders>
              <w:left w:val="nil"/>
            </w:tcBorders>
            <w:shd w:val="clear" w:color="auto" w:fill="FFFFFF"/>
            <w:vAlign w:val="bottom"/>
          </w:tcPr>
          <w:p w14:paraId="4DC7D9D5"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Std. Error</w:t>
            </w:r>
          </w:p>
        </w:tc>
        <w:tc>
          <w:tcPr>
            <w:tcW w:w="586" w:type="pct"/>
            <w:tcBorders>
              <w:left w:val="nil"/>
            </w:tcBorders>
            <w:shd w:val="clear" w:color="auto" w:fill="FFFFFF"/>
            <w:vAlign w:val="bottom"/>
          </w:tcPr>
          <w:p w14:paraId="06FC8C23"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Statistic</w:t>
            </w:r>
          </w:p>
        </w:tc>
        <w:tc>
          <w:tcPr>
            <w:tcW w:w="559" w:type="pct"/>
            <w:tcBorders>
              <w:left w:val="nil"/>
            </w:tcBorders>
            <w:shd w:val="clear" w:color="auto" w:fill="FFFFFF"/>
            <w:vAlign w:val="bottom"/>
          </w:tcPr>
          <w:p w14:paraId="2198C055"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Statistic</w:t>
            </w:r>
          </w:p>
        </w:tc>
        <w:tc>
          <w:tcPr>
            <w:tcW w:w="499" w:type="pct"/>
            <w:tcBorders>
              <w:left w:val="nil"/>
              <w:right w:val="nil"/>
            </w:tcBorders>
            <w:shd w:val="clear" w:color="auto" w:fill="FFFFFF"/>
            <w:vAlign w:val="bottom"/>
          </w:tcPr>
          <w:p w14:paraId="7C173765"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Statistic</w:t>
            </w:r>
          </w:p>
        </w:tc>
        <w:tc>
          <w:tcPr>
            <w:tcW w:w="341" w:type="pct"/>
            <w:tcBorders>
              <w:left w:val="nil"/>
            </w:tcBorders>
            <w:shd w:val="clear" w:color="auto" w:fill="FFFFFF"/>
            <w:vAlign w:val="bottom"/>
          </w:tcPr>
          <w:p w14:paraId="21B51893"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Std. Error</w:t>
            </w:r>
          </w:p>
        </w:tc>
        <w:tc>
          <w:tcPr>
            <w:tcW w:w="499" w:type="pct"/>
            <w:tcBorders>
              <w:left w:val="nil"/>
              <w:right w:val="nil"/>
            </w:tcBorders>
            <w:shd w:val="clear" w:color="auto" w:fill="FFFFFF"/>
            <w:vAlign w:val="bottom"/>
          </w:tcPr>
          <w:p w14:paraId="3B7C950C"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Statistic</w:t>
            </w:r>
          </w:p>
        </w:tc>
        <w:tc>
          <w:tcPr>
            <w:tcW w:w="336" w:type="pct"/>
            <w:tcBorders>
              <w:left w:val="nil"/>
              <w:right w:val="nil"/>
            </w:tcBorders>
            <w:shd w:val="clear" w:color="auto" w:fill="FFFFFF"/>
            <w:vAlign w:val="bottom"/>
          </w:tcPr>
          <w:p w14:paraId="356EB870" w14:textId="77777777" w:rsidR="00123098" w:rsidRPr="00E0478C"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E0478C">
              <w:rPr>
                <w:rFonts w:ascii="Arial" w:hAnsi="Arial" w:cs="Arial"/>
                <w:color w:val="000000"/>
                <w:kern w:val="0"/>
                <w:szCs w:val="24"/>
                <w:lang w:val="en-US"/>
              </w:rPr>
              <w:t>Std. Error</w:t>
            </w:r>
          </w:p>
        </w:tc>
      </w:tr>
      <w:tr w:rsidR="00123098" w:rsidRPr="00E0478C" w14:paraId="47990B1D" w14:textId="77777777" w:rsidTr="009C7ADA">
        <w:trPr>
          <w:cantSplit/>
        </w:trPr>
        <w:tc>
          <w:tcPr>
            <w:tcW w:w="841" w:type="pct"/>
            <w:tcBorders>
              <w:left w:val="nil"/>
              <w:bottom w:val="nil"/>
              <w:right w:val="nil"/>
            </w:tcBorders>
            <w:shd w:val="clear" w:color="auto" w:fill="FFFFFF"/>
          </w:tcPr>
          <w:p w14:paraId="54BD1E75" w14:textId="77777777" w:rsidR="00123098" w:rsidRPr="00E0478C"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0478C">
              <w:rPr>
                <w:rFonts w:ascii="Arial" w:hAnsi="Arial" w:cs="Arial"/>
                <w:color w:val="000000"/>
                <w:kern w:val="0"/>
                <w:szCs w:val="24"/>
                <w:lang w:val="en-US"/>
              </w:rPr>
              <w:t>13. My sense of inclusion at work directly influences my decision to stay with this NHS Trust.</w:t>
            </w:r>
          </w:p>
        </w:tc>
        <w:tc>
          <w:tcPr>
            <w:tcW w:w="499" w:type="pct"/>
            <w:tcBorders>
              <w:left w:val="nil"/>
              <w:bottom w:val="nil"/>
            </w:tcBorders>
            <w:shd w:val="clear" w:color="auto" w:fill="FFFFFF"/>
          </w:tcPr>
          <w:p w14:paraId="76463FA6"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154</w:t>
            </w:r>
          </w:p>
        </w:tc>
        <w:tc>
          <w:tcPr>
            <w:tcW w:w="499" w:type="pct"/>
            <w:tcBorders>
              <w:left w:val="nil"/>
              <w:bottom w:val="nil"/>
              <w:right w:val="nil"/>
            </w:tcBorders>
            <w:shd w:val="clear" w:color="auto" w:fill="FFFFFF"/>
          </w:tcPr>
          <w:p w14:paraId="0004B8A6"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3.78</w:t>
            </w:r>
          </w:p>
        </w:tc>
        <w:tc>
          <w:tcPr>
            <w:tcW w:w="341" w:type="pct"/>
            <w:tcBorders>
              <w:left w:val="nil"/>
              <w:bottom w:val="nil"/>
            </w:tcBorders>
            <w:shd w:val="clear" w:color="auto" w:fill="FFFFFF"/>
          </w:tcPr>
          <w:p w14:paraId="502C56CD"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.102</w:t>
            </w:r>
          </w:p>
        </w:tc>
        <w:tc>
          <w:tcPr>
            <w:tcW w:w="586" w:type="pct"/>
            <w:tcBorders>
              <w:left w:val="nil"/>
              <w:bottom w:val="nil"/>
            </w:tcBorders>
            <w:shd w:val="clear" w:color="auto" w:fill="FFFFFF"/>
          </w:tcPr>
          <w:p w14:paraId="500ACD8A"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1.269</w:t>
            </w:r>
          </w:p>
        </w:tc>
        <w:tc>
          <w:tcPr>
            <w:tcW w:w="559" w:type="pct"/>
            <w:tcBorders>
              <w:left w:val="nil"/>
              <w:bottom w:val="nil"/>
            </w:tcBorders>
            <w:shd w:val="clear" w:color="auto" w:fill="FFFFFF"/>
          </w:tcPr>
          <w:p w14:paraId="497C1162"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1.611</w:t>
            </w:r>
          </w:p>
        </w:tc>
        <w:tc>
          <w:tcPr>
            <w:tcW w:w="499" w:type="pct"/>
            <w:tcBorders>
              <w:left w:val="nil"/>
              <w:bottom w:val="nil"/>
              <w:right w:val="nil"/>
            </w:tcBorders>
            <w:shd w:val="clear" w:color="auto" w:fill="FFFFFF"/>
          </w:tcPr>
          <w:p w14:paraId="37B3A5CF"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-.742</w:t>
            </w:r>
          </w:p>
        </w:tc>
        <w:tc>
          <w:tcPr>
            <w:tcW w:w="341" w:type="pct"/>
            <w:tcBorders>
              <w:left w:val="nil"/>
              <w:bottom w:val="nil"/>
            </w:tcBorders>
            <w:shd w:val="clear" w:color="auto" w:fill="FFFFFF"/>
          </w:tcPr>
          <w:p w14:paraId="01ECBB70"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.195</w:t>
            </w:r>
          </w:p>
        </w:tc>
        <w:tc>
          <w:tcPr>
            <w:tcW w:w="499" w:type="pct"/>
            <w:tcBorders>
              <w:left w:val="nil"/>
              <w:bottom w:val="nil"/>
              <w:right w:val="nil"/>
            </w:tcBorders>
            <w:shd w:val="clear" w:color="auto" w:fill="FFFFFF"/>
          </w:tcPr>
          <w:p w14:paraId="71DF64DE"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-.537</w:t>
            </w:r>
          </w:p>
        </w:tc>
        <w:tc>
          <w:tcPr>
            <w:tcW w:w="336" w:type="pct"/>
            <w:tcBorders>
              <w:left w:val="nil"/>
              <w:bottom w:val="nil"/>
              <w:right w:val="nil"/>
            </w:tcBorders>
            <w:shd w:val="clear" w:color="auto" w:fill="FFFFFF"/>
          </w:tcPr>
          <w:p w14:paraId="222D86CC"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.389</w:t>
            </w:r>
          </w:p>
        </w:tc>
      </w:tr>
      <w:tr w:rsidR="00123098" w:rsidRPr="00E0478C" w14:paraId="376E2F4D" w14:textId="77777777" w:rsidTr="009C7ADA">
        <w:trPr>
          <w:cantSplit/>
        </w:trPr>
        <w:tc>
          <w:tcPr>
            <w:tcW w:w="841" w:type="pct"/>
            <w:tcBorders>
              <w:top w:val="nil"/>
              <w:left w:val="nil"/>
              <w:bottom w:val="nil"/>
              <w:right w:val="nil"/>
            </w:tcBorders>
            <w:shd w:val="clear" w:color="auto" w:fill="FFFFFF"/>
          </w:tcPr>
          <w:p w14:paraId="554C2A8E" w14:textId="77777777" w:rsidR="00123098" w:rsidRPr="00E0478C"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0478C">
              <w:rPr>
                <w:rFonts w:ascii="Arial" w:hAnsi="Arial" w:cs="Arial"/>
                <w:color w:val="000000"/>
                <w:kern w:val="0"/>
                <w:szCs w:val="24"/>
                <w:lang w:val="en-US"/>
              </w:rPr>
              <w:lastRenderedPageBreak/>
              <w:t>14. I would recommend this Trust as a good and inclusive place to work.</w:t>
            </w:r>
          </w:p>
        </w:tc>
        <w:tc>
          <w:tcPr>
            <w:tcW w:w="499" w:type="pct"/>
            <w:tcBorders>
              <w:top w:val="nil"/>
              <w:left w:val="nil"/>
              <w:bottom w:val="nil"/>
            </w:tcBorders>
            <w:shd w:val="clear" w:color="auto" w:fill="FFFFFF"/>
          </w:tcPr>
          <w:p w14:paraId="66096D50"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154</w:t>
            </w:r>
          </w:p>
        </w:tc>
        <w:tc>
          <w:tcPr>
            <w:tcW w:w="499" w:type="pct"/>
            <w:tcBorders>
              <w:top w:val="nil"/>
              <w:left w:val="nil"/>
              <w:bottom w:val="nil"/>
              <w:right w:val="nil"/>
            </w:tcBorders>
            <w:shd w:val="clear" w:color="auto" w:fill="FFFFFF"/>
          </w:tcPr>
          <w:p w14:paraId="12B38D34"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3.98</w:t>
            </w:r>
          </w:p>
        </w:tc>
        <w:tc>
          <w:tcPr>
            <w:tcW w:w="341" w:type="pct"/>
            <w:tcBorders>
              <w:top w:val="nil"/>
              <w:left w:val="nil"/>
              <w:bottom w:val="nil"/>
            </w:tcBorders>
            <w:shd w:val="clear" w:color="auto" w:fill="FFFFFF"/>
          </w:tcPr>
          <w:p w14:paraId="0D3CB007"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.094</w:t>
            </w:r>
          </w:p>
        </w:tc>
        <w:tc>
          <w:tcPr>
            <w:tcW w:w="586" w:type="pct"/>
            <w:tcBorders>
              <w:top w:val="nil"/>
              <w:left w:val="nil"/>
              <w:bottom w:val="nil"/>
            </w:tcBorders>
            <w:shd w:val="clear" w:color="auto" w:fill="FFFFFF"/>
          </w:tcPr>
          <w:p w14:paraId="6C39AF7E"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1.163</w:t>
            </w:r>
          </w:p>
        </w:tc>
        <w:tc>
          <w:tcPr>
            <w:tcW w:w="559" w:type="pct"/>
            <w:tcBorders>
              <w:top w:val="nil"/>
              <w:left w:val="nil"/>
              <w:bottom w:val="nil"/>
            </w:tcBorders>
            <w:shd w:val="clear" w:color="auto" w:fill="FFFFFF"/>
          </w:tcPr>
          <w:p w14:paraId="7C0E6264"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1.353</w:t>
            </w:r>
          </w:p>
        </w:tc>
        <w:tc>
          <w:tcPr>
            <w:tcW w:w="499" w:type="pct"/>
            <w:tcBorders>
              <w:top w:val="nil"/>
              <w:left w:val="nil"/>
              <w:bottom w:val="nil"/>
              <w:right w:val="nil"/>
            </w:tcBorders>
            <w:shd w:val="clear" w:color="auto" w:fill="FFFFFF"/>
          </w:tcPr>
          <w:p w14:paraId="4EE18CA4"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-1.098</w:t>
            </w:r>
          </w:p>
        </w:tc>
        <w:tc>
          <w:tcPr>
            <w:tcW w:w="341" w:type="pct"/>
            <w:tcBorders>
              <w:top w:val="nil"/>
              <w:left w:val="nil"/>
              <w:bottom w:val="nil"/>
            </w:tcBorders>
            <w:shd w:val="clear" w:color="auto" w:fill="FFFFFF"/>
          </w:tcPr>
          <w:p w14:paraId="3DDD4239"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.195</w:t>
            </w:r>
          </w:p>
        </w:tc>
        <w:tc>
          <w:tcPr>
            <w:tcW w:w="499" w:type="pct"/>
            <w:tcBorders>
              <w:top w:val="nil"/>
              <w:left w:val="nil"/>
              <w:bottom w:val="nil"/>
              <w:right w:val="nil"/>
            </w:tcBorders>
            <w:shd w:val="clear" w:color="auto" w:fill="FFFFFF"/>
          </w:tcPr>
          <w:p w14:paraId="6C426BF5"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.352</w:t>
            </w:r>
          </w:p>
        </w:tc>
        <w:tc>
          <w:tcPr>
            <w:tcW w:w="336" w:type="pct"/>
            <w:tcBorders>
              <w:top w:val="nil"/>
              <w:left w:val="nil"/>
              <w:bottom w:val="nil"/>
              <w:right w:val="nil"/>
            </w:tcBorders>
            <w:shd w:val="clear" w:color="auto" w:fill="FFFFFF"/>
          </w:tcPr>
          <w:p w14:paraId="4B347B62"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.389</w:t>
            </w:r>
          </w:p>
        </w:tc>
      </w:tr>
      <w:tr w:rsidR="00123098" w:rsidRPr="00E0478C" w14:paraId="653F5786" w14:textId="77777777" w:rsidTr="009C7ADA">
        <w:trPr>
          <w:cantSplit/>
        </w:trPr>
        <w:tc>
          <w:tcPr>
            <w:tcW w:w="841" w:type="pct"/>
            <w:tcBorders>
              <w:top w:val="nil"/>
              <w:left w:val="nil"/>
              <w:bottom w:val="nil"/>
              <w:right w:val="nil"/>
            </w:tcBorders>
            <w:shd w:val="clear" w:color="auto" w:fill="FFFFFF"/>
          </w:tcPr>
          <w:p w14:paraId="19196881" w14:textId="77777777" w:rsidR="00123098" w:rsidRPr="00E0478C"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0478C">
              <w:rPr>
                <w:rFonts w:ascii="Arial" w:hAnsi="Arial" w:cs="Arial"/>
                <w:color w:val="000000"/>
                <w:kern w:val="0"/>
                <w:szCs w:val="24"/>
                <w:lang w:val="en-US"/>
              </w:rPr>
              <w:t xml:space="preserve">15. Improvements in </w:t>
            </w:r>
            <w:proofErr w:type="spellStart"/>
            <w:r w:rsidRPr="00E0478C">
              <w:rPr>
                <w:rFonts w:ascii="Arial" w:hAnsi="Arial" w:cs="Arial"/>
                <w:color w:val="000000"/>
                <w:kern w:val="0"/>
                <w:szCs w:val="24"/>
                <w:lang w:val="en-US"/>
              </w:rPr>
              <w:t>D&amp;amp;I</w:t>
            </w:r>
            <w:proofErr w:type="spellEnd"/>
            <w:r w:rsidRPr="00E0478C">
              <w:rPr>
                <w:rFonts w:ascii="Arial" w:hAnsi="Arial" w:cs="Arial"/>
                <w:color w:val="000000"/>
                <w:kern w:val="0"/>
                <w:szCs w:val="24"/>
                <w:lang w:val="en-US"/>
              </w:rPr>
              <w:t xml:space="preserve"> would significantly increase my intention to stay in my current role.</w:t>
            </w:r>
          </w:p>
        </w:tc>
        <w:tc>
          <w:tcPr>
            <w:tcW w:w="499" w:type="pct"/>
            <w:tcBorders>
              <w:top w:val="nil"/>
              <w:left w:val="nil"/>
              <w:bottom w:val="nil"/>
            </w:tcBorders>
            <w:shd w:val="clear" w:color="auto" w:fill="FFFFFF"/>
          </w:tcPr>
          <w:p w14:paraId="7ECAD3EF"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154</w:t>
            </w:r>
          </w:p>
        </w:tc>
        <w:tc>
          <w:tcPr>
            <w:tcW w:w="499" w:type="pct"/>
            <w:tcBorders>
              <w:top w:val="nil"/>
              <w:left w:val="nil"/>
              <w:bottom w:val="nil"/>
              <w:right w:val="nil"/>
            </w:tcBorders>
            <w:shd w:val="clear" w:color="auto" w:fill="FFFFFF"/>
          </w:tcPr>
          <w:p w14:paraId="46316512"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3.75</w:t>
            </w:r>
          </w:p>
        </w:tc>
        <w:tc>
          <w:tcPr>
            <w:tcW w:w="341" w:type="pct"/>
            <w:tcBorders>
              <w:top w:val="nil"/>
              <w:left w:val="nil"/>
              <w:bottom w:val="nil"/>
            </w:tcBorders>
            <w:shd w:val="clear" w:color="auto" w:fill="FFFFFF"/>
          </w:tcPr>
          <w:p w14:paraId="6FFF3715"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.102</w:t>
            </w:r>
          </w:p>
        </w:tc>
        <w:tc>
          <w:tcPr>
            <w:tcW w:w="586" w:type="pct"/>
            <w:tcBorders>
              <w:top w:val="nil"/>
              <w:left w:val="nil"/>
              <w:bottom w:val="nil"/>
            </w:tcBorders>
            <w:shd w:val="clear" w:color="auto" w:fill="FFFFFF"/>
          </w:tcPr>
          <w:p w14:paraId="2CF10EC6"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1.261</w:t>
            </w:r>
          </w:p>
        </w:tc>
        <w:tc>
          <w:tcPr>
            <w:tcW w:w="559" w:type="pct"/>
            <w:tcBorders>
              <w:top w:val="nil"/>
              <w:left w:val="nil"/>
              <w:bottom w:val="nil"/>
            </w:tcBorders>
            <w:shd w:val="clear" w:color="auto" w:fill="FFFFFF"/>
          </w:tcPr>
          <w:p w14:paraId="36D09C5E"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1.589</w:t>
            </w:r>
          </w:p>
        </w:tc>
        <w:tc>
          <w:tcPr>
            <w:tcW w:w="499" w:type="pct"/>
            <w:tcBorders>
              <w:top w:val="nil"/>
              <w:left w:val="nil"/>
              <w:bottom w:val="nil"/>
              <w:right w:val="nil"/>
            </w:tcBorders>
            <w:shd w:val="clear" w:color="auto" w:fill="FFFFFF"/>
          </w:tcPr>
          <w:p w14:paraId="7C0BA533"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-.839</w:t>
            </w:r>
          </w:p>
        </w:tc>
        <w:tc>
          <w:tcPr>
            <w:tcW w:w="341" w:type="pct"/>
            <w:tcBorders>
              <w:top w:val="nil"/>
              <w:left w:val="nil"/>
              <w:bottom w:val="nil"/>
            </w:tcBorders>
            <w:shd w:val="clear" w:color="auto" w:fill="FFFFFF"/>
          </w:tcPr>
          <w:p w14:paraId="65CD9AAC"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.195</w:t>
            </w:r>
          </w:p>
        </w:tc>
        <w:tc>
          <w:tcPr>
            <w:tcW w:w="499" w:type="pct"/>
            <w:tcBorders>
              <w:top w:val="nil"/>
              <w:left w:val="nil"/>
              <w:bottom w:val="nil"/>
              <w:right w:val="nil"/>
            </w:tcBorders>
            <w:shd w:val="clear" w:color="auto" w:fill="FFFFFF"/>
          </w:tcPr>
          <w:p w14:paraId="1BB3B026"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-.320</w:t>
            </w:r>
          </w:p>
        </w:tc>
        <w:tc>
          <w:tcPr>
            <w:tcW w:w="336" w:type="pct"/>
            <w:tcBorders>
              <w:top w:val="nil"/>
              <w:left w:val="nil"/>
              <w:bottom w:val="nil"/>
              <w:right w:val="nil"/>
            </w:tcBorders>
            <w:shd w:val="clear" w:color="auto" w:fill="FFFFFF"/>
          </w:tcPr>
          <w:p w14:paraId="5779585A"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.389</w:t>
            </w:r>
          </w:p>
        </w:tc>
      </w:tr>
      <w:tr w:rsidR="00123098" w:rsidRPr="00E0478C" w14:paraId="13BFA662" w14:textId="77777777" w:rsidTr="009C7ADA">
        <w:trPr>
          <w:cantSplit/>
        </w:trPr>
        <w:tc>
          <w:tcPr>
            <w:tcW w:w="841" w:type="pct"/>
            <w:tcBorders>
              <w:top w:val="nil"/>
              <w:left w:val="nil"/>
              <w:bottom w:val="nil"/>
              <w:right w:val="nil"/>
            </w:tcBorders>
            <w:shd w:val="clear" w:color="auto" w:fill="FFFFFF"/>
          </w:tcPr>
          <w:p w14:paraId="4A0D9FEC" w14:textId="77777777" w:rsidR="00123098" w:rsidRPr="00E0478C"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0478C">
              <w:rPr>
                <w:rFonts w:ascii="Arial" w:hAnsi="Arial" w:cs="Arial"/>
                <w:color w:val="000000"/>
                <w:kern w:val="0"/>
                <w:szCs w:val="24"/>
                <w:lang w:val="en-US"/>
              </w:rPr>
              <w:t xml:space="preserve">16. Managers in my area demonstrate inclusive </w:t>
            </w:r>
            <w:proofErr w:type="spellStart"/>
            <w:r w:rsidRPr="00E0478C">
              <w:rPr>
                <w:rFonts w:ascii="Arial" w:hAnsi="Arial" w:cs="Arial"/>
                <w:color w:val="000000"/>
                <w:kern w:val="0"/>
                <w:szCs w:val="24"/>
                <w:lang w:val="en-US"/>
              </w:rPr>
              <w:t>behaviours</w:t>
            </w:r>
            <w:proofErr w:type="spellEnd"/>
            <w:r w:rsidRPr="00E0478C">
              <w:rPr>
                <w:rFonts w:ascii="Arial" w:hAnsi="Arial" w:cs="Arial"/>
                <w:color w:val="000000"/>
                <w:kern w:val="0"/>
                <w:szCs w:val="24"/>
                <w:lang w:val="en-US"/>
              </w:rPr>
              <w:t xml:space="preserve"> in their day-to-day interactions.</w:t>
            </w:r>
          </w:p>
        </w:tc>
        <w:tc>
          <w:tcPr>
            <w:tcW w:w="499" w:type="pct"/>
            <w:tcBorders>
              <w:top w:val="nil"/>
              <w:left w:val="nil"/>
              <w:bottom w:val="nil"/>
            </w:tcBorders>
            <w:shd w:val="clear" w:color="auto" w:fill="FFFFFF"/>
          </w:tcPr>
          <w:p w14:paraId="07BCFE53"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154</w:t>
            </w:r>
          </w:p>
        </w:tc>
        <w:tc>
          <w:tcPr>
            <w:tcW w:w="499" w:type="pct"/>
            <w:tcBorders>
              <w:top w:val="nil"/>
              <w:left w:val="nil"/>
              <w:bottom w:val="nil"/>
              <w:right w:val="nil"/>
            </w:tcBorders>
            <w:shd w:val="clear" w:color="auto" w:fill="FFFFFF"/>
          </w:tcPr>
          <w:p w14:paraId="7875649B"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3.83</w:t>
            </w:r>
          </w:p>
        </w:tc>
        <w:tc>
          <w:tcPr>
            <w:tcW w:w="341" w:type="pct"/>
            <w:tcBorders>
              <w:top w:val="nil"/>
              <w:left w:val="nil"/>
              <w:bottom w:val="nil"/>
            </w:tcBorders>
            <w:shd w:val="clear" w:color="auto" w:fill="FFFFFF"/>
          </w:tcPr>
          <w:p w14:paraId="4AA17FD3"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.093</w:t>
            </w:r>
          </w:p>
        </w:tc>
        <w:tc>
          <w:tcPr>
            <w:tcW w:w="586" w:type="pct"/>
            <w:tcBorders>
              <w:top w:val="nil"/>
              <w:left w:val="nil"/>
              <w:bottom w:val="nil"/>
            </w:tcBorders>
            <w:shd w:val="clear" w:color="auto" w:fill="FFFFFF"/>
          </w:tcPr>
          <w:p w14:paraId="30B1A2B0"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1.159</w:t>
            </w:r>
          </w:p>
        </w:tc>
        <w:tc>
          <w:tcPr>
            <w:tcW w:w="559" w:type="pct"/>
            <w:tcBorders>
              <w:top w:val="nil"/>
              <w:left w:val="nil"/>
              <w:bottom w:val="nil"/>
            </w:tcBorders>
            <w:shd w:val="clear" w:color="auto" w:fill="FFFFFF"/>
          </w:tcPr>
          <w:p w14:paraId="29BAF608"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1.344</w:t>
            </w:r>
          </w:p>
        </w:tc>
        <w:tc>
          <w:tcPr>
            <w:tcW w:w="499" w:type="pct"/>
            <w:tcBorders>
              <w:top w:val="nil"/>
              <w:left w:val="nil"/>
              <w:bottom w:val="nil"/>
              <w:right w:val="nil"/>
            </w:tcBorders>
            <w:shd w:val="clear" w:color="auto" w:fill="FFFFFF"/>
          </w:tcPr>
          <w:p w14:paraId="047D5E50"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-.838</w:t>
            </w:r>
          </w:p>
        </w:tc>
        <w:tc>
          <w:tcPr>
            <w:tcW w:w="341" w:type="pct"/>
            <w:tcBorders>
              <w:top w:val="nil"/>
              <w:left w:val="nil"/>
              <w:bottom w:val="nil"/>
            </w:tcBorders>
            <w:shd w:val="clear" w:color="auto" w:fill="FFFFFF"/>
          </w:tcPr>
          <w:p w14:paraId="5897C887"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.195</w:t>
            </w:r>
          </w:p>
        </w:tc>
        <w:tc>
          <w:tcPr>
            <w:tcW w:w="499" w:type="pct"/>
            <w:tcBorders>
              <w:top w:val="nil"/>
              <w:left w:val="nil"/>
              <w:bottom w:val="nil"/>
              <w:right w:val="nil"/>
            </w:tcBorders>
            <w:shd w:val="clear" w:color="auto" w:fill="FFFFFF"/>
          </w:tcPr>
          <w:p w14:paraId="51F4B5FD"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-.193</w:t>
            </w:r>
          </w:p>
        </w:tc>
        <w:tc>
          <w:tcPr>
            <w:tcW w:w="336" w:type="pct"/>
            <w:tcBorders>
              <w:top w:val="nil"/>
              <w:left w:val="nil"/>
              <w:bottom w:val="nil"/>
              <w:right w:val="nil"/>
            </w:tcBorders>
            <w:shd w:val="clear" w:color="auto" w:fill="FFFFFF"/>
          </w:tcPr>
          <w:p w14:paraId="33F687AC"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.389</w:t>
            </w:r>
          </w:p>
        </w:tc>
      </w:tr>
      <w:tr w:rsidR="00123098" w:rsidRPr="00E0478C" w14:paraId="59C71868" w14:textId="77777777" w:rsidTr="009C7ADA">
        <w:trPr>
          <w:cantSplit/>
        </w:trPr>
        <w:tc>
          <w:tcPr>
            <w:tcW w:w="841" w:type="pct"/>
            <w:tcBorders>
              <w:top w:val="nil"/>
              <w:left w:val="nil"/>
              <w:right w:val="nil"/>
            </w:tcBorders>
            <w:shd w:val="clear" w:color="auto" w:fill="FFFFFF"/>
          </w:tcPr>
          <w:p w14:paraId="3A5EA95C" w14:textId="77777777" w:rsidR="00123098" w:rsidRPr="00E0478C"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E0478C">
              <w:rPr>
                <w:rFonts w:ascii="Arial" w:hAnsi="Arial" w:cs="Arial"/>
                <w:color w:val="000000"/>
                <w:kern w:val="0"/>
                <w:szCs w:val="24"/>
                <w:lang w:val="en-US"/>
              </w:rPr>
              <w:t>Valid N (listwise)</w:t>
            </w:r>
          </w:p>
        </w:tc>
        <w:tc>
          <w:tcPr>
            <w:tcW w:w="499" w:type="pct"/>
            <w:tcBorders>
              <w:top w:val="nil"/>
              <w:left w:val="nil"/>
            </w:tcBorders>
            <w:shd w:val="clear" w:color="auto" w:fill="FFFFFF"/>
          </w:tcPr>
          <w:p w14:paraId="5C940B42" w14:textId="77777777" w:rsidR="00123098" w:rsidRPr="00E0478C"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E0478C">
              <w:rPr>
                <w:rFonts w:ascii="Arial" w:hAnsi="Arial" w:cs="Arial"/>
                <w:color w:val="000000"/>
                <w:kern w:val="0"/>
                <w:szCs w:val="24"/>
                <w:lang w:val="en-US"/>
              </w:rPr>
              <w:t>154</w:t>
            </w:r>
          </w:p>
        </w:tc>
        <w:tc>
          <w:tcPr>
            <w:tcW w:w="499" w:type="pct"/>
            <w:tcBorders>
              <w:top w:val="nil"/>
              <w:left w:val="nil"/>
              <w:right w:val="nil"/>
            </w:tcBorders>
            <w:shd w:val="clear" w:color="auto" w:fill="FFFFFF"/>
            <w:vAlign w:val="center"/>
          </w:tcPr>
          <w:p w14:paraId="3680BED7" w14:textId="77777777" w:rsidR="00123098" w:rsidRPr="00E0478C" w:rsidRDefault="00123098" w:rsidP="00F033A7">
            <w:pPr>
              <w:autoSpaceDE w:val="0"/>
              <w:autoSpaceDN w:val="0"/>
              <w:adjustRightInd w:val="0"/>
              <w:spacing w:line="240" w:lineRule="auto"/>
              <w:jc w:val="left"/>
              <w:rPr>
                <w:rFonts w:cs="Times New Roman"/>
                <w:kern w:val="0"/>
                <w:szCs w:val="24"/>
                <w:lang w:val="en-US"/>
              </w:rPr>
            </w:pPr>
          </w:p>
        </w:tc>
        <w:tc>
          <w:tcPr>
            <w:tcW w:w="341" w:type="pct"/>
            <w:tcBorders>
              <w:top w:val="nil"/>
              <w:left w:val="nil"/>
            </w:tcBorders>
            <w:shd w:val="clear" w:color="auto" w:fill="FFFFFF"/>
            <w:vAlign w:val="center"/>
          </w:tcPr>
          <w:p w14:paraId="04260C1C" w14:textId="77777777" w:rsidR="00123098" w:rsidRPr="00E0478C" w:rsidRDefault="00123098" w:rsidP="00F033A7">
            <w:pPr>
              <w:autoSpaceDE w:val="0"/>
              <w:autoSpaceDN w:val="0"/>
              <w:adjustRightInd w:val="0"/>
              <w:spacing w:line="240" w:lineRule="auto"/>
              <w:jc w:val="left"/>
              <w:rPr>
                <w:rFonts w:cs="Times New Roman"/>
                <w:kern w:val="0"/>
                <w:szCs w:val="24"/>
                <w:lang w:val="en-US"/>
              </w:rPr>
            </w:pPr>
          </w:p>
        </w:tc>
        <w:tc>
          <w:tcPr>
            <w:tcW w:w="586" w:type="pct"/>
            <w:tcBorders>
              <w:top w:val="nil"/>
              <w:left w:val="nil"/>
            </w:tcBorders>
            <w:shd w:val="clear" w:color="auto" w:fill="FFFFFF"/>
            <w:vAlign w:val="center"/>
          </w:tcPr>
          <w:p w14:paraId="42AB4505" w14:textId="77777777" w:rsidR="00123098" w:rsidRPr="00E0478C" w:rsidRDefault="00123098" w:rsidP="00F033A7">
            <w:pPr>
              <w:autoSpaceDE w:val="0"/>
              <w:autoSpaceDN w:val="0"/>
              <w:adjustRightInd w:val="0"/>
              <w:spacing w:line="240" w:lineRule="auto"/>
              <w:jc w:val="left"/>
              <w:rPr>
                <w:rFonts w:cs="Times New Roman"/>
                <w:kern w:val="0"/>
                <w:szCs w:val="24"/>
                <w:lang w:val="en-US"/>
              </w:rPr>
            </w:pPr>
          </w:p>
        </w:tc>
        <w:tc>
          <w:tcPr>
            <w:tcW w:w="559" w:type="pct"/>
            <w:tcBorders>
              <w:top w:val="nil"/>
              <w:left w:val="nil"/>
            </w:tcBorders>
            <w:shd w:val="clear" w:color="auto" w:fill="FFFFFF"/>
            <w:vAlign w:val="center"/>
          </w:tcPr>
          <w:p w14:paraId="3F83A928" w14:textId="77777777" w:rsidR="00123098" w:rsidRPr="00E0478C" w:rsidRDefault="00123098" w:rsidP="00F033A7">
            <w:pPr>
              <w:autoSpaceDE w:val="0"/>
              <w:autoSpaceDN w:val="0"/>
              <w:adjustRightInd w:val="0"/>
              <w:spacing w:line="240" w:lineRule="auto"/>
              <w:jc w:val="left"/>
              <w:rPr>
                <w:rFonts w:cs="Times New Roman"/>
                <w:kern w:val="0"/>
                <w:szCs w:val="24"/>
                <w:lang w:val="en-US"/>
              </w:rPr>
            </w:pPr>
          </w:p>
        </w:tc>
        <w:tc>
          <w:tcPr>
            <w:tcW w:w="499" w:type="pct"/>
            <w:tcBorders>
              <w:top w:val="nil"/>
              <w:left w:val="nil"/>
              <w:right w:val="nil"/>
            </w:tcBorders>
            <w:shd w:val="clear" w:color="auto" w:fill="FFFFFF"/>
            <w:vAlign w:val="center"/>
          </w:tcPr>
          <w:p w14:paraId="38FD434A" w14:textId="77777777" w:rsidR="00123098" w:rsidRPr="00E0478C" w:rsidRDefault="00123098" w:rsidP="00F033A7">
            <w:pPr>
              <w:autoSpaceDE w:val="0"/>
              <w:autoSpaceDN w:val="0"/>
              <w:adjustRightInd w:val="0"/>
              <w:spacing w:line="240" w:lineRule="auto"/>
              <w:jc w:val="left"/>
              <w:rPr>
                <w:rFonts w:cs="Times New Roman"/>
                <w:kern w:val="0"/>
                <w:szCs w:val="24"/>
                <w:lang w:val="en-US"/>
              </w:rPr>
            </w:pPr>
          </w:p>
        </w:tc>
        <w:tc>
          <w:tcPr>
            <w:tcW w:w="341" w:type="pct"/>
            <w:tcBorders>
              <w:top w:val="nil"/>
              <w:left w:val="nil"/>
            </w:tcBorders>
            <w:shd w:val="clear" w:color="auto" w:fill="FFFFFF"/>
            <w:vAlign w:val="center"/>
          </w:tcPr>
          <w:p w14:paraId="670B4CF7" w14:textId="77777777" w:rsidR="00123098" w:rsidRPr="00E0478C" w:rsidRDefault="00123098" w:rsidP="00F033A7">
            <w:pPr>
              <w:autoSpaceDE w:val="0"/>
              <w:autoSpaceDN w:val="0"/>
              <w:adjustRightInd w:val="0"/>
              <w:spacing w:line="240" w:lineRule="auto"/>
              <w:jc w:val="left"/>
              <w:rPr>
                <w:rFonts w:cs="Times New Roman"/>
                <w:kern w:val="0"/>
                <w:szCs w:val="24"/>
                <w:lang w:val="en-US"/>
              </w:rPr>
            </w:pPr>
          </w:p>
        </w:tc>
        <w:tc>
          <w:tcPr>
            <w:tcW w:w="499" w:type="pct"/>
            <w:tcBorders>
              <w:top w:val="nil"/>
              <w:left w:val="nil"/>
              <w:right w:val="nil"/>
            </w:tcBorders>
            <w:shd w:val="clear" w:color="auto" w:fill="FFFFFF"/>
            <w:vAlign w:val="center"/>
          </w:tcPr>
          <w:p w14:paraId="37948CD4" w14:textId="77777777" w:rsidR="00123098" w:rsidRPr="00E0478C" w:rsidRDefault="00123098" w:rsidP="00F033A7">
            <w:pPr>
              <w:autoSpaceDE w:val="0"/>
              <w:autoSpaceDN w:val="0"/>
              <w:adjustRightInd w:val="0"/>
              <w:spacing w:line="240" w:lineRule="auto"/>
              <w:jc w:val="left"/>
              <w:rPr>
                <w:rFonts w:cs="Times New Roman"/>
                <w:kern w:val="0"/>
                <w:szCs w:val="24"/>
                <w:lang w:val="en-US"/>
              </w:rPr>
            </w:pPr>
          </w:p>
        </w:tc>
        <w:tc>
          <w:tcPr>
            <w:tcW w:w="336" w:type="pct"/>
            <w:tcBorders>
              <w:top w:val="nil"/>
              <w:left w:val="nil"/>
              <w:right w:val="nil"/>
            </w:tcBorders>
            <w:shd w:val="clear" w:color="auto" w:fill="FFFFFF"/>
            <w:vAlign w:val="center"/>
          </w:tcPr>
          <w:p w14:paraId="58EB6679" w14:textId="77777777" w:rsidR="00123098" w:rsidRPr="00E0478C" w:rsidRDefault="00123098" w:rsidP="00F033A7">
            <w:pPr>
              <w:autoSpaceDE w:val="0"/>
              <w:autoSpaceDN w:val="0"/>
              <w:adjustRightInd w:val="0"/>
              <w:spacing w:line="240" w:lineRule="auto"/>
              <w:jc w:val="left"/>
              <w:rPr>
                <w:rFonts w:cs="Times New Roman"/>
                <w:kern w:val="0"/>
                <w:szCs w:val="24"/>
                <w:lang w:val="en-US"/>
              </w:rPr>
            </w:pPr>
          </w:p>
        </w:tc>
      </w:tr>
    </w:tbl>
    <w:p w14:paraId="33A62C3A" w14:textId="77777777" w:rsidR="0081590A" w:rsidRDefault="0081590A" w:rsidP="0081590A">
      <w:r>
        <w:t>Descriptive statistics evaluating the effect of diversity and inclusion on staff retention report highly positive relationships with a mean score of 3.75 to 3.98 between four main themes of retention. The greatest agreement is in willingness to recommend the Trust as an inclusive workplace (M=3.98), showing that the organisation is highly advocated by its staff. Manager demonstrations of inclusive behaviours appear next (M=3.83), and the direct effect of inclusion on retention decisions (M=3.78) and possible effect of D&amp;I improvement on staying intentions (M=3.75) have somewhat lower yet still positive scores.</w:t>
      </w:r>
    </w:p>
    <w:p w14:paraId="435B887D" w14:textId="77777777" w:rsidR="003B66D8" w:rsidRDefault="003B66D8" w:rsidP="0081590A"/>
    <w:p w14:paraId="08FB8843" w14:textId="77777777" w:rsidR="0081590A" w:rsidRDefault="0081590A" w:rsidP="0081590A">
      <w:r>
        <w:t xml:space="preserve">All the standard deviations are 1.159 to 1.269 and the variance is 1.344 to 1.611, which indicate an average response variability. The effect of inclusion on staying decisions presents the highest level of dispersion (SD=1.269) implying </w:t>
      </w:r>
      <w:proofErr w:type="spellStart"/>
      <w:r>
        <w:t>unhomogenous</w:t>
      </w:r>
      <w:proofErr w:type="spellEnd"/>
      <w:r>
        <w:t xml:space="preserve"> views on the effect of inclusion to the individual retention choices. In contrast, workplace recommendations and manager inclusive </w:t>
      </w:r>
      <w:r>
        <w:lastRenderedPageBreak/>
        <w:t>behaviours are less varied (SD=1.163 and 1.159 respectively), meaning a stronger positive perception.</w:t>
      </w:r>
    </w:p>
    <w:p w14:paraId="1651D6A3" w14:textId="77777777" w:rsidR="003B66D8" w:rsidRDefault="003B66D8" w:rsidP="0081590A"/>
    <w:p w14:paraId="34A727FD" w14:textId="77777777" w:rsidR="0081590A" w:rsidRDefault="0081590A" w:rsidP="0081590A">
      <w:r>
        <w:t>All the themes had negative skewness with values ranging between -.742 and -1.098, and workplace recommendations exhibit especially strong left skewness (-1.098). It means that the answers are concentrated at a high level of agreement as the majority of the retention-related impressions are positive. The steep skewness in recommendation willingness indicates a high level of organisational commitment among a majority of the respondents.</w:t>
      </w:r>
    </w:p>
    <w:p w14:paraId="177D48A3" w14:textId="77777777" w:rsidR="003B66D8" w:rsidRDefault="003B66D8" w:rsidP="0081590A"/>
    <w:p w14:paraId="6D2CECBE" w14:textId="0BB5F0DA" w:rsidR="004C023B" w:rsidRDefault="0081590A" w:rsidP="0081590A">
      <w:r>
        <w:t>The values of kurtosis range between -.537 and.352, which tends to be close to zero, showing relatively normal distributions. Slightly positive kurtosis (.352) indicates some slight concentration among the mean due to the workplace recommendations. The inclusion negative kurtosis value (-.537) suggests a little flatter distribution with more responses dispersed on the scale, which confirms a larger standard deviation of the theme in question.</w:t>
      </w:r>
    </w:p>
    <w:p w14:paraId="236D8E84" w14:textId="77777777" w:rsidR="003B66D8" w:rsidRPr="004C023B" w:rsidRDefault="003B66D8" w:rsidP="0081590A"/>
    <w:p w14:paraId="78F20547" w14:textId="02965C66" w:rsidR="004C023B" w:rsidRDefault="004C023B" w:rsidP="004C023B">
      <w:pPr>
        <w:pStyle w:val="Heading4"/>
      </w:pPr>
      <w:r>
        <w:t>Rating Actionable Recommendations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509"/>
        <w:gridCol w:w="901"/>
        <w:gridCol w:w="902"/>
        <w:gridCol w:w="617"/>
        <w:gridCol w:w="1060"/>
        <w:gridCol w:w="1010"/>
        <w:gridCol w:w="902"/>
        <w:gridCol w:w="617"/>
        <w:gridCol w:w="901"/>
        <w:gridCol w:w="607"/>
      </w:tblGrid>
      <w:tr w:rsidR="00123098" w:rsidRPr="005959B6" w14:paraId="1DCD8851" w14:textId="77777777" w:rsidTr="00F033A7">
        <w:trPr>
          <w:cantSplit/>
        </w:trPr>
        <w:tc>
          <w:tcPr>
            <w:tcW w:w="5000" w:type="pct"/>
            <w:gridSpan w:val="10"/>
            <w:tcBorders>
              <w:top w:val="nil"/>
              <w:left w:val="nil"/>
              <w:bottom w:val="nil"/>
              <w:right w:val="nil"/>
            </w:tcBorders>
            <w:shd w:val="clear" w:color="auto" w:fill="FFFFFF"/>
            <w:vAlign w:val="center"/>
          </w:tcPr>
          <w:bookmarkEnd w:id="53"/>
          <w:p w14:paraId="0EE5B7EC" w14:textId="77777777" w:rsidR="00123098" w:rsidRPr="005959B6"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959B6">
              <w:rPr>
                <w:rFonts w:ascii="Arial" w:hAnsi="Arial" w:cs="Arial"/>
                <w:i/>
                <w:iCs/>
                <w:color w:val="000000"/>
                <w:kern w:val="0"/>
                <w:szCs w:val="24"/>
                <w:lang w:val="en-US"/>
              </w:rPr>
              <w:t>Descriptive Statistics</w:t>
            </w:r>
          </w:p>
        </w:tc>
      </w:tr>
      <w:tr w:rsidR="00123098" w:rsidRPr="005959B6" w14:paraId="3AA45411" w14:textId="77777777" w:rsidTr="009C7ADA">
        <w:trPr>
          <w:cantSplit/>
        </w:trPr>
        <w:tc>
          <w:tcPr>
            <w:tcW w:w="836" w:type="pct"/>
            <w:vMerge w:val="restart"/>
            <w:tcBorders>
              <w:left w:val="nil"/>
              <w:bottom w:val="nil"/>
              <w:right w:val="nil"/>
            </w:tcBorders>
            <w:shd w:val="clear" w:color="auto" w:fill="FFFFFF"/>
            <w:vAlign w:val="bottom"/>
          </w:tcPr>
          <w:p w14:paraId="70F34C03" w14:textId="77777777" w:rsidR="00123098" w:rsidRPr="005959B6" w:rsidRDefault="00123098" w:rsidP="00F033A7">
            <w:pPr>
              <w:autoSpaceDE w:val="0"/>
              <w:autoSpaceDN w:val="0"/>
              <w:adjustRightInd w:val="0"/>
              <w:spacing w:line="240" w:lineRule="auto"/>
              <w:jc w:val="left"/>
              <w:rPr>
                <w:rFonts w:cs="Times New Roman"/>
                <w:kern w:val="0"/>
                <w:szCs w:val="24"/>
                <w:lang w:val="en-US"/>
              </w:rPr>
            </w:pPr>
          </w:p>
        </w:tc>
        <w:tc>
          <w:tcPr>
            <w:tcW w:w="499" w:type="pct"/>
            <w:tcBorders>
              <w:left w:val="nil"/>
            </w:tcBorders>
            <w:shd w:val="clear" w:color="auto" w:fill="FFFFFF"/>
            <w:vAlign w:val="bottom"/>
          </w:tcPr>
          <w:p w14:paraId="40B7FEF5"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N</w:t>
            </w:r>
          </w:p>
        </w:tc>
        <w:tc>
          <w:tcPr>
            <w:tcW w:w="841" w:type="pct"/>
            <w:gridSpan w:val="2"/>
            <w:tcBorders>
              <w:left w:val="nil"/>
            </w:tcBorders>
            <w:shd w:val="clear" w:color="auto" w:fill="FFFFFF"/>
            <w:vAlign w:val="bottom"/>
          </w:tcPr>
          <w:p w14:paraId="6DBCDE2F"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Mean</w:t>
            </w:r>
          </w:p>
        </w:tc>
        <w:tc>
          <w:tcPr>
            <w:tcW w:w="587" w:type="pct"/>
            <w:tcBorders>
              <w:left w:val="nil"/>
            </w:tcBorders>
            <w:shd w:val="clear" w:color="auto" w:fill="FFFFFF"/>
            <w:vAlign w:val="bottom"/>
          </w:tcPr>
          <w:p w14:paraId="01A4A179"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Std. Deviation</w:t>
            </w:r>
          </w:p>
        </w:tc>
        <w:tc>
          <w:tcPr>
            <w:tcW w:w="559" w:type="pct"/>
            <w:tcBorders>
              <w:left w:val="nil"/>
            </w:tcBorders>
            <w:shd w:val="clear" w:color="auto" w:fill="FFFFFF"/>
            <w:vAlign w:val="bottom"/>
          </w:tcPr>
          <w:p w14:paraId="23D33DC1"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Variance</w:t>
            </w:r>
          </w:p>
        </w:tc>
        <w:tc>
          <w:tcPr>
            <w:tcW w:w="841" w:type="pct"/>
            <w:gridSpan w:val="2"/>
            <w:tcBorders>
              <w:left w:val="nil"/>
            </w:tcBorders>
            <w:shd w:val="clear" w:color="auto" w:fill="FFFFFF"/>
            <w:vAlign w:val="bottom"/>
          </w:tcPr>
          <w:p w14:paraId="79F4E1B0"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Skewness</w:t>
            </w:r>
          </w:p>
        </w:tc>
        <w:tc>
          <w:tcPr>
            <w:tcW w:w="835" w:type="pct"/>
            <w:gridSpan w:val="2"/>
            <w:tcBorders>
              <w:left w:val="nil"/>
              <w:right w:val="nil"/>
            </w:tcBorders>
            <w:shd w:val="clear" w:color="auto" w:fill="FFFFFF"/>
            <w:vAlign w:val="bottom"/>
          </w:tcPr>
          <w:p w14:paraId="42831AB4"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Kurtosis</w:t>
            </w:r>
          </w:p>
        </w:tc>
      </w:tr>
      <w:tr w:rsidR="00123098" w:rsidRPr="005959B6" w14:paraId="4CB63475" w14:textId="77777777" w:rsidTr="009C7ADA">
        <w:trPr>
          <w:cantSplit/>
        </w:trPr>
        <w:tc>
          <w:tcPr>
            <w:tcW w:w="836" w:type="pct"/>
            <w:vMerge/>
            <w:tcBorders>
              <w:left w:val="nil"/>
              <w:bottom w:val="nil"/>
              <w:right w:val="nil"/>
            </w:tcBorders>
            <w:shd w:val="clear" w:color="auto" w:fill="FFFFFF"/>
            <w:vAlign w:val="bottom"/>
          </w:tcPr>
          <w:p w14:paraId="4D39E080" w14:textId="77777777" w:rsidR="00123098" w:rsidRPr="005959B6" w:rsidRDefault="00123098" w:rsidP="00F033A7">
            <w:pPr>
              <w:autoSpaceDE w:val="0"/>
              <w:autoSpaceDN w:val="0"/>
              <w:adjustRightInd w:val="0"/>
              <w:spacing w:line="240" w:lineRule="auto"/>
              <w:jc w:val="left"/>
              <w:rPr>
                <w:rFonts w:ascii="Arial" w:hAnsi="Arial" w:cs="Arial"/>
                <w:color w:val="000000"/>
                <w:kern w:val="0"/>
                <w:szCs w:val="24"/>
                <w:lang w:val="en-US"/>
              </w:rPr>
            </w:pPr>
          </w:p>
        </w:tc>
        <w:tc>
          <w:tcPr>
            <w:tcW w:w="499" w:type="pct"/>
            <w:tcBorders>
              <w:left w:val="nil"/>
            </w:tcBorders>
            <w:shd w:val="clear" w:color="auto" w:fill="FFFFFF"/>
            <w:vAlign w:val="bottom"/>
          </w:tcPr>
          <w:p w14:paraId="40665D8D"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Statistic</w:t>
            </w:r>
          </w:p>
        </w:tc>
        <w:tc>
          <w:tcPr>
            <w:tcW w:w="500" w:type="pct"/>
            <w:tcBorders>
              <w:left w:val="nil"/>
              <w:right w:val="nil"/>
            </w:tcBorders>
            <w:shd w:val="clear" w:color="auto" w:fill="FFFFFF"/>
            <w:vAlign w:val="bottom"/>
          </w:tcPr>
          <w:p w14:paraId="321FB5E7"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Statistic</w:t>
            </w:r>
          </w:p>
        </w:tc>
        <w:tc>
          <w:tcPr>
            <w:tcW w:w="342" w:type="pct"/>
            <w:tcBorders>
              <w:left w:val="nil"/>
            </w:tcBorders>
            <w:shd w:val="clear" w:color="auto" w:fill="FFFFFF"/>
            <w:vAlign w:val="bottom"/>
          </w:tcPr>
          <w:p w14:paraId="059223EE"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Std. Error</w:t>
            </w:r>
          </w:p>
        </w:tc>
        <w:tc>
          <w:tcPr>
            <w:tcW w:w="587" w:type="pct"/>
            <w:tcBorders>
              <w:left w:val="nil"/>
            </w:tcBorders>
            <w:shd w:val="clear" w:color="auto" w:fill="FFFFFF"/>
            <w:vAlign w:val="bottom"/>
          </w:tcPr>
          <w:p w14:paraId="5279201A"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Statistic</w:t>
            </w:r>
          </w:p>
        </w:tc>
        <w:tc>
          <w:tcPr>
            <w:tcW w:w="559" w:type="pct"/>
            <w:tcBorders>
              <w:left w:val="nil"/>
            </w:tcBorders>
            <w:shd w:val="clear" w:color="auto" w:fill="FFFFFF"/>
            <w:vAlign w:val="bottom"/>
          </w:tcPr>
          <w:p w14:paraId="0BD15998"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Statistic</w:t>
            </w:r>
          </w:p>
        </w:tc>
        <w:tc>
          <w:tcPr>
            <w:tcW w:w="500" w:type="pct"/>
            <w:tcBorders>
              <w:left w:val="nil"/>
              <w:right w:val="nil"/>
            </w:tcBorders>
            <w:shd w:val="clear" w:color="auto" w:fill="FFFFFF"/>
            <w:vAlign w:val="bottom"/>
          </w:tcPr>
          <w:p w14:paraId="7966CF04"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Statistic</w:t>
            </w:r>
          </w:p>
        </w:tc>
        <w:tc>
          <w:tcPr>
            <w:tcW w:w="342" w:type="pct"/>
            <w:tcBorders>
              <w:left w:val="nil"/>
            </w:tcBorders>
            <w:shd w:val="clear" w:color="auto" w:fill="FFFFFF"/>
            <w:vAlign w:val="bottom"/>
          </w:tcPr>
          <w:p w14:paraId="7820D27F"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Std. Error</w:t>
            </w:r>
          </w:p>
        </w:tc>
        <w:tc>
          <w:tcPr>
            <w:tcW w:w="499" w:type="pct"/>
            <w:tcBorders>
              <w:left w:val="nil"/>
              <w:right w:val="nil"/>
            </w:tcBorders>
            <w:shd w:val="clear" w:color="auto" w:fill="FFFFFF"/>
            <w:vAlign w:val="bottom"/>
          </w:tcPr>
          <w:p w14:paraId="1E3850B1"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Statistic</w:t>
            </w:r>
          </w:p>
        </w:tc>
        <w:tc>
          <w:tcPr>
            <w:tcW w:w="336" w:type="pct"/>
            <w:tcBorders>
              <w:left w:val="nil"/>
              <w:right w:val="nil"/>
            </w:tcBorders>
            <w:shd w:val="clear" w:color="auto" w:fill="FFFFFF"/>
            <w:vAlign w:val="bottom"/>
          </w:tcPr>
          <w:p w14:paraId="717C6832" w14:textId="77777777" w:rsidR="00123098" w:rsidRPr="005959B6"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959B6">
              <w:rPr>
                <w:rFonts w:ascii="Arial" w:hAnsi="Arial" w:cs="Arial"/>
                <w:color w:val="000000"/>
                <w:kern w:val="0"/>
                <w:szCs w:val="24"/>
                <w:lang w:val="en-US"/>
              </w:rPr>
              <w:t>Std. Error</w:t>
            </w:r>
          </w:p>
        </w:tc>
      </w:tr>
      <w:tr w:rsidR="00123098" w:rsidRPr="005959B6" w14:paraId="67276E1B" w14:textId="77777777" w:rsidTr="009C7ADA">
        <w:trPr>
          <w:cantSplit/>
        </w:trPr>
        <w:tc>
          <w:tcPr>
            <w:tcW w:w="836" w:type="pct"/>
            <w:tcBorders>
              <w:left w:val="nil"/>
              <w:bottom w:val="nil"/>
              <w:right w:val="nil"/>
            </w:tcBorders>
            <w:shd w:val="clear" w:color="auto" w:fill="FFFFFF"/>
          </w:tcPr>
          <w:p w14:paraId="050754BC" w14:textId="77777777" w:rsidR="00123098" w:rsidRPr="005959B6"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959B6">
              <w:rPr>
                <w:rFonts w:ascii="Arial" w:hAnsi="Arial" w:cs="Arial"/>
                <w:color w:val="000000"/>
                <w:kern w:val="0"/>
                <w:szCs w:val="24"/>
                <w:lang w:val="en-US"/>
              </w:rPr>
              <w:t xml:space="preserve">17. </w:t>
            </w:r>
            <w:proofErr w:type="spellStart"/>
            <w:r w:rsidRPr="005959B6">
              <w:rPr>
                <w:rFonts w:ascii="Arial" w:hAnsi="Arial" w:cs="Arial"/>
                <w:color w:val="000000"/>
                <w:kern w:val="0"/>
                <w:szCs w:val="24"/>
                <w:lang w:val="en-US"/>
              </w:rPr>
              <w:t>Formalising</w:t>
            </w:r>
            <w:proofErr w:type="spellEnd"/>
            <w:r w:rsidRPr="005959B6">
              <w:rPr>
                <w:rFonts w:ascii="Arial" w:hAnsi="Arial" w:cs="Arial"/>
                <w:color w:val="000000"/>
                <w:kern w:val="0"/>
                <w:szCs w:val="24"/>
                <w:lang w:val="en-US"/>
              </w:rPr>
              <w:t xml:space="preserve"> and actively promoting a wider range of flexible working arrangements (e.g., term-time hours, job-shares, compressed hours) as a default option.</w:t>
            </w:r>
          </w:p>
        </w:tc>
        <w:tc>
          <w:tcPr>
            <w:tcW w:w="499" w:type="pct"/>
            <w:tcBorders>
              <w:left w:val="nil"/>
              <w:bottom w:val="nil"/>
            </w:tcBorders>
            <w:shd w:val="clear" w:color="auto" w:fill="FFFFFF"/>
          </w:tcPr>
          <w:p w14:paraId="054A56D0"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154</w:t>
            </w:r>
          </w:p>
        </w:tc>
        <w:tc>
          <w:tcPr>
            <w:tcW w:w="500" w:type="pct"/>
            <w:tcBorders>
              <w:left w:val="nil"/>
              <w:bottom w:val="nil"/>
              <w:right w:val="nil"/>
            </w:tcBorders>
            <w:shd w:val="clear" w:color="auto" w:fill="FFFFFF"/>
          </w:tcPr>
          <w:p w14:paraId="0FF12AFA"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3.62</w:t>
            </w:r>
          </w:p>
        </w:tc>
        <w:tc>
          <w:tcPr>
            <w:tcW w:w="342" w:type="pct"/>
            <w:tcBorders>
              <w:left w:val="nil"/>
              <w:bottom w:val="nil"/>
            </w:tcBorders>
            <w:shd w:val="clear" w:color="auto" w:fill="FFFFFF"/>
          </w:tcPr>
          <w:p w14:paraId="320A8240"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.100</w:t>
            </w:r>
          </w:p>
        </w:tc>
        <w:tc>
          <w:tcPr>
            <w:tcW w:w="587" w:type="pct"/>
            <w:tcBorders>
              <w:left w:val="nil"/>
              <w:bottom w:val="nil"/>
            </w:tcBorders>
            <w:shd w:val="clear" w:color="auto" w:fill="FFFFFF"/>
          </w:tcPr>
          <w:p w14:paraId="5833AB63"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1.237</w:t>
            </w:r>
          </w:p>
        </w:tc>
        <w:tc>
          <w:tcPr>
            <w:tcW w:w="559" w:type="pct"/>
            <w:tcBorders>
              <w:left w:val="nil"/>
              <w:bottom w:val="nil"/>
            </w:tcBorders>
            <w:shd w:val="clear" w:color="auto" w:fill="FFFFFF"/>
          </w:tcPr>
          <w:p w14:paraId="5142E282"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1.530</w:t>
            </w:r>
          </w:p>
        </w:tc>
        <w:tc>
          <w:tcPr>
            <w:tcW w:w="500" w:type="pct"/>
            <w:tcBorders>
              <w:left w:val="nil"/>
              <w:bottom w:val="nil"/>
              <w:right w:val="nil"/>
            </w:tcBorders>
            <w:shd w:val="clear" w:color="auto" w:fill="FFFFFF"/>
          </w:tcPr>
          <w:p w14:paraId="0DF88480"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-.739</w:t>
            </w:r>
          </w:p>
        </w:tc>
        <w:tc>
          <w:tcPr>
            <w:tcW w:w="342" w:type="pct"/>
            <w:tcBorders>
              <w:left w:val="nil"/>
              <w:bottom w:val="nil"/>
            </w:tcBorders>
            <w:shd w:val="clear" w:color="auto" w:fill="FFFFFF"/>
          </w:tcPr>
          <w:p w14:paraId="11FFCBDD"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.195</w:t>
            </w:r>
          </w:p>
        </w:tc>
        <w:tc>
          <w:tcPr>
            <w:tcW w:w="499" w:type="pct"/>
            <w:tcBorders>
              <w:left w:val="nil"/>
              <w:bottom w:val="nil"/>
              <w:right w:val="nil"/>
            </w:tcBorders>
            <w:shd w:val="clear" w:color="auto" w:fill="FFFFFF"/>
          </w:tcPr>
          <w:p w14:paraId="1D3C9AF4"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-.380</w:t>
            </w:r>
          </w:p>
        </w:tc>
        <w:tc>
          <w:tcPr>
            <w:tcW w:w="336" w:type="pct"/>
            <w:tcBorders>
              <w:left w:val="nil"/>
              <w:bottom w:val="nil"/>
              <w:right w:val="nil"/>
            </w:tcBorders>
            <w:shd w:val="clear" w:color="auto" w:fill="FFFFFF"/>
          </w:tcPr>
          <w:p w14:paraId="391148ED"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.389</w:t>
            </w:r>
          </w:p>
        </w:tc>
      </w:tr>
      <w:tr w:rsidR="00123098" w:rsidRPr="005959B6" w14:paraId="5CC561F1" w14:textId="77777777" w:rsidTr="009C7ADA">
        <w:trPr>
          <w:cantSplit/>
        </w:trPr>
        <w:tc>
          <w:tcPr>
            <w:tcW w:w="836" w:type="pct"/>
            <w:tcBorders>
              <w:top w:val="nil"/>
              <w:left w:val="nil"/>
              <w:bottom w:val="nil"/>
              <w:right w:val="nil"/>
            </w:tcBorders>
            <w:shd w:val="clear" w:color="auto" w:fill="FFFFFF"/>
          </w:tcPr>
          <w:p w14:paraId="6EB802FC" w14:textId="77777777" w:rsidR="00123098" w:rsidRPr="005959B6"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959B6">
              <w:rPr>
                <w:rFonts w:ascii="Arial" w:hAnsi="Arial" w:cs="Arial"/>
                <w:color w:val="000000"/>
                <w:kern w:val="0"/>
                <w:szCs w:val="24"/>
                <w:lang w:val="en-US"/>
              </w:rPr>
              <w:lastRenderedPageBreak/>
              <w:t>18. Creating clear, transparent maps for career progression for all staff groups, with defined skills and competencies required for promotion.</w:t>
            </w:r>
          </w:p>
        </w:tc>
        <w:tc>
          <w:tcPr>
            <w:tcW w:w="499" w:type="pct"/>
            <w:tcBorders>
              <w:top w:val="nil"/>
              <w:left w:val="nil"/>
              <w:bottom w:val="nil"/>
            </w:tcBorders>
            <w:shd w:val="clear" w:color="auto" w:fill="FFFFFF"/>
          </w:tcPr>
          <w:p w14:paraId="24575D15"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154</w:t>
            </w:r>
          </w:p>
        </w:tc>
        <w:tc>
          <w:tcPr>
            <w:tcW w:w="500" w:type="pct"/>
            <w:tcBorders>
              <w:top w:val="nil"/>
              <w:left w:val="nil"/>
              <w:bottom w:val="nil"/>
              <w:right w:val="nil"/>
            </w:tcBorders>
            <w:shd w:val="clear" w:color="auto" w:fill="FFFFFF"/>
          </w:tcPr>
          <w:p w14:paraId="469AB8E2"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3.84</w:t>
            </w:r>
          </w:p>
        </w:tc>
        <w:tc>
          <w:tcPr>
            <w:tcW w:w="342" w:type="pct"/>
            <w:tcBorders>
              <w:top w:val="nil"/>
              <w:left w:val="nil"/>
              <w:bottom w:val="nil"/>
            </w:tcBorders>
            <w:shd w:val="clear" w:color="auto" w:fill="FFFFFF"/>
          </w:tcPr>
          <w:p w14:paraId="38B3902B"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.096</w:t>
            </w:r>
          </w:p>
        </w:tc>
        <w:tc>
          <w:tcPr>
            <w:tcW w:w="587" w:type="pct"/>
            <w:tcBorders>
              <w:top w:val="nil"/>
              <w:left w:val="nil"/>
              <w:bottom w:val="nil"/>
            </w:tcBorders>
            <w:shd w:val="clear" w:color="auto" w:fill="FFFFFF"/>
          </w:tcPr>
          <w:p w14:paraId="5BAE81D5"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1.194</w:t>
            </w:r>
          </w:p>
        </w:tc>
        <w:tc>
          <w:tcPr>
            <w:tcW w:w="559" w:type="pct"/>
            <w:tcBorders>
              <w:top w:val="nil"/>
              <w:left w:val="nil"/>
              <w:bottom w:val="nil"/>
            </w:tcBorders>
            <w:shd w:val="clear" w:color="auto" w:fill="FFFFFF"/>
          </w:tcPr>
          <w:p w14:paraId="50B7BBC5"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1.427</w:t>
            </w:r>
          </w:p>
        </w:tc>
        <w:tc>
          <w:tcPr>
            <w:tcW w:w="500" w:type="pct"/>
            <w:tcBorders>
              <w:top w:val="nil"/>
              <w:left w:val="nil"/>
              <w:bottom w:val="nil"/>
              <w:right w:val="nil"/>
            </w:tcBorders>
            <w:shd w:val="clear" w:color="auto" w:fill="FFFFFF"/>
          </w:tcPr>
          <w:p w14:paraId="33AB43EB"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-.977</w:t>
            </w:r>
          </w:p>
        </w:tc>
        <w:tc>
          <w:tcPr>
            <w:tcW w:w="342" w:type="pct"/>
            <w:tcBorders>
              <w:top w:val="nil"/>
              <w:left w:val="nil"/>
              <w:bottom w:val="nil"/>
            </w:tcBorders>
            <w:shd w:val="clear" w:color="auto" w:fill="FFFFFF"/>
          </w:tcPr>
          <w:p w14:paraId="4C594F8F"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.195</w:t>
            </w:r>
          </w:p>
        </w:tc>
        <w:tc>
          <w:tcPr>
            <w:tcW w:w="499" w:type="pct"/>
            <w:tcBorders>
              <w:top w:val="nil"/>
              <w:left w:val="nil"/>
              <w:bottom w:val="nil"/>
              <w:right w:val="nil"/>
            </w:tcBorders>
            <w:shd w:val="clear" w:color="auto" w:fill="FFFFFF"/>
          </w:tcPr>
          <w:p w14:paraId="194DFBD7"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.138</w:t>
            </w:r>
          </w:p>
        </w:tc>
        <w:tc>
          <w:tcPr>
            <w:tcW w:w="336" w:type="pct"/>
            <w:tcBorders>
              <w:top w:val="nil"/>
              <w:left w:val="nil"/>
              <w:bottom w:val="nil"/>
              <w:right w:val="nil"/>
            </w:tcBorders>
            <w:shd w:val="clear" w:color="auto" w:fill="FFFFFF"/>
          </w:tcPr>
          <w:p w14:paraId="5FC3273E"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.389</w:t>
            </w:r>
          </w:p>
        </w:tc>
      </w:tr>
      <w:tr w:rsidR="00123098" w:rsidRPr="005959B6" w14:paraId="7C08AF49" w14:textId="77777777" w:rsidTr="009C7ADA">
        <w:trPr>
          <w:cantSplit/>
        </w:trPr>
        <w:tc>
          <w:tcPr>
            <w:tcW w:w="836" w:type="pct"/>
            <w:tcBorders>
              <w:top w:val="nil"/>
              <w:left w:val="nil"/>
              <w:bottom w:val="nil"/>
              <w:right w:val="nil"/>
            </w:tcBorders>
            <w:shd w:val="clear" w:color="auto" w:fill="FFFFFF"/>
          </w:tcPr>
          <w:p w14:paraId="1B4B5463" w14:textId="77777777" w:rsidR="00123098" w:rsidRPr="005959B6"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959B6">
              <w:rPr>
                <w:rFonts w:ascii="Arial" w:hAnsi="Arial" w:cs="Arial"/>
                <w:color w:val="000000"/>
                <w:kern w:val="0"/>
                <w:szCs w:val="24"/>
                <w:lang w:val="en-US"/>
              </w:rPr>
              <w:t xml:space="preserve">19. Providing confidential support (e.g., through </w:t>
            </w:r>
            <w:proofErr w:type="spellStart"/>
            <w:r w:rsidRPr="005959B6">
              <w:rPr>
                <w:rFonts w:ascii="Arial" w:hAnsi="Arial" w:cs="Arial"/>
                <w:color w:val="000000"/>
                <w:kern w:val="0"/>
                <w:szCs w:val="24"/>
                <w:lang w:val="en-US"/>
              </w:rPr>
              <w:t>D&amp;amp;I</w:t>
            </w:r>
            <w:proofErr w:type="spellEnd"/>
            <w:r w:rsidRPr="005959B6">
              <w:rPr>
                <w:rFonts w:ascii="Arial" w:hAnsi="Arial" w:cs="Arial"/>
                <w:color w:val="000000"/>
                <w:kern w:val="0"/>
                <w:szCs w:val="24"/>
                <w:lang w:val="en-US"/>
              </w:rPr>
              <w:t xml:space="preserve"> champions or HR) for staff facing inclusion challenges would encourage retention.</w:t>
            </w:r>
          </w:p>
        </w:tc>
        <w:tc>
          <w:tcPr>
            <w:tcW w:w="499" w:type="pct"/>
            <w:tcBorders>
              <w:top w:val="nil"/>
              <w:left w:val="nil"/>
              <w:bottom w:val="nil"/>
            </w:tcBorders>
            <w:shd w:val="clear" w:color="auto" w:fill="FFFFFF"/>
          </w:tcPr>
          <w:p w14:paraId="33F11AC7"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154</w:t>
            </w:r>
          </w:p>
        </w:tc>
        <w:tc>
          <w:tcPr>
            <w:tcW w:w="500" w:type="pct"/>
            <w:tcBorders>
              <w:top w:val="nil"/>
              <w:left w:val="nil"/>
              <w:bottom w:val="nil"/>
              <w:right w:val="nil"/>
            </w:tcBorders>
            <w:shd w:val="clear" w:color="auto" w:fill="FFFFFF"/>
          </w:tcPr>
          <w:p w14:paraId="439D22B4"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3.86</w:t>
            </w:r>
          </w:p>
        </w:tc>
        <w:tc>
          <w:tcPr>
            <w:tcW w:w="342" w:type="pct"/>
            <w:tcBorders>
              <w:top w:val="nil"/>
              <w:left w:val="nil"/>
              <w:bottom w:val="nil"/>
            </w:tcBorders>
            <w:shd w:val="clear" w:color="auto" w:fill="FFFFFF"/>
          </w:tcPr>
          <w:p w14:paraId="7E492822"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.095</w:t>
            </w:r>
          </w:p>
        </w:tc>
        <w:tc>
          <w:tcPr>
            <w:tcW w:w="587" w:type="pct"/>
            <w:tcBorders>
              <w:top w:val="nil"/>
              <w:left w:val="nil"/>
              <w:bottom w:val="nil"/>
            </w:tcBorders>
            <w:shd w:val="clear" w:color="auto" w:fill="FFFFFF"/>
          </w:tcPr>
          <w:p w14:paraId="57958AE6"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1.180</w:t>
            </w:r>
          </w:p>
        </w:tc>
        <w:tc>
          <w:tcPr>
            <w:tcW w:w="559" w:type="pct"/>
            <w:tcBorders>
              <w:top w:val="nil"/>
              <w:left w:val="nil"/>
              <w:bottom w:val="nil"/>
            </w:tcBorders>
            <w:shd w:val="clear" w:color="auto" w:fill="FFFFFF"/>
          </w:tcPr>
          <w:p w14:paraId="1EFE7EC9"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1.391</w:t>
            </w:r>
          </w:p>
        </w:tc>
        <w:tc>
          <w:tcPr>
            <w:tcW w:w="500" w:type="pct"/>
            <w:tcBorders>
              <w:top w:val="nil"/>
              <w:left w:val="nil"/>
              <w:bottom w:val="nil"/>
              <w:right w:val="nil"/>
            </w:tcBorders>
            <w:shd w:val="clear" w:color="auto" w:fill="FFFFFF"/>
          </w:tcPr>
          <w:p w14:paraId="2452A7B5"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-.954</w:t>
            </w:r>
          </w:p>
        </w:tc>
        <w:tc>
          <w:tcPr>
            <w:tcW w:w="342" w:type="pct"/>
            <w:tcBorders>
              <w:top w:val="nil"/>
              <w:left w:val="nil"/>
              <w:bottom w:val="nil"/>
            </w:tcBorders>
            <w:shd w:val="clear" w:color="auto" w:fill="FFFFFF"/>
          </w:tcPr>
          <w:p w14:paraId="11F8978F"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.195</w:t>
            </w:r>
          </w:p>
        </w:tc>
        <w:tc>
          <w:tcPr>
            <w:tcW w:w="499" w:type="pct"/>
            <w:tcBorders>
              <w:top w:val="nil"/>
              <w:left w:val="nil"/>
              <w:bottom w:val="nil"/>
              <w:right w:val="nil"/>
            </w:tcBorders>
            <w:shd w:val="clear" w:color="auto" w:fill="FFFFFF"/>
          </w:tcPr>
          <w:p w14:paraId="08DB0366"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.125</w:t>
            </w:r>
          </w:p>
        </w:tc>
        <w:tc>
          <w:tcPr>
            <w:tcW w:w="336" w:type="pct"/>
            <w:tcBorders>
              <w:top w:val="nil"/>
              <w:left w:val="nil"/>
              <w:bottom w:val="nil"/>
              <w:right w:val="nil"/>
            </w:tcBorders>
            <w:shd w:val="clear" w:color="auto" w:fill="FFFFFF"/>
          </w:tcPr>
          <w:p w14:paraId="551E073E"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.389</w:t>
            </w:r>
          </w:p>
        </w:tc>
      </w:tr>
      <w:tr w:rsidR="00123098" w:rsidRPr="005959B6" w14:paraId="62CF63BF" w14:textId="77777777" w:rsidTr="009C7ADA">
        <w:trPr>
          <w:cantSplit/>
        </w:trPr>
        <w:tc>
          <w:tcPr>
            <w:tcW w:w="836" w:type="pct"/>
            <w:tcBorders>
              <w:top w:val="nil"/>
              <w:left w:val="nil"/>
              <w:bottom w:val="nil"/>
              <w:right w:val="nil"/>
            </w:tcBorders>
            <w:shd w:val="clear" w:color="auto" w:fill="FFFFFF"/>
          </w:tcPr>
          <w:p w14:paraId="74397495" w14:textId="77777777" w:rsidR="00123098" w:rsidRPr="005959B6"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959B6">
              <w:rPr>
                <w:rFonts w:ascii="Arial" w:hAnsi="Arial" w:cs="Arial"/>
                <w:color w:val="000000"/>
                <w:kern w:val="0"/>
                <w:szCs w:val="24"/>
                <w:lang w:val="en-US"/>
              </w:rPr>
              <w:t>20. Ensuring workloads and rosters accommodate diverse needs (e.g., religious holidays, disability adjustments) would support my long-term commitment.</w:t>
            </w:r>
          </w:p>
        </w:tc>
        <w:tc>
          <w:tcPr>
            <w:tcW w:w="499" w:type="pct"/>
            <w:tcBorders>
              <w:top w:val="nil"/>
              <w:left w:val="nil"/>
              <w:bottom w:val="nil"/>
            </w:tcBorders>
            <w:shd w:val="clear" w:color="auto" w:fill="FFFFFF"/>
          </w:tcPr>
          <w:p w14:paraId="5B3A7C14"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154</w:t>
            </w:r>
          </w:p>
        </w:tc>
        <w:tc>
          <w:tcPr>
            <w:tcW w:w="500" w:type="pct"/>
            <w:tcBorders>
              <w:top w:val="nil"/>
              <w:left w:val="nil"/>
              <w:bottom w:val="nil"/>
              <w:right w:val="nil"/>
            </w:tcBorders>
            <w:shd w:val="clear" w:color="auto" w:fill="FFFFFF"/>
          </w:tcPr>
          <w:p w14:paraId="6DB6E028"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4.12</w:t>
            </w:r>
          </w:p>
        </w:tc>
        <w:tc>
          <w:tcPr>
            <w:tcW w:w="342" w:type="pct"/>
            <w:tcBorders>
              <w:top w:val="nil"/>
              <w:left w:val="nil"/>
              <w:bottom w:val="nil"/>
            </w:tcBorders>
            <w:shd w:val="clear" w:color="auto" w:fill="FFFFFF"/>
          </w:tcPr>
          <w:p w14:paraId="1BC25705"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.096</w:t>
            </w:r>
          </w:p>
        </w:tc>
        <w:tc>
          <w:tcPr>
            <w:tcW w:w="587" w:type="pct"/>
            <w:tcBorders>
              <w:top w:val="nil"/>
              <w:left w:val="nil"/>
              <w:bottom w:val="nil"/>
            </w:tcBorders>
            <w:shd w:val="clear" w:color="auto" w:fill="FFFFFF"/>
          </w:tcPr>
          <w:p w14:paraId="0991114B"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1.190</w:t>
            </w:r>
          </w:p>
        </w:tc>
        <w:tc>
          <w:tcPr>
            <w:tcW w:w="559" w:type="pct"/>
            <w:tcBorders>
              <w:top w:val="nil"/>
              <w:left w:val="nil"/>
              <w:bottom w:val="nil"/>
            </w:tcBorders>
            <w:shd w:val="clear" w:color="auto" w:fill="FFFFFF"/>
          </w:tcPr>
          <w:p w14:paraId="1D511FBF"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1.416</w:t>
            </w:r>
          </w:p>
        </w:tc>
        <w:tc>
          <w:tcPr>
            <w:tcW w:w="500" w:type="pct"/>
            <w:tcBorders>
              <w:top w:val="nil"/>
              <w:left w:val="nil"/>
              <w:bottom w:val="nil"/>
              <w:right w:val="nil"/>
            </w:tcBorders>
            <w:shd w:val="clear" w:color="auto" w:fill="FFFFFF"/>
          </w:tcPr>
          <w:p w14:paraId="4C3BB063"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-1.255</w:t>
            </w:r>
          </w:p>
        </w:tc>
        <w:tc>
          <w:tcPr>
            <w:tcW w:w="342" w:type="pct"/>
            <w:tcBorders>
              <w:top w:val="nil"/>
              <w:left w:val="nil"/>
              <w:bottom w:val="nil"/>
            </w:tcBorders>
            <w:shd w:val="clear" w:color="auto" w:fill="FFFFFF"/>
          </w:tcPr>
          <w:p w14:paraId="28EAA32D"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.195</w:t>
            </w:r>
          </w:p>
        </w:tc>
        <w:tc>
          <w:tcPr>
            <w:tcW w:w="499" w:type="pct"/>
            <w:tcBorders>
              <w:top w:val="nil"/>
              <w:left w:val="nil"/>
              <w:bottom w:val="nil"/>
              <w:right w:val="nil"/>
            </w:tcBorders>
            <w:shd w:val="clear" w:color="auto" w:fill="FFFFFF"/>
          </w:tcPr>
          <w:p w14:paraId="4C82CDB0"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.550</w:t>
            </w:r>
          </w:p>
        </w:tc>
        <w:tc>
          <w:tcPr>
            <w:tcW w:w="336" w:type="pct"/>
            <w:tcBorders>
              <w:top w:val="nil"/>
              <w:left w:val="nil"/>
              <w:bottom w:val="nil"/>
              <w:right w:val="nil"/>
            </w:tcBorders>
            <w:shd w:val="clear" w:color="auto" w:fill="FFFFFF"/>
          </w:tcPr>
          <w:p w14:paraId="5119B8B2"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.389</w:t>
            </w:r>
          </w:p>
        </w:tc>
      </w:tr>
      <w:tr w:rsidR="00123098" w:rsidRPr="005959B6" w14:paraId="35D6BB34" w14:textId="77777777" w:rsidTr="009C7ADA">
        <w:trPr>
          <w:cantSplit/>
        </w:trPr>
        <w:tc>
          <w:tcPr>
            <w:tcW w:w="836" w:type="pct"/>
            <w:tcBorders>
              <w:top w:val="nil"/>
              <w:left w:val="nil"/>
              <w:right w:val="nil"/>
            </w:tcBorders>
            <w:shd w:val="clear" w:color="auto" w:fill="FFFFFF"/>
          </w:tcPr>
          <w:p w14:paraId="4932837B" w14:textId="77777777" w:rsidR="00123098" w:rsidRPr="005959B6"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959B6">
              <w:rPr>
                <w:rFonts w:ascii="Arial" w:hAnsi="Arial" w:cs="Arial"/>
                <w:color w:val="000000"/>
                <w:kern w:val="0"/>
                <w:szCs w:val="24"/>
                <w:lang w:val="en-US"/>
              </w:rPr>
              <w:lastRenderedPageBreak/>
              <w:t>Valid N (listwise)</w:t>
            </w:r>
          </w:p>
        </w:tc>
        <w:tc>
          <w:tcPr>
            <w:tcW w:w="499" w:type="pct"/>
            <w:tcBorders>
              <w:top w:val="nil"/>
              <w:left w:val="nil"/>
            </w:tcBorders>
            <w:shd w:val="clear" w:color="auto" w:fill="FFFFFF"/>
          </w:tcPr>
          <w:p w14:paraId="31EAF182" w14:textId="77777777" w:rsidR="00123098" w:rsidRPr="005959B6"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959B6">
              <w:rPr>
                <w:rFonts w:ascii="Arial" w:hAnsi="Arial" w:cs="Arial"/>
                <w:color w:val="000000"/>
                <w:kern w:val="0"/>
                <w:szCs w:val="24"/>
                <w:lang w:val="en-US"/>
              </w:rPr>
              <w:t>154</w:t>
            </w:r>
          </w:p>
        </w:tc>
        <w:tc>
          <w:tcPr>
            <w:tcW w:w="500" w:type="pct"/>
            <w:tcBorders>
              <w:top w:val="nil"/>
              <w:left w:val="nil"/>
              <w:right w:val="nil"/>
            </w:tcBorders>
            <w:shd w:val="clear" w:color="auto" w:fill="FFFFFF"/>
            <w:vAlign w:val="center"/>
          </w:tcPr>
          <w:p w14:paraId="1D3FCA51" w14:textId="77777777" w:rsidR="00123098" w:rsidRPr="005959B6" w:rsidRDefault="00123098" w:rsidP="00F033A7">
            <w:pPr>
              <w:autoSpaceDE w:val="0"/>
              <w:autoSpaceDN w:val="0"/>
              <w:adjustRightInd w:val="0"/>
              <w:spacing w:line="240" w:lineRule="auto"/>
              <w:jc w:val="left"/>
              <w:rPr>
                <w:rFonts w:cs="Times New Roman"/>
                <w:kern w:val="0"/>
                <w:szCs w:val="24"/>
                <w:lang w:val="en-US"/>
              </w:rPr>
            </w:pPr>
          </w:p>
        </w:tc>
        <w:tc>
          <w:tcPr>
            <w:tcW w:w="342" w:type="pct"/>
            <w:tcBorders>
              <w:top w:val="nil"/>
              <w:left w:val="nil"/>
            </w:tcBorders>
            <w:shd w:val="clear" w:color="auto" w:fill="FFFFFF"/>
            <w:vAlign w:val="center"/>
          </w:tcPr>
          <w:p w14:paraId="334140D8" w14:textId="77777777" w:rsidR="00123098" w:rsidRPr="005959B6" w:rsidRDefault="00123098" w:rsidP="00F033A7">
            <w:pPr>
              <w:autoSpaceDE w:val="0"/>
              <w:autoSpaceDN w:val="0"/>
              <w:adjustRightInd w:val="0"/>
              <w:spacing w:line="240" w:lineRule="auto"/>
              <w:jc w:val="left"/>
              <w:rPr>
                <w:rFonts w:cs="Times New Roman"/>
                <w:kern w:val="0"/>
                <w:szCs w:val="24"/>
                <w:lang w:val="en-US"/>
              </w:rPr>
            </w:pPr>
          </w:p>
        </w:tc>
        <w:tc>
          <w:tcPr>
            <w:tcW w:w="587" w:type="pct"/>
            <w:tcBorders>
              <w:top w:val="nil"/>
              <w:left w:val="nil"/>
            </w:tcBorders>
            <w:shd w:val="clear" w:color="auto" w:fill="FFFFFF"/>
            <w:vAlign w:val="center"/>
          </w:tcPr>
          <w:p w14:paraId="696179E1" w14:textId="77777777" w:rsidR="00123098" w:rsidRPr="005959B6" w:rsidRDefault="00123098" w:rsidP="00F033A7">
            <w:pPr>
              <w:autoSpaceDE w:val="0"/>
              <w:autoSpaceDN w:val="0"/>
              <w:adjustRightInd w:val="0"/>
              <w:spacing w:line="240" w:lineRule="auto"/>
              <w:jc w:val="left"/>
              <w:rPr>
                <w:rFonts w:cs="Times New Roman"/>
                <w:kern w:val="0"/>
                <w:szCs w:val="24"/>
                <w:lang w:val="en-US"/>
              </w:rPr>
            </w:pPr>
          </w:p>
        </w:tc>
        <w:tc>
          <w:tcPr>
            <w:tcW w:w="559" w:type="pct"/>
            <w:tcBorders>
              <w:top w:val="nil"/>
              <w:left w:val="nil"/>
            </w:tcBorders>
            <w:shd w:val="clear" w:color="auto" w:fill="FFFFFF"/>
            <w:vAlign w:val="center"/>
          </w:tcPr>
          <w:p w14:paraId="5B8D9DA7" w14:textId="77777777" w:rsidR="00123098" w:rsidRPr="005959B6" w:rsidRDefault="00123098" w:rsidP="00F033A7">
            <w:pPr>
              <w:autoSpaceDE w:val="0"/>
              <w:autoSpaceDN w:val="0"/>
              <w:adjustRightInd w:val="0"/>
              <w:spacing w:line="240" w:lineRule="auto"/>
              <w:jc w:val="left"/>
              <w:rPr>
                <w:rFonts w:cs="Times New Roman"/>
                <w:kern w:val="0"/>
                <w:szCs w:val="24"/>
                <w:lang w:val="en-US"/>
              </w:rPr>
            </w:pPr>
          </w:p>
        </w:tc>
        <w:tc>
          <w:tcPr>
            <w:tcW w:w="500" w:type="pct"/>
            <w:tcBorders>
              <w:top w:val="nil"/>
              <w:left w:val="nil"/>
              <w:right w:val="nil"/>
            </w:tcBorders>
            <w:shd w:val="clear" w:color="auto" w:fill="FFFFFF"/>
            <w:vAlign w:val="center"/>
          </w:tcPr>
          <w:p w14:paraId="62E6059A" w14:textId="77777777" w:rsidR="00123098" w:rsidRPr="005959B6" w:rsidRDefault="00123098" w:rsidP="00F033A7">
            <w:pPr>
              <w:autoSpaceDE w:val="0"/>
              <w:autoSpaceDN w:val="0"/>
              <w:adjustRightInd w:val="0"/>
              <w:spacing w:line="240" w:lineRule="auto"/>
              <w:jc w:val="left"/>
              <w:rPr>
                <w:rFonts w:cs="Times New Roman"/>
                <w:kern w:val="0"/>
                <w:szCs w:val="24"/>
                <w:lang w:val="en-US"/>
              </w:rPr>
            </w:pPr>
          </w:p>
        </w:tc>
        <w:tc>
          <w:tcPr>
            <w:tcW w:w="342" w:type="pct"/>
            <w:tcBorders>
              <w:top w:val="nil"/>
              <w:left w:val="nil"/>
            </w:tcBorders>
            <w:shd w:val="clear" w:color="auto" w:fill="FFFFFF"/>
            <w:vAlign w:val="center"/>
          </w:tcPr>
          <w:p w14:paraId="2D71E167" w14:textId="77777777" w:rsidR="00123098" w:rsidRPr="005959B6" w:rsidRDefault="00123098" w:rsidP="00F033A7">
            <w:pPr>
              <w:autoSpaceDE w:val="0"/>
              <w:autoSpaceDN w:val="0"/>
              <w:adjustRightInd w:val="0"/>
              <w:spacing w:line="240" w:lineRule="auto"/>
              <w:jc w:val="left"/>
              <w:rPr>
                <w:rFonts w:cs="Times New Roman"/>
                <w:kern w:val="0"/>
                <w:szCs w:val="24"/>
                <w:lang w:val="en-US"/>
              </w:rPr>
            </w:pPr>
          </w:p>
        </w:tc>
        <w:tc>
          <w:tcPr>
            <w:tcW w:w="499" w:type="pct"/>
            <w:tcBorders>
              <w:top w:val="nil"/>
              <w:left w:val="nil"/>
              <w:right w:val="nil"/>
            </w:tcBorders>
            <w:shd w:val="clear" w:color="auto" w:fill="FFFFFF"/>
            <w:vAlign w:val="center"/>
          </w:tcPr>
          <w:p w14:paraId="04E0FAF2" w14:textId="77777777" w:rsidR="00123098" w:rsidRPr="005959B6" w:rsidRDefault="00123098" w:rsidP="00F033A7">
            <w:pPr>
              <w:autoSpaceDE w:val="0"/>
              <w:autoSpaceDN w:val="0"/>
              <w:adjustRightInd w:val="0"/>
              <w:spacing w:line="240" w:lineRule="auto"/>
              <w:jc w:val="left"/>
              <w:rPr>
                <w:rFonts w:cs="Times New Roman"/>
                <w:kern w:val="0"/>
                <w:szCs w:val="24"/>
                <w:lang w:val="en-US"/>
              </w:rPr>
            </w:pPr>
          </w:p>
        </w:tc>
        <w:tc>
          <w:tcPr>
            <w:tcW w:w="336" w:type="pct"/>
            <w:tcBorders>
              <w:top w:val="nil"/>
              <w:left w:val="nil"/>
              <w:right w:val="nil"/>
            </w:tcBorders>
            <w:shd w:val="clear" w:color="auto" w:fill="FFFFFF"/>
            <w:vAlign w:val="center"/>
          </w:tcPr>
          <w:p w14:paraId="4607D72D" w14:textId="77777777" w:rsidR="00123098" w:rsidRPr="005959B6" w:rsidRDefault="00123098" w:rsidP="00F033A7">
            <w:pPr>
              <w:autoSpaceDE w:val="0"/>
              <w:autoSpaceDN w:val="0"/>
              <w:adjustRightInd w:val="0"/>
              <w:spacing w:line="240" w:lineRule="auto"/>
              <w:jc w:val="left"/>
              <w:rPr>
                <w:rFonts w:cs="Times New Roman"/>
                <w:kern w:val="0"/>
                <w:szCs w:val="24"/>
                <w:lang w:val="en-US"/>
              </w:rPr>
            </w:pPr>
          </w:p>
        </w:tc>
      </w:tr>
    </w:tbl>
    <w:p w14:paraId="3C535491" w14:textId="77777777" w:rsidR="00925F9E" w:rsidRDefault="00925F9E" w:rsidP="00925F9E">
      <w:r>
        <w:t>Descriptive statistics showing actionable suggestions show that four retention efforts have strong support, with mean values ranging from 3.62 to 4.12. The strongest agreement is on accommodating diverse demands with workload and roster changes (M=4.12), indicating that such an intervention is vital to long-term organisational commitment. Supporting inclusiveness (M=3.86) and building clear career development maps (M=3.84) are also well-supported, whereas formalising flexible working arrangements (M=3.62) is less so.</w:t>
      </w:r>
    </w:p>
    <w:p w14:paraId="6FD23A6E" w14:textId="77777777" w:rsidR="003B66D8" w:rsidRDefault="003B66D8" w:rsidP="00925F9E"/>
    <w:p w14:paraId="63E018AA" w14:textId="77777777" w:rsidR="00925F9E" w:rsidRDefault="00925F9E" w:rsidP="00925F9E">
      <w:r>
        <w:t>Standard deviations are 1.180-1.237 and variances are 1.391-1.530, showing that answers are somewhat consistent and moderately variable across all suggestions. Work arrangement changes are more distributed (SD=1.237), indicating more divergent perspectives on the intervention's relevance. The remaining three suggestions had substantial variability (SD=1.180-1.194) and equal agreement.</w:t>
      </w:r>
    </w:p>
    <w:p w14:paraId="17B4853D" w14:textId="77777777" w:rsidR="003B66D8" w:rsidRDefault="003B66D8" w:rsidP="00925F9E"/>
    <w:p w14:paraId="271F115E" w14:textId="77777777" w:rsidR="00925F9E" w:rsidRDefault="00925F9E" w:rsidP="00925F9E">
      <w:r>
        <w:t>All suggestions have skewness between -.739 and -1.255, although workload accommodations have the worst. Strong agreement that supports these retention tactics is emphasised. The increasing skewness on flexible working to various demands accommodation suggests rising consensus on direct interventions for specific circumstances.</w:t>
      </w:r>
    </w:p>
    <w:p w14:paraId="5263D36A" w14:textId="77777777" w:rsidR="003B66D8" w:rsidRDefault="003B66D8" w:rsidP="00925F9E"/>
    <w:p w14:paraId="1684107E" w14:textId="6DEA144B" w:rsidR="004C023B" w:rsidRDefault="00925F9E" w:rsidP="00925F9E">
      <w:r>
        <w:t>Kurtosis values between 0.380 and 0.550 indicate normal distributions. Workload accommodations have a positive kurtosis (.550), suggesting that response is centred on the high mean, confirming strong agreement. However, flexible working arrangements have negative kurtosis (-.380), which means the distributions are flatter and the responses are more dispersed across the scale, which is consistent with the higher standard deviation of such recommendations.</w:t>
      </w:r>
    </w:p>
    <w:p w14:paraId="09F30F7D" w14:textId="77777777" w:rsidR="003B66D8" w:rsidRPr="004C023B" w:rsidRDefault="003B66D8" w:rsidP="00925F9E"/>
    <w:p w14:paraId="25FB2B5F" w14:textId="1F355841" w:rsidR="00123098" w:rsidRDefault="00EE1657" w:rsidP="009C7ADA">
      <w:pPr>
        <w:pStyle w:val="Heading3"/>
      </w:pPr>
      <w:bookmarkStart w:id="54" w:name="_Toc216408898"/>
      <w:r>
        <w:t>4.2.4 Inferential Analysis</w:t>
      </w:r>
      <w:bookmarkEnd w:id="54"/>
    </w:p>
    <w:p w14:paraId="0F7FCCF5" w14:textId="77777777" w:rsidR="00123098" w:rsidRDefault="00123098" w:rsidP="00123098">
      <w:r>
        <w:t>H</w:t>
      </w:r>
      <w:r w:rsidRPr="00C569D8">
        <w:rPr>
          <w:vertAlign w:val="subscript"/>
        </w:rPr>
        <w:t>1</w:t>
      </w:r>
      <w:r>
        <w:t xml:space="preserve">: </w:t>
      </w:r>
      <w:r w:rsidRPr="00C569D8">
        <w:t>There is a significant positive impact of diversity and inclusion (D&amp;I) strategies on staff retention within NHS Trusts, particularly among BAME and frontline healthcare staff.</w:t>
      </w:r>
    </w:p>
    <w:p w14:paraId="34E6873B" w14:textId="77777777" w:rsidR="00123098" w:rsidRPr="005775AB" w:rsidRDefault="00123098" w:rsidP="00123098">
      <w:pPr>
        <w:autoSpaceDE w:val="0"/>
        <w:autoSpaceDN w:val="0"/>
        <w:adjustRightInd w:val="0"/>
        <w:spacing w:line="240" w:lineRule="auto"/>
        <w:jc w:val="left"/>
        <w:rPr>
          <w:rFonts w:cs="Times New Roman"/>
          <w:kern w:val="0"/>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379"/>
        <w:gridCol w:w="1489"/>
        <w:gridCol w:w="1890"/>
        <w:gridCol w:w="2134"/>
        <w:gridCol w:w="2134"/>
      </w:tblGrid>
      <w:tr w:rsidR="00123098" w:rsidRPr="005775AB" w14:paraId="1BA2155B" w14:textId="77777777" w:rsidTr="009C7ADA">
        <w:trPr>
          <w:cantSplit/>
        </w:trPr>
        <w:tc>
          <w:tcPr>
            <w:tcW w:w="5000" w:type="pct"/>
            <w:gridSpan w:val="5"/>
            <w:tcBorders>
              <w:top w:val="nil"/>
              <w:left w:val="nil"/>
              <w:bottom w:val="nil"/>
              <w:right w:val="nil"/>
            </w:tcBorders>
            <w:shd w:val="clear" w:color="auto" w:fill="FFFFFF"/>
            <w:vAlign w:val="center"/>
          </w:tcPr>
          <w:p w14:paraId="0ADEAD11"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i/>
                <w:iCs/>
                <w:color w:val="000000"/>
                <w:kern w:val="0"/>
                <w:szCs w:val="24"/>
                <w:lang w:val="en-US"/>
              </w:rPr>
              <w:t>Model Summary</w:t>
            </w:r>
          </w:p>
        </w:tc>
      </w:tr>
      <w:tr w:rsidR="00123098" w:rsidRPr="005775AB" w14:paraId="4DE119C2" w14:textId="77777777" w:rsidTr="009C7ADA">
        <w:trPr>
          <w:cantSplit/>
        </w:trPr>
        <w:tc>
          <w:tcPr>
            <w:tcW w:w="764" w:type="pct"/>
            <w:tcBorders>
              <w:left w:val="nil"/>
              <w:right w:val="nil"/>
            </w:tcBorders>
            <w:shd w:val="clear" w:color="auto" w:fill="FFFFFF"/>
            <w:vAlign w:val="bottom"/>
          </w:tcPr>
          <w:p w14:paraId="341A1608"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Model</w:t>
            </w:r>
          </w:p>
        </w:tc>
        <w:tc>
          <w:tcPr>
            <w:tcW w:w="825" w:type="pct"/>
            <w:tcBorders>
              <w:left w:val="nil"/>
              <w:right w:val="nil"/>
            </w:tcBorders>
            <w:shd w:val="clear" w:color="auto" w:fill="FFFFFF"/>
            <w:vAlign w:val="bottom"/>
          </w:tcPr>
          <w:p w14:paraId="67CBFFCE"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R</w:t>
            </w:r>
          </w:p>
        </w:tc>
        <w:tc>
          <w:tcPr>
            <w:tcW w:w="1047" w:type="pct"/>
            <w:tcBorders>
              <w:left w:val="nil"/>
              <w:right w:val="nil"/>
            </w:tcBorders>
            <w:shd w:val="clear" w:color="auto" w:fill="FFFFFF"/>
            <w:vAlign w:val="bottom"/>
          </w:tcPr>
          <w:p w14:paraId="182165F1"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R Square</w:t>
            </w:r>
          </w:p>
        </w:tc>
        <w:tc>
          <w:tcPr>
            <w:tcW w:w="1182" w:type="pct"/>
            <w:tcBorders>
              <w:left w:val="nil"/>
              <w:right w:val="nil"/>
            </w:tcBorders>
            <w:shd w:val="clear" w:color="auto" w:fill="FFFFFF"/>
            <w:vAlign w:val="bottom"/>
          </w:tcPr>
          <w:p w14:paraId="54509BCD"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Adjusted R Square</w:t>
            </w:r>
          </w:p>
        </w:tc>
        <w:tc>
          <w:tcPr>
            <w:tcW w:w="1182" w:type="pct"/>
            <w:tcBorders>
              <w:left w:val="nil"/>
              <w:right w:val="nil"/>
            </w:tcBorders>
            <w:shd w:val="clear" w:color="auto" w:fill="FFFFFF"/>
            <w:vAlign w:val="bottom"/>
          </w:tcPr>
          <w:p w14:paraId="3375EBBA"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Std. Error of the Estimate</w:t>
            </w:r>
          </w:p>
        </w:tc>
      </w:tr>
      <w:tr w:rsidR="00123098" w:rsidRPr="005775AB" w14:paraId="2CA91D27" w14:textId="77777777" w:rsidTr="009C7ADA">
        <w:trPr>
          <w:cantSplit/>
        </w:trPr>
        <w:tc>
          <w:tcPr>
            <w:tcW w:w="764" w:type="pct"/>
            <w:tcBorders>
              <w:left w:val="nil"/>
              <w:right w:val="nil"/>
            </w:tcBorders>
            <w:shd w:val="clear" w:color="auto" w:fill="FFFFFF"/>
          </w:tcPr>
          <w:p w14:paraId="4FA6037D"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1</w:t>
            </w:r>
          </w:p>
        </w:tc>
        <w:tc>
          <w:tcPr>
            <w:tcW w:w="825" w:type="pct"/>
            <w:tcBorders>
              <w:left w:val="nil"/>
              <w:right w:val="nil"/>
            </w:tcBorders>
            <w:shd w:val="clear" w:color="auto" w:fill="FFFFFF"/>
          </w:tcPr>
          <w:p w14:paraId="2EE0AE59"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.715</w:t>
            </w:r>
            <w:r w:rsidRPr="005775AB">
              <w:rPr>
                <w:rFonts w:ascii="Arial" w:hAnsi="Arial" w:cs="Arial"/>
                <w:color w:val="000000"/>
                <w:kern w:val="0"/>
                <w:szCs w:val="24"/>
                <w:vertAlign w:val="superscript"/>
                <w:lang w:val="en-US"/>
              </w:rPr>
              <w:t>a</w:t>
            </w:r>
          </w:p>
        </w:tc>
        <w:tc>
          <w:tcPr>
            <w:tcW w:w="1047" w:type="pct"/>
            <w:tcBorders>
              <w:left w:val="nil"/>
              <w:right w:val="nil"/>
            </w:tcBorders>
            <w:shd w:val="clear" w:color="auto" w:fill="FFFFFF"/>
          </w:tcPr>
          <w:p w14:paraId="7C8D614C"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.511</w:t>
            </w:r>
          </w:p>
        </w:tc>
        <w:tc>
          <w:tcPr>
            <w:tcW w:w="1182" w:type="pct"/>
            <w:tcBorders>
              <w:left w:val="nil"/>
              <w:right w:val="nil"/>
            </w:tcBorders>
            <w:shd w:val="clear" w:color="auto" w:fill="FFFFFF"/>
          </w:tcPr>
          <w:p w14:paraId="56DAA010"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.507</w:t>
            </w:r>
          </w:p>
        </w:tc>
        <w:tc>
          <w:tcPr>
            <w:tcW w:w="1182" w:type="pct"/>
            <w:tcBorders>
              <w:left w:val="nil"/>
              <w:right w:val="nil"/>
            </w:tcBorders>
            <w:shd w:val="clear" w:color="auto" w:fill="FFFFFF"/>
          </w:tcPr>
          <w:p w14:paraId="1C3B5E9B"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.51444</w:t>
            </w:r>
          </w:p>
        </w:tc>
      </w:tr>
      <w:tr w:rsidR="00123098" w:rsidRPr="005775AB" w14:paraId="42892F06" w14:textId="77777777" w:rsidTr="009C7ADA">
        <w:trPr>
          <w:cantSplit/>
        </w:trPr>
        <w:tc>
          <w:tcPr>
            <w:tcW w:w="5000" w:type="pct"/>
            <w:gridSpan w:val="5"/>
            <w:tcBorders>
              <w:top w:val="nil"/>
              <w:left w:val="nil"/>
              <w:bottom w:val="nil"/>
              <w:right w:val="nil"/>
            </w:tcBorders>
            <w:shd w:val="clear" w:color="auto" w:fill="FFFFFF"/>
          </w:tcPr>
          <w:p w14:paraId="6ED02786"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lastRenderedPageBreak/>
              <w:t>a. Predictors: (Constant), DI</w:t>
            </w:r>
          </w:p>
        </w:tc>
      </w:tr>
    </w:tbl>
    <w:p w14:paraId="0F823DAA" w14:textId="4F1DF93C" w:rsidR="00123098" w:rsidRDefault="00605636" w:rsidP="009C7ADA">
      <w:r w:rsidRPr="00605636">
        <w:t xml:space="preserve">According to the </w:t>
      </w:r>
      <w:r>
        <w:t xml:space="preserve">regression </w:t>
      </w:r>
      <w:r w:rsidRPr="00605636">
        <w:t>model, diversity and inclusion efforts in NHS Trusts positively affect staff retention. These variables have a substantial positive connection (R=.715), indicating that D&amp;I initiatives promote staff retention. The R SQ of 0.511 shows that D&amp;I techniques can explain the large variation in staff retention performance at 51.1. This suggests that only a tiny proportion of over half is impacted by D&amp;I activities on retention choices, whereas 48.9% is affected by other organisational or individual variables. Adjusted R Square (.507) is similar to R Square and shows that the model is stable and not exaggerated. The standard error of the estimate (.51444) is the mean difference between actual and anticipated retention outcomes and suggests excellent estimates with average regression line deviation.</w:t>
      </w:r>
    </w:p>
    <w:p w14:paraId="13674CAC" w14:textId="77777777" w:rsidR="003B66D8" w:rsidRPr="005775AB" w:rsidRDefault="003B66D8" w:rsidP="009C7ADA">
      <w:pPr>
        <w:rPr>
          <w:rFonts w:cs="Times New Roman"/>
          <w:kern w:val="0"/>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787"/>
        <w:gridCol w:w="1626"/>
        <w:gridCol w:w="1576"/>
        <w:gridCol w:w="1099"/>
        <w:gridCol w:w="1576"/>
        <w:gridCol w:w="1264"/>
        <w:gridCol w:w="1098"/>
      </w:tblGrid>
      <w:tr w:rsidR="00123098" w:rsidRPr="005775AB" w14:paraId="7B90BA95" w14:textId="77777777" w:rsidTr="009C7ADA">
        <w:trPr>
          <w:cantSplit/>
        </w:trPr>
        <w:tc>
          <w:tcPr>
            <w:tcW w:w="5000" w:type="pct"/>
            <w:gridSpan w:val="7"/>
            <w:tcBorders>
              <w:top w:val="nil"/>
              <w:left w:val="nil"/>
              <w:bottom w:val="nil"/>
              <w:right w:val="nil"/>
            </w:tcBorders>
            <w:shd w:val="clear" w:color="auto" w:fill="FFFFFF"/>
            <w:vAlign w:val="center"/>
          </w:tcPr>
          <w:p w14:paraId="1284612D"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proofErr w:type="spellStart"/>
            <w:r w:rsidRPr="005775AB">
              <w:rPr>
                <w:rFonts w:ascii="Arial" w:hAnsi="Arial" w:cs="Arial"/>
                <w:i/>
                <w:iCs/>
                <w:color w:val="000000"/>
                <w:kern w:val="0"/>
                <w:szCs w:val="24"/>
                <w:lang w:val="en-US"/>
              </w:rPr>
              <w:t>ANOVA</w:t>
            </w:r>
            <w:r w:rsidRPr="005775AB">
              <w:rPr>
                <w:rFonts w:ascii="Arial" w:hAnsi="Arial" w:cs="Arial"/>
                <w:i/>
                <w:iCs/>
                <w:color w:val="000000"/>
                <w:kern w:val="0"/>
                <w:szCs w:val="24"/>
                <w:vertAlign w:val="superscript"/>
                <w:lang w:val="en-US"/>
              </w:rPr>
              <w:t>a</w:t>
            </w:r>
            <w:proofErr w:type="spellEnd"/>
          </w:p>
        </w:tc>
      </w:tr>
      <w:tr w:rsidR="00123098" w:rsidRPr="005775AB" w14:paraId="2EE5C8EB" w14:textId="77777777" w:rsidTr="00A52357">
        <w:trPr>
          <w:cantSplit/>
        </w:trPr>
        <w:tc>
          <w:tcPr>
            <w:tcW w:w="1337" w:type="pct"/>
            <w:gridSpan w:val="2"/>
            <w:tcBorders>
              <w:left w:val="nil"/>
              <w:right w:val="nil"/>
            </w:tcBorders>
            <w:shd w:val="clear" w:color="auto" w:fill="FFFFFF"/>
            <w:vAlign w:val="bottom"/>
          </w:tcPr>
          <w:p w14:paraId="7A52F204"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Model</w:t>
            </w:r>
          </w:p>
        </w:tc>
        <w:tc>
          <w:tcPr>
            <w:tcW w:w="873" w:type="pct"/>
            <w:tcBorders>
              <w:left w:val="nil"/>
              <w:right w:val="nil"/>
            </w:tcBorders>
            <w:shd w:val="clear" w:color="auto" w:fill="FFFFFF"/>
            <w:vAlign w:val="bottom"/>
          </w:tcPr>
          <w:p w14:paraId="5B1B8873"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Sum of Squares</w:t>
            </w:r>
          </w:p>
        </w:tc>
        <w:tc>
          <w:tcPr>
            <w:tcW w:w="609" w:type="pct"/>
            <w:tcBorders>
              <w:left w:val="nil"/>
              <w:right w:val="nil"/>
            </w:tcBorders>
            <w:shd w:val="clear" w:color="auto" w:fill="FFFFFF"/>
            <w:vAlign w:val="bottom"/>
          </w:tcPr>
          <w:p w14:paraId="4A4E8D80"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df</w:t>
            </w:r>
          </w:p>
        </w:tc>
        <w:tc>
          <w:tcPr>
            <w:tcW w:w="873" w:type="pct"/>
            <w:tcBorders>
              <w:left w:val="nil"/>
              <w:right w:val="nil"/>
            </w:tcBorders>
            <w:shd w:val="clear" w:color="auto" w:fill="FFFFFF"/>
            <w:vAlign w:val="bottom"/>
          </w:tcPr>
          <w:p w14:paraId="42974CA7"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Mean Square</w:t>
            </w:r>
          </w:p>
        </w:tc>
        <w:tc>
          <w:tcPr>
            <w:tcW w:w="700" w:type="pct"/>
            <w:tcBorders>
              <w:left w:val="nil"/>
              <w:right w:val="nil"/>
            </w:tcBorders>
            <w:shd w:val="clear" w:color="auto" w:fill="FFFFFF"/>
            <w:vAlign w:val="bottom"/>
          </w:tcPr>
          <w:p w14:paraId="416484C0"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F</w:t>
            </w:r>
          </w:p>
        </w:tc>
        <w:tc>
          <w:tcPr>
            <w:tcW w:w="608" w:type="pct"/>
            <w:tcBorders>
              <w:left w:val="nil"/>
              <w:right w:val="nil"/>
            </w:tcBorders>
            <w:shd w:val="clear" w:color="auto" w:fill="FFFFFF"/>
            <w:vAlign w:val="bottom"/>
          </w:tcPr>
          <w:p w14:paraId="48458AAC"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Sig.</w:t>
            </w:r>
          </w:p>
        </w:tc>
      </w:tr>
      <w:tr w:rsidR="00123098" w:rsidRPr="005775AB" w14:paraId="47965109" w14:textId="77777777" w:rsidTr="00A52357">
        <w:trPr>
          <w:cantSplit/>
        </w:trPr>
        <w:tc>
          <w:tcPr>
            <w:tcW w:w="436" w:type="pct"/>
            <w:vMerge w:val="restart"/>
            <w:tcBorders>
              <w:left w:val="nil"/>
              <w:right w:val="nil"/>
            </w:tcBorders>
            <w:shd w:val="clear" w:color="auto" w:fill="FFFFFF"/>
          </w:tcPr>
          <w:p w14:paraId="4059B072"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1</w:t>
            </w:r>
          </w:p>
        </w:tc>
        <w:tc>
          <w:tcPr>
            <w:tcW w:w="901" w:type="pct"/>
            <w:tcBorders>
              <w:left w:val="nil"/>
              <w:bottom w:val="nil"/>
              <w:right w:val="nil"/>
            </w:tcBorders>
            <w:shd w:val="clear" w:color="auto" w:fill="FFFFFF"/>
          </w:tcPr>
          <w:p w14:paraId="4BD2CD6B"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Regression</w:t>
            </w:r>
          </w:p>
        </w:tc>
        <w:tc>
          <w:tcPr>
            <w:tcW w:w="873" w:type="pct"/>
            <w:tcBorders>
              <w:left w:val="nil"/>
              <w:bottom w:val="nil"/>
              <w:right w:val="nil"/>
            </w:tcBorders>
            <w:shd w:val="clear" w:color="auto" w:fill="FFFFFF"/>
          </w:tcPr>
          <w:p w14:paraId="711F7110"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41.983</w:t>
            </w:r>
          </w:p>
        </w:tc>
        <w:tc>
          <w:tcPr>
            <w:tcW w:w="609" w:type="pct"/>
            <w:tcBorders>
              <w:left w:val="nil"/>
              <w:bottom w:val="nil"/>
              <w:right w:val="nil"/>
            </w:tcBorders>
            <w:shd w:val="clear" w:color="auto" w:fill="FFFFFF"/>
          </w:tcPr>
          <w:p w14:paraId="5E4161EE"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1</w:t>
            </w:r>
          </w:p>
        </w:tc>
        <w:tc>
          <w:tcPr>
            <w:tcW w:w="873" w:type="pct"/>
            <w:tcBorders>
              <w:left w:val="nil"/>
              <w:bottom w:val="nil"/>
              <w:right w:val="nil"/>
            </w:tcBorders>
            <w:shd w:val="clear" w:color="auto" w:fill="FFFFFF"/>
          </w:tcPr>
          <w:p w14:paraId="0D56CFB1"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41.983</w:t>
            </w:r>
          </w:p>
        </w:tc>
        <w:tc>
          <w:tcPr>
            <w:tcW w:w="700" w:type="pct"/>
            <w:tcBorders>
              <w:left w:val="nil"/>
              <w:bottom w:val="nil"/>
              <w:right w:val="nil"/>
            </w:tcBorders>
            <w:shd w:val="clear" w:color="auto" w:fill="FFFFFF"/>
          </w:tcPr>
          <w:p w14:paraId="566A5FD0"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158.637</w:t>
            </w:r>
          </w:p>
        </w:tc>
        <w:tc>
          <w:tcPr>
            <w:tcW w:w="608" w:type="pct"/>
            <w:tcBorders>
              <w:left w:val="nil"/>
              <w:bottom w:val="nil"/>
              <w:right w:val="nil"/>
            </w:tcBorders>
            <w:shd w:val="clear" w:color="auto" w:fill="FFFFFF"/>
          </w:tcPr>
          <w:p w14:paraId="49EA9657"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.000</w:t>
            </w:r>
            <w:r w:rsidRPr="005775AB">
              <w:rPr>
                <w:rFonts w:ascii="Arial" w:hAnsi="Arial" w:cs="Arial"/>
                <w:color w:val="000000"/>
                <w:kern w:val="0"/>
                <w:szCs w:val="24"/>
                <w:vertAlign w:val="superscript"/>
                <w:lang w:val="en-US"/>
              </w:rPr>
              <w:t>b</w:t>
            </w:r>
          </w:p>
        </w:tc>
      </w:tr>
      <w:tr w:rsidR="00123098" w:rsidRPr="005775AB" w14:paraId="2C12971A" w14:textId="77777777" w:rsidTr="00A52357">
        <w:trPr>
          <w:cantSplit/>
        </w:trPr>
        <w:tc>
          <w:tcPr>
            <w:tcW w:w="436" w:type="pct"/>
            <w:vMerge/>
            <w:tcBorders>
              <w:left w:val="nil"/>
              <w:right w:val="nil"/>
            </w:tcBorders>
            <w:shd w:val="clear" w:color="auto" w:fill="FFFFFF"/>
          </w:tcPr>
          <w:p w14:paraId="6CAFA068" w14:textId="77777777" w:rsidR="00123098" w:rsidRPr="005775AB" w:rsidRDefault="00123098" w:rsidP="00F033A7">
            <w:pPr>
              <w:autoSpaceDE w:val="0"/>
              <w:autoSpaceDN w:val="0"/>
              <w:adjustRightInd w:val="0"/>
              <w:spacing w:line="240" w:lineRule="auto"/>
              <w:jc w:val="left"/>
              <w:rPr>
                <w:rFonts w:ascii="Arial" w:hAnsi="Arial" w:cs="Arial"/>
                <w:color w:val="000000"/>
                <w:kern w:val="0"/>
                <w:szCs w:val="24"/>
                <w:lang w:val="en-US"/>
              </w:rPr>
            </w:pPr>
          </w:p>
        </w:tc>
        <w:tc>
          <w:tcPr>
            <w:tcW w:w="901" w:type="pct"/>
            <w:tcBorders>
              <w:top w:val="nil"/>
              <w:left w:val="nil"/>
              <w:bottom w:val="nil"/>
              <w:right w:val="nil"/>
            </w:tcBorders>
            <w:shd w:val="clear" w:color="auto" w:fill="FFFFFF"/>
          </w:tcPr>
          <w:p w14:paraId="28A9A354"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Residual</w:t>
            </w:r>
          </w:p>
        </w:tc>
        <w:tc>
          <w:tcPr>
            <w:tcW w:w="873" w:type="pct"/>
            <w:tcBorders>
              <w:top w:val="nil"/>
              <w:left w:val="nil"/>
              <w:bottom w:val="nil"/>
              <w:right w:val="nil"/>
            </w:tcBorders>
            <w:shd w:val="clear" w:color="auto" w:fill="FFFFFF"/>
          </w:tcPr>
          <w:p w14:paraId="0EEB9693"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40.227</w:t>
            </w:r>
          </w:p>
        </w:tc>
        <w:tc>
          <w:tcPr>
            <w:tcW w:w="609" w:type="pct"/>
            <w:tcBorders>
              <w:top w:val="nil"/>
              <w:left w:val="nil"/>
              <w:bottom w:val="nil"/>
              <w:right w:val="nil"/>
            </w:tcBorders>
            <w:shd w:val="clear" w:color="auto" w:fill="FFFFFF"/>
          </w:tcPr>
          <w:p w14:paraId="7EFC3CB2"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152</w:t>
            </w:r>
          </w:p>
        </w:tc>
        <w:tc>
          <w:tcPr>
            <w:tcW w:w="873" w:type="pct"/>
            <w:tcBorders>
              <w:top w:val="nil"/>
              <w:left w:val="nil"/>
              <w:bottom w:val="nil"/>
              <w:right w:val="nil"/>
            </w:tcBorders>
            <w:shd w:val="clear" w:color="auto" w:fill="FFFFFF"/>
          </w:tcPr>
          <w:p w14:paraId="2DB17AD1"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.265</w:t>
            </w:r>
          </w:p>
        </w:tc>
        <w:tc>
          <w:tcPr>
            <w:tcW w:w="700" w:type="pct"/>
            <w:tcBorders>
              <w:top w:val="nil"/>
              <w:left w:val="nil"/>
              <w:bottom w:val="nil"/>
              <w:right w:val="nil"/>
            </w:tcBorders>
            <w:shd w:val="clear" w:color="auto" w:fill="FFFFFF"/>
            <w:vAlign w:val="center"/>
          </w:tcPr>
          <w:p w14:paraId="0CC16B09" w14:textId="77777777" w:rsidR="00123098" w:rsidRPr="005775AB" w:rsidRDefault="00123098" w:rsidP="00F033A7">
            <w:pPr>
              <w:autoSpaceDE w:val="0"/>
              <w:autoSpaceDN w:val="0"/>
              <w:adjustRightInd w:val="0"/>
              <w:spacing w:line="240" w:lineRule="auto"/>
              <w:jc w:val="left"/>
              <w:rPr>
                <w:rFonts w:cs="Times New Roman"/>
                <w:kern w:val="0"/>
                <w:szCs w:val="24"/>
                <w:lang w:val="en-US"/>
              </w:rPr>
            </w:pPr>
          </w:p>
        </w:tc>
        <w:tc>
          <w:tcPr>
            <w:tcW w:w="608" w:type="pct"/>
            <w:tcBorders>
              <w:top w:val="nil"/>
              <w:left w:val="nil"/>
              <w:bottom w:val="nil"/>
              <w:right w:val="nil"/>
            </w:tcBorders>
            <w:shd w:val="clear" w:color="auto" w:fill="FFFFFF"/>
            <w:vAlign w:val="center"/>
          </w:tcPr>
          <w:p w14:paraId="7333FA34" w14:textId="77777777" w:rsidR="00123098" w:rsidRPr="005775AB" w:rsidRDefault="00123098" w:rsidP="00F033A7">
            <w:pPr>
              <w:autoSpaceDE w:val="0"/>
              <w:autoSpaceDN w:val="0"/>
              <w:adjustRightInd w:val="0"/>
              <w:spacing w:line="240" w:lineRule="auto"/>
              <w:jc w:val="left"/>
              <w:rPr>
                <w:rFonts w:cs="Times New Roman"/>
                <w:kern w:val="0"/>
                <w:szCs w:val="24"/>
                <w:lang w:val="en-US"/>
              </w:rPr>
            </w:pPr>
          </w:p>
        </w:tc>
      </w:tr>
      <w:tr w:rsidR="00123098" w:rsidRPr="005775AB" w14:paraId="7BF21781" w14:textId="77777777" w:rsidTr="00A52357">
        <w:trPr>
          <w:cantSplit/>
        </w:trPr>
        <w:tc>
          <w:tcPr>
            <w:tcW w:w="436" w:type="pct"/>
            <w:vMerge/>
            <w:tcBorders>
              <w:left w:val="nil"/>
              <w:right w:val="nil"/>
            </w:tcBorders>
            <w:shd w:val="clear" w:color="auto" w:fill="FFFFFF"/>
          </w:tcPr>
          <w:p w14:paraId="603B7DCF" w14:textId="77777777" w:rsidR="00123098" w:rsidRPr="005775AB" w:rsidRDefault="00123098" w:rsidP="00F033A7">
            <w:pPr>
              <w:autoSpaceDE w:val="0"/>
              <w:autoSpaceDN w:val="0"/>
              <w:adjustRightInd w:val="0"/>
              <w:spacing w:line="240" w:lineRule="auto"/>
              <w:jc w:val="left"/>
              <w:rPr>
                <w:rFonts w:cs="Times New Roman"/>
                <w:kern w:val="0"/>
                <w:szCs w:val="24"/>
                <w:lang w:val="en-US"/>
              </w:rPr>
            </w:pPr>
          </w:p>
        </w:tc>
        <w:tc>
          <w:tcPr>
            <w:tcW w:w="901" w:type="pct"/>
            <w:tcBorders>
              <w:top w:val="nil"/>
              <w:left w:val="nil"/>
              <w:right w:val="nil"/>
            </w:tcBorders>
            <w:shd w:val="clear" w:color="auto" w:fill="FFFFFF"/>
          </w:tcPr>
          <w:p w14:paraId="65566555"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Total</w:t>
            </w:r>
          </w:p>
        </w:tc>
        <w:tc>
          <w:tcPr>
            <w:tcW w:w="873" w:type="pct"/>
            <w:tcBorders>
              <w:top w:val="nil"/>
              <w:left w:val="nil"/>
              <w:right w:val="nil"/>
            </w:tcBorders>
            <w:shd w:val="clear" w:color="auto" w:fill="FFFFFF"/>
          </w:tcPr>
          <w:p w14:paraId="3E7A66BD"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82.210</w:t>
            </w:r>
          </w:p>
        </w:tc>
        <w:tc>
          <w:tcPr>
            <w:tcW w:w="609" w:type="pct"/>
            <w:tcBorders>
              <w:top w:val="nil"/>
              <w:left w:val="nil"/>
              <w:right w:val="nil"/>
            </w:tcBorders>
            <w:shd w:val="clear" w:color="auto" w:fill="FFFFFF"/>
          </w:tcPr>
          <w:p w14:paraId="78C439F9"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153</w:t>
            </w:r>
          </w:p>
        </w:tc>
        <w:tc>
          <w:tcPr>
            <w:tcW w:w="873" w:type="pct"/>
            <w:tcBorders>
              <w:top w:val="nil"/>
              <w:left w:val="nil"/>
              <w:right w:val="nil"/>
            </w:tcBorders>
            <w:shd w:val="clear" w:color="auto" w:fill="FFFFFF"/>
            <w:vAlign w:val="center"/>
          </w:tcPr>
          <w:p w14:paraId="1AF0F314" w14:textId="77777777" w:rsidR="00123098" w:rsidRPr="005775AB" w:rsidRDefault="00123098" w:rsidP="00F033A7">
            <w:pPr>
              <w:autoSpaceDE w:val="0"/>
              <w:autoSpaceDN w:val="0"/>
              <w:adjustRightInd w:val="0"/>
              <w:spacing w:line="240" w:lineRule="auto"/>
              <w:jc w:val="left"/>
              <w:rPr>
                <w:rFonts w:cs="Times New Roman"/>
                <w:kern w:val="0"/>
                <w:szCs w:val="24"/>
                <w:lang w:val="en-US"/>
              </w:rPr>
            </w:pPr>
          </w:p>
        </w:tc>
        <w:tc>
          <w:tcPr>
            <w:tcW w:w="700" w:type="pct"/>
            <w:tcBorders>
              <w:top w:val="nil"/>
              <w:left w:val="nil"/>
              <w:right w:val="nil"/>
            </w:tcBorders>
            <w:shd w:val="clear" w:color="auto" w:fill="FFFFFF"/>
            <w:vAlign w:val="center"/>
          </w:tcPr>
          <w:p w14:paraId="28AA1637" w14:textId="77777777" w:rsidR="00123098" w:rsidRPr="005775AB" w:rsidRDefault="00123098" w:rsidP="00F033A7">
            <w:pPr>
              <w:autoSpaceDE w:val="0"/>
              <w:autoSpaceDN w:val="0"/>
              <w:adjustRightInd w:val="0"/>
              <w:spacing w:line="240" w:lineRule="auto"/>
              <w:jc w:val="left"/>
              <w:rPr>
                <w:rFonts w:cs="Times New Roman"/>
                <w:kern w:val="0"/>
                <w:szCs w:val="24"/>
                <w:lang w:val="en-US"/>
              </w:rPr>
            </w:pPr>
          </w:p>
        </w:tc>
        <w:tc>
          <w:tcPr>
            <w:tcW w:w="608" w:type="pct"/>
            <w:tcBorders>
              <w:top w:val="nil"/>
              <w:left w:val="nil"/>
              <w:right w:val="nil"/>
            </w:tcBorders>
            <w:shd w:val="clear" w:color="auto" w:fill="FFFFFF"/>
            <w:vAlign w:val="center"/>
          </w:tcPr>
          <w:p w14:paraId="20230E8E" w14:textId="77777777" w:rsidR="00123098" w:rsidRPr="005775AB" w:rsidRDefault="00123098" w:rsidP="00F033A7">
            <w:pPr>
              <w:autoSpaceDE w:val="0"/>
              <w:autoSpaceDN w:val="0"/>
              <w:adjustRightInd w:val="0"/>
              <w:spacing w:line="240" w:lineRule="auto"/>
              <w:jc w:val="left"/>
              <w:rPr>
                <w:rFonts w:cs="Times New Roman"/>
                <w:kern w:val="0"/>
                <w:szCs w:val="24"/>
                <w:lang w:val="en-US"/>
              </w:rPr>
            </w:pPr>
          </w:p>
        </w:tc>
      </w:tr>
      <w:tr w:rsidR="00123098" w:rsidRPr="005775AB" w14:paraId="74145508" w14:textId="77777777" w:rsidTr="009C7ADA">
        <w:trPr>
          <w:cantSplit/>
        </w:trPr>
        <w:tc>
          <w:tcPr>
            <w:tcW w:w="5000" w:type="pct"/>
            <w:gridSpan w:val="7"/>
            <w:tcBorders>
              <w:top w:val="nil"/>
              <w:left w:val="nil"/>
              <w:bottom w:val="nil"/>
              <w:right w:val="nil"/>
            </w:tcBorders>
            <w:shd w:val="clear" w:color="auto" w:fill="FFFFFF"/>
          </w:tcPr>
          <w:p w14:paraId="117C995E"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a. Dependent Variable: Staff Retention</w:t>
            </w:r>
          </w:p>
        </w:tc>
      </w:tr>
      <w:tr w:rsidR="00123098" w:rsidRPr="005775AB" w14:paraId="19DA06A5" w14:textId="77777777" w:rsidTr="009C7ADA">
        <w:trPr>
          <w:cantSplit/>
        </w:trPr>
        <w:tc>
          <w:tcPr>
            <w:tcW w:w="5000" w:type="pct"/>
            <w:gridSpan w:val="7"/>
            <w:tcBorders>
              <w:top w:val="nil"/>
              <w:left w:val="nil"/>
              <w:bottom w:val="nil"/>
              <w:right w:val="nil"/>
            </w:tcBorders>
            <w:shd w:val="clear" w:color="auto" w:fill="FFFFFF"/>
          </w:tcPr>
          <w:p w14:paraId="4B0F025A"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b. Predictors: (Constant), DI</w:t>
            </w:r>
          </w:p>
        </w:tc>
      </w:tr>
    </w:tbl>
    <w:p w14:paraId="472913DF" w14:textId="2E5B9A75" w:rsidR="00123098" w:rsidRDefault="00A52357" w:rsidP="009C7ADA">
      <w:pPr>
        <w:rPr>
          <w:lang w:val="en-US"/>
        </w:rPr>
      </w:pPr>
      <w:r w:rsidRPr="00A52357">
        <w:rPr>
          <w:lang w:val="en-US"/>
        </w:rPr>
        <w:t xml:space="preserve">The ANOVA table determines the general validity and statistical significance of the regression model. The sum of squares is 41.983 which is the regression sum of squares or the amount of variance in retention of staff </w:t>
      </w:r>
      <w:proofErr w:type="spellStart"/>
      <w:r w:rsidRPr="00A52357">
        <w:rPr>
          <w:lang w:val="en-US"/>
        </w:rPr>
        <w:t>accountsed</w:t>
      </w:r>
      <w:proofErr w:type="spellEnd"/>
      <w:r w:rsidRPr="00A52357">
        <w:rPr>
          <w:lang w:val="en-US"/>
        </w:rPr>
        <w:t xml:space="preserve"> by D&amp;I strategies with the 40.227 amount being residual sum of squares. The F-value of 158.637 and 1 and 152 degrees of freedom is considerably high which means that the explanatory power of the model is way much greater than what could have been expected by chance. The value of significance (p&lt;.000) is way much less than the traditional.05 threshold giving overwhelming evidence to dismiss the null hypothesis. This proves the fact that the D&amp;I strategies affect the staff retention in a statistically significant manner. This is indicated by the mean square regression (41.983) -mean square residual (.265) which indicates that the variance explained by the model is significantly higher as compared to the variance caused by random errors indicating the strength of the model and the true relationship between D&amp;I initiatives and retention outcomes in NHS </w:t>
      </w:r>
      <w:proofErr w:type="spellStart"/>
      <w:r w:rsidRPr="00A52357">
        <w:rPr>
          <w:lang w:val="en-US"/>
        </w:rPr>
        <w:t>organisational</w:t>
      </w:r>
      <w:proofErr w:type="spellEnd"/>
      <w:r w:rsidRPr="00A52357">
        <w:rPr>
          <w:lang w:val="en-US"/>
        </w:rPr>
        <w:t xml:space="preserve"> settings.</w:t>
      </w:r>
    </w:p>
    <w:p w14:paraId="30D75B65" w14:textId="77777777" w:rsidR="003B66D8" w:rsidRPr="009C7ADA" w:rsidRDefault="003B66D8" w:rsidP="009C7ADA">
      <w:pPr>
        <w:rPr>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771"/>
        <w:gridCol w:w="1462"/>
        <w:gridCol w:w="1542"/>
        <w:gridCol w:w="1543"/>
        <w:gridCol w:w="1542"/>
        <w:gridCol w:w="1092"/>
        <w:gridCol w:w="1074"/>
      </w:tblGrid>
      <w:tr w:rsidR="00123098" w:rsidRPr="005775AB" w14:paraId="3AB3E0D7" w14:textId="77777777" w:rsidTr="009C7ADA">
        <w:trPr>
          <w:cantSplit/>
        </w:trPr>
        <w:tc>
          <w:tcPr>
            <w:tcW w:w="5000" w:type="pct"/>
            <w:gridSpan w:val="7"/>
            <w:tcBorders>
              <w:top w:val="nil"/>
              <w:left w:val="nil"/>
              <w:bottom w:val="nil"/>
              <w:right w:val="nil"/>
            </w:tcBorders>
            <w:shd w:val="clear" w:color="auto" w:fill="FFFFFF"/>
            <w:vAlign w:val="center"/>
          </w:tcPr>
          <w:p w14:paraId="0DEC3B84"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proofErr w:type="spellStart"/>
            <w:r w:rsidRPr="005775AB">
              <w:rPr>
                <w:rFonts w:ascii="Arial" w:hAnsi="Arial" w:cs="Arial"/>
                <w:i/>
                <w:iCs/>
                <w:color w:val="000000"/>
                <w:kern w:val="0"/>
                <w:szCs w:val="24"/>
                <w:lang w:val="en-US"/>
              </w:rPr>
              <w:t>Coefficients</w:t>
            </w:r>
            <w:r w:rsidRPr="005775AB">
              <w:rPr>
                <w:rFonts w:ascii="Arial" w:hAnsi="Arial" w:cs="Arial"/>
                <w:i/>
                <w:iCs/>
                <w:color w:val="000000"/>
                <w:kern w:val="0"/>
                <w:szCs w:val="24"/>
                <w:vertAlign w:val="superscript"/>
                <w:lang w:val="en-US"/>
              </w:rPr>
              <w:t>a</w:t>
            </w:r>
            <w:proofErr w:type="spellEnd"/>
          </w:p>
        </w:tc>
      </w:tr>
      <w:tr w:rsidR="00123098" w:rsidRPr="005775AB" w14:paraId="7EA4395D" w14:textId="77777777" w:rsidTr="00A52357">
        <w:trPr>
          <w:cantSplit/>
        </w:trPr>
        <w:tc>
          <w:tcPr>
            <w:tcW w:w="1237" w:type="pct"/>
            <w:gridSpan w:val="2"/>
            <w:vMerge w:val="restart"/>
            <w:tcBorders>
              <w:left w:val="nil"/>
              <w:bottom w:val="nil"/>
              <w:right w:val="nil"/>
            </w:tcBorders>
            <w:shd w:val="clear" w:color="auto" w:fill="FFFFFF"/>
            <w:vAlign w:val="bottom"/>
          </w:tcPr>
          <w:p w14:paraId="21C56030"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Model</w:t>
            </w:r>
          </w:p>
        </w:tc>
        <w:tc>
          <w:tcPr>
            <w:tcW w:w="1709" w:type="pct"/>
            <w:gridSpan w:val="2"/>
            <w:tcBorders>
              <w:left w:val="nil"/>
              <w:right w:val="nil"/>
            </w:tcBorders>
            <w:shd w:val="clear" w:color="auto" w:fill="FFFFFF"/>
            <w:vAlign w:val="bottom"/>
          </w:tcPr>
          <w:p w14:paraId="2C07E13D"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Unstandardized Coefficients</w:t>
            </w:r>
          </w:p>
        </w:tc>
        <w:tc>
          <w:tcPr>
            <w:tcW w:w="854" w:type="pct"/>
            <w:tcBorders>
              <w:left w:val="nil"/>
              <w:right w:val="nil"/>
            </w:tcBorders>
            <w:shd w:val="clear" w:color="auto" w:fill="FFFFFF"/>
            <w:vAlign w:val="bottom"/>
          </w:tcPr>
          <w:p w14:paraId="4558A5CB"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Standardized Coefficients</w:t>
            </w:r>
          </w:p>
        </w:tc>
        <w:tc>
          <w:tcPr>
            <w:tcW w:w="605" w:type="pct"/>
            <w:vMerge w:val="restart"/>
            <w:tcBorders>
              <w:left w:val="nil"/>
              <w:right w:val="nil"/>
            </w:tcBorders>
            <w:shd w:val="clear" w:color="auto" w:fill="FFFFFF"/>
            <w:vAlign w:val="bottom"/>
          </w:tcPr>
          <w:p w14:paraId="74DD4545"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t</w:t>
            </w:r>
          </w:p>
        </w:tc>
        <w:tc>
          <w:tcPr>
            <w:tcW w:w="595" w:type="pct"/>
            <w:vMerge w:val="restart"/>
            <w:tcBorders>
              <w:left w:val="nil"/>
              <w:right w:val="nil"/>
            </w:tcBorders>
            <w:shd w:val="clear" w:color="auto" w:fill="FFFFFF"/>
            <w:vAlign w:val="bottom"/>
          </w:tcPr>
          <w:p w14:paraId="67B750D0"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Sig.</w:t>
            </w:r>
          </w:p>
        </w:tc>
      </w:tr>
      <w:tr w:rsidR="00123098" w:rsidRPr="005775AB" w14:paraId="67525020" w14:textId="77777777" w:rsidTr="00A52357">
        <w:trPr>
          <w:cantSplit/>
        </w:trPr>
        <w:tc>
          <w:tcPr>
            <w:tcW w:w="1237" w:type="pct"/>
            <w:gridSpan w:val="2"/>
            <w:vMerge/>
            <w:tcBorders>
              <w:left w:val="nil"/>
              <w:bottom w:val="nil"/>
              <w:right w:val="nil"/>
            </w:tcBorders>
            <w:shd w:val="clear" w:color="auto" w:fill="FFFFFF"/>
            <w:vAlign w:val="bottom"/>
          </w:tcPr>
          <w:p w14:paraId="7D39A403" w14:textId="77777777" w:rsidR="00123098" w:rsidRPr="005775AB" w:rsidRDefault="00123098" w:rsidP="00F033A7">
            <w:pPr>
              <w:autoSpaceDE w:val="0"/>
              <w:autoSpaceDN w:val="0"/>
              <w:adjustRightInd w:val="0"/>
              <w:spacing w:line="240" w:lineRule="auto"/>
              <w:jc w:val="left"/>
              <w:rPr>
                <w:rFonts w:ascii="Arial" w:hAnsi="Arial" w:cs="Arial"/>
                <w:color w:val="000000"/>
                <w:kern w:val="0"/>
                <w:szCs w:val="24"/>
                <w:lang w:val="en-US"/>
              </w:rPr>
            </w:pPr>
          </w:p>
        </w:tc>
        <w:tc>
          <w:tcPr>
            <w:tcW w:w="854" w:type="pct"/>
            <w:tcBorders>
              <w:left w:val="nil"/>
              <w:right w:val="nil"/>
            </w:tcBorders>
            <w:shd w:val="clear" w:color="auto" w:fill="FFFFFF"/>
            <w:vAlign w:val="bottom"/>
          </w:tcPr>
          <w:p w14:paraId="2755F16A"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B</w:t>
            </w:r>
          </w:p>
        </w:tc>
        <w:tc>
          <w:tcPr>
            <w:tcW w:w="855" w:type="pct"/>
            <w:tcBorders>
              <w:left w:val="nil"/>
              <w:right w:val="nil"/>
            </w:tcBorders>
            <w:shd w:val="clear" w:color="auto" w:fill="FFFFFF"/>
            <w:vAlign w:val="bottom"/>
          </w:tcPr>
          <w:p w14:paraId="271B3FC2"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Std. Error</w:t>
            </w:r>
          </w:p>
        </w:tc>
        <w:tc>
          <w:tcPr>
            <w:tcW w:w="854" w:type="pct"/>
            <w:tcBorders>
              <w:left w:val="nil"/>
              <w:right w:val="nil"/>
            </w:tcBorders>
            <w:shd w:val="clear" w:color="auto" w:fill="FFFFFF"/>
            <w:vAlign w:val="bottom"/>
          </w:tcPr>
          <w:p w14:paraId="5B69BD8E" w14:textId="77777777" w:rsidR="00123098" w:rsidRPr="005775AB"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5775AB">
              <w:rPr>
                <w:rFonts w:ascii="Arial" w:hAnsi="Arial" w:cs="Arial"/>
                <w:color w:val="000000"/>
                <w:kern w:val="0"/>
                <w:szCs w:val="24"/>
                <w:lang w:val="en-US"/>
              </w:rPr>
              <w:t>Beta</w:t>
            </w:r>
          </w:p>
        </w:tc>
        <w:tc>
          <w:tcPr>
            <w:tcW w:w="605" w:type="pct"/>
            <w:vMerge/>
            <w:tcBorders>
              <w:left w:val="nil"/>
              <w:right w:val="nil"/>
            </w:tcBorders>
            <w:shd w:val="clear" w:color="auto" w:fill="FFFFFF"/>
            <w:vAlign w:val="bottom"/>
          </w:tcPr>
          <w:p w14:paraId="0299E6C0" w14:textId="77777777" w:rsidR="00123098" w:rsidRPr="005775AB" w:rsidRDefault="00123098" w:rsidP="00F033A7">
            <w:pPr>
              <w:autoSpaceDE w:val="0"/>
              <w:autoSpaceDN w:val="0"/>
              <w:adjustRightInd w:val="0"/>
              <w:spacing w:line="240" w:lineRule="auto"/>
              <w:jc w:val="left"/>
              <w:rPr>
                <w:rFonts w:ascii="Arial" w:hAnsi="Arial" w:cs="Arial"/>
                <w:color w:val="000000"/>
                <w:kern w:val="0"/>
                <w:szCs w:val="24"/>
                <w:lang w:val="en-US"/>
              </w:rPr>
            </w:pPr>
          </w:p>
        </w:tc>
        <w:tc>
          <w:tcPr>
            <w:tcW w:w="595" w:type="pct"/>
            <w:vMerge/>
            <w:tcBorders>
              <w:left w:val="nil"/>
              <w:right w:val="nil"/>
            </w:tcBorders>
            <w:shd w:val="clear" w:color="auto" w:fill="FFFFFF"/>
            <w:vAlign w:val="bottom"/>
          </w:tcPr>
          <w:p w14:paraId="65361862" w14:textId="77777777" w:rsidR="00123098" w:rsidRPr="005775AB" w:rsidRDefault="00123098" w:rsidP="00F033A7">
            <w:pPr>
              <w:autoSpaceDE w:val="0"/>
              <w:autoSpaceDN w:val="0"/>
              <w:adjustRightInd w:val="0"/>
              <w:spacing w:line="240" w:lineRule="auto"/>
              <w:jc w:val="left"/>
              <w:rPr>
                <w:rFonts w:ascii="Arial" w:hAnsi="Arial" w:cs="Arial"/>
                <w:color w:val="000000"/>
                <w:kern w:val="0"/>
                <w:szCs w:val="24"/>
                <w:lang w:val="en-US"/>
              </w:rPr>
            </w:pPr>
          </w:p>
        </w:tc>
      </w:tr>
      <w:tr w:rsidR="00123098" w:rsidRPr="005775AB" w14:paraId="6A329441" w14:textId="77777777" w:rsidTr="00A52357">
        <w:trPr>
          <w:cantSplit/>
        </w:trPr>
        <w:tc>
          <w:tcPr>
            <w:tcW w:w="427" w:type="pct"/>
            <w:vMerge w:val="restart"/>
            <w:tcBorders>
              <w:left w:val="nil"/>
              <w:right w:val="nil"/>
            </w:tcBorders>
            <w:shd w:val="clear" w:color="auto" w:fill="FFFFFF"/>
          </w:tcPr>
          <w:p w14:paraId="5BD8DB60"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1</w:t>
            </w:r>
          </w:p>
        </w:tc>
        <w:tc>
          <w:tcPr>
            <w:tcW w:w="810" w:type="pct"/>
            <w:tcBorders>
              <w:left w:val="nil"/>
              <w:bottom w:val="nil"/>
              <w:right w:val="nil"/>
            </w:tcBorders>
            <w:shd w:val="clear" w:color="auto" w:fill="FFFFFF"/>
          </w:tcPr>
          <w:p w14:paraId="2964E677"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(Constant)</w:t>
            </w:r>
          </w:p>
        </w:tc>
        <w:tc>
          <w:tcPr>
            <w:tcW w:w="854" w:type="pct"/>
            <w:tcBorders>
              <w:left w:val="nil"/>
              <w:bottom w:val="nil"/>
              <w:right w:val="nil"/>
            </w:tcBorders>
            <w:shd w:val="clear" w:color="auto" w:fill="FFFFFF"/>
          </w:tcPr>
          <w:p w14:paraId="1EEA2EFC"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1.521</w:t>
            </w:r>
          </w:p>
        </w:tc>
        <w:tc>
          <w:tcPr>
            <w:tcW w:w="855" w:type="pct"/>
            <w:tcBorders>
              <w:left w:val="nil"/>
              <w:bottom w:val="nil"/>
              <w:right w:val="nil"/>
            </w:tcBorders>
            <w:shd w:val="clear" w:color="auto" w:fill="FFFFFF"/>
          </w:tcPr>
          <w:p w14:paraId="19194587"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.194</w:t>
            </w:r>
          </w:p>
        </w:tc>
        <w:tc>
          <w:tcPr>
            <w:tcW w:w="854" w:type="pct"/>
            <w:tcBorders>
              <w:left w:val="nil"/>
              <w:bottom w:val="nil"/>
              <w:right w:val="nil"/>
            </w:tcBorders>
            <w:shd w:val="clear" w:color="auto" w:fill="FFFFFF"/>
            <w:vAlign w:val="center"/>
          </w:tcPr>
          <w:p w14:paraId="798D068F" w14:textId="77777777" w:rsidR="00123098" w:rsidRPr="005775AB" w:rsidRDefault="00123098" w:rsidP="00F033A7">
            <w:pPr>
              <w:autoSpaceDE w:val="0"/>
              <w:autoSpaceDN w:val="0"/>
              <w:adjustRightInd w:val="0"/>
              <w:spacing w:line="240" w:lineRule="auto"/>
              <w:jc w:val="left"/>
              <w:rPr>
                <w:rFonts w:cs="Times New Roman"/>
                <w:kern w:val="0"/>
                <w:szCs w:val="24"/>
                <w:lang w:val="en-US"/>
              </w:rPr>
            </w:pPr>
          </w:p>
        </w:tc>
        <w:tc>
          <w:tcPr>
            <w:tcW w:w="605" w:type="pct"/>
            <w:tcBorders>
              <w:left w:val="nil"/>
              <w:bottom w:val="nil"/>
              <w:right w:val="nil"/>
            </w:tcBorders>
            <w:shd w:val="clear" w:color="auto" w:fill="FFFFFF"/>
          </w:tcPr>
          <w:p w14:paraId="324196D5"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7.832</w:t>
            </w:r>
          </w:p>
        </w:tc>
        <w:tc>
          <w:tcPr>
            <w:tcW w:w="595" w:type="pct"/>
            <w:tcBorders>
              <w:left w:val="nil"/>
              <w:bottom w:val="nil"/>
              <w:right w:val="nil"/>
            </w:tcBorders>
            <w:shd w:val="clear" w:color="auto" w:fill="FFFFFF"/>
          </w:tcPr>
          <w:p w14:paraId="19443F06"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.000</w:t>
            </w:r>
          </w:p>
        </w:tc>
      </w:tr>
      <w:tr w:rsidR="00123098" w:rsidRPr="005775AB" w14:paraId="5CDD578C" w14:textId="77777777" w:rsidTr="00A52357">
        <w:trPr>
          <w:cantSplit/>
        </w:trPr>
        <w:tc>
          <w:tcPr>
            <w:tcW w:w="427" w:type="pct"/>
            <w:vMerge/>
            <w:tcBorders>
              <w:left w:val="nil"/>
              <w:right w:val="nil"/>
            </w:tcBorders>
            <w:shd w:val="clear" w:color="auto" w:fill="FFFFFF"/>
          </w:tcPr>
          <w:p w14:paraId="316E81F7" w14:textId="77777777" w:rsidR="00123098" w:rsidRPr="005775AB" w:rsidRDefault="00123098" w:rsidP="00F033A7">
            <w:pPr>
              <w:autoSpaceDE w:val="0"/>
              <w:autoSpaceDN w:val="0"/>
              <w:adjustRightInd w:val="0"/>
              <w:spacing w:line="240" w:lineRule="auto"/>
              <w:jc w:val="left"/>
              <w:rPr>
                <w:rFonts w:ascii="Arial" w:hAnsi="Arial" w:cs="Arial"/>
                <w:color w:val="000000"/>
                <w:kern w:val="0"/>
                <w:szCs w:val="24"/>
                <w:lang w:val="en-US"/>
              </w:rPr>
            </w:pPr>
          </w:p>
        </w:tc>
        <w:tc>
          <w:tcPr>
            <w:tcW w:w="810" w:type="pct"/>
            <w:tcBorders>
              <w:top w:val="nil"/>
              <w:left w:val="nil"/>
              <w:right w:val="nil"/>
            </w:tcBorders>
            <w:shd w:val="clear" w:color="auto" w:fill="FFFFFF"/>
          </w:tcPr>
          <w:p w14:paraId="777CC056"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DI</w:t>
            </w:r>
          </w:p>
        </w:tc>
        <w:tc>
          <w:tcPr>
            <w:tcW w:w="854" w:type="pct"/>
            <w:tcBorders>
              <w:top w:val="nil"/>
              <w:left w:val="nil"/>
              <w:right w:val="nil"/>
            </w:tcBorders>
            <w:shd w:val="clear" w:color="auto" w:fill="FFFFFF"/>
          </w:tcPr>
          <w:p w14:paraId="07EB9AC2"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.643</w:t>
            </w:r>
          </w:p>
        </w:tc>
        <w:tc>
          <w:tcPr>
            <w:tcW w:w="855" w:type="pct"/>
            <w:tcBorders>
              <w:top w:val="nil"/>
              <w:left w:val="nil"/>
              <w:right w:val="nil"/>
            </w:tcBorders>
            <w:shd w:val="clear" w:color="auto" w:fill="FFFFFF"/>
          </w:tcPr>
          <w:p w14:paraId="749CAD29"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.051</w:t>
            </w:r>
          </w:p>
        </w:tc>
        <w:tc>
          <w:tcPr>
            <w:tcW w:w="854" w:type="pct"/>
            <w:tcBorders>
              <w:top w:val="nil"/>
              <w:left w:val="nil"/>
              <w:right w:val="nil"/>
            </w:tcBorders>
            <w:shd w:val="clear" w:color="auto" w:fill="FFFFFF"/>
          </w:tcPr>
          <w:p w14:paraId="39ABEFF0"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.715</w:t>
            </w:r>
          </w:p>
        </w:tc>
        <w:tc>
          <w:tcPr>
            <w:tcW w:w="605" w:type="pct"/>
            <w:tcBorders>
              <w:top w:val="nil"/>
              <w:left w:val="nil"/>
              <w:right w:val="nil"/>
            </w:tcBorders>
            <w:shd w:val="clear" w:color="auto" w:fill="FFFFFF"/>
          </w:tcPr>
          <w:p w14:paraId="14208F59"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12.595</w:t>
            </w:r>
          </w:p>
        </w:tc>
        <w:tc>
          <w:tcPr>
            <w:tcW w:w="595" w:type="pct"/>
            <w:tcBorders>
              <w:top w:val="nil"/>
              <w:left w:val="nil"/>
              <w:right w:val="nil"/>
            </w:tcBorders>
            <w:shd w:val="clear" w:color="auto" w:fill="FFFFFF"/>
          </w:tcPr>
          <w:p w14:paraId="402815E9" w14:textId="77777777" w:rsidR="00123098" w:rsidRPr="005775AB"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5775AB">
              <w:rPr>
                <w:rFonts w:ascii="Arial" w:hAnsi="Arial" w:cs="Arial"/>
                <w:color w:val="000000"/>
                <w:kern w:val="0"/>
                <w:szCs w:val="24"/>
                <w:lang w:val="en-US"/>
              </w:rPr>
              <w:t>.000</w:t>
            </w:r>
          </w:p>
        </w:tc>
      </w:tr>
      <w:tr w:rsidR="00123098" w:rsidRPr="005775AB" w14:paraId="37F0D792" w14:textId="77777777" w:rsidTr="009C7ADA">
        <w:trPr>
          <w:cantSplit/>
        </w:trPr>
        <w:tc>
          <w:tcPr>
            <w:tcW w:w="5000" w:type="pct"/>
            <w:gridSpan w:val="7"/>
            <w:tcBorders>
              <w:top w:val="nil"/>
              <w:left w:val="nil"/>
              <w:bottom w:val="nil"/>
              <w:right w:val="nil"/>
            </w:tcBorders>
            <w:shd w:val="clear" w:color="auto" w:fill="FFFFFF"/>
          </w:tcPr>
          <w:p w14:paraId="32746FC6" w14:textId="77777777" w:rsidR="00123098" w:rsidRPr="005775AB"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5775AB">
              <w:rPr>
                <w:rFonts w:ascii="Arial" w:hAnsi="Arial" w:cs="Arial"/>
                <w:color w:val="000000"/>
                <w:kern w:val="0"/>
                <w:szCs w:val="24"/>
                <w:lang w:val="en-US"/>
              </w:rPr>
              <w:t>a. Dependent Variable: Staff Retention</w:t>
            </w:r>
          </w:p>
        </w:tc>
      </w:tr>
    </w:tbl>
    <w:p w14:paraId="2163872B" w14:textId="5E832C3A" w:rsidR="00123098" w:rsidRDefault="00A52357" w:rsidP="009C7ADA">
      <w:r w:rsidRPr="00A52357">
        <w:t>The coefficients table gives the points of the parametric regression equation and their significance. The constant (B=1.521, p&lt;.000) is the predicted score of staff retention at zero or the lack of D&amp;I strategies and forms the level of staff retention. The unstandardized coefficient of D&amp;I (B=.643, p&lt;.000) shows that one-unit rise in the effectiveness of D&amp;I strategy, raises the staff retention by 0.643 units, which is a significant positive correlation. When variables are normalised, the coefficient of standardisation (Beta=.715) matches the coefficient of correlation, proving this link. The t-statistic (12.595) with a significant p value less than.000 suggests this link is not random. The standard error (.051) is low, indicating that the D&amp;I coefficient is reliably computed and increasing confidence in the findings. These results strongly support Hypothesis 1 that D&amp;I interventions improve NHS Trust staff retention and have major implications for organisational policy and personnel sustainability.</w:t>
      </w:r>
    </w:p>
    <w:p w14:paraId="6652E44A" w14:textId="77777777" w:rsidR="00123098" w:rsidRDefault="00123098" w:rsidP="00123098"/>
    <w:p w14:paraId="3314D5E0" w14:textId="16070ECA" w:rsidR="00123098" w:rsidRPr="009C7ADA" w:rsidRDefault="00123098" w:rsidP="009C7ADA">
      <w:r w:rsidRPr="009C7ADA">
        <w:t>H</w:t>
      </w:r>
      <w:r w:rsidRPr="009C7ADA">
        <w:rPr>
          <w:vertAlign w:val="subscript"/>
        </w:rPr>
        <w:t>2</w:t>
      </w:r>
      <w:r w:rsidRPr="009C7ADA">
        <w:t>: There is a significant relationship between perceived inclusivity and staff retention within the NHS.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802"/>
        <w:gridCol w:w="2822"/>
        <w:gridCol w:w="1702"/>
        <w:gridCol w:w="1700"/>
      </w:tblGrid>
      <w:tr w:rsidR="00123098" w:rsidRPr="002F4A07" w14:paraId="4658D0B6" w14:textId="77777777" w:rsidTr="009C7ADA">
        <w:trPr>
          <w:cantSplit/>
        </w:trPr>
        <w:tc>
          <w:tcPr>
            <w:tcW w:w="5000" w:type="pct"/>
            <w:gridSpan w:val="4"/>
            <w:tcBorders>
              <w:top w:val="nil"/>
              <w:left w:val="nil"/>
              <w:bottom w:val="nil"/>
              <w:right w:val="nil"/>
            </w:tcBorders>
            <w:shd w:val="clear" w:color="auto" w:fill="FFFFFF"/>
            <w:vAlign w:val="center"/>
          </w:tcPr>
          <w:p w14:paraId="415DCB9B" w14:textId="77777777" w:rsidR="00123098" w:rsidRPr="002F4A07"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2F4A07">
              <w:rPr>
                <w:rFonts w:ascii="Arial" w:hAnsi="Arial" w:cs="Arial"/>
                <w:i/>
                <w:iCs/>
                <w:color w:val="000000"/>
                <w:kern w:val="0"/>
                <w:szCs w:val="24"/>
                <w:lang w:val="en-US"/>
              </w:rPr>
              <w:t>Correlations</w:t>
            </w:r>
          </w:p>
        </w:tc>
      </w:tr>
      <w:tr w:rsidR="00123098" w:rsidRPr="002F4A07" w14:paraId="3DC7CB7B" w14:textId="77777777" w:rsidTr="000474BF">
        <w:trPr>
          <w:cantSplit/>
        </w:trPr>
        <w:tc>
          <w:tcPr>
            <w:tcW w:w="3115" w:type="pct"/>
            <w:gridSpan w:val="2"/>
            <w:tcBorders>
              <w:left w:val="nil"/>
              <w:right w:val="nil"/>
            </w:tcBorders>
            <w:shd w:val="clear" w:color="auto" w:fill="FFFFFF"/>
            <w:vAlign w:val="bottom"/>
          </w:tcPr>
          <w:p w14:paraId="584BBEB7" w14:textId="77777777" w:rsidR="00123098" w:rsidRPr="002F4A07" w:rsidRDefault="00123098" w:rsidP="00F033A7">
            <w:pPr>
              <w:autoSpaceDE w:val="0"/>
              <w:autoSpaceDN w:val="0"/>
              <w:adjustRightInd w:val="0"/>
              <w:spacing w:line="240" w:lineRule="auto"/>
              <w:jc w:val="left"/>
              <w:rPr>
                <w:rFonts w:cs="Times New Roman"/>
                <w:kern w:val="0"/>
                <w:szCs w:val="24"/>
                <w:lang w:val="en-US"/>
              </w:rPr>
            </w:pPr>
          </w:p>
        </w:tc>
        <w:tc>
          <w:tcPr>
            <w:tcW w:w="943" w:type="pct"/>
            <w:tcBorders>
              <w:left w:val="nil"/>
              <w:right w:val="nil"/>
            </w:tcBorders>
            <w:shd w:val="clear" w:color="auto" w:fill="FFFFFF"/>
            <w:vAlign w:val="bottom"/>
          </w:tcPr>
          <w:p w14:paraId="6CE06232" w14:textId="77777777" w:rsidR="00123098" w:rsidRPr="002F4A07"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2F4A07">
              <w:rPr>
                <w:rFonts w:ascii="Arial" w:hAnsi="Arial" w:cs="Arial"/>
                <w:color w:val="000000"/>
                <w:kern w:val="0"/>
                <w:szCs w:val="24"/>
                <w:lang w:val="en-US"/>
              </w:rPr>
              <w:t>Perceived Inclusivity</w:t>
            </w:r>
          </w:p>
        </w:tc>
        <w:tc>
          <w:tcPr>
            <w:tcW w:w="942" w:type="pct"/>
            <w:tcBorders>
              <w:left w:val="nil"/>
              <w:right w:val="nil"/>
            </w:tcBorders>
            <w:shd w:val="clear" w:color="auto" w:fill="FFFFFF"/>
            <w:vAlign w:val="bottom"/>
          </w:tcPr>
          <w:p w14:paraId="772411B2" w14:textId="77777777" w:rsidR="00123098" w:rsidRPr="002F4A07" w:rsidRDefault="00123098" w:rsidP="00F033A7">
            <w:pPr>
              <w:autoSpaceDE w:val="0"/>
              <w:autoSpaceDN w:val="0"/>
              <w:adjustRightInd w:val="0"/>
              <w:spacing w:line="320" w:lineRule="atLeast"/>
              <w:ind w:left="60" w:right="60"/>
              <w:jc w:val="center"/>
              <w:rPr>
                <w:rFonts w:ascii="Arial" w:hAnsi="Arial" w:cs="Arial"/>
                <w:color w:val="000000"/>
                <w:kern w:val="0"/>
                <w:szCs w:val="24"/>
                <w:lang w:val="en-US"/>
              </w:rPr>
            </w:pPr>
            <w:r w:rsidRPr="002F4A07">
              <w:rPr>
                <w:rFonts w:ascii="Arial" w:hAnsi="Arial" w:cs="Arial"/>
                <w:color w:val="000000"/>
                <w:kern w:val="0"/>
                <w:szCs w:val="24"/>
                <w:lang w:val="en-US"/>
              </w:rPr>
              <w:t>Staff Retention</w:t>
            </w:r>
          </w:p>
        </w:tc>
      </w:tr>
      <w:tr w:rsidR="00123098" w:rsidRPr="002F4A07" w14:paraId="003258DD" w14:textId="77777777" w:rsidTr="000474BF">
        <w:trPr>
          <w:cantSplit/>
        </w:trPr>
        <w:tc>
          <w:tcPr>
            <w:tcW w:w="1552" w:type="pct"/>
            <w:vMerge w:val="restart"/>
            <w:tcBorders>
              <w:left w:val="nil"/>
              <w:right w:val="nil"/>
            </w:tcBorders>
            <w:shd w:val="clear" w:color="auto" w:fill="FFFFFF"/>
          </w:tcPr>
          <w:p w14:paraId="34D6043A" w14:textId="77777777" w:rsidR="00123098" w:rsidRPr="002F4A07"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2F4A07">
              <w:rPr>
                <w:rFonts w:ascii="Arial" w:hAnsi="Arial" w:cs="Arial"/>
                <w:color w:val="000000"/>
                <w:kern w:val="0"/>
                <w:szCs w:val="24"/>
                <w:lang w:val="en-US"/>
              </w:rPr>
              <w:t>Perceived Inclusivity</w:t>
            </w:r>
          </w:p>
        </w:tc>
        <w:tc>
          <w:tcPr>
            <w:tcW w:w="1563" w:type="pct"/>
            <w:tcBorders>
              <w:left w:val="nil"/>
              <w:bottom w:val="nil"/>
              <w:right w:val="nil"/>
            </w:tcBorders>
            <w:shd w:val="clear" w:color="auto" w:fill="FFFFFF"/>
          </w:tcPr>
          <w:p w14:paraId="116CF70C" w14:textId="77777777" w:rsidR="00123098" w:rsidRPr="002F4A07"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2F4A07">
              <w:rPr>
                <w:rFonts w:ascii="Arial" w:hAnsi="Arial" w:cs="Arial"/>
                <w:color w:val="000000"/>
                <w:kern w:val="0"/>
                <w:szCs w:val="24"/>
                <w:lang w:val="en-US"/>
              </w:rPr>
              <w:t>Pearson Correlation</w:t>
            </w:r>
          </w:p>
        </w:tc>
        <w:tc>
          <w:tcPr>
            <w:tcW w:w="943" w:type="pct"/>
            <w:tcBorders>
              <w:left w:val="nil"/>
              <w:bottom w:val="nil"/>
              <w:right w:val="nil"/>
            </w:tcBorders>
            <w:shd w:val="clear" w:color="auto" w:fill="FFFFFF"/>
          </w:tcPr>
          <w:p w14:paraId="1C4E2FE6" w14:textId="77777777" w:rsidR="00123098" w:rsidRPr="002F4A07"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2F4A07">
              <w:rPr>
                <w:rFonts w:ascii="Arial" w:hAnsi="Arial" w:cs="Arial"/>
                <w:color w:val="000000"/>
                <w:kern w:val="0"/>
                <w:szCs w:val="24"/>
                <w:lang w:val="en-US"/>
              </w:rPr>
              <w:t>1</w:t>
            </w:r>
          </w:p>
        </w:tc>
        <w:tc>
          <w:tcPr>
            <w:tcW w:w="942" w:type="pct"/>
            <w:tcBorders>
              <w:left w:val="nil"/>
              <w:bottom w:val="nil"/>
              <w:right w:val="nil"/>
            </w:tcBorders>
            <w:shd w:val="clear" w:color="auto" w:fill="FFFFFF"/>
          </w:tcPr>
          <w:p w14:paraId="7E90484B" w14:textId="77777777" w:rsidR="00123098" w:rsidRPr="002F4A07"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2F4A07">
              <w:rPr>
                <w:rFonts w:ascii="Arial" w:hAnsi="Arial" w:cs="Arial"/>
                <w:color w:val="000000"/>
                <w:kern w:val="0"/>
                <w:szCs w:val="24"/>
                <w:lang w:val="en-US"/>
              </w:rPr>
              <w:t>.709</w:t>
            </w:r>
            <w:r w:rsidRPr="002F4A07">
              <w:rPr>
                <w:rFonts w:ascii="Arial" w:hAnsi="Arial" w:cs="Arial"/>
                <w:color w:val="000000"/>
                <w:kern w:val="0"/>
                <w:szCs w:val="24"/>
                <w:vertAlign w:val="superscript"/>
                <w:lang w:val="en-US"/>
              </w:rPr>
              <w:t>**</w:t>
            </w:r>
          </w:p>
        </w:tc>
      </w:tr>
      <w:tr w:rsidR="00123098" w:rsidRPr="002F4A07" w14:paraId="6E02AE90" w14:textId="77777777" w:rsidTr="000474BF">
        <w:trPr>
          <w:cantSplit/>
        </w:trPr>
        <w:tc>
          <w:tcPr>
            <w:tcW w:w="1552" w:type="pct"/>
            <w:vMerge/>
            <w:tcBorders>
              <w:left w:val="nil"/>
              <w:right w:val="nil"/>
            </w:tcBorders>
            <w:shd w:val="clear" w:color="auto" w:fill="FFFFFF"/>
          </w:tcPr>
          <w:p w14:paraId="2687D441" w14:textId="77777777" w:rsidR="00123098" w:rsidRPr="002F4A07" w:rsidRDefault="00123098" w:rsidP="00F033A7">
            <w:pPr>
              <w:autoSpaceDE w:val="0"/>
              <w:autoSpaceDN w:val="0"/>
              <w:adjustRightInd w:val="0"/>
              <w:spacing w:line="240" w:lineRule="auto"/>
              <w:jc w:val="left"/>
              <w:rPr>
                <w:rFonts w:ascii="Arial" w:hAnsi="Arial" w:cs="Arial"/>
                <w:color w:val="000000"/>
                <w:kern w:val="0"/>
                <w:szCs w:val="24"/>
                <w:lang w:val="en-US"/>
              </w:rPr>
            </w:pPr>
          </w:p>
        </w:tc>
        <w:tc>
          <w:tcPr>
            <w:tcW w:w="1563" w:type="pct"/>
            <w:tcBorders>
              <w:top w:val="nil"/>
              <w:left w:val="nil"/>
              <w:bottom w:val="nil"/>
              <w:right w:val="nil"/>
            </w:tcBorders>
            <w:shd w:val="clear" w:color="auto" w:fill="FFFFFF"/>
          </w:tcPr>
          <w:p w14:paraId="43E67D68" w14:textId="77777777" w:rsidR="00123098" w:rsidRPr="002F4A07"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2F4A07">
              <w:rPr>
                <w:rFonts w:ascii="Arial" w:hAnsi="Arial" w:cs="Arial"/>
                <w:color w:val="000000"/>
                <w:kern w:val="0"/>
                <w:szCs w:val="24"/>
                <w:lang w:val="en-US"/>
              </w:rPr>
              <w:t>Sig. (2-tailed)</w:t>
            </w:r>
          </w:p>
        </w:tc>
        <w:tc>
          <w:tcPr>
            <w:tcW w:w="943" w:type="pct"/>
            <w:tcBorders>
              <w:top w:val="nil"/>
              <w:left w:val="nil"/>
              <w:bottom w:val="nil"/>
              <w:right w:val="nil"/>
            </w:tcBorders>
            <w:shd w:val="clear" w:color="auto" w:fill="FFFFFF"/>
            <w:vAlign w:val="center"/>
          </w:tcPr>
          <w:p w14:paraId="7C65E50E" w14:textId="77777777" w:rsidR="00123098" w:rsidRPr="002F4A07" w:rsidRDefault="00123098" w:rsidP="00F033A7">
            <w:pPr>
              <w:autoSpaceDE w:val="0"/>
              <w:autoSpaceDN w:val="0"/>
              <w:adjustRightInd w:val="0"/>
              <w:spacing w:line="240" w:lineRule="auto"/>
              <w:jc w:val="left"/>
              <w:rPr>
                <w:rFonts w:cs="Times New Roman"/>
                <w:kern w:val="0"/>
                <w:szCs w:val="24"/>
                <w:lang w:val="en-US"/>
              </w:rPr>
            </w:pPr>
          </w:p>
        </w:tc>
        <w:tc>
          <w:tcPr>
            <w:tcW w:w="942" w:type="pct"/>
            <w:tcBorders>
              <w:top w:val="nil"/>
              <w:left w:val="nil"/>
              <w:bottom w:val="nil"/>
              <w:right w:val="nil"/>
            </w:tcBorders>
            <w:shd w:val="clear" w:color="auto" w:fill="FFFFFF"/>
          </w:tcPr>
          <w:p w14:paraId="6C1147F7" w14:textId="77777777" w:rsidR="00123098" w:rsidRPr="002F4A07"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2F4A07">
              <w:rPr>
                <w:rFonts w:ascii="Arial" w:hAnsi="Arial" w:cs="Arial"/>
                <w:color w:val="000000"/>
                <w:kern w:val="0"/>
                <w:szCs w:val="24"/>
                <w:lang w:val="en-US"/>
              </w:rPr>
              <w:t>.000</w:t>
            </w:r>
          </w:p>
        </w:tc>
      </w:tr>
      <w:tr w:rsidR="00123098" w:rsidRPr="002F4A07" w14:paraId="6701B625" w14:textId="77777777" w:rsidTr="000474BF">
        <w:trPr>
          <w:cantSplit/>
        </w:trPr>
        <w:tc>
          <w:tcPr>
            <w:tcW w:w="1552" w:type="pct"/>
            <w:vMerge/>
            <w:tcBorders>
              <w:left w:val="nil"/>
              <w:right w:val="nil"/>
            </w:tcBorders>
            <w:shd w:val="clear" w:color="auto" w:fill="FFFFFF"/>
          </w:tcPr>
          <w:p w14:paraId="77EFB070" w14:textId="77777777" w:rsidR="00123098" w:rsidRPr="002F4A07" w:rsidRDefault="00123098" w:rsidP="00F033A7">
            <w:pPr>
              <w:autoSpaceDE w:val="0"/>
              <w:autoSpaceDN w:val="0"/>
              <w:adjustRightInd w:val="0"/>
              <w:spacing w:line="240" w:lineRule="auto"/>
              <w:jc w:val="left"/>
              <w:rPr>
                <w:rFonts w:ascii="Arial" w:hAnsi="Arial" w:cs="Arial"/>
                <w:color w:val="000000"/>
                <w:kern w:val="0"/>
                <w:szCs w:val="24"/>
                <w:lang w:val="en-US"/>
              </w:rPr>
            </w:pPr>
          </w:p>
        </w:tc>
        <w:tc>
          <w:tcPr>
            <w:tcW w:w="1563" w:type="pct"/>
            <w:tcBorders>
              <w:top w:val="nil"/>
              <w:left w:val="nil"/>
              <w:right w:val="nil"/>
            </w:tcBorders>
            <w:shd w:val="clear" w:color="auto" w:fill="FFFFFF"/>
          </w:tcPr>
          <w:p w14:paraId="4150A8B5" w14:textId="77777777" w:rsidR="00123098" w:rsidRPr="002F4A07"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2F4A07">
              <w:rPr>
                <w:rFonts w:ascii="Arial" w:hAnsi="Arial" w:cs="Arial"/>
                <w:color w:val="000000"/>
                <w:kern w:val="0"/>
                <w:szCs w:val="24"/>
                <w:lang w:val="en-US"/>
              </w:rPr>
              <w:t>N</w:t>
            </w:r>
          </w:p>
        </w:tc>
        <w:tc>
          <w:tcPr>
            <w:tcW w:w="943" w:type="pct"/>
            <w:tcBorders>
              <w:top w:val="nil"/>
              <w:left w:val="nil"/>
              <w:right w:val="nil"/>
            </w:tcBorders>
            <w:shd w:val="clear" w:color="auto" w:fill="FFFFFF"/>
          </w:tcPr>
          <w:p w14:paraId="4E64F082" w14:textId="77777777" w:rsidR="00123098" w:rsidRPr="002F4A07"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2F4A07">
              <w:rPr>
                <w:rFonts w:ascii="Arial" w:hAnsi="Arial" w:cs="Arial"/>
                <w:color w:val="000000"/>
                <w:kern w:val="0"/>
                <w:szCs w:val="24"/>
                <w:lang w:val="en-US"/>
              </w:rPr>
              <w:t>154</w:t>
            </w:r>
          </w:p>
        </w:tc>
        <w:tc>
          <w:tcPr>
            <w:tcW w:w="942" w:type="pct"/>
            <w:tcBorders>
              <w:top w:val="nil"/>
              <w:left w:val="nil"/>
              <w:right w:val="nil"/>
            </w:tcBorders>
            <w:shd w:val="clear" w:color="auto" w:fill="FFFFFF"/>
          </w:tcPr>
          <w:p w14:paraId="116B9361" w14:textId="77777777" w:rsidR="00123098" w:rsidRPr="002F4A07"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2F4A07">
              <w:rPr>
                <w:rFonts w:ascii="Arial" w:hAnsi="Arial" w:cs="Arial"/>
                <w:color w:val="000000"/>
                <w:kern w:val="0"/>
                <w:szCs w:val="24"/>
                <w:lang w:val="en-US"/>
              </w:rPr>
              <w:t>154</w:t>
            </w:r>
          </w:p>
        </w:tc>
      </w:tr>
      <w:tr w:rsidR="00123098" w:rsidRPr="002F4A07" w14:paraId="3DC13468" w14:textId="77777777" w:rsidTr="000474BF">
        <w:trPr>
          <w:cantSplit/>
        </w:trPr>
        <w:tc>
          <w:tcPr>
            <w:tcW w:w="1552" w:type="pct"/>
            <w:vMerge w:val="restart"/>
            <w:tcBorders>
              <w:top w:val="nil"/>
              <w:left w:val="nil"/>
              <w:right w:val="nil"/>
            </w:tcBorders>
            <w:shd w:val="clear" w:color="auto" w:fill="FFFFFF"/>
          </w:tcPr>
          <w:p w14:paraId="47B59557" w14:textId="77777777" w:rsidR="00123098" w:rsidRPr="002F4A07"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2F4A07">
              <w:rPr>
                <w:rFonts w:ascii="Arial" w:hAnsi="Arial" w:cs="Arial"/>
                <w:color w:val="000000"/>
                <w:kern w:val="0"/>
                <w:szCs w:val="24"/>
                <w:lang w:val="en-US"/>
              </w:rPr>
              <w:t>Staff Retention</w:t>
            </w:r>
          </w:p>
        </w:tc>
        <w:tc>
          <w:tcPr>
            <w:tcW w:w="1563" w:type="pct"/>
            <w:tcBorders>
              <w:top w:val="nil"/>
              <w:left w:val="nil"/>
              <w:bottom w:val="nil"/>
              <w:right w:val="nil"/>
            </w:tcBorders>
            <w:shd w:val="clear" w:color="auto" w:fill="FFFFFF"/>
          </w:tcPr>
          <w:p w14:paraId="1C2EF3AA" w14:textId="77777777" w:rsidR="00123098" w:rsidRPr="002F4A07"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2F4A07">
              <w:rPr>
                <w:rFonts w:ascii="Arial" w:hAnsi="Arial" w:cs="Arial"/>
                <w:color w:val="000000"/>
                <w:kern w:val="0"/>
                <w:szCs w:val="24"/>
                <w:lang w:val="en-US"/>
              </w:rPr>
              <w:t>Pearson Correlation</w:t>
            </w:r>
          </w:p>
        </w:tc>
        <w:tc>
          <w:tcPr>
            <w:tcW w:w="943" w:type="pct"/>
            <w:tcBorders>
              <w:top w:val="nil"/>
              <w:left w:val="nil"/>
              <w:bottom w:val="nil"/>
              <w:right w:val="nil"/>
            </w:tcBorders>
            <w:shd w:val="clear" w:color="auto" w:fill="FFFFFF"/>
          </w:tcPr>
          <w:p w14:paraId="5046780E" w14:textId="77777777" w:rsidR="00123098" w:rsidRPr="002F4A07"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2F4A07">
              <w:rPr>
                <w:rFonts w:ascii="Arial" w:hAnsi="Arial" w:cs="Arial"/>
                <w:color w:val="000000"/>
                <w:kern w:val="0"/>
                <w:szCs w:val="24"/>
                <w:lang w:val="en-US"/>
              </w:rPr>
              <w:t>.709</w:t>
            </w:r>
            <w:r w:rsidRPr="002F4A07">
              <w:rPr>
                <w:rFonts w:ascii="Arial" w:hAnsi="Arial" w:cs="Arial"/>
                <w:color w:val="000000"/>
                <w:kern w:val="0"/>
                <w:szCs w:val="24"/>
                <w:vertAlign w:val="superscript"/>
                <w:lang w:val="en-US"/>
              </w:rPr>
              <w:t>**</w:t>
            </w:r>
          </w:p>
        </w:tc>
        <w:tc>
          <w:tcPr>
            <w:tcW w:w="942" w:type="pct"/>
            <w:tcBorders>
              <w:top w:val="nil"/>
              <w:left w:val="nil"/>
              <w:bottom w:val="nil"/>
              <w:right w:val="nil"/>
            </w:tcBorders>
            <w:shd w:val="clear" w:color="auto" w:fill="FFFFFF"/>
          </w:tcPr>
          <w:p w14:paraId="3A788CE0" w14:textId="77777777" w:rsidR="00123098" w:rsidRPr="002F4A07"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2F4A07">
              <w:rPr>
                <w:rFonts w:ascii="Arial" w:hAnsi="Arial" w:cs="Arial"/>
                <w:color w:val="000000"/>
                <w:kern w:val="0"/>
                <w:szCs w:val="24"/>
                <w:lang w:val="en-US"/>
              </w:rPr>
              <w:t>1</w:t>
            </w:r>
          </w:p>
        </w:tc>
      </w:tr>
      <w:tr w:rsidR="00123098" w:rsidRPr="002F4A07" w14:paraId="5BB5AD68" w14:textId="77777777" w:rsidTr="000474BF">
        <w:trPr>
          <w:cantSplit/>
        </w:trPr>
        <w:tc>
          <w:tcPr>
            <w:tcW w:w="1552" w:type="pct"/>
            <w:vMerge/>
            <w:tcBorders>
              <w:top w:val="nil"/>
              <w:left w:val="nil"/>
              <w:right w:val="nil"/>
            </w:tcBorders>
            <w:shd w:val="clear" w:color="auto" w:fill="FFFFFF"/>
          </w:tcPr>
          <w:p w14:paraId="38045B1D" w14:textId="77777777" w:rsidR="00123098" w:rsidRPr="002F4A07" w:rsidRDefault="00123098" w:rsidP="00F033A7">
            <w:pPr>
              <w:autoSpaceDE w:val="0"/>
              <w:autoSpaceDN w:val="0"/>
              <w:adjustRightInd w:val="0"/>
              <w:spacing w:line="240" w:lineRule="auto"/>
              <w:jc w:val="left"/>
              <w:rPr>
                <w:rFonts w:ascii="Arial" w:hAnsi="Arial" w:cs="Arial"/>
                <w:color w:val="000000"/>
                <w:kern w:val="0"/>
                <w:szCs w:val="24"/>
                <w:lang w:val="en-US"/>
              </w:rPr>
            </w:pPr>
          </w:p>
        </w:tc>
        <w:tc>
          <w:tcPr>
            <w:tcW w:w="1563" w:type="pct"/>
            <w:tcBorders>
              <w:top w:val="nil"/>
              <w:left w:val="nil"/>
              <w:bottom w:val="nil"/>
              <w:right w:val="nil"/>
            </w:tcBorders>
            <w:shd w:val="clear" w:color="auto" w:fill="FFFFFF"/>
          </w:tcPr>
          <w:p w14:paraId="1A283F81" w14:textId="77777777" w:rsidR="00123098" w:rsidRPr="002F4A07"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2F4A07">
              <w:rPr>
                <w:rFonts w:ascii="Arial" w:hAnsi="Arial" w:cs="Arial"/>
                <w:color w:val="000000"/>
                <w:kern w:val="0"/>
                <w:szCs w:val="24"/>
                <w:lang w:val="en-US"/>
              </w:rPr>
              <w:t>Sig. (2-tailed)</w:t>
            </w:r>
          </w:p>
        </w:tc>
        <w:tc>
          <w:tcPr>
            <w:tcW w:w="943" w:type="pct"/>
            <w:tcBorders>
              <w:top w:val="nil"/>
              <w:left w:val="nil"/>
              <w:bottom w:val="nil"/>
              <w:right w:val="nil"/>
            </w:tcBorders>
            <w:shd w:val="clear" w:color="auto" w:fill="FFFFFF"/>
          </w:tcPr>
          <w:p w14:paraId="1518F4C8" w14:textId="77777777" w:rsidR="00123098" w:rsidRPr="002F4A07"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2F4A07">
              <w:rPr>
                <w:rFonts w:ascii="Arial" w:hAnsi="Arial" w:cs="Arial"/>
                <w:color w:val="000000"/>
                <w:kern w:val="0"/>
                <w:szCs w:val="24"/>
                <w:lang w:val="en-US"/>
              </w:rPr>
              <w:t>.000</w:t>
            </w:r>
          </w:p>
        </w:tc>
        <w:tc>
          <w:tcPr>
            <w:tcW w:w="942" w:type="pct"/>
            <w:tcBorders>
              <w:top w:val="nil"/>
              <w:left w:val="nil"/>
              <w:bottom w:val="nil"/>
              <w:right w:val="nil"/>
            </w:tcBorders>
            <w:shd w:val="clear" w:color="auto" w:fill="FFFFFF"/>
            <w:vAlign w:val="center"/>
          </w:tcPr>
          <w:p w14:paraId="797369FB" w14:textId="77777777" w:rsidR="00123098" w:rsidRPr="002F4A07" w:rsidRDefault="00123098" w:rsidP="00F033A7">
            <w:pPr>
              <w:autoSpaceDE w:val="0"/>
              <w:autoSpaceDN w:val="0"/>
              <w:adjustRightInd w:val="0"/>
              <w:spacing w:line="240" w:lineRule="auto"/>
              <w:jc w:val="left"/>
              <w:rPr>
                <w:rFonts w:cs="Times New Roman"/>
                <w:kern w:val="0"/>
                <w:szCs w:val="24"/>
                <w:lang w:val="en-US"/>
              </w:rPr>
            </w:pPr>
          </w:p>
        </w:tc>
      </w:tr>
      <w:tr w:rsidR="00123098" w:rsidRPr="002F4A07" w14:paraId="58734839" w14:textId="77777777" w:rsidTr="000474BF">
        <w:trPr>
          <w:cantSplit/>
        </w:trPr>
        <w:tc>
          <w:tcPr>
            <w:tcW w:w="1552" w:type="pct"/>
            <w:vMerge/>
            <w:tcBorders>
              <w:top w:val="nil"/>
              <w:left w:val="nil"/>
              <w:right w:val="nil"/>
            </w:tcBorders>
            <w:shd w:val="clear" w:color="auto" w:fill="FFFFFF"/>
          </w:tcPr>
          <w:p w14:paraId="63CA45EC" w14:textId="77777777" w:rsidR="00123098" w:rsidRPr="002F4A07" w:rsidRDefault="00123098" w:rsidP="00F033A7">
            <w:pPr>
              <w:autoSpaceDE w:val="0"/>
              <w:autoSpaceDN w:val="0"/>
              <w:adjustRightInd w:val="0"/>
              <w:spacing w:line="240" w:lineRule="auto"/>
              <w:jc w:val="left"/>
              <w:rPr>
                <w:rFonts w:cs="Times New Roman"/>
                <w:kern w:val="0"/>
                <w:szCs w:val="24"/>
                <w:lang w:val="en-US"/>
              </w:rPr>
            </w:pPr>
          </w:p>
        </w:tc>
        <w:tc>
          <w:tcPr>
            <w:tcW w:w="1563" w:type="pct"/>
            <w:tcBorders>
              <w:top w:val="nil"/>
              <w:left w:val="nil"/>
              <w:right w:val="nil"/>
            </w:tcBorders>
            <w:shd w:val="clear" w:color="auto" w:fill="FFFFFF"/>
          </w:tcPr>
          <w:p w14:paraId="61E95216" w14:textId="77777777" w:rsidR="00123098" w:rsidRPr="002F4A07"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2F4A07">
              <w:rPr>
                <w:rFonts w:ascii="Arial" w:hAnsi="Arial" w:cs="Arial"/>
                <w:color w:val="000000"/>
                <w:kern w:val="0"/>
                <w:szCs w:val="24"/>
                <w:lang w:val="en-US"/>
              </w:rPr>
              <w:t>N</w:t>
            </w:r>
          </w:p>
        </w:tc>
        <w:tc>
          <w:tcPr>
            <w:tcW w:w="943" w:type="pct"/>
            <w:tcBorders>
              <w:top w:val="nil"/>
              <w:left w:val="nil"/>
              <w:right w:val="nil"/>
            </w:tcBorders>
            <w:shd w:val="clear" w:color="auto" w:fill="FFFFFF"/>
          </w:tcPr>
          <w:p w14:paraId="4EFF10A6" w14:textId="77777777" w:rsidR="00123098" w:rsidRPr="002F4A07"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2F4A07">
              <w:rPr>
                <w:rFonts w:ascii="Arial" w:hAnsi="Arial" w:cs="Arial"/>
                <w:color w:val="000000"/>
                <w:kern w:val="0"/>
                <w:szCs w:val="24"/>
                <w:lang w:val="en-US"/>
              </w:rPr>
              <w:t>154</w:t>
            </w:r>
          </w:p>
        </w:tc>
        <w:tc>
          <w:tcPr>
            <w:tcW w:w="942" w:type="pct"/>
            <w:tcBorders>
              <w:top w:val="nil"/>
              <w:left w:val="nil"/>
              <w:right w:val="nil"/>
            </w:tcBorders>
            <w:shd w:val="clear" w:color="auto" w:fill="FFFFFF"/>
          </w:tcPr>
          <w:p w14:paraId="2A2E9768" w14:textId="77777777" w:rsidR="00123098" w:rsidRPr="002F4A07" w:rsidRDefault="00123098" w:rsidP="00F033A7">
            <w:pPr>
              <w:autoSpaceDE w:val="0"/>
              <w:autoSpaceDN w:val="0"/>
              <w:adjustRightInd w:val="0"/>
              <w:spacing w:line="320" w:lineRule="atLeast"/>
              <w:ind w:left="60" w:right="60"/>
              <w:jc w:val="right"/>
              <w:rPr>
                <w:rFonts w:ascii="Arial" w:hAnsi="Arial" w:cs="Arial"/>
                <w:color w:val="000000"/>
                <w:kern w:val="0"/>
                <w:szCs w:val="24"/>
                <w:lang w:val="en-US"/>
              </w:rPr>
            </w:pPr>
            <w:r w:rsidRPr="002F4A07">
              <w:rPr>
                <w:rFonts w:ascii="Arial" w:hAnsi="Arial" w:cs="Arial"/>
                <w:color w:val="000000"/>
                <w:kern w:val="0"/>
                <w:szCs w:val="24"/>
                <w:lang w:val="en-US"/>
              </w:rPr>
              <w:t>154</w:t>
            </w:r>
          </w:p>
        </w:tc>
      </w:tr>
      <w:tr w:rsidR="00123098" w:rsidRPr="002F4A07" w14:paraId="65454A36" w14:textId="77777777" w:rsidTr="009C7ADA">
        <w:trPr>
          <w:cantSplit/>
        </w:trPr>
        <w:tc>
          <w:tcPr>
            <w:tcW w:w="5000" w:type="pct"/>
            <w:gridSpan w:val="4"/>
            <w:tcBorders>
              <w:top w:val="nil"/>
              <w:left w:val="nil"/>
              <w:bottom w:val="nil"/>
              <w:right w:val="nil"/>
            </w:tcBorders>
            <w:shd w:val="clear" w:color="auto" w:fill="FFFFFF"/>
          </w:tcPr>
          <w:p w14:paraId="59A68B92" w14:textId="77777777" w:rsidR="00123098" w:rsidRPr="002F4A07" w:rsidRDefault="00123098" w:rsidP="00F033A7">
            <w:pPr>
              <w:autoSpaceDE w:val="0"/>
              <w:autoSpaceDN w:val="0"/>
              <w:adjustRightInd w:val="0"/>
              <w:spacing w:line="320" w:lineRule="atLeast"/>
              <w:ind w:left="60" w:right="60"/>
              <w:jc w:val="left"/>
              <w:rPr>
                <w:rFonts w:ascii="Arial" w:hAnsi="Arial" w:cs="Arial"/>
                <w:color w:val="000000"/>
                <w:kern w:val="0"/>
                <w:szCs w:val="24"/>
                <w:lang w:val="en-US"/>
              </w:rPr>
            </w:pPr>
            <w:r w:rsidRPr="002F4A07">
              <w:rPr>
                <w:rFonts w:ascii="Arial" w:hAnsi="Arial" w:cs="Arial"/>
                <w:color w:val="000000"/>
                <w:kern w:val="0"/>
                <w:szCs w:val="24"/>
                <w:lang w:val="en-US"/>
              </w:rPr>
              <w:t>**. Correlation is significant at the 0.01 level (2-tailed).</w:t>
            </w:r>
          </w:p>
        </w:tc>
      </w:tr>
    </w:tbl>
    <w:p w14:paraId="3FC7C32D" w14:textId="39C99BA8" w:rsidR="000A33FE" w:rsidRDefault="000474BF" w:rsidP="009C7ADA">
      <w:r w:rsidRPr="000474BF">
        <w:t xml:space="preserve">The Pearson correlation analysis indicates that perceived inclusivity and staff retention have a strong, statistically significant, positive relationship. The correlation values (r=.709, p&lt;.000) reveal that the association was significant, that is, there is an equal level of retention intentions by the staff members who conceived more workplace inclusivity. This coefficient indicates that the overlap between the variables is large (r2=.503), with some 50.3% variance shared. The significance level much lower than the.01 level represents strong proof that this connexion is real and not as a result of sampling error. In the two tailed test, it is clear that the two variables are related with or without the direction, but the positive coefficient means that a positive </w:t>
      </w:r>
      <w:r w:rsidRPr="000474BF">
        <w:lastRenderedPageBreak/>
        <w:t>correlation implies that the more inclusivity the better the retention. These results are solid evidence of Hypothesis 2, which supports the crucial importance of promoting inclusive workplace cultures to retain NHS employees. This level of correlation reinforces inclusivity as one of the most important organisational priorities to the sustainability of workforce.</w:t>
      </w:r>
    </w:p>
    <w:p w14:paraId="546E5E15" w14:textId="5850975B" w:rsidR="000A33FE" w:rsidRDefault="009C7ADA" w:rsidP="009C7ADA">
      <w:pPr>
        <w:pStyle w:val="Heading2"/>
      </w:pPr>
      <w:bookmarkStart w:id="55" w:name="_Toc216408899"/>
      <w:r>
        <w:t>4.3 Discussion</w:t>
      </w:r>
      <w:bookmarkEnd w:id="55"/>
    </w:p>
    <w:p w14:paraId="2512625E" w14:textId="544E0592" w:rsidR="009C7ADA" w:rsidRDefault="009C7ADA" w:rsidP="009C7ADA">
      <w:pPr>
        <w:pStyle w:val="Heading3"/>
      </w:pPr>
      <w:bookmarkStart w:id="56" w:name="_Toc216408900"/>
      <w:r>
        <w:t>4.3.1 RQ-1 What diversity and inclusion strategies are currently implemented across different NHS Trusts?</w:t>
      </w:r>
      <w:bookmarkEnd w:id="56"/>
    </w:p>
    <w:p w14:paraId="4CBE5C5B" w14:textId="2A10A089" w:rsidR="009C7ADA" w:rsidRDefault="009C7ADA" w:rsidP="009C7ADA">
      <w:r>
        <w:t xml:space="preserve">The results indicate that staff are moderately aware of formal D&amp;I policies, which supports the claim of Buh et al. (2024) and </w:t>
      </w:r>
      <w:proofErr w:type="spellStart"/>
      <w:r>
        <w:t>Alriuili</w:t>
      </w:r>
      <w:proofErr w:type="spellEnd"/>
      <w:r>
        <w:t xml:space="preserve"> et al. (2024) that inclusiveness has transformed into an HR peripheral programme to a core operational need. This transparency is perhaps due to the strong legislative foundation of NHS Wales</w:t>
      </w:r>
      <w:r w:rsidR="00583DDD">
        <w:t>,</w:t>
      </w:r>
      <w:r>
        <w:t xml:space="preserve"> namely Well-being of Future Generations (Wales) Act 2015</w:t>
      </w:r>
      <w:r w:rsidR="00583DDD">
        <w:t>,</w:t>
      </w:r>
      <w:r>
        <w:t xml:space="preserve"> </w:t>
      </w:r>
      <w:r w:rsidR="00583DDD">
        <w:t>which</w:t>
      </w:r>
      <w:r>
        <w:t xml:space="preserve"> requires tackling the long-term sustainability of the workforce as opposed to a short-term correction. There is</w:t>
      </w:r>
      <w:r w:rsidR="00583DDD">
        <w:t>,</w:t>
      </w:r>
      <w:r>
        <w:t xml:space="preserve"> however, a critical disconnection </w:t>
      </w:r>
      <w:r w:rsidR="00B42DD2">
        <w:t>between</w:t>
      </w:r>
      <w:r>
        <w:t xml:space="preserve"> such policy cognizance </w:t>
      </w:r>
      <w:r w:rsidR="00B42DD2">
        <w:t>and</w:t>
      </w:r>
      <w:r>
        <w:t xml:space="preserve"> the significant differences in how staff members </w:t>
      </w:r>
      <w:r w:rsidR="00583DDD">
        <w:t>perceive leadership</w:t>
      </w:r>
      <w:r>
        <w:t xml:space="preserve"> visibility and the network</w:t>
      </w:r>
      <w:r w:rsidR="00583DDD">
        <w:t>’s</w:t>
      </w:r>
      <w:r>
        <w:t xml:space="preserve"> </w:t>
      </w:r>
      <w:r w:rsidR="00583DDD">
        <w:t>effectivenes</w:t>
      </w:r>
      <w:r>
        <w:t>s</w:t>
      </w:r>
      <w:r w:rsidR="00B42DD2">
        <w:t xml:space="preserve"> </w:t>
      </w:r>
      <w:r w:rsidR="00B42DD2">
        <w:rPr>
          <w:color w:val="000000"/>
        </w:rPr>
        <w:t>(Allen et al., 2023)</w:t>
      </w:r>
      <w:r>
        <w:t>.</w:t>
      </w:r>
    </w:p>
    <w:p w14:paraId="53C90251" w14:textId="77777777" w:rsidR="003B66D8" w:rsidRDefault="003B66D8" w:rsidP="009C7ADA"/>
    <w:p w14:paraId="3DE9E095" w14:textId="173FB633" w:rsidR="009C7ADA" w:rsidRDefault="009C7ADA" w:rsidP="009C7ADA">
      <w:r>
        <w:t xml:space="preserve">Although the Anti-racist Wales Action Plan clearly requires active systemic interference </w:t>
      </w:r>
      <w:r w:rsidR="00583DDD">
        <w:t>rather than</w:t>
      </w:r>
      <w:r>
        <w:t xml:space="preserve"> passive compliance, the results provide evidence that the translation of such aspirations is not consistently</w:t>
      </w:r>
      <w:r w:rsidR="00583DDD">
        <w:t xml:space="preserve"> maintained</w:t>
      </w:r>
      <w:r>
        <w:t xml:space="preserve">. This goes hand in hand with the cautions raised by </w:t>
      </w:r>
      <w:proofErr w:type="spellStart"/>
      <w:r>
        <w:t>Bamrah</w:t>
      </w:r>
      <w:proofErr w:type="spellEnd"/>
      <w:r>
        <w:t xml:space="preserve"> et al. (2025) and Dhanani et al. (2024) who claim, even where organisations ought to statutorily have Strategic Equality Plans, there is even a tendency of moving into a tick-box culture where procedural compliance can be used to cover </w:t>
      </w:r>
      <w:r w:rsidR="00B42DD2">
        <w:t xml:space="preserve">a </w:t>
      </w:r>
      <w:r>
        <w:t>lack of substantive cultural change. The information shows that though staff acknowledge the presence of legal frameworks, they do not equally enjoy the so-called fair work environment that the Social Partnership and Public Procurement (Wales) Act of 2023 is purported to address.</w:t>
      </w:r>
    </w:p>
    <w:p w14:paraId="5658D9A0" w14:textId="77777777" w:rsidR="003B66D8" w:rsidRDefault="003B66D8" w:rsidP="009C7ADA"/>
    <w:p w14:paraId="4BC4F3B3" w14:textId="4504D530" w:rsidR="009C7ADA" w:rsidRPr="009C7ADA" w:rsidRDefault="009C7ADA" w:rsidP="009C7ADA">
      <w:r>
        <w:t>Thus, this provides a disparity between the high statutory targets, i.e.</w:t>
      </w:r>
      <w:r w:rsidR="00B42DD2">
        <w:t>,</w:t>
      </w:r>
      <w:r>
        <w:t xml:space="preserve"> the ethnic minority recruitment targets noted by Ogbonna (2023)</w:t>
      </w:r>
      <w:r w:rsidR="00B42DD2">
        <w:t>,</w:t>
      </w:r>
      <w:r>
        <w:t xml:space="preserve"> and the dissonant understanding of leadership commitment to indicate that NHS Wales has some trouble balancing the Duty of Quality </w:t>
      </w:r>
      <w:r w:rsidR="00B42DD2">
        <w:t>with</w:t>
      </w:r>
      <w:r>
        <w:t xml:space="preserve"> reality on the ground. As Mousa et al.</w:t>
      </w:r>
      <w:r w:rsidR="00B42DD2">
        <w:t xml:space="preserve"> (2021)</w:t>
      </w:r>
      <w:r>
        <w:t xml:space="preserve"> note </w:t>
      </w:r>
      <w:r w:rsidR="00B42DD2">
        <w:t>regarding</w:t>
      </w:r>
      <w:r>
        <w:t xml:space="preserve"> promotion inequalities, the existence of laws is not always associated with equal performance, which </w:t>
      </w:r>
      <w:r w:rsidR="00B42DD2">
        <w:t>show</w:t>
      </w:r>
      <w:r>
        <w:t xml:space="preserve">s that even the establishment of legislative stipulations cannot </w:t>
      </w:r>
      <w:r w:rsidR="00B42DD2">
        <w:t>replace</w:t>
      </w:r>
      <w:r>
        <w:t xml:space="preserve"> regular executive headship in efforts to reconcile the gap between policy intent and on-the-job experience.</w:t>
      </w:r>
    </w:p>
    <w:p w14:paraId="4D547395" w14:textId="12A6F1A8" w:rsidR="009C7ADA" w:rsidRDefault="009C7ADA" w:rsidP="009C7ADA">
      <w:pPr>
        <w:pStyle w:val="Heading3"/>
      </w:pPr>
      <w:bookmarkStart w:id="57" w:name="_Toc216408901"/>
      <w:r>
        <w:lastRenderedPageBreak/>
        <w:t>4.3.2 RQ-2 How do BAME and frontline NHS staff perceive the effectiveness of existing D&amp;I initiatives?</w:t>
      </w:r>
      <w:bookmarkEnd w:id="57"/>
    </w:p>
    <w:p w14:paraId="702F7F15" w14:textId="16B7A0DC" w:rsidR="009C7ADA" w:rsidRDefault="009C7ADA" w:rsidP="009C7ADA">
      <w:r>
        <w:t>Its empirical evidence provides a</w:t>
      </w:r>
      <w:r w:rsidR="00B42DD2">
        <w:t>n extreme</w:t>
      </w:r>
      <w:r>
        <w:t xml:space="preserve"> case of a counter-narrative to the existing scepticism attributed to D&amp;I effectiveness in the literature. </w:t>
      </w:r>
      <w:proofErr w:type="spellStart"/>
      <w:r>
        <w:t>Alriuili</w:t>
      </w:r>
      <w:proofErr w:type="spellEnd"/>
      <w:r>
        <w:t xml:space="preserve"> et al. (2024) and Chantarat et al. (2022) point at the existence of a serious gap between organisational intent and lived experience, which they describe as either </w:t>
      </w:r>
      <w:proofErr w:type="spellStart"/>
      <w:r>
        <w:t>tokenist</w:t>
      </w:r>
      <w:proofErr w:type="spellEnd"/>
      <w:r>
        <w:t xml:space="preserve"> or structurally constrained but the main data provides a more positive picture. A majority of the respondents confirmed that their diversity was perceived as an asset and they felt respected, which is contrary to the existing belief that NHS D&amp;I policies are predominantly a bureaucratic tick-box exercise (Craven, 2021).</w:t>
      </w:r>
    </w:p>
    <w:p w14:paraId="392105CF" w14:textId="77777777" w:rsidR="003B66D8" w:rsidRDefault="003B66D8" w:rsidP="009C7ADA"/>
    <w:p w14:paraId="692B3CFE" w14:textId="5633B352" w:rsidR="009C7ADA" w:rsidRDefault="009C7ADA" w:rsidP="009C7ADA">
      <w:r>
        <w:t>This conformity to the good reputation helps achieve the understanding of Fitriana (2023), who argues that true leadership dedication creates a sense of belonging. The results indicate that in areas where managers are seen to embody inclusive behaviours</w:t>
      </w:r>
      <w:r w:rsidR="00B42DD2">
        <w:t>,</w:t>
      </w:r>
      <w:r>
        <w:t xml:space="preserve"> the alienation that is captured by </w:t>
      </w:r>
      <w:proofErr w:type="spellStart"/>
      <w:r>
        <w:t>Perrigino</w:t>
      </w:r>
      <w:proofErr w:type="spellEnd"/>
      <w:r>
        <w:t xml:space="preserve"> and Jenkins (2023) in relation to top-down mandates is played down to a great extent. In contrast to the activities of planning-heavy kind, which have been criticised in the literature, the initiatives in this framework have gained an element of authenticity, which </w:t>
      </w:r>
      <w:r w:rsidR="00B42DD2">
        <w:t>is</w:t>
      </w:r>
      <w:r>
        <w:t xml:space="preserve"> appealing to the staff.</w:t>
      </w:r>
    </w:p>
    <w:p w14:paraId="738B233E" w14:textId="77777777" w:rsidR="003B66D8" w:rsidRDefault="003B66D8" w:rsidP="009C7ADA"/>
    <w:p w14:paraId="10D85E6A" w14:textId="3FE82EA4" w:rsidR="009C7ADA" w:rsidRDefault="009C7ADA" w:rsidP="009C7ADA">
      <w:r>
        <w:t xml:space="preserve">Besides, the regression analysis confirms the theoretical relationship between inclusivity and workforce stability. A structural inequality can prompt disengagement and attrition, as </w:t>
      </w:r>
      <w:proofErr w:type="spellStart"/>
      <w:r>
        <w:t>Ikhsan</w:t>
      </w:r>
      <w:proofErr w:type="spellEnd"/>
      <w:r>
        <w:t xml:space="preserve"> et al. (2025) caution</w:t>
      </w:r>
      <w:r w:rsidR="00B42DD2">
        <w:t>. I</w:t>
      </w:r>
      <w:r>
        <w:t xml:space="preserve">n this research, it has been confirmed that effective D&amp;I initiatives are meaningful and positive </w:t>
      </w:r>
      <w:r w:rsidR="00B42DD2">
        <w:t>predictor</w:t>
      </w:r>
      <w:r>
        <w:t>s of staff retention (H1). The high correlation means that in contrast to the so-called symbolic gestures, which NCRHC (2024) strongly disapproved of, the tactics in this case are turning into visible organisational devotion. Thus</w:t>
      </w:r>
      <w:r w:rsidR="00B42DD2">
        <w:t>,</w:t>
      </w:r>
      <w:r>
        <w:t xml:space="preserve"> whereas the sources caution about the harm of performative D&amp;I on well-being (Ahmed, 2012), the findings illustrate that when strategies are seen as meaningful, they have a positive effect in narrowing the disjunction between policy and practi</w:t>
      </w:r>
      <w:r w:rsidR="00B42DD2">
        <w:t>c</w:t>
      </w:r>
      <w:r>
        <w:t>e that directly impacts the choice to stay in the Trust.</w:t>
      </w:r>
    </w:p>
    <w:p w14:paraId="4D05C8C1" w14:textId="77777777" w:rsidR="003B66D8" w:rsidRPr="009C7ADA" w:rsidRDefault="003B66D8" w:rsidP="009C7ADA"/>
    <w:p w14:paraId="3BE30740" w14:textId="18A791B9" w:rsidR="009C7ADA" w:rsidRDefault="009C7ADA" w:rsidP="009C7ADA">
      <w:pPr>
        <w:pStyle w:val="Heading3"/>
      </w:pPr>
      <w:bookmarkStart w:id="58" w:name="_Toc216408902"/>
      <w:r>
        <w:t>4.3.3 RQ-3 What is the connection between staff perceptions of inclusion and their intent to remain within the NHS?</w:t>
      </w:r>
      <w:bookmarkEnd w:id="58"/>
    </w:p>
    <w:p w14:paraId="2217D475" w14:textId="6D0E3AD3" w:rsidR="009C7ADA" w:rsidRDefault="009C7ADA" w:rsidP="009C7ADA">
      <w:r>
        <w:t xml:space="preserve">The strong correlation found in the results directly supports the hypothesis (H2) that perceived inclusivity is a key predictor of staff retention. This corresponds well with the conclusions made by </w:t>
      </w:r>
      <w:proofErr w:type="spellStart"/>
      <w:r>
        <w:t>Ngozi</w:t>
      </w:r>
      <w:proofErr w:type="spellEnd"/>
      <w:r>
        <w:t xml:space="preserve"> and </w:t>
      </w:r>
      <w:proofErr w:type="spellStart"/>
      <w:r>
        <w:t>Edwinah</w:t>
      </w:r>
      <w:proofErr w:type="spellEnd"/>
      <w:r>
        <w:t xml:space="preserve"> (2022) and </w:t>
      </w:r>
      <w:proofErr w:type="spellStart"/>
      <w:r>
        <w:t>Alkan</w:t>
      </w:r>
      <w:proofErr w:type="spellEnd"/>
      <w:r>
        <w:t xml:space="preserve"> et al. (2024), who state that retention depends </w:t>
      </w:r>
      <w:r>
        <w:lastRenderedPageBreak/>
        <w:t xml:space="preserve">not on income as much as they on psychological belonging to workplace. The analysis indicates that their desire to remain in an organisation is very </w:t>
      </w:r>
      <w:r w:rsidR="00583DDD">
        <w:t>strong when</w:t>
      </w:r>
      <w:r>
        <w:t xml:space="preserve"> employees feel truly involved, which managers </w:t>
      </w:r>
      <w:r w:rsidR="00583DDD">
        <w:t>demonstrate through</w:t>
      </w:r>
      <w:r>
        <w:t xml:space="preserve"> their day-to-day activities. This is empirically in line with the theoretical assumption that socialisation to inclusivity leads to commitment in directly followed ways as postulated by Jamil and </w:t>
      </w:r>
      <w:proofErr w:type="spellStart"/>
      <w:r>
        <w:t>Hyder</w:t>
      </w:r>
      <w:proofErr w:type="spellEnd"/>
      <w:r>
        <w:t xml:space="preserve"> (2024).</w:t>
      </w:r>
    </w:p>
    <w:p w14:paraId="22DC5AAB" w14:textId="77777777" w:rsidR="003B66D8" w:rsidRDefault="003B66D8" w:rsidP="009C7ADA"/>
    <w:p w14:paraId="073E605A" w14:textId="45FE086D" w:rsidR="009C7ADA" w:rsidRDefault="009C7ADA" w:rsidP="009C7ADA">
      <w:r>
        <w:t xml:space="preserve">Nevertheless, the results provide a less negative account of reality </w:t>
      </w:r>
      <w:r w:rsidR="00583DDD">
        <w:t>than</w:t>
      </w:r>
      <w:r>
        <w:t xml:space="preserve"> some of the warning sources. Although Kirton and Greene (2021) cautiously note that NHS inclusion principles are not regularly adhered to, resulting in disengagement, the study participants said that there were no inconsistencies in both their inclusion managerial behaviours and willingness to recommend the Trust. This is unlike the fears propounded by Sweeting (2023) on the possibility of resistance or adverse backlash as part of inclusion initiatives. Rather than the symbolic or procedural, which it was feared had been ineffective, the findings indicate that the existing strategies are striking a chord with staff as sincere.</w:t>
      </w:r>
    </w:p>
    <w:p w14:paraId="71CB36AD" w14:textId="77777777" w:rsidR="003B66D8" w:rsidRDefault="003B66D8" w:rsidP="009C7ADA"/>
    <w:p w14:paraId="4DC94F66" w14:textId="6B27D76E" w:rsidR="009C7ADA" w:rsidRDefault="009C7ADA" w:rsidP="009C7ADA">
      <w:r>
        <w:t>Moreover, the positive outcome with regard to inclusion and retention implies that the Trust is effectively working within the framework of the Duty of Quality as stipulated by the messages of the Health and Social Care (Quality and Engagement) (Wales) Act 2020. This perceived inclusivity in retaining diverse workforce means that the organisation seems to be cushioning the public health threat of minority worker churn. Thus, the perceived inclusivity is becoming the key factor stabilising the situation, directly reinforced by the workforce stability needed by the Welsh public health sector, despite the risks of professional isolation identified by NCRHC (2024).</w:t>
      </w:r>
    </w:p>
    <w:p w14:paraId="66651F25" w14:textId="77777777" w:rsidR="003B66D8" w:rsidRPr="009C7ADA" w:rsidRDefault="003B66D8" w:rsidP="009C7ADA"/>
    <w:p w14:paraId="74D084E6" w14:textId="249139F9" w:rsidR="009C7ADA" w:rsidRDefault="009C7ADA" w:rsidP="009C7ADA">
      <w:pPr>
        <w:pStyle w:val="Heading3"/>
      </w:pPr>
      <w:bookmarkStart w:id="59" w:name="_Toc216408903"/>
      <w:r>
        <w:t>4.3.4 RQ-4 What improvements can be made to D&amp;I strategies to better support staff retention, especially for minority and frontline staff?</w:t>
      </w:r>
      <w:bookmarkEnd w:id="59"/>
    </w:p>
    <w:p w14:paraId="4AFE8AAA" w14:textId="77777777" w:rsidR="009C7ADA" w:rsidRDefault="009C7ADA" w:rsidP="009C7ADA">
      <w:r>
        <w:t xml:space="preserve">The results support a clear preference in favour of structural and practical interventions to abstract policy commitments, confirming the criticism in the literature of symbolic gestures. Whereas the HRM processes are suggested to be the foundations of the D&amp;I, the vast support of workload and roster adjustments implies that the employees are interested in concrete operational changes rather than in general administrative policies. This would be in accord with </w:t>
      </w:r>
      <w:proofErr w:type="spellStart"/>
      <w:r>
        <w:t>Dobusch</w:t>
      </w:r>
      <w:proofErr w:type="spellEnd"/>
      <w:r>
        <w:t xml:space="preserve"> (2020) suggestion that actual inclusiveness is experiential, and merely the majority of the employee base being diverse in a statistical sense will not work in the presence of a basic </w:t>
      </w:r>
      <w:r>
        <w:lastRenderedPageBreak/>
        <w:t>fact whereby roster flexibilities are actually absent and the staff will feel trapped in their workplaces.</w:t>
      </w:r>
    </w:p>
    <w:p w14:paraId="5AF5795A" w14:textId="77777777" w:rsidR="003B66D8" w:rsidRDefault="003B66D8" w:rsidP="009C7ADA"/>
    <w:p w14:paraId="221A8B8E" w14:textId="77777777" w:rsidR="009C7ADA" w:rsidRDefault="009C7ADA" w:rsidP="009C7ADA">
      <w:r>
        <w:t>Moreover, the advocacy of the transparent career maps supports the idea that the HR-led direction, suggested by Lima et al. (2025), is the message that adequate progression ladders are the key to retention. Nevertheless, the strong demand of the support mechanisms as confidential indicates the emotional aspect that Vries et al. (2023) describe. This implies that younger generations must have psychological safety and support systems to be retained, rather than procedural fairness.</w:t>
      </w:r>
    </w:p>
    <w:p w14:paraId="6CBEF874" w14:textId="77777777" w:rsidR="003B66D8" w:rsidRDefault="003B66D8" w:rsidP="009C7ADA"/>
    <w:p w14:paraId="4312382B" w14:textId="0A9BAA74" w:rsidR="009C7ADA" w:rsidRDefault="009C7ADA" w:rsidP="009C7ADA">
      <w:r>
        <w:t xml:space="preserve">Interestingly, contrary to Lima and Rahman (2025), who support the principle of context-specific approaches to rural trusts, the evidence shows that universally accommodating arrangements, in particular, the commitment to the religious holidays, accommodation based on disability, are considered the most significant ones. This puts the fear of reducing D&amp;I to measurements and metrics, as expressed by </w:t>
      </w:r>
      <w:proofErr w:type="spellStart"/>
      <w:r>
        <w:t>Morfaki</w:t>
      </w:r>
      <w:proofErr w:type="spellEnd"/>
      <w:r>
        <w:t xml:space="preserve"> and </w:t>
      </w:r>
      <w:proofErr w:type="spellStart"/>
      <w:r>
        <w:t>Morfaki</w:t>
      </w:r>
      <w:proofErr w:type="spellEnd"/>
      <w:r>
        <w:t xml:space="preserve"> (2022), into perspective; instead, employees would like tangible changes in their work environment. As a result, the retention strategies that are efficient should go beyond the dichotomy of HR-based versus leadership-based approaches, and address the concept of the interventions of lived experience, which practically fit the various personal needs within the routine activities.</w:t>
      </w:r>
    </w:p>
    <w:p w14:paraId="5CB8AABC" w14:textId="77777777" w:rsidR="003B66D8" w:rsidRDefault="003B66D8" w:rsidP="009C7ADA"/>
    <w:p w14:paraId="20766A36" w14:textId="77777777" w:rsidR="009C7ADA" w:rsidRDefault="009C7ADA" w:rsidP="009C7ADA">
      <w:pPr>
        <w:pStyle w:val="Heading2"/>
      </w:pPr>
      <w:bookmarkStart w:id="60" w:name="_Toc216408904"/>
      <w:r>
        <w:t>4.4 Chapter Summary</w:t>
      </w:r>
      <w:bookmarkEnd w:id="60"/>
    </w:p>
    <w:p w14:paraId="0C03DB01" w14:textId="6CBC1DBB" w:rsidR="009C7ADA" w:rsidRDefault="009C7ADA" w:rsidP="009C7ADA">
      <w:r w:rsidRPr="009C7ADA">
        <w:t>In summary, this chapter confirmed a significant positive relationship between D&amp;I strategies and staff retention and identified perceived inclusivity as a critical mediator. The analysis revealed that while policy awareness is high, staff prioritize tangible structural accommodations over symbolic gestures. These findings validate the conceptual framework, highlighting that effective retention in NHS Wales requires substantive cultural change rather than procedural compliance to meet statutory duties.</w:t>
      </w:r>
      <w:r>
        <w:br w:type="page"/>
      </w:r>
    </w:p>
    <w:p w14:paraId="023FC33E" w14:textId="2A47D16F" w:rsidR="009C7ADA" w:rsidRDefault="009C7ADA" w:rsidP="009C7ADA">
      <w:pPr>
        <w:pStyle w:val="Heading1"/>
      </w:pPr>
      <w:bookmarkStart w:id="61" w:name="_Toc216408905"/>
      <w:r>
        <w:lastRenderedPageBreak/>
        <w:t>Chapter Five: Conclusion and Recommendation</w:t>
      </w:r>
      <w:bookmarkEnd w:id="61"/>
    </w:p>
    <w:p w14:paraId="1AF3D6EC" w14:textId="3BD83B06" w:rsidR="009C7ADA" w:rsidRDefault="009C7ADA" w:rsidP="009C7ADA">
      <w:pPr>
        <w:pStyle w:val="Heading2"/>
      </w:pPr>
      <w:bookmarkStart w:id="62" w:name="_Toc216408906"/>
      <w:r>
        <w:t>5.1 Conclusion</w:t>
      </w:r>
      <w:bookmarkEnd w:id="62"/>
    </w:p>
    <w:p w14:paraId="60FF4E3C" w14:textId="261113AE" w:rsidR="009C7ADA" w:rsidRDefault="009C7ADA" w:rsidP="009C7ADA">
      <w:r>
        <w:t>This research has critically examined a linkage between Diversity and Inclusion (D&amp;I) practises and retention of staff in NHS Wales (GIG Cymru), in particular the experience of Black, Asian, and Minority Ethnic (BAME) and frontline staff. It was conducted against a back</w:t>
      </w:r>
      <w:r w:rsidR="008A5D3F">
        <w:t>drop</w:t>
      </w:r>
      <w:r>
        <w:t xml:space="preserve"> of long-</w:t>
      </w:r>
      <w:r w:rsidR="008A5D3F">
        <w:t>stand</w:t>
      </w:r>
      <w:r>
        <w:t xml:space="preserve">ing workforce shortages and escalating service needs to establish whether inclusivity </w:t>
      </w:r>
      <w:r w:rsidRPr="00877185">
        <w:t xml:space="preserve">is </w:t>
      </w:r>
      <w:r w:rsidR="008A5D3F" w:rsidRPr="00877185">
        <w:t>merely</w:t>
      </w:r>
      <w:r w:rsidRPr="00877185">
        <w:t xml:space="preserve"> an HR normative programme or a determinant </w:t>
      </w:r>
      <w:r w:rsidR="008A5D3F" w:rsidRPr="00877185">
        <w:t>of</w:t>
      </w:r>
      <w:r w:rsidRPr="00877185">
        <w:t xml:space="preserve"> workforce sustainability. </w:t>
      </w:r>
      <w:r w:rsidR="00B51D57" w:rsidRPr="00877185">
        <w:t>The results demonstrate that D&amp;I strategies are no longer peripheral administrative exercises but are central to the operational stability and the statutory Duty of Quality governing the Welsh publicly funded healthcare sector.</w:t>
      </w:r>
    </w:p>
    <w:p w14:paraId="0A0BE4FE" w14:textId="77777777" w:rsidR="003B66D8" w:rsidRPr="00877185" w:rsidRDefault="003B66D8" w:rsidP="009C7ADA"/>
    <w:p w14:paraId="3D6943AA" w14:textId="2F164092" w:rsidR="009C7ADA" w:rsidRDefault="009C7ADA" w:rsidP="009C7ADA">
      <w:r w:rsidRPr="00877185">
        <w:t>When it comes to accomplishing the first goal about categorising the existing strategies, the paper aim</w:t>
      </w:r>
      <w:r w:rsidR="00837792" w:rsidRPr="00877185">
        <w:t>ed</w:t>
      </w:r>
      <w:r w:rsidRPr="00877185">
        <w:t xml:space="preserve"> at considering the potential outcome that NHS Wales has already developed the high degree of policy awareness. The Well-being of Future Generations (Wales) Act 2015 has placed the organisational goal of short-term recruitment targets </w:t>
      </w:r>
      <w:r w:rsidR="00837792">
        <w:t>on</w:t>
      </w:r>
      <w:r>
        <w:t xml:space="preserve"> </w:t>
      </w:r>
      <w:r w:rsidR="00837792">
        <w:t>a</w:t>
      </w:r>
      <w:r>
        <w:t xml:space="preserve"> long-term </w:t>
      </w:r>
      <w:r w:rsidR="00837792">
        <w:t>basis</w:t>
      </w:r>
      <w:r>
        <w:t>. Nevertheless, the research paper reveals a crucial clash between a high level of procedural compliance, i.e. high awareness of formal policies, and substantive culture. Although employees admit that there are strategies consistent with the Anti-racist Wales Action Plan, there are inconsistent impressions of effective leadership and effective networks. This implies that although there is a legal framework of an anti-racist public sector, the way of how these statutory obligations are applied to a regular routine is still under development (</w:t>
      </w:r>
      <w:proofErr w:type="spellStart"/>
      <w:r>
        <w:t>Bamrah</w:t>
      </w:r>
      <w:proofErr w:type="spellEnd"/>
      <w:r>
        <w:t xml:space="preserve"> et al., 2025).</w:t>
      </w:r>
    </w:p>
    <w:p w14:paraId="64BB4EFF" w14:textId="77777777" w:rsidR="003B66D8" w:rsidRDefault="003B66D8" w:rsidP="009C7ADA"/>
    <w:p w14:paraId="0A55B1DE" w14:textId="09369D61" w:rsidR="009C7ADA" w:rsidRDefault="009C7ADA" w:rsidP="009C7ADA">
      <w:r>
        <w:t xml:space="preserve">In terms of the minority and frontline staff perceptions, the results oppose the ubiquitous theme of tokenism in some of the current literatures (Chantarat et al., 2022). Unanticipated, the information exposed that employees tend to perceive that their distinct backgrounds are considered assets and that they are respected. This perception </w:t>
      </w:r>
      <w:r w:rsidR="000A47A1">
        <w:t xml:space="preserve">of inclusiveness </w:t>
      </w:r>
      <w:r>
        <w:t xml:space="preserve">was </w:t>
      </w:r>
      <w:r w:rsidR="000A47A1">
        <w:t>foun</w:t>
      </w:r>
      <w:r>
        <w:t xml:space="preserve">d to strongly predict staff retention, </w:t>
      </w:r>
      <w:r w:rsidR="000A47A1">
        <w:t>thereby supporting</w:t>
      </w:r>
      <w:r>
        <w:t xml:space="preserve"> the study</w:t>
      </w:r>
      <w:r w:rsidR="000A47A1">
        <w:t>'s hypotheses</w:t>
      </w:r>
      <w:r>
        <w:t xml:space="preserve">. The significance of the association between the perceived </w:t>
      </w:r>
      <w:r w:rsidRPr="00877185">
        <w:t xml:space="preserve">inclusiveness and the desire to remain is also in support of the theoretical claim of Jamil and </w:t>
      </w:r>
      <w:proofErr w:type="spellStart"/>
      <w:r w:rsidRPr="00877185">
        <w:t>Hyder</w:t>
      </w:r>
      <w:proofErr w:type="spellEnd"/>
      <w:r w:rsidRPr="00877185">
        <w:t xml:space="preserve"> (2024) that psychological belonging is a more powerful retention tool than financial compensation alone. </w:t>
      </w:r>
      <w:r w:rsidR="000A47A1" w:rsidRPr="00877185">
        <w:t xml:space="preserve">In turn, the paper concludes that building a truly inclusive culture is a practical requirement to mitigate turnover among minority </w:t>
      </w:r>
      <w:r w:rsidR="000A47A1" w:rsidRPr="00877185">
        <w:lastRenderedPageBreak/>
        <w:t>staff, which poses a significant challenge to the continuity of care in the Welsh healthcare system.</w:t>
      </w:r>
    </w:p>
    <w:p w14:paraId="27BFADCC" w14:textId="77777777" w:rsidR="003B66D8" w:rsidRPr="00877185" w:rsidRDefault="003B66D8" w:rsidP="009C7ADA"/>
    <w:p w14:paraId="149554B6" w14:textId="77777777" w:rsidR="009C7ADA" w:rsidRDefault="009C7ADA" w:rsidP="009C7ADA">
      <w:r>
        <w:t>More i</w:t>
      </w:r>
      <w:r w:rsidRPr="00877185">
        <w:t>mportantly, the study underlines that to ensure successful retention through D&amp;I, it should go beyond the point of symbolic gestures. The massive support of tangible and structural interventions, i.e. workload scaling-downs and career development maps, suggest that personnel values practical adjustments in the working environments more than cultural training on concrete. This is consistent with Lima et al. (2025) argument that sustainable practise depends on well-defined support schemes that are structural. The definition of fair work applied by the staff members to the context of the Social Partnership and Public Procurement (Wales) Act 2023 means not only the lack of discrimination, but the flexibility and explicit professional opportunities.</w:t>
      </w:r>
    </w:p>
    <w:p w14:paraId="350B92BB" w14:textId="77777777" w:rsidR="003B66D8" w:rsidRPr="00877185" w:rsidRDefault="003B66D8" w:rsidP="009C7ADA"/>
    <w:p w14:paraId="14A098F5" w14:textId="3D57F0B6" w:rsidR="009C7ADA" w:rsidRDefault="009C7ADA" w:rsidP="009C7ADA">
      <w:r w:rsidRPr="00877185">
        <w:t xml:space="preserve">Finally, this paper supposes that retaining a diverse workforce is a civic health concern. The indirect consequence of the exclusion or loss of BAME talent is a failure in providing culturally competent care to a diverse population due to the jeopardy of failing to achieve the statutory Duty of Quality. Thus, NHS Wales needs to shift the paradigm of compliance-based diversity into the structural inclusivity model. </w:t>
      </w:r>
      <w:r w:rsidR="00CF3736" w:rsidRPr="00877185">
        <w:t>Retention initiatives can be seen as public health interventions established via social collaboration rather than administrative HR tasks to help health boards maintain a stable staff for future generations.</w:t>
      </w:r>
    </w:p>
    <w:p w14:paraId="274DF601" w14:textId="77777777" w:rsidR="003B66D8" w:rsidRPr="00877185" w:rsidRDefault="003B66D8" w:rsidP="009C7ADA"/>
    <w:p w14:paraId="202C359E" w14:textId="0BD3A6A5" w:rsidR="009C7ADA" w:rsidRDefault="009C7ADA" w:rsidP="009C7ADA">
      <w:pPr>
        <w:pStyle w:val="Heading2"/>
      </w:pPr>
      <w:bookmarkStart w:id="63" w:name="_Toc216408907"/>
      <w:r>
        <w:t>5.2 Recommendation</w:t>
      </w:r>
      <w:bookmarkEnd w:id="63"/>
    </w:p>
    <w:p w14:paraId="12E82E3E" w14:textId="26C0FD6E" w:rsidR="009C7ADA" w:rsidRDefault="009C7ADA" w:rsidP="009C7ADA">
      <w:r w:rsidRPr="009C7ADA">
        <w:t>This paper suggests four specific recommendations that are based on the empirical evidence and the literature synthesis of the particular legislative environment discussed in the case of NHS Wales (GIG Cymru). These are suggestions aimed at transforming the current Diversity and Inclusion (D&amp;I) strategies paradigm shift form the procedural compliance to full cultural change, and ensuring that BAME and frontline staffs stay at Well-being of Future Generations (Wales) Act 2015.</w:t>
      </w:r>
    </w:p>
    <w:p w14:paraId="4C777E0D" w14:textId="77777777" w:rsidR="003B66D8" w:rsidRDefault="003B66D8" w:rsidP="009C7ADA"/>
    <w:p w14:paraId="3D1AD0B7" w14:textId="13CF8038" w:rsidR="009C7ADA" w:rsidRDefault="009C7ADA" w:rsidP="009C7ADA">
      <w:pPr>
        <w:pStyle w:val="Heading4"/>
      </w:pPr>
      <w:r>
        <w:t xml:space="preserve">Operationalise "Fair Work" through Inclusive Rostering and Default Flexibility </w:t>
      </w:r>
    </w:p>
    <w:p w14:paraId="5ED7E069" w14:textId="77777777" w:rsidR="00870017" w:rsidRDefault="009143E9" w:rsidP="00870017">
      <w:r w:rsidRPr="00877185">
        <w:t xml:space="preserve">The study’s primary findings identified "workload and roster accommodations" as the highest-rated retention intervention. Crucially, this survey item explicitly linked flexibility to "diverse needs," such as religious holidays and disability adjustments. </w:t>
      </w:r>
      <w:r w:rsidR="00870017" w:rsidRPr="00877185">
        <w:t xml:space="preserve">Rigid rostering hinders inclusion </w:t>
      </w:r>
      <w:r w:rsidR="00870017" w:rsidRPr="00877185">
        <w:lastRenderedPageBreak/>
        <w:t>for BAME professionals, who need particular scheduling for religious observances (Friday prayers, Eid) or transnational family duties. These personnel must negotiate "ad-hoc" modifications, making minority groups more responsible for justifying their demands.</w:t>
      </w:r>
    </w:p>
    <w:p w14:paraId="6878EEEC" w14:textId="77777777" w:rsidR="003B66D8" w:rsidRPr="00877185" w:rsidRDefault="003B66D8" w:rsidP="00870017"/>
    <w:p w14:paraId="14EA92FF" w14:textId="48CD2DF1" w:rsidR="009C7ADA" w:rsidRDefault="00870017" w:rsidP="00870017">
      <w:r w:rsidRPr="00877185">
        <w:t>Therefore, NHS Wales should adopt "Inclusive Rostering as Default" to implement the Social Partnership and Public Procurement (Wales) Act 2023's fair work principles. Instead than forcing workers to seek changes, this technique plans shift arrangements to automatically address cultural needs during design. Lima et al. (2025) describe HRM procedures as the heart of sustainable practice</w:t>
      </w:r>
      <w:r w:rsidR="00877185">
        <w:t>;</w:t>
      </w:r>
      <w:r w:rsidRPr="00877185">
        <w:t xml:space="preserve"> however</w:t>
      </w:r>
      <w:r w:rsidR="00877185">
        <w:t>,</w:t>
      </w:r>
      <w:r w:rsidRPr="00877185">
        <w:t xml:space="preserve"> this data suggests minority workforce retention via operational flexibility. Health Boards may lessen structural exclusion, which Augustin (2024) blames for BAME turnover, by integrating cultural adaptability into the roster's "lived reality"</w:t>
      </w:r>
      <w:r w:rsidRPr="00BB7DE2">
        <w:rPr>
          <w:color w:val="FF0000"/>
        </w:rPr>
        <w:t>.</w:t>
      </w:r>
    </w:p>
    <w:p w14:paraId="4850C8C4" w14:textId="78B0EEE0" w:rsidR="009C7ADA" w:rsidRDefault="009C7ADA" w:rsidP="009C7ADA">
      <w:pPr>
        <w:pStyle w:val="Heading4"/>
      </w:pPr>
      <w:r>
        <w:t xml:space="preserve">Implement Transparent Career Mapping and Active Sponsorship </w:t>
      </w:r>
    </w:p>
    <w:p w14:paraId="05E9A186" w14:textId="77777777" w:rsidR="003B66D8" w:rsidRPr="003B66D8" w:rsidRDefault="003B66D8" w:rsidP="003B66D8"/>
    <w:p w14:paraId="5E8D423B" w14:textId="4F5CC880" w:rsidR="009C7ADA" w:rsidRDefault="009C7ADA" w:rsidP="009C7ADA">
      <w:r>
        <w:t xml:space="preserve">The study found </w:t>
      </w:r>
      <w:r w:rsidRPr="00877185">
        <w:t>that there was high need in having a clear career progression map (M=3.84), which proves that the BAME staffs do not feel part of the informal networks where promotion thrives. Although the targets of the recruiting process outlined in the Anti-racist Wales Action Plan are quite ambitious (Long et al., 2025), retention will fall flat as long as recruits reach what can be also referred to as a concrete ceiling.</w:t>
      </w:r>
    </w:p>
    <w:p w14:paraId="1456A86D" w14:textId="77777777" w:rsidR="003B66D8" w:rsidRPr="00877185" w:rsidRDefault="003B66D8" w:rsidP="009C7ADA"/>
    <w:p w14:paraId="1537ADE7" w14:textId="633D82C5" w:rsidR="009C7ADA" w:rsidRDefault="00BB7DE2" w:rsidP="009C7ADA">
      <w:r w:rsidRPr="00877185">
        <w:t>Health Boards should use Executive Career Sponsorship in addition to passive mentoring. This is different from visa sponsorship since leaders advocate for BAME staff visibility to remove structural hurdles to advancement rather than circumventing fair selection procedures.</w:t>
      </w:r>
      <w:r w:rsidR="009C7ADA" w:rsidRPr="00877185">
        <w:t xml:space="preserve"> This must be assisted by ensuring that clear-cut Career Maps of all bands are published telling them precisely what competencies are needed to move the next level. Such openness eliminates </w:t>
      </w:r>
      <w:r w:rsidR="009C7ADA">
        <w:t xml:space="preserve">vagueness that usually contains implicit bias. This recommendation directly relates to the result of perceived fairness being an intermediate of retention (Jamil and </w:t>
      </w:r>
      <w:proofErr w:type="spellStart"/>
      <w:r w:rsidR="009C7ADA">
        <w:t>Hyder</w:t>
      </w:r>
      <w:proofErr w:type="spellEnd"/>
      <w:r w:rsidR="009C7ADA">
        <w:t>, 2024). Through rendering the implicit explicit, NHS Wales will be able to show BAME employees that their distinct backgrounds are assets, which can help reach to the top leadership position, therefore, achieving the objectives of the Anti-racist Action Plan changing the system instead of merely repairing individuals.</w:t>
      </w:r>
    </w:p>
    <w:p w14:paraId="1FDAEF2B" w14:textId="214F43AA" w:rsidR="009C7ADA" w:rsidRDefault="009C7ADA" w:rsidP="009C7ADA">
      <w:pPr>
        <w:pStyle w:val="Heading4"/>
      </w:pPr>
      <w:r>
        <w:lastRenderedPageBreak/>
        <w:t xml:space="preserve">Institutionalise Psychological Safety as a 'Duty of Quality' </w:t>
      </w:r>
    </w:p>
    <w:p w14:paraId="073A14FA" w14:textId="77777777" w:rsidR="009C7ADA" w:rsidRDefault="009C7ADA" w:rsidP="009C7ADA">
      <w:r>
        <w:t>According to the study, psychological safety is a precondition to retention among younger generations (Generation Y and Z) and BAME employees (Vries et al., 2023). The results showed that there was high need of a confidential support system to inclusion problems.</w:t>
      </w:r>
    </w:p>
    <w:p w14:paraId="1098F9D5" w14:textId="77777777" w:rsidR="003B66D8" w:rsidRDefault="003B66D8" w:rsidP="009C7ADA"/>
    <w:p w14:paraId="06CC2769" w14:textId="0F701A10" w:rsidR="009C7ADA" w:rsidRDefault="009C7ADA" w:rsidP="009C7ADA">
      <w:r>
        <w:t xml:space="preserve">As a result, it is suggested that the D&amp;I support should be redefinition as a patient safety and quality concern by the Health and Social care (Quality and Engagement) Act 2020 (Wales). The Health Boards must come up with separate Freedom to Speak up Guardians that are to be part of the group but not regular HR grievances. These positions should have the mandate to address microaggressions and exclusion without fear of retaliation </w:t>
      </w:r>
      <w:r>
        <w:rPr>
          <w:color w:val="000000"/>
        </w:rPr>
        <w:t>(Jones et al., 2022)</w:t>
      </w:r>
      <w:r>
        <w:t>. This brings D&amp;I out of the soft HR programme into the hard governance message. In the event where a Health Board has lost minority staffs as a result of hostile climate, it must be listed as either a failure of its Duty of Quality, much as a clinical error would be. This organisational practise guarantees that the welfare of the</w:t>
      </w:r>
      <w:r w:rsidR="00BB7DE2">
        <w:t xml:space="preserve"> employees</w:t>
      </w:r>
      <w:r>
        <w:t xml:space="preserve"> receive the same degree of organisational rigour as the welfare of the patients as these two are inseparable issues in </w:t>
      </w:r>
      <w:r w:rsidR="00BB7DE2">
        <w:t>NHS Wales</w:t>
      </w:r>
      <w:r>
        <w:t>.</w:t>
      </w:r>
    </w:p>
    <w:p w14:paraId="5A65779B" w14:textId="77777777" w:rsidR="003B66D8" w:rsidRDefault="003B66D8" w:rsidP="009C7ADA"/>
    <w:p w14:paraId="5B7D45C0" w14:textId="756468CA" w:rsidR="009C7ADA" w:rsidRDefault="009C7ADA" w:rsidP="009C7ADA">
      <w:pPr>
        <w:pStyle w:val="Heading4"/>
      </w:pPr>
      <w:r>
        <w:t xml:space="preserve">Decentralise D&amp;I Strategy to Address Rural Professional Isolation </w:t>
      </w:r>
    </w:p>
    <w:p w14:paraId="5BDCD8F9" w14:textId="7471C7C4" w:rsidR="009C7ADA" w:rsidRDefault="009C7ADA" w:rsidP="009C7ADA">
      <w:r>
        <w:t xml:space="preserve">The study mentioned the situation of unusual retention of Health Boards in the rural area, such as </w:t>
      </w:r>
      <w:proofErr w:type="spellStart"/>
      <w:r>
        <w:t>Hywel</w:t>
      </w:r>
      <w:proofErr w:type="spellEnd"/>
      <w:r>
        <w:t xml:space="preserve"> </w:t>
      </w:r>
      <w:proofErr w:type="spellStart"/>
      <w:r>
        <w:t>Dda</w:t>
      </w:r>
      <w:proofErr w:type="spellEnd"/>
      <w:r>
        <w:t xml:space="preserve"> and Powys, where a lack of professional isolation leads to the marginalisation of minority employees (NCRHC, 2024). These situations require a single approach in a national strategy.</w:t>
      </w:r>
    </w:p>
    <w:p w14:paraId="00A7D414" w14:textId="77777777" w:rsidR="003B66D8" w:rsidRDefault="003B66D8" w:rsidP="009C7ADA"/>
    <w:p w14:paraId="427CC06B" w14:textId="77777777" w:rsidR="009C7ADA" w:rsidRDefault="009C7ADA" w:rsidP="009C7ADA">
      <w:r>
        <w:t>It is advised that Welsh Government should establish a kind of funding source towards Place-Based D&amp;I Innovation. That would enable rural Boards to jointly plan their retention solutions, which would cater to their unique geographic issues, such as forming virtual peer-support groups of BAME employees who might be the sole minority representatives in their real place of residence. This goes with the recommendation by Lima and Rahman (2025) to have context-specific interventions. Through the inclusion of a local degree of agency into the national infrastructure of the Future Generations Act the rural Boards will be able to create A Resilient Wales by developing community-based retention anchors by which the multifaceted workforce needed by the public health will be retained across the entirety of Wales and not just in the urban centres.</w:t>
      </w:r>
    </w:p>
    <w:p w14:paraId="4449EFEE" w14:textId="46EE9B4B" w:rsidR="009C7ADA" w:rsidRDefault="009C7ADA" w:rsidP="009C7ADA">
      <w:r>
        <w:lastRenderedPageBreak/>
        <w:t>To sum up, genocide recommendations suggest the change of intent to structure. Following this approach by introducing flexibility into rosters, making career pathways visible, recognising exclusion as a quality failure and providing rural context-specific strategies will allow NHS Wales to turn its statutory obligations into a lived experience that has retained the most valuable asset of the organisation people.</w:t>
      </w:r>
    </w:p>
    <w:p w14:paraId="5DF3E446" w14:textId="77777777" w:rsidR="003B66D8" w:rsidRDefault="003B66D8" w:rsidP="009C7ADA"/>
    <w:p w14:paraId="594F882E" w14:textId="4680EF30" w:rsidR="009C7ADA" w:rsidRDefault="009C7ADA" w:rsidP="009C7ADA">
      <w:pPr>
        <w:pStyle w:val="Heading2"/>
      </w:pPr>
      <w:bookmarkStart w:id="64" w:name="_Toc216408908"/>
      <w:r>
        <w:t>5.3 Contributions to theory</w:t>
      </w:r>
      <w:bookmarkEnd w:id="64"/>
    </w:p>
    <w:p w14:paraId="70396921" w14:textId="77777777" w:rsidR="009C7ADA" w:rsidRDefault="009C7ADA" w:rsidP="009C7ADA">
      <w:r>
        <w:t>The present study is linked to a specific theoretical contribution as it re-located Diversity and Inclusion (D&amp;I) within the particular legislative and public health frame of NHS Wales. Whilst the extant literature deems enacting the Social Identity Theory into the context of organisational behaviour broadly in the UK settings, this study focuses on the unique statutory requirements of the Well-being of Future Generations (Wales) Act 2015.</w:t>
      </w:r>
    </w:p>
    <w:p w14:paraId="5C10E7EC" w14:textId="77777777" w:rsidR="003B66D8" w:rsidRDefault="003B66D8" w:rsidP="009C7ADA"/>
    <w:p w14:paraId="2703EA2D" w14:textId="6A91ECA7" w:rsidR="009C7ADA" w:rsidRDefault="009C7ADA" w:rsidP="009C7ADA">
      <w:r>
        <w:t>The study helps fill the gap between the law and people workforce dynamics by empirically testing the connexion between the concepts of procedural compliance and anti-racist legislation as well as the substantive psychological safety of the BME personnel. Moreover, it establishes a new step forward in the theory of promoting the health of the population</w:t>
      </w:r>
      <w:r w:rsidR="00F84E6A">
        <w:t>,</w:t>
      </w:r>
      <w:r>
        <w:t xml:space="preserve"> as it </w:t>
      </w:r>
      <w:r w:rsidR="00F84E6A">
        <w:t>doe</w:t>
      </w:r>
      <w:r>
        <w:t xml:space="preserve">s not return staff retention as an outcome of the Human Resource, but as an essential factor contributing to the statutory term </w:t>
      </w:r>
      <w:r w:rsidR="00F84E6A">
        <w:t xml:space="preserve">of </w:t>
      </w:r>
      <w:r>
        <w:t>the Duty of Quality. This contradicts existing urban models by showing how the imposition of rural professional isolation reacts with legal obligations to provide a fresh context-related theory of workforce sustainability in devolved, under-resourced medical care environments.</w:t>
      </w:r>
    </w:p>
    <w:p w14:paraId="2FB3875F" w14:textId="77777777" w:rsidR="003B66D8" w:rsidRPr="009C7ADA" w:rsidRDefault="003B66D8" w:rsidP="009C7ADA"/>
    <w:p w14:paraId="36149C86" w14:textId="718E2827" w:rsidR="009C7ADA" w:rsidRDefault="009C7ADA" w:rsidP="009C7ADA">
      <w:pPr>
        <w:pStyle w:val="Heading2"/>
      </w:pPr>
      <w:bookmarkStart w:id="65" w:name="_Toc216408909"/>
      <w:r>
        <w:t>5.4 Limitations of the study leading to areas of further research</w:t>
      </w:r>
      <w:bookmarkEnd w:id="65"/>
    </w:p>
    <w:p w14:paraId="544E3250" w14:textId="77777777" w:rsidR="009C7ADA" w:rsidRDefault="009C7ADA" w:rsidP="009C7ADA">
      <w:r>
        <w:t xml:space="preserve">This study is limited despite the strong results. To begin with, convenience sampling that was used with a sample of 154 staff members makes the results not be generalisable to the whole population of seven Local Health Boards in Wales. To the extent that Goddard and Melville (2020) observe, non-probability sampling might create the issue of selection bias, whereby personnel who have already been engaged in issues of diversity and inclusion are overrepresented and marginalised or most distant staff is excluded. Secondly, the cross-sectional design only records a moment in the retention intention and does not monitor the actual turnover behaviour in the long run. Although the article establishes the existence of a </w:t>
      </w:r>
      <w:r>
        <w:lastRenderedPageBreak/>
        <w:t>correlation between perceived inclusivity and intention to stay, it fails to establish causal relationship of retention in the long term (Creswell and Creswell, 2018).</w:t>
      </w:r>
    </w:p>
    <w:p w14:paraId="5160B6F8" w14:textId="77777777" w:rsidR="008D567A" w:rsidRDefault="008D567A" w:rsidP="009C7ADA"/>
    <w:p w14:paraId="0E51C29E" w14:textId="56ED1A3A" w:rsidR="009C7ADA" w:rsidRDefault="009C7ADA" w:rsidP="009C7ADA">
      <w:r>
        <w:t>The research gap related to these issues should be filled by conducting future studies that make use of a longitudinal design to observe whether the intent to stay is actually converted into retention in the years to follow. Also, a qualitative/mixed-methods approach is suggested to investigate the hidden depths of the lived reality of BAME staff in deep rural areas, such as Powys that could be simplified by quantitative information. Lastly, comparatively, the investigations can be conducted on the results of the Well-being of Future Generations Act in Wales and the WRES framework in England to isolate the particular effects of the devolved legislative context on the sustainability of the workforce in the field of public health.</w:t>
      </w:r>
    </w:p>
    <w:p w14:paraId="23F0927A" w14:textId="77777777" w:rsidR="008D567A" w:rsidRDefault="008D567A" w:rsidP="009C7ADA"/>
    <w:p w14:paraId="0512813E" w14:textId="31F4E8F0" w:rsidR="009C7ADA" w:rsidRDefault="009C7ADA">
      <w:pPr>
        <w:spacing w:line="240" w:lineRule="auto"/>
        <w:jc w:val="left"/>
      </w:pPr>
      <w:r>
        <w:br w:type="page"/>
      </w:r>
    </w:p>
    <w:p w14:paraId="079C7A5F" w14:textId="77777777" w:rsidR="009C7ADA" w:rsidRDefault="009C7ADA" w:rsidP="009C7ADA">
      <w:pPr>
        <w:pStyle w:val="Heading1"/>
        <w:spacing w:after="240" w:line="540" w:lineRule="atLeast"/>
        <w:rPr>
          <w:rFonts w:cs="Times New Roman"/>
          <w:color w:val="000000"/>
          <w:sz w:val="36"/>
          <w:szCs w:val="36"/>
        </w:rPr>
      </w:pPr>
      <w:bookmarkStart w:id="66" w:name="_Toc216408910"/>
      <w:r>
        <w:rPr>
          <w:color w:val="000000"/>
          <w:sz w:val="36"/>
          <w:szCs w:val="36"/>
        </w:rPr>
        <w:lastRenderedPageBreak/>
        <w:t>Reference list</w:t>
      </w:r>
      <w:bookmarkEnd w:id="66"/>
    </w:p>
    <w:p w14:paraId="190F4F41"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Aboramadan</w:t>
      </w:r>
      <w:proofErr w:type="spellEnd"/>
      <w:r w:rsidRPr="00131165">
        <w:rPr>
          <w:color w:val="000000"/>
          <w:sz w:val="24"/>
        </w:rPr>
        <w:t xml:space="preserve">, M. and </w:t>
      </w:r>
      <w:proofErr w:type="spellStart"/>
      <w:r w:rsidRPr="00131165">
        <w:rPr>
          <w:color w:val="000000"/>
          <w:sz w:val="24"/>
        </w:rPr>
        <w:t>Karatepe</w:t>
      </w:r>
      <w:proofErr w:type="spellEnd"/>
      <w:r w:rsidRPr="00131165">
        <w:rPr>
          <w:color w:val="000000"/>
          <w:sz w:val="24"/>
        </w:rPr>
        <w:t>, O.M. (2021). Green human resource management, perceived green organizational support and their effects on hotel employees’ behavioral outcomes.</w:t>
      </w:r>
      <w:r w:rsidRPr="00131165">
        <w:rPr>
          <w:rStyle w:val="apple-converted-space"/>
          <w:rFonts w:eastAsiaTheme="majorEastAsia"/>
          <w:color w:val="000000"/>
          <w:sz w:val="24"/>
        </w:rPr>
        <w:t> </w:t>
      </w:r>
      <w:r w:rsidRPr="00131165">
        <w:rPr>
          <w:i/>
          <w:iCs/>
          <w:color w:val="000000"/>
          <w:sz w:val="24"/>
        </w:rPr>
        <w:t>International Journal of Contemporary Hospitality Management</w:t>
      </w:r>
      <w:r w:rsidRPr="00131165">
        <w:rPr>
          <w:color w:val="000000"/>
          <w:sz w:val="24"/>
        </w:rPr>
        <w:t xml:space="preserve">, ahead-of-print(ahead-of-print). </w:t>
      </w:r>
      <w:proofErr w:type="spellStart"/>
      <w:r w:rsidRPr="00131165">
        <w:rPr>
          <w:color w:val="000000"/>
          <w:sz w:val="24"/>
        </w:rPr>
        <w:t>doi:https</w:t>
      </w:r>
      <w:proofErr w:type="spellEnd"/>
      <w:r w:rsidRPr="00131165">
        <w:rPr>
          <w:color w:val="000000"/>
          <w:sz w:val="24"/>
        </w:rPr>
        <w:t>://doi.org/10.1108/ijchm-12-2020-1440.</w:t>
      </w:r>
    </w:p>
    <w:p w14:paraId="7B6021B0"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Aladé</w:t>
      </w:r>
      <w:proofErr w:type="spellEnd"/>
      <w:r w:rsidRPr="00131165">
        <w:rPr>
          <w:color w:val="000000"/>
          <w:sz w:val="24"/>
        </w:rPr>
        <w:t xml:space="preserve">, F., </w:t>
      </w:r>
      <w:proofErr w:type="spellStart"/>
      <w:r w:rsidRPr="00131165">
        <w:rPr>
          <w:color w:val="000000"/>
          <w:sz w:val="24"/>
        </w:rPr>
        <w:t>Lauricella</w:t>
      </w:r>
      <w:proofErr w:type="spellEnd"/>
      <w:r w:rsidRPr="00131165">
        <w:rPr>
          <w:color w:val="000000"/>
          <w:sz w:val="24"/>
        </w:rPr>
        <w:t xml:space="preserve">, A.R., Kumar, Y. and </w:t>
      </w:r>
      <w:proofErr w:type="spellStart"/>
      <w:r w:rsidRPr="00131165">
        <w:rPr>
          <w:color w:val="000000"/>
          <w:sz w:val="24"/>
        </w:rPr>
        <w:t>Wartella</w:t>
      </w:r>
      <w:proofErr w:type="spellEnd"/>
      <w:r w:rsidRPr="00131165">
        <w:rPr>
          <w:color w:val="000000"/>
          <w:sz w:val="24"/>
        </w:rPr>
        <w:t>, E. (2022). Impact of Exposure to a Counter-Stereotypical STEM Television Program on Children’s Gender- and Race-Based STEM Occupational Schema.</w:t>
      </w:r>
      <w:r w:rsidRPr="00131165">
        <w:rPr>
          <w:rStyle w:val="apple-converted-space"/>
          <w:rFonts w:eastAsiaTheme="majorEastAsia"/>
          <w:color w:val="000000"/>
          <w:sz w:val="24"/>
        </w:rPr>
        <w:t> </w:t>
      </w:r>
      <w:r w:rsidRPr="00131165">
        <w:rPr>
          <w:i/>
          <w:iCs/>
          <w:color w:val="000000"/>
          <w:sz w:val="24"/>
        </w:rPr>
        <w:t>Sustainability</w:t>
      </w:r>
      <w:r w:rsidRPr="00131165">
        <w:rPr>
          <w:color w:val="000000"/>
          <w:sz w:val="24"/>
        </w:rPr>
        <w:t xml:space="preserve">, 14(9), p.5631. </w:t>
      </w:r>
      <w:proofErr w:type="spellStart"/>
      <w:r w:rsidRPr="00131165">
        <w:rPr>
          <w:color w:val="000000"/>
          <w:sz w:val="24"/>
        </w:rPr>
        <w:t>doi:https</w:t>
      </w:r>
      <w:proofErr w:type="spellEnd"/>
      <w:r w:rsidRPr="00131165">
        <w:rPr>
          <w:color w:val="000000"/>
          <w:sz w:val="24"/>
        </w:rPr>
        <w:t>://doi.org/10.3390/su14095631.</w:t>
      </w:r>
    </w:p>
    <w:p w14:paraId="31F95C2B"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Alkan</w:t>
      </w:r>
      <w:proofErr w:type="spellEnd"/>
      <w:r w:rsidRPr="00131165">
        <w:rPr>
          <w:color w:val="000000"/>
          <w:sz w:val="24"/>
        </w:rPr>
        <w:t xml:space="preserve">, E., </w:t>
      </w:r>
      <w:proofErr w:type="spellStart"/>
      <w:r w:rsidRPr="00131165">
        <w:rPr>
          <w:color w:val="000000"/>
          <w:sz w:val="24"/>
        </w:rPr>
        <w:t>Cushen</w:t>
      </w:r>
      <w:proofErr w:type="spellEnd"/>
      <w:r w:rsidRPr="00131165">
        <w:rPr>
          <w:color w:val="000000"/>
          <w:sz w:val="24"/>
        </w:rPr>
        <w:t xml:space="preserve">-Brewster, N. and Anyanwu, P. (2024). </w:t>
      </w:r>
      <w:proofErr w:type="spellStart"/>
      <w:r w:rsidRPr="00131165">
        <w:rPr>
          <w:color w:val="000000"/>
          <w:sz w:val="24"/>
        </w:rPr>
        <w:t>Organisational</w:t>
      </w:r>
      <w:proofErr w:type="spellEnd"/>
      <w:r w:rsidRPr="00131165">
        <w:rPr>
          <w:color w:val="000000"/>
          <w:sz w:val="24"/>
        </w:rPr>
        <w:t xml:space="preserve"> factors associated with healthcare workforce development, recruitment, and retention in the United Kingdom: a systematic review.</w:t>
      </w:r>
      <w:r w:rsidRPr="00131165">
        <w:rPr>
          <w:rStyle w:val="apple-converted-space"/>
          <w:rFonts w:eastAsiaTheme="majorEastAsia"/>
          <w:color w:val="000000"/>
          <w:sz w:val="24"/>
        </w:rPr>
        <w:t> </w:t>
      </w:r>
      <w:r w:rsidRPr="00131165">
        <w:rPr>
          <w:i/>
          <w:iCs/>
          <w:color w:val="000000"/>
          <w:sz w:val="24"/>
        </w:rPr>
        <w:t>BMC Nursing</w:t>
      </w:r>
      <w:r w:rsidRPr="00131165">
        <w:rPr>
          <w:color w:val="000000"/>
          <w:sz w:val="24"/>
        </w:rPr>
        <w:t xml:space="preserve">, 23(1). </w:t>
      </w:r>
      <w:proofErr w:type="spellStart"/>
      <w:r w:rsidRPr="00131165">
        <w:rPr>
          <w:color w:val="000000"/>
          <w:sz w:val="24"/>
        </w:rPr>
        <w:t>doi:https</w:t>
      </w:r>
      <w:proofErr w:type="spellEnd"/>
      <w:r w:rsidRPr="00131165">
        <w:rPr>
          <w:color w:val="000000"/>
          <w:sz w:val="24"/>
        </w:rPr>
        <w:t>://doi.org/10.1186/s12912-024-02216-0.</w:t>
      </w:r>
    </w:p>
    <w:p w14:paraId="4651A16E"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Allport, G.W. (1958).</w:t>
      </w:r>
      <w:r w:rsidRPr="00131165">
        <w:rPr>
          <w:rStyle w:val="apple-converted-space"/>
          <w:rFonts w:eastAsiaTheme="majorEastAsia"/>
          <w:color w:val="000000"/>
          <w:sz w:val="24"/>
        </w:rPr>
        <w:t> </w:t>
      </w:r>
      <w:r w:rsidRPr="00131165">
        <w:rPr>
          <w:i/>
          <w:iCs/>
          <w:color w:val="000000"/>
          <w:sz w:val="24"/>
        </w:rPr>
        <w:t>The Nature of Prejudice</w:t>
      </w:r>
      <w:r w:rsidRPr="00131165">
        <w:rPr>
          <w:color w:val="000000"/>
          <w:sz w:val="24"/>
        </w:rPr>
        <w:t>. Doubleday Books.</w:t>
      </w:r>
    </w:p>
    <w:p w14:paraId="44AAE190"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Alriuili</w:t>
      </w:r>
      <w:proofErr w:type="spellEnd"/>
      <w:r w:rsidRPr="00131165">
        <w:rPr>
          <w:color w:val="000000"/>
          <w:sz w:val="24"/>
        </w:rPr>
        <w:t xml:space="preserve">, N.J.Z., </w:t>
      </w:r>
      <w:proofErr w:type="spellStart"/>
      <w:r w:rsidRPr="00131165">
        <w:rPr>
          <w:color w:val="000000"/>
          <w:sz w:val="24"/>
        </w:rPr>
        <w:t>Alrouili</w:t>
      </w:r>
      <w:proofErr w:type="spellEnd"/>
      <w:r w:rsidRPr="00131165">
        <w:rPr>
          <w:color w:val="000000"/>
          <w:sz w:val="24"/>
        </w:rPr>
        <w:t xml:space="preserve">, M. </w:t>
      </w:r>
      <w:proofErr w:type="spellStart"/>
      <w:r w:rsidRPr="00131165">
        <w:rPr>
          <w:color w:val="000000"/>
          <w:sz w:val="24"/>
        </w:rPr>
        <w:t>awijan</w:t>
      </w:r>
      <w:proofErr w:type="spellEnd"/>
      <w:r w:rsidRPr="00131165">
        <w:rPr>
          <w:color w:val="000000"/>
          <w:sz w:val="24"/>
        </w:rPr>
        <w:t xml:space="preserve"> , Al-</w:t>
      </w:r>
      <w:proofErr w:type="spellStart"/>
      <w:r w:rsidRPr="00131165">
        <w:rPr>
          <w:color w:val="000000"/>
          <w:sz w:val="24"/>
        </w:rPr>
        <w:t>Enezi</w:t>
      </w:r>
      <w:proofErr w:type="spellEnd"/>
      <w:r w:rsidRPr="00131165">
        <w:rPr>
          <w:color w:val="000000"/>
          <w:sz w:val="24"/>
        </w:rPr>
        <w:t xml:space="preserve">, F.D.J. and </w:t>
      </w:r>
      <w:proofErr w:type="spellStart"/>
      <w:r w:rsidRPr="00131165">
        <w:rPr>
          <w:color w:val="000000"/>
          <w:sz w:val="24"/>
        </w:rPr>
        <w:t>Alrowili</w:t>
      </w:r>
      <w:proofErr w:type="spellEnd"/>
      <w:r w:rsidRPr="00131165">
        <w:rPr>
          <w:color w:val="000000"/>
          <w:sz w:val="24"/>
        </w:rPr>
        <w:t>, A.B. (2024). The Role of Diversity and Inclusion in Hospital Workforce Management: Review Article.</w:t>
      </w:r>
      <w:r w:rsidRPr="00131165">
        <w:rPr>
          <w:rStyle w:val="apple-converted-space"/>
          <w:rFonts w:eastAsiaTheme="majorEastAsia"/>
          <w:color w:val="000000"/>
          <w:sz w:val="24"/>
        </w:rPr>
        <w:t> </w:t>
      </w:r>
      <w:r w:rsidRPr="00131165">
        <w:rPr>
          <w:i/>
          <w:iCs/>
          <w:color w:val="000000"/>
          <w:sz w:val="24"/>
        </w:rPr>
        <w:t>Journal of International Crisis and Risk Communication Research</w:t>
      </w:r>
      <w:r w:rsidRPr="00131165">
        <w:rPr>
          <w:rStyle w:val="apple-converted-space"/>
          <w:rFonts w:eastAsiaTheme="majorEastAsia"/>
          <w:i/>
          <w:iCs/>
          <w:color w:val="000000"/>
          <w:sz w:val="24"/>
        </w:rPr>
        <w:t> </w:t>
      </w:r>
      <w:r w:rsidRPr="00131165">
        <w:rPr>
          <w:color w:val="000000"/>
          <w:sz w:val="24"/>
        </w:rPr>
        <w:t>, [online] 7(10), pp.749–766. Available at: https://jicrcr.com/index.php/jicrcr/article/view/453.</w:t>
      </w:r>
    </w:p>
    <w:p w14:paraId="6A9C1AAA"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Apelehin</w:t>
      </w:r>
      <w:proofErr w:type="spellEnd"/>
      <w:r w:rsidRPr="00131165">
        <w:rPr>
          <w:color w:val="000000"/>
          <w:sz w:val="24"/>
        </w:rPr>
        <w:t xml:space="preserve">, A.A., </w:t>
      </w:r>
      <w:proofErr w:type="spellStart"/>
      <w:r w:rsidRPr="00131165">
        <w:rPr>
          <w:color w:val="000000"/>
          <w:sz w:val="24"/>
        </w:rPr>
        <w:t>Imohiosen</w:t>
      </w:r>
      <w:proofErr w:type="spellEnd"/>
      <w:r w:rsidRPr="00131165">
        <w:rPr>
          <w:color w:val="000000"/>
          <w:sz w:val="24"/>
        </w:rPr>
        <w:t xml:space="preserve">, C.E., </w:t>
      </w:r>
      <w:proofErr w:type="spellStart"/>
      <w:r w:rsidRPr="00131165">
        <w:rPr>
          <w:color w:val="000000"/>
          <w:sz w:val="24"/>
        </w:rPr>
        <w:t>Ajuluchukwu</w:t>
      </w:r>
      <w:proofErr w:type="spellEnd"/>
      <w:r w:rsidRPr="00131165">
        <w:rPr>
          <w:color w:val="000000"/>
          <w:sz w:val="24"/>
        </w:rPr>
        <w:t xml:space="preserve">, P., </w:t>
      </w:r>
      <w:proofErr w:type="spellStart"/>
      <w:r w:rsidRPr="00131165">
        <w:rPr>
          <w:color w:val="000000"/>
          <w:sz w:val="24"/>
        </w:rPr>
        <w:t>Abutu</w:t>
      </w:r>
      <w:proofErr w:type="spellEnd"/>
      <w:r w:rsidRPr="00131165">
        <w:rPr>
          <w:color w:val="000000"/>
          <w:sz w:val="24"/>
        </w:rPr>
        <w:t xml:space="preserve">, D.E., </w:t>
      </w:r>
      <w:proofErr w:type="spellStart"/>
      <w:r w:rsidRPr="00131165">
        <w:rPr>
          <w:color w:val="000000"/>
          <w:sz w:val="24"/>
        </w:rPr>
        <w:t>Udeh</w:t>
      </w:r>
      <w:proofErr w:type="spellEnd"/>
      <w:r w:rsidRPr="00131165">
        <w:rPr>
          <w:color w:val="000000"/>
          <w:sz w:val="24"/>
        </w:rPr>
        <w:t xml:space="preserve">, C.A. and </w:t>
      </w:r>
      <w:proofErr w:type="spellStart"/>
      <w:r w:rsidRPr="00131165">
        <w:rPr>
          <w:color w:val="000000"/>
          <w:sz w:val="24"/>
        </w:rPr>
        <w:t>Iguma</w:t>
      </w:r>
      <w:proofErr w:type="spellEnd"/>
      <w:r w:rsidRPr="00131165">
        <w:rPr>
          <w:color w:val="000000"/>
          <w:sz w:val="24"/>
        </w:rPr>
        <w:t>, D.R. (2025). Transforming Organizational and Educational Cultures: Developing Global Leadership and Building Inclusive Workplaces Through Innovative HR and Educational Practices.</w:t>
      </w:r>
      <w:r w:rsidRPr="00131165">
        <w:rPr>
          <w:rStyle w:val="apple-converted-space"/>
          <w:rFonts w:eastAsiaTheme="majorEastAsia"/>
          <w:color w:val="000000"/>
          <w:sz w:val="24"/>
        </w:rPr>
        <w:t> </w:t>
      </w:r>
      <w:r w:rsidRPr="00131165">
        <w:rPr>
          <w:i/>
          <w:iCs/>
          <w:color w:val="000000"/>
          <w:sz w:val="24"/>
        </w:rPr>
        <w:t>International Journal of Multidisciplinary Research and Growth Evaluation</w:t>
      </w:r>
      <w:r w:rsidRPr="00131165">
        <w:rPr>
          <w:color w:val="000000"/>
          <w:sz w:val="24"/>
        </w:rPr>
        <w:t xml:space="preserve">, [online] 6(1), pp.1841–1850. </w:t>
      </w:r>
      <w:proofErr w:type="spellStart"/>
      <w:r w:rsidRPr="00131165">
        <w:rPr>
          <w:color w:val="000000"/>
          <w:sz w:val="24"/>
        </w:rPr>
        <w:t>doi:https</w:t>
      </w:r>
      <w:proofErr w:type="spellEnd"/>
      <w:r w:rsidRPr="00131165">
        <w:rPr>
          <w:color w:val="000000"/>
          <w:sz w:val="24"/>
        </w:rPr>
        <w:t>://doi.org/10.54660/.ijmrge.2025.6.1-1841-1850.</w:t>
      </w:r>
    </w:p>
    <w:p w14:paraId="01B7E54C"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Augustin, A. (2024). Building a resilient workforce: Employee retention solutions in Hospital sector.</w:t>
      </w:r>
      <w:r w:rsidRPr="00131165">
        <w:rPr>
          <w:rStyle w:val="apple-converted-space"/>
          <w:rFonts w:eastAsiaTheme="majorEastAsia"/>
          <w:color w:val="000000"/>
          <w:sz w:val="24"/>
        </w:rPr>
        <w:t> </w:t>
      </w:r>
      <w:r w:rsidRPr="00131165">
        <w:rPr>
          <w:i/>
          <w:iCs/>
          <w:color w:val="000000"/>
          <w:sz w:val="24"/>
        </w:rPr>
        <w:t>International Journal of Research in Human Resource Management</w:t>
      </w:r>
      <w:r w:rsidRPr="00131165">
        <w:rPr>
          <w:color w:val="000000"/>
          <w:sz w:val="24"/>
        </w:rPr>
        <w:t xml:space="preserve">, 6(2), pp.309–312. </w:t>
      </w:r>
      <w:proofErr w:type="spellStart"/>
      <w:r w:rsidRPr="00131165">
        <w:rPr>
          <w:color w:val="000000"/>
          <w:sz w:val="24"/>
        </w:rPr>
        <w:t>doi:https</w:t>
      </w:r>
      <w:proofErr w:type="spellEnd"/>
      <w:r w:rsidRPr="00131165">
        <w:rPr>
          <w:color w:val="000000"/>
          <w:sz w:val="24"/>
        </w:rPr>
        <w:t>://doi.org/10.33545/26633213.2024.v6.i2d.230.</w:t>
      </w:r>
    </w:p>
    <w:p w14:paraId="06E4398E"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lastRenderedPageBreak/>
        <w:t>Bamrah</w:t>
      </w:r>
      <w:proofErr w:type="spellEnd"/>
      <w:r w:rsidRPr="00131165">
        <w:rPr>
          <w:color w:val="000000"/>
          <w:sz w:val="24"/>
        </w:rPr>
        <w:t xml:space="preserve">, J.S., </w:t>
      </w:r>
      <w:proofErr w:type="spellStart"/>
      <w:r w:rsidRPr="00131165">
        <w:rPr>
          <w:color w:val="000000"/>
          <w:sz w:val="24"/>
        </w:rPr>
        <w:t>Womersley</w:t>
      </w:r>
      <w:proofErr w:type="spellEnd"/>
      <w:r w:rsidRPr="00131165">
        <w:rPr>
          <w:color w:val="000000"/>
          <w:sz w:val="24"/>
        </w:rPr>
        <w:t xml:space="preserve">, K., </w:t>
      </w:r>
      <w:proofErr w:type="spellStart"/>
      <w:r w:rsidRPr="00131165">
        <w:rPr>
          <w:color w:val="000000"/>
          <w:sz w:val="24"/>
        </w:rPr>
        <w:t>Chaand</w:t>
      </w:r>
      <w:proofErr w:type="spellEnd"/>
      <w:r w:rsidRPr="00131165">
        <w:rPr>
          <w:color w:val="000000"/>
          <w:sz w:val="24"/>
        </w:rPr>
        <w:t xml:space="preserve"> </w:t>
      </w:r>
      <w:proofErr w:type="spellStart"/>
      <w:r w:rsidRPr="00131165">
        <w:rPr>
          <w:color w:val="000000"/>
          <w:sz w:val="24"/>
        </w:rPr>
        <w:t>Nagpaul</w:t>
      </w:r>
      <w:proofErr w:type="spellEnd"/>
      <w:r w:rsidRPr="00131165">
        <w:rPr>
          <w:color w:val="000000"/>
          <w:sz w:val="24"/>
        </w:rPr>
        <w:t xml:space="preserve">, </w:t>
      </w:r>
      <w:proofErr w:type="spellStart"/>
      <w:r w:rsidRPr="00131165">
        <w:rPr>
          <w:color w:val="000000"/>
          <w:sz w:val="24"/>
        </w:rPr>
        <w:t>Coghill</w:t>
      </w:r>
      <w:proofErr w:type="spellEnd"/>
      <w:r w:rsidRPr="00131165">
        <w:rPr>
          <w:color w:val="000000"/>
          <w:sz w:val="24"/>
        </w:rPr>
        <w:t>, Y., Issa, R. and Hazard, L. (2025). NHS must tackle racism and sexism for the benefit of patients, staff, and society.</w:t>
      </w:r>
      <w:r w:rsidRPr="00131165">
        <w:rPr>
          <w:rStyle w:val="apple-converted-space"/>
          <w:rFonts w:eastAsiaTheme="majorEastAsia"/>
          <w:color w:val="000000"/>
          <w:sz w:val="24"/>
        </w:rPr>
        <w:t> </w:t>
      </w:r>
      <w:r w:rsidRPr="00131165">
        <w:rPr>
          <w:i/>
          <w:iCs/>
          <w:color w:val="000000"/>
          <w:sz w:val="24"/>
        </w:rPr>
        <w:t>BMJ</w:t>
      </w:r>
      <w:r w:rsidRPr="00131165">
        <w:rPr>
          <w:color w:val="000000"/>
          <w:sz w:val="24"/>
        </w:rPr>
        <w:t xml:space="preserve">, 390, pp.r1334–r1334. </w:t>
      </w:r>
      <w:proofErr w:type="spellStart"/>
      <w:r w:rsidRPr="00131165">
        <w:rPr>
          <w:color w:val="000000"/>
          <w:sz w:val="24"/>
        </w:rPr>
        <w:t>doi:https</w:t>
      </w:r>
      <w:proofErr w:type="spellEnd"/>
      <w:r w:rsidRPr="00131165">
        <w:rPr>
          <w:color w:val="000000"/>
          <w:sz w:val="24"/>
        </w:rPr>
        <w:t>://doi.org/10.1136/bmj.r1334.</w:t>
      </w:r>
    </w:p>
    <w:p w14:paraId="7C809EC1"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Bartlett, F.C. (1932).</w:t>
      </w:r>
      <w:r w:rsidRPr="00131165">
        <w:rPr>
          <w:rStyle w:val="apple-converted-space"/>
          <w:rFonts w:eastAsiaTheme="majorEastAsia"/>
          <w:color w:val="000000"/>
          <w:sz w:val="24"/>
        </w:rPr>
        <w:t> </w:t>
      </w:r>
      <w:r w:rsidRPr="00131165">
        <w:rPr>
          <w:i/>
          <w:iCs/>
          <w:color w:val="000000"/>
          <w:sz w:val="24"/>
        </w:rPr>
        <w:t>Remembering: A Study in Experimental and Social Psychology</w:t>
      </w:r>
      <w:r w:rsidRPr="00131165">
        <w:rPr>
          <w:color w:val="000000"/>
          <w:sz w:val="24"/>
        </w:rPr>
        <w:t>. Cambridge: Cambridge University Press.</w:t>
      </w:r>
    </w:p>
    <w:p w14:paraId="6D573C5A"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Bilderback</w:t>
      </w:r>
      <w:proofErr w:type="spellEnd"/>
      <w:r w:rsidRPr="00131165">
        <w:rPr>
          <w:color w:val="000000"/>
          <w:sz w:val="24"/>
        </w:rPr>
        <w:t>, S. (2023). Integrating Training for Organizational sustainability: the Application of Sustainable Development Goals Globally.</w:t>
      </w:r>
      <w:r w:rsidRPr="00131165">
        <w:rPr>
          <w:rStyle w:val="apple-converted-space"/>
          <w:rFonts w:eastAsiaTheme="majorEastAsia"/>
          <w:color w:val="000000"/>
          <w:sz w:val="24"/>
        </w:rPr>
        <w:t> </w:t>
      </w:r>
      <w:r w:rsidRPr="00131165">
        <w:rPr>
          <w:i/>
          <w:iCs/>
          <w:color w:val="000000"/>
          <w:sz w:val="24"/>
        </w:rPr>
        <w:t>European Journal of Training and Development</w:t>
      </w:r>
      <w:r w:rsidRPr="00131165">
        <w:rPr>
          <w:color w:val="000000"/>
          <w:sz w:val="24"/>
        </w:rPr>
        <w:t xml:space="preserve">, 48(7/8), pp.730–748. </w:t>
      </w:r>
      <w:proofErr w:type="spellStart"/>
      <w:r w:rsidRPr="00131165">
        <w:rPr>
          <w:color w:val="000000"/>
          <w:sz w:val="24"/>
        </w:rPr>
        <w:t>doi:https</w:t>
      </w:r>
      <w:proofErr w:type="spellEnd"/>
      <w:r w:rsidRPr="00131165">
        <w:rPr>
          <w:color w:val="000000"/>
          <w:sz w:val="24"/>
        </w:rPr>
        <w:t>://doi.org/10.1108/EJTD-01-2023-0005.</w:t>
      </w:r>
    </w:p>
    <w:p w14:paraId="46B328FA"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Bloomfield, J. and Fisher, M. (2019). Quantitative research design.</w:t>
      </w:r>
      <w:r w:rsidRPr="00131165">
        <w:rPr>
          <w:rStyle w:val="apple-converted-space"/>
          <w:rFonts w:eastAsiaTheme="majorEastAsia"/>
          <w:color w:val="000000"/>
          <w:sz w:val="24"/>
        </w:rPr>
        <w:t> </w:t>
      </w:r>
      <w:r w:rsidRPr="00131165">
        <w:rPr>
          <w:i/>
          <w:iCs/>
          <w:color w:val="000000"/>
          <w:sz w:val="24"/>
        </w:rPr>
        <w:t>Journal of the Australasian Rehabilitation Nurses’ Association</w:t>
      </w:r>
      <w:r w:rsidRPr="00131165">
        <w:rPr>
          <w:color w:val="000000"/>
          <w:sz w:val="24"/>
        </w:rPr>
        <w:t xml:space="preserve">, 22(2), pp.27–30. </w:t>
      </w:r>
      <w:proofErr w:type="spellStart"/>
      <w:r w:rsidRPr="00131165">
        <w:rPr>
          <w:color w:val="000000"/>
          <w:sz w:val="24"/>
        </w:rPr>
        <w:t>doi:https</w:t>
      </w:r>
      <w:proofErr w:type="spellEnd"/>
      <w:r w:rsidRPr="00131165">
        <w:rPr>
          <w:color w:val="000000"/>
          <w:sz w:val="24"/>
        </w:rPr>
        <w:t>://doi.org/10.33235/jarna.22.2.27-30.</w:t>
      </w:r>
    </w:p>
    <w:p w14:paraId="6237E864"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Boumaza</w:t>
      </w:r>
      <w:proofErr w:type="spellEnd"/>
      <w:r w:rsidRPr="00131165">
        <w:rPr>
          <w:color w:val="000000"/>
          <w:sz w:val="24"/>
        </w:rPr>
        <w:t>, D. and Baker, W. (2025). Negotiating cultural identity in the trans-digital space: a multi-scalar analysis of translingual ELF users’ intercultural communication.</w:t>
      </w:r>
      <w:r w:rsidRPr="00131165">
        <w:rPr>
          <w:rStyle w:val="apple-converted-space"/>
          <w:rFonts w:eastAsiaTheme="majorEastAsia"/>
          <w:color w:val="000000"/>
          <w:sz w:val="24"/>
        </w:rPr>
        <w:t> </w:t>
      </w:r>
      <w:r w:rsidRPr="00131165">
        <w:rPr>
          <w:i/>
          <w:iCs/>
          <w:color w:val="000000"/>
          <w:sz w:val="24"/>
        </w:rPr>
        <w:t>Journal of Multilingual and Multicultural Development</w:t>
      </w:r>
      <w:r w:rsidRPr="00131165">
        <w:rPr>
          <w:color w:val="000000"/>
          <w:sz w:val="24"/>
        </w:rPr>
        <w:t xml:space="preserve">, 78(56), pp.1–20. </w:t>
      </w:r>
      <w:proofErr w:type="spellStart"/>
      <w:r w:rsidRPr="00131165">
        <w:rPr>
          <w:color w:val="000000"/>
          <w:sz w:val="24"/>
        </w:rPr>
        <w:t>doi:https</w:t>
      </w:r>
      <w:proofErr w:type="spellEnd"/>
      <w:r w:rsidRPr="00131165">
        <w:rPr>
          <w:color w:val="000000"/>
          <w:sz w:val="24"/>
        </w:rPr>
        <w:t>://doi.org/10.1080/01434632.2025.2551127.</w:t>
      </w:r>
    </w:p>
    <w:p w14:paraId="15DB41E9"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Buh, A., Kang, R., Kiska, R., Fung, S.G., </w:t>
      </w:r>
      <w:proofErr w:type="spellStart"/>
      <w:r w:rsidRPr="00131165">
        <w:rPr>
          <w:color w:val="000000"/>
          <w:sz w:val="24"/>
        </w:rPr>
        <w:t>Solmi</w:t>
      </w:r>
      <w:proofErr w:type="spellEnd"/>
      <w:r w:rsidRPr="00131165">
        <w:rPr>
          <w:color w:val="000000"/>
          <w:sz w:val="24"/>
        </w:rPr>
        <w:t xml:space="preserve">, M., Scott, M., Salman, M., Lee, K., </w:t>
      </w:r>
      <w:proofErr w:type="spellStart"/>
      <w:r w:rsidRPr="00131165">
        <w:rPr>
          <w:color w:val="000000"/>
          <w:sz w:val="24"/>
        </w:rPr>
        <w:t>Milone</w:t>
      </w:r>
      <w:proofErr w:type="spellEnd"/>
      <w:r w:rsidRPr="00131165">
        <w:rPr>
          <w:color w:val="000000"/>
          <w:sz w:val="24"/>
        </w:rPr>
        <w:t xml:space="preserve">, B., </w:t>
      </w:r>
      <w:proofErr w:type="spellStart"/>
      <w:r w:rsidRPr="00131165">
        <w:rPr>
          <w:color w:val="000000"/>
          <w:sz w:val="24"/>
        </w:rPr>
        <w:t>Wafy</w:t>
      </w:r>
      <w:proofErr w:type="spellEnd"/>
      <w:r w:rsidRPr="00131165">
        <w:rPr>
          <w:color w:val="000000"/>
          <w:sz w:val="24"/>
        </w:rPr>
        <w:t xml:space="preserve">, G., Syed, S., Dhaliwal, S., Gibb, M., Akbari, A., Brown, P.A., </w:t>
      </w:r>
      <w:proofErr w:type="spellStart"/>
      <w:r w:rsidRPr="00131165">
        <w:rPr>
          <w:color w:val="000000"/>
          <w:sz w:val="24"/>
        </w:rPr>
        <w:t>Hundemer</w:t>
      </w:r>
      <w:proofErr w:type="spellEnd"/>
      <w:r w:rsidRPr="00131165">
        <w:rPr>
          <w:color w:val="000000"/>
          <w:sz w:val="24"/>
        </w:rPr>
        <w:t xml:space="preserve">, G.L. and </w:t>
      </w:r>
      <w:proofErr w:type="spellStart"/>
      <w:r w:rsidRPr="00131165">
        <w:rPr>
          <w:color w:val="000000"/>
          <w:sz w:val="24"/>
        </w:rPr>
        <w:t>Sood</w:t>
      </w:r>
      <w:proofErr w:type="spellEnd"/>
      <w:r w:rsidRPr="00131165">
        <w:rPr>
          <w:color w:val="000000"/>
          <w:sz w:val="24"/>
        </w:rPr>
        <w:t>, M.M. (2024). Effect and outcome of equity, diversity and inclusion programs in healthcare institutions: A systematic review protocol.</w:t>
      </w:r>
      <w:r w:rsidRPr="00131165">
        <w:rPr>
          <w:rStyle w:val="apple-converted-space"/>
          <w:rFonts w:eastAsiaTheme="majorEastAsia"/>
          <w:color w:val="000000"/>
          <w:sz w:val="24"/>
        </w:rPr>
        <w:t> </w:t>
      </w:r>
      <w:r w:rsidRPr="00131165">
        <w:rPr>
          <w:i/>
          <w:iCs/>
          <w:color w:val="000000"/>
          <w:sz w:val="24"/>
        </w:rPr>
        <w:t>BMJ Open</w:t>
      </w:r>
      <w:r w:rsidRPr="00131165">
        <w:rPr>
          <w:color w:val="000000"/>
          <w:sz w:val="24"/>
        </w:rPr>
        <w:t xml:space="preserve">, [online] 14(4). </w:t>
      </w:r>
      <w:proofErr w:type="spellStart"/>
      <w:r w:rsidRPr="00131165">
        <w:rPr>
          <w:color w:val="000000"/>
          <w:sz w:val="24"/>
        </w:rPr>
        <w:t>doi:https</w:t>
      </w:r>
      <w:proofErr w:type="spellEnd"/>
      <w:r w:rsidRPr="00131165">
        <w:rPr>
          <w:color w:val="000000"/>
          <w:sz w:val="24"/>
        </w:rPr>
        <w:t>://doi.org/10.1136/bmjopen-2024-085007.</w:t>
      </w:r>
    </w:p>
    <w:p w14:paraId="177C4B9B"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Caldwell, P.K. (2022). Top-Down Workplace Diversity and Inclusion.</w:t>
      </w:r>
      <w:r w:rsidRPr="00131165">
        <w:rPr>
          <w:rStyle w:val="apple-converted-space"/>
          <w:rFonts w:eastAsiaTheme="majorEastAsia"/>
          <w:color w:val="000000"/>
          <w:sz w:val="24"/>
        </w:rPr>
        <w:t> </w:t>
      </w:r>
      <w:r w:rsidRPr="00131165">
        <w:rPr>
          <w:i/>
          <w:iCs/>
          <w:color w:val="000000"/>
          <w:sz w:val="24"/>
        </w:rPr>
        <w:t>Future of Business and Finance</w:t>
      </w:r>
      <w:r w:rsidRPr="00131165">
        <w:rPr>
          <w:color w:val="000000"/>
          <w:sz w:val="24"/>
        </w:rPr>
        <w:t xml:space="preserve">, 57(31), pp.137–147. </w:t>
      </w:r>
      <w:proofErr w:type="spellStart"/>
      <w:r w:rsidRPr="00131165">
        <w:rPr>
          <w:color w:val="000000"/>
          <w:sz w:val="24"/>
        </w:rPr>
        <w:t>doi:https</w:t>
      </w:r>
      <w:proofErr w:type="spellEnd"/>
      <w:r w:rsidRPr="00131165">
        <w:rPr>
          <w:color w:val="000000"/>
          <w:sz w:val="24"/>
        </w:rPr>
        <w:t>://doi.org/10.1007/978-3-030-95652-3_9.</w:t>
      </w:r>
    </w:p>
    <w:p w14:paraId="166D497C"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Chantarat, T., Rogers, T.B., Mitchell, C.R. and Ko, M.J. (2022). Perceptions of workplace climate and diversity, equity, and inclusion within health services and policy research.</w:t>
      </w:r>
      <w:r w:rsidRPr="00131165">
        <w:rPr>
          <w:rStyle w:val="apple-converted-space"/>
          <w:rFonts w:eastAsiaTheme="majorEastAsia"/>
          <w:color w:val="000000"/>
          <w:sz w:val="24"/>
        </w:rPr>
        <w:t> </w:t>
      </w:r>
      <w:r w:rsidRPr="00131165">
        <w:rPr>
          <w:i/>
          <w:iCs/>
          <w:color w:val="000000"/>
          <w:sz w:val="24"/>
        </w:rPr>
        <w:t>Health Services Research</w:t>
      </w:r>
      <w:r w:rsidRPr="00131165">
        <w:rPr>
          <w:color w:val="000000"/>
          <w:sz w:val="24"/>
        </w:rPr>
        <w:t xml:space="preserve">, 58(2), pp.314–324. </w:t>
      </w:r>
      <w:proofErr w:type="spellStart"/>
      <w:r w:rsidRPr="00131165">
        <w:rPr>
          <w:color w:val="000000"/>
          <w:sz w:val="24"/>
        </w:rPr>
        <w:t>doi:https</w:t>
      </w:r>
      <w:proofErr w:type="spellEnd"/>
      <w:r w:rsidRPr="00131165">
        <w:rPr>
          <w:color w:val="000000"/>
          <w:sz w:val="24"/>
        </w:rPr>
        <w:t>://doi.org/10.1111/1475-6773.14032.</w:t>
      </w:r>
    </w:p>
    <w:p w14:paraId="79A8DB28"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Craven, R. (2021). Managing dissonance: Bureaucratic justice and public procurement.</w:t>
      </w:r>
      <w:r w:rsidRPr="00131165">
        <w:rPr>
          <w:rStyle w:val="apple-converted-space"/>
          <w:rFonts w:eastAsiaTheme="majorEastAsia"/>
          <w:color w:val="000000"/>
          <w:sz w:val="24"/>
        </w:rPr>
        <w:t> </w:t>
      </w:r>
      <w:r w:rsidRPr="00131165">
        <w:rPr>
          <w:i/>
          <w:iCs/>
          <w:color w:val="000000"/>
          <w:sz w:val="24"/>
        </w:rPr>
        <w:t>Regulation &amp; Governance</w:t>
      </w:r>
      <w:r w:rsidRPr="00131165">
        <w:rPr>
          <w:color w:val="000000"/>
          <w:sz w:val="24"/>
        </w:rPr>
        <w:t xml:space="preserve">, 17(1). </w:t>
      </w:r>
      <w:proofErr w:type="spellStart"/>
      <w:r w:rsidRPr="00131165">
        <w:rPr>
          <w:color w:val="000000"/>
          <w:sz w:val="24"/>
        </w:rPr>
        <w:t>doi:https</w:t>
      </w:r>
      <w:proofErr w:type="spellEnd"/>
      <w:r w:rsidRPr="00131165">
        <w:rPr>
          <w:color w:val="000000"/>
          <w:sz w:val="24"/>
        </w:rPr>
        <w:t>://doi.org/10.1111/rego.12444.</w:t>
      </w:r>
    </w:p>
    <w:p w14:paraId="5DEC87D0"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lastRenderedPageBreak/>
        <w:t>Crawshaw, J. and McCleary, N. (2025). Healthcare provider interventions to support medication adherence: state-of-the-science overview.</w:t>
      </w:r>
      <w:r w:rsidRPr="00131165">
        <w:rPr>
          <w:rStyle w:val="apple-converted-space"/>
          <w:rFonts w:eastAsiaTheme="majorEastAsia"/>
          <w:color w:val="000000"/>
          <w:sz w:val="24"/>
        </w:rPr>
        <w:t> </w:t>
      </w:r>
      <w:r w:rsidRPr="00131165">
        <w:rPr>
          <w:i/>
          <w:iCs/>
          <w:color w:val="000000"/>
          <w:sz w:val="24"/>
        </w:rPr>
        <w:t>Frontiers in Pharmacology</w:t>
      </w:r>
      <w:r w:rsidRPr="00131165">
        <w:rPr>
          <w:color w:val="000000"/>
          <w:sz w:val="24"/>
        </w:rPr>
        <w:t xml:space="preserve">, 16(75). </w:t>
      </w:r>
      <w:proofErr w:type="spellStart"/>
      <w:r w:rsidRPr="00131165">
        <w:rPr>
          <w:color w:val="000000"/>
          <w:sz w:val="24"/>
        </w:rPr>
        <w:t>doi:https</w:t>
      </w:r>
      <w:proofErr w:type="spellEnd"/>
      <w:r w:rsidRPr="00131165">
        <w:rPr>
          <w:color w:val="000000"/>
          <w:sz w:val="24"/>
        </w:rPr>
        <w:t>://doi.org/10.3389/fphar.2025.1567967.</w:t>
      </w:r>
    </w:p>
    <w:p w14:paraId="5623212F"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Creswell, J.W. and Creswell, J.D. (2018).</w:t>
      </w:r>
      <w:r w:rsidRPr="00131165">
        <w:rPr>
          <w:rStyle w:val="apple-converted-space"/>
          <w:rFonts w:eastAsiaTheme="majorEastAsia"/>
          <w:color w:val="000000"/>
          <w:sz w:val="24"/>
        </w:rPr>
        <w:t> </w:t>
      </w:r>
      <w:r w:rsidRPr="00131165">
        <w:rPr>
          <w:i/>
          <w:iCs/>
          <w:color w:val="000000"/>
          <w:sz w:val="24"/>
        </w:rPr>
        <w:t>Research design: Qualitative, quantitative, and Mixed Methods Approaches</w:t>
      </w:r>
      <w:r w:rsidRPr="00131165">
        <w:rPr>
          <w:color w:val="000000"/>
          <w:sz w:val="24"/>
        </w:rPr>
        <w:t>. 5th ed. Thousand Oaks, California: SAGE Publications.</w:t>
      </w:r>
    </w:p>
    <w:p w14:paraId="1CBCF420"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Cummings, B., </w:t>
      </w:r>
      <w:proofErr w:type="spellStart"/>
      <w:r w:rsidRPr="00131165">
        <w:rPr>
          <w:color w:val="000000"/>
          <w:sz w:val="24"/>
        </w:rPr>
        <w:t>Burvill</w:t>
      </w:r>
      <w:proofErr w:type="spellEnd"/>
      <w:r w:rsidRPr="00131165">
        <w:rPr>
          <w:color w:val="000000"/>
          <w:sz w:val="24"/>
        </w:rPr>
        <w:t>, S. and Bowen, R. (2024). The Well-Being of Future Generations Act (Wales, 2015): towards an ecosystem perspective.</w:t>
      </w:r>
      <w:r w:rsidRPr="00131165">
        <w:rPr>
          <w:rStyle w:val="apple-converted-space"/>
          <w:rFonts w:eastAsiaTheme="majorEastAsia"/>
          <w:color w:val="000000"/>
          <w:sz w:val="24"/>
        </w:rPr>
        <w:t> </w:t>
      </w:r>
      <w:r w:rsidRPr="00131165">
        <w:rPr>
          <w:i/>
          <w:iCs/>
          <w:color w:val="000000"/>
          <w:sz w:val="24"/>
        </w:rPr>
        <w:t>Journal of Entrepreneurship and Public Policy</w:t>
      </w:r>
      <w:r w:rsidRPr="00131165">
        <w:rPr>
          <w:color w:val="000000"/>
          <w:sz w:val="24"/>
        </w:rPr>
        <w:t xml:space="preserve">. </w:t>
      </w:r>
      <w:proofErr w:type="spellStart"/>
      <w:r w:rsidRPr="00131165">
        <w:rPr>
          <w:color w:val="000000"/>
          <w:sz w:val="24"/>
        </w:rPr>
        <w:t>doi:https</w:t>
      </w:r>
      <w:proofErr w:type="spellEnd"/>
      <w:r w:rsidRPr="00131165">
        <w:rPr>
          <w:color w:val="000000"/>
          <w:sz w:val="24"/>
        </w:rPr>
        <w:t>://doi.org/10.1108/jepp-04-2024-0064.</w:t>
      </w:r>
    </w:p>
    <w:p w14:paraId="17EE2042"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Davis, J.R. (2025).</w:t>
      </w:r>
      <w:r w:rsidRPr="00131165">
        <w:rPr>
          <w:rStyle w:val="apple-converted-space"/>
          <w:rFonts w:eastAsiaTheme="majorEastAsia"/>
          <w:color w:val="000000"/>
          <w:sz w:val="24"/>
        </w:rPr>
        <w:t> </w:t>
      </w:r>
      <w:r w:rsidRPr="00131165">
        <w:rPr>
          <w:i/>
          <w:iCs/>
          <w:color w:val="000000"/>
          <w:sz w:val="24"/>
        </w:rPr>
        <w:t>Conducting Basic and Clinical Research in the Managed Care Setting</w:t>
      </w:r>
      <w:r w:rsidRPr="00131165">
        <w:rPr>
          <w:color w:val="000000"/>
          <w:sz w:val="24"/>
        </w:rPr>
        <w:t>. [online] Nih.gov. Available at: https://www.ncbi.nlm.nih.gov/books/NBK100173/ [Accessed 21 Nov. 2025].</w:t>
      </w:r>
    </w:p>
    <w:p w14:paraId="25583309"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Devine, P.G. and Ash, T.L. (2021). Diversity Training Goals, Limitations, and Promise: A Review of the Multidisciplinary Literature.</w:t>
      </w:r>
      <w:r w:rsidRPr="00131165">
        <w:rPr>
          <w:rStyle w:val="apple-converted-space"/>
          <w:rFonts w:eastAsiaTheme="majorEastAsia"/>
          <w:color w:val="000000"/>
          <w:sz w:val="24"/>
        </w:rPr>
        <w:t> </w:t>
      </w:r>
      <w:r w:rsidRPr="00131165">
        <w:rPr>
          <w:i/>
          <w:iCs/>
          <w:color w:val="000000"/>
          <w:sz w:val="24"/>
        </w:rPr>
        <w:t>Annual Review of Psychology</w:t>
      </w:r>
      <w:r w:rsidRPr="00131165">
        <w:rPr>
          <w:color w:val="000000"/>
          <w:sz w:val="24"/>
        </w:rPr>
        <w:t xml:space="preserve">, 73(1), pp.403–429. </w:t>
      </w:r>
      <w:proofErr w:type="spellStart"/>
      <w:r w:rsidRPr="00131165">
        <w:rPr>
          <w:color w:val="000000"/>
          <w:sz w:val="24"/>
        </w:rPr>
        <w:t>doi:https</w:t>
      </w:r>
      <w:proofErr w:type="spellEnd"/>
      <w:r w:rsidRPr="00131165">
        <w:rPr>
          <w:color w:val="000000"/>
          <w:sz w:val="24"/>
        </w:rPr>
        <w:t>://doi.org/10.1146/annurev-psych-060221-122215.</w:t>
      </w:r>
    </w:p>
    <w:p w14:paraId="43AA9671"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Dhanani, A., </w:t>
      </w:r>
      <w:proofErr w:type="spellStart"/>
      <w:r w:rsidRPr="00131165">
        <w:rPr>
          <w:color w:val="000000"/>
          <w:sz w:val="24"/>
        </w:rPr>
        <w:t>Chaidali</w:t>
      </w:r>
      <w:proofErr w:type="spellEnd"/>
      <w:r w:rsidRPr="00131165">
        <w:rPr>
          <w:color w:val="000000"/>
          <w:sz w:val="24"/>
        </w:rPr>
        <w:t xml:space="preserve">, P., Sharma, N. and </w:t>
      </w:r>
      <w:proofErr w:type="spellStart"/>
      <w:r w:rsidRPr="00131165">
        <w:rPr>
          <w:color w:val="000000"/>
          <w:sz w:val="24"/>
        </w:rPr>
        <w:t>Varoutsa</w:t>
      </w:r>
      <w:proofErr w:type="spellEnd"/>
      <w:r w:rsidRPr="00131165">
        <w:rPr>
          <w:color w:val="000000"/>
          <w:sz w:val="24"/>
        </w:rPr>
        <w:t>, E. (2024). Responding to employee-based race inequalities in National Health Service (England): accountability and the Workforce Race Equality Standard.</w:t>
      </w:r>
      <w:r w:rsidRPr="00131165">
        <w:rPr>
          <w:rStyle w:val="apple-converted-space"/>
          <w:rFonts w:eastAsiaTheme="majorEastAsia"/>
          <w:color w:val="000000"/>
          <w:sz w:val="24"/>
        </w:rPr>
        <w:t> </w:t>
      </w:r>
      <w:r w:rsidRPr="00131165">
        <w:rPr>
          <w:i/>
          <w:iCs/>
          <w:color w:val="000000"/>
          <w:sz w:val="24"/>
        </w:rPr>
        <w:t>Accounting Auditing &amp; Accountability Journal</w:t>
      </w:r>
      <w:r w:rsidRPr="00131165">
        <w:rPr>
          <w:color w:val="000000"/>
          <w:sz w:val="24"/>
        </w:rPr>
        <w:t xml:space="preserve">, 37. </w:t>
      </w:r>
      <w:proofErr w:type="spellStart"/>
      <w:r w:rsidRPr="00131165">
        <w:rPr>
          <w:color w:val="000000"/>
          <w:sz w:val="24"/>
        </w:rPr>
        <w:t>doi:https</w:t>
      </w:r>
      <w:proofErr w:type="spellEnd"/>
      <w:r w:rsidRPr="00131165">
        <w:rPr>
          <w:color w:val="000000"/>
          <w:sz w:val="24"/>
        </w:rPr>
        <w:t>://doi.org/10.1108/aaaj-08-2023-6621.</w:t>
      </w:r>
    </w:p>
    <w:p w14:paraId="025A5368"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Dharma, Y., </w:t>
      </w:r>
      <w:proofErr w:type="spellStart"/>
      <w:r w:rsidRPr="00131165">
        <w:rPr>
          <w:color w:val="000000"/>
          <w:sz w:val="24"/>
        </w:rPr>
        <w:t>Seneru</w:t>
      </w:r>
      <w:proofErr w:type="spellEnd"/>
      <w:r w:rsidRPr="00131165">
        <w:rPr>
          <w:color w:val="000000"/>
          <w:sz w:val="24"/>
        </w:rPr>
        <w:t>, W. and Obi, S.N. (2025). The Role of Communication in Building Tolerance and Unity in a Diverse Society: A Systematic Literature Review.</w:t>
      </w:r>
      <w:r w:rsidRPr="00131165">
        <w:rPr>
          <w:rStyle w:val="apple-converted-space"/>
          <w:rFonts w:eastAsiaTheme="majorEastAsia"/>
          <w:color w:val="000000"/>
          <w:sz w:val="24"/>
        </w:rPr>
        <w:t> </w:t>
      </w:r>
      <w:r w:rsidRPr="00131165">
        <w:rPr>
          <w:i/>
          <w:iCs/>
          <w:color w:val="000000"/>
          <w:sz w:val="24"/>
        </w:rPr>
        <w:t>Journal of Communication Religious and Social Sciences (</w:t>
      </w:r>
      <w:proofErr w:type="spellStart"/>
      <w:r w:rsidRPr="00131165">
        <w:rPr>
          <w:i/>
          <w:iCs/>
          <w:color w:val="000000"/>
          <w:sz w:val="24"/>
        </w:rPr>
        <w:t>JoCRSS</w:t>
      </w:r>
      <w:proofErr w:type="spellEnd"/>
      <w:r w:rsidRPr="00131165">
        <w:rPr>
          <w:i/>
          <w:iCs/>
          <w:color w:val="000000"/>
          <w:sz w:val="24"/>
        </w:rPr>
        <w:t>)</w:t>
      </w:r>
      <w:r w:rsidRPr="00131165">
        <w:rPr>
          <w:color w:val="000000"/>
          <w:sz w:val="24"/>
        </w:rPr>
        <w:t xml:space="preserve">, 3(1), pp.13–24. </w:t>
      </w:r>
      <w:proofErr w:type="spellStart"/>
      <w:r w:rsidRPr="00131165">
        <w:rPr>
          <w:color w:val="000000"/>
          <w:sz w:val="24"/>
        </w:rPr>
        <w:t>doi:https</w:t>
      </w:r>
      <w:proofErr w:type="spellEnd"/>
      <w:r w:rsidRPr="00131165">
        <w:rPr>
          <w:color w:val="000000"/>
          <w:sz w:val="24"/>
        </w:rPr>
        <w:t>://doi.org/10.60046/jocrss.v3i1.219.</w:t>
      </w:r>
    </w:p>
    <w:p w14:paraId="5E3E74E7"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Diehl, A.B., </w:t>
      </w:r>
      <w:proofErr w:type="spellStart"/>
      <w:r w:rsidRPr="00131165">
        <w:rPr>
          <w:color w:val="000000"/>
          <w:sz w:val="24"/>
        </w:rPr>
        <w:t>Dzubinski</w:t>
      </w:r>
      <w:proofErr w:type="spellEnd"/>
      <w:r w:rsidRPr="00131165">
        <w:rPr>
          <w:color w:val="000000"/>
          <w:sz w:val="24"/>
        </w:rPr>
        <w:t>, L.M. and Stephenson, A.L. (2024). Never quite right: Identity factors contributing to bias and discrimination experienced by women leaders in the United States.</w:t>
      </w:r>
      <w:r w:rsidRPr="00131165">
        <w:rPr>
          <w:rStyle w:val="apple-converted-space"/>
          <w:rFonts w:eastAsiaTheme="majorEastAsia"/>
          <w:color w:val="000000"/>
          <w:sz w:val="24"/>
        </w:rPr>
        <w:t> </w:t>
      </w:r>
      <w:r w:rsidRPr="00131165">
        <w:rPr>
          <w:i/>
          <w:iCs/>
          <w:color w:val="000000"/>
          <w:sz w:val="24"/>
        </w:rPr>
        <w:t>Human Resource Development Quarterly</w:t>
      </w:r>
      <w:r w:rsidRPr="00131165">
        <w:rPr>
          <w:color w:val="000000"/>
          <w:sz w:val="24"/>
        </w:rPr>
        <w:t xml:space="preserve">, 86(46). </w:t>
      </w:r>
      <w:proofErr w:type="spellStart"/>
      <w:r w:rsidRPr="00131165">
        <w:rPr>
          <w:color w:val="000000"/>
          <w:sz w:val="24"/>
        </w:rPr>
        <w:t>doi:https</w:t>
      </w:r>
      <w:proofErr w:type="spellEnd"/>
      <w:r w:rsidRPr="00131165">
        <w:rPr>
          <w:color w:val="000000"/>
          <w:sz w:val="24"/>
        </w:rPr>
        <w:t>://doi.org/10.1002/hrdq.21555.</w:t>
      </w:r>
    </w:p>
    <w:p w14:paraId="1D179DA3"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Dobusch</w:t>
      </w:r>
      <w:proofErr w:type="spellEnd"/>
      <w:r w:rsidRPr="00131165">
        <w:rPr>
          <w:color w:val="000000"/>
          <w:sz w:val="24"/>
        </w:rPr>
        <w:t>, L. (2020). The inclusivity of inclusion approaches: A relational perspective on inclusion and exclusion in organizations.</w:t>
      </w:r>
      <w:r w:rsidRPr="00131165">
        <w:rPr>
          <w:rStyle w:val="apple-converted-space"/>
          <w:rFonts w:eastAsiaTheme="majorEastAsia"/>
          <w:color w:val="000000"/>
          <w:sz w:val="24"/>
        </w:rPr>
        <w:t> </w:t>
      </w:r>
      <w:r w:rsidRPr="00131165">
        <w:rPr>
          <w:i/>
          <w:iCs/>
          <w:color w:val="000000"/>
          <w:sz w:val="24"/>
        </w:rPr>
        <w:t>Gender, Work &amp; Organization</w:t>
      </w:r>
      <w:r w:rsidRPr="00131165">
        <w:rPr>
          <w:color w:val="000000"/>
          <w:sz w:val="24"/>
        </w:rPr>
        <w:t xml:space="preserve">, 28(1). </w:t>
      </w:r>
      <w:proofErr w:type="spellStart"/>
      <w:r w:rsidRPr="00131165">
        <w:rPr>
          <w:color w:val="000000"/>
          <w:sz w:val="24"/>
        </w:rPr>
        <w:t>doi:https</w:t>
      </w:r>
      <w:proofErr w:type="spellEnd"/>
      <w:r w:rsidRPr="00131165">
        <w:rPr>
          <w:color w:val="000000"/>
          <w:sz w:val="24"/>
        </w:rPr>
        <w:t>://doi.org/10.1111/gwao.12574.</w:t>
      </w:r>
    </w:p>
    <w:p w14:paraId="2E0726EB"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lastRenderedPageBreak/>
        <w:t xml:space="preserve">Etherington, C., </w:t>
      </w:r>
      <w:proofErr w:type="spellStart"/>
      <w:r w:rsidRPr="00131165">
        <w:rPr>
          <w:color w:val="000000"/>
          <w:sz w:val="24"/>
        </w:rPr>
        <w:t>Kitto</w:t>
      </w:r>
      <w:proofErr w:type="spellEnd"/>
      <w:r w:rsidRPr="00131165">
        <w:rPr>
          <w:color w:val="000000"/>
          <w:sz w:val="24"/>
        </w:rPr>
        <w:t xml:space="preserve">, S., Burns, J.K., Adams, T.L., </w:t>
      </w:r>
      <w:proofErr w:type="spellStart"/>
      <w:r w:rsidRPr="00131165">
        <w:rPr>
          <w:color w:val="000000"/>
          <w:sz w:val="24"/>
        </w:rPr>
        <w:t>Birze</w:t>
      </w:r>
      <w:proofErr w:type="spellEnd"/>
      <w:r w:rsidRPr="00131165">
        <w:rPr>
          <w:color w:val="000000"/>
          <w:sz w:val="24"/>
        </w:rPr>
        <w:t xml:space="preserve">, A., Britton, M., Singh, S. and </w:t>
      </w:r>
      <w:proofErr w:type="spellStart"/>
      <w:r w:rsidRPr="00131165">
        <w:rPr>
          <w:color w:val="000000"/>
          <w:sz w:val="24"/>
        </w:rPr>
        <w:t>Boet</w:t>
      </w:r>
      <w:proofErr w:type="spellEnd"/>
      <w:r w:rsidRPr="00131165">
        <w:rPr>
          <w:color w:val="000000"/>
          <w:sz w:val="24"/>
        </w:rPr>
        <w:t>, S. (2021). How gender shapes interprofessional teamwork in the operating room: a qualitative secondary analysis.</w:t>
      </w:r>
      <w:r w:rsidRPr="00131165">
        <w:rPr>
          <w:rStyle w:val="apple-converted-space"/>
          <w:rFonts w:eastAsiaTheme="majorEastAsia"/>
          <w:color w:val="000000"/>
          <w:sz w:val="24"/>
        </w:rPr>
        <w:t> </w:t>
      </w:r>
      <w:r w:rsidRPr="00131165">
        <w:rPr>
          <w:i/>
          <w:iCs/>
          <w:color w:val="000000"/>
          <w:sz w:val="24"/>
        </w:rPr>
        <w:t>BMC Health Services Research</w:t>
      </w:r>
      <w:r w:rsidRPr="00131165">
        <w:rPr>
          <w:color w:val="000000"/>
          <w:sz w:val="24"/>
        </w:rPr>
        <w:t xml:space="preserve">, 21(1). </w:t>
      </w:r>
      <w:proofErr w:type="spellStart"/>
      <w:r w:rsidRPr="00131165">
        <w:rPr>
          <w:color w:val="000000"/>
          <w:sz w:val="24"/>
        </w:rPr>
        <w:t>doi:https</w:t>
      </w:r>
      <w:proofErr w:type="spellEnd"/>
      <w:r w:rsidRPr="00131165">
        <w:rPr>
          <w:color w:val="000000"/>
          <w:sz w:val="24"/>
        </w:rPr>
        <w:t>://doi.org/10.1186/s12913-021-07403-2.</w:t>
      </w:r>
    </w:p>
    <w:p w14:paraId="636CE1C1"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Fitriana, R. (2023). Cultivating inclusivity: A comprehensive study of diversity, inclusion initiatives and employee satisfaction.</w:t>
      </w:r>
      <w:r w:rsidRPr="00131165">
        <w:rPr>
          <w:rStyle w:val="apple-converted-space"/>
          <w:rFonts w:eastAsiaTheme="majorEastAsia"/>
          <w:color w:val="000000"/>
          <w:sz w:val="24"/>
        </w:rPr>
        <w:t> </w:t>
      </w:r>
      <w:r w:rsidRPr="00131165">
        <w:rPr>
          <w:i/>
          <w:iCs/>
          <w:color w:val="000000"/>
          <w:sz w:val="24"/>
        </w:rPr>
        <w:t>Journal of administrative and business studies</w:t>
      </w:r>
      <w:r w:rsidRPr="00131165">
        <w:rPr>
          <w:color w:val="000000"/>
          <w:sz w:val="24"/>
        </w:rPr>
        <w:t xml:space="preserve">, 9(3). </w:t>
      </w:r>
      <w:proofErr w:type="spellStart"/>
      <w:r w:rsidRPr="00131165">
        <w:rPr>
          <w:color w:val="000000"/>
          <w:sz w:val="24"/>
        </w:rPr>
        <w:t>doi:https</w:t>
      </w:r>
      <w:proofErr w:type="spellEnd"/>
      <w:r w:rsidRPr="00131165">
        <w:rPr>
          <w:color w:val="000000"/>
          <w:sz w:val="24"/>
        </w:rPr>
        <w:t>://doi.org/10.20474/jabs-9.3.2.</w:t>
      </w:r>
    </w:p>
    <w:p w14:paraId="631DA7E4"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Garrick, A., Johnson, W.D. and Arendt, S.W. (2024). Breaking Barriers: Strategies for Fostering Inclusivity in The Workplace.</w:t>
      </w:r>
      <w:r w:rsidRPr="00131165">
        <w:rPr>
          <w:rStyle w:val="apple-converted-space"/>
          <w:rFonts w:eastAsiaTheme="majorEastAsia"/>
          <w:color w:val="000000"/>
          <w:sz w:val="24"/>
        </w:rPr>
        <w:t> </w:t>
      </w:r>
      <w:r w:rsidRPr="00131165">
        <w:rPr>
          <w:i/>
          <w:iCs/>
          <w:color w:val="000000"/>
          <w:sz w:val="24"/>
        </w:rPr>
        <w:t>International Journal of Academic Research in Business and Social Sciences</w:t>
      </w:r>
      <w:r w:rsidRPr="00131165">
        <w:rPr>
          <w:color w:val="000000"/>
          <w:sz w:val="24"/>
        </w:rPr>
        <w:t>, [online] 14(2), pp.128–152. Available at: https://doi.org/10.6007/ijarbss/v14-i2/20799.</w:t>
      </w:r>
    </w:p>
    <w:p w14:paraId="03BEBC8F"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Giri</w:t>
      </w:r>
      <w:proofErr w:type="spellEnd"/>
      <w:r w:rsidRPr="00131165">
        <w:rPr>
          <w:color w:val="000000"/>
          <w:sz w:val="24"/>
        </w:rPr>
        <w:t>, P., Yadav, D., Mishra, B., Gupta, M.K. and Verma, D. (2024). Robust tissue adhesion in biomedical applications: enhancing polymer stability in an injectable protein-based hydrogel.</w:t>
      </w:r>
      <w:r w:rsidRPr="00131165">
        <w:rPr>
          <w:rStyle w:val="apple-converted-space"/>
          <w:rFonts w:eastAsiaTheme="majorEastAsia"/>
          <w:color w:val="000000"/>
          <w:sz w:val="24"/>
        </w:rPr>
        <w:t> </w:t>
      </w:r>
      <w:r w:rsidRPr="00131165">
        <w:rPr>
          <w:i/>
          <w:iCs/>
          <w:color w:val="000000"/>
          <w:sz w:val="24"/>
        </w:rPr>
        <w:t>Journal of Biomaterials Science, Polymer Edition</w:t>
      </w:r>
      <w:r w:rsidRPr="00131165">
        <w:rPr>
          <w:color w:val="000000"/>
          <w:sz w:val="24"/>
        </w:rPr>
        <w:t xml:space="preserve">, 36(3), pp.273–295. </w:t>
      </w:r>
      <w:proofErr w:type="spellStart"/>
      <w:r w:rsidRPr="00131165">
        <w:rPr>
          <w:color w:val="000000"/>
          <w:sz w:val="24"/>
        </w:rPr>
        <w:t>doi:https</w:t>
      </w:r>
      <w:proofErr w:type="spellEnd"/>
      <w:r w:rsidRPr="00131165">
        <w:rPr>
          <w:color w:val="000000"/>
          <w:sz w:val="24"/>
        </w:rPr>
        <w:t>://doi.org/10.1080/09205063.2024.2398888.</w:t>
      </w:r>
    </w:p>
    <w:p w14:paraId="47546E8C"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Goddard, W. and Melville, S. (2020).</w:t>
      </w:r>
      <w:r w:rsidRPr="00131165">
        <w:rPr>
          <w:rStyle w:val="apple-converted-space"/>
          <w:rFonts w:eastAsiaTheme="majorEastAsia"/>
          <w:color w:val="000000"/>
          <w:sz w:val="24"/>
        </w:rPr>
        <w:t> </w:t>
      </w:r>
      <w:r w:rsidRPr="00131165">
        <w:rPr>
          <w:i/>
          <w:iCs/>
          <w:color w:val="000000"/>
          <w:sz w:val="24"/>
        </w:rPr>
        <w:t>Research Methodology</w:t>
      </w:r>
      <w:r w:rsidRPr="00131165">
        <w:rPr>
          <w:color w:val="000000"/>
          <w:sz w:val="24"/>
        </w:rPr>
        <w:t xml:space="preserve">. 3rd ed. Kenwyn, South Africa: Juta &amp; Co., </w:t>
      </w:r>
      <w:proofErr w:type="spellStart"/>
      <w:r w:rsidRPr="00131165">
        <w:rPr>
          <w:color w:val="000000"/>
          <w:sz w:val="24"/>
        </w:rPr>
        <w:t>Repr</w:t>
      </w:r>
      <w:proofErr w:type="spellEnd"/>
      <w:r w:rsidRPr="00131165">
        <w:rPr>
          <w:color w:val="000000"/>
          <w:sz w:val="24"/>
        </w:rPr>
        <w:t>.</w:t>
      </w:r>
    </w:p>
    <w:p w14:paraId="0D21DE55"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Gusain</w:t>
      </w:r>
      <w:proofErr w:type="spellEnd"/>
      <w:r w:rsidRPr="00131165">
        <w:rPr>
          <w:color w:val="000000"/>
          <w:sz w:val="24"/>
        </w:rPr>
        <w:t>, M. and Gujral, H.K. (2024). ROLE OF EMPLOYEE ENGAGEMENT AND GENDER DIVERSITY IN CREATING INCLUSIVE ORGANIZATIONAL CULTURE.</w:t>
      </w:r>
      <w:r w:rsidRPr="00131165">
        <w:rPr>
          <w:rStyle w:val="apple-converted-space"/>
          <w:rFonts w:eastAsiaTheme="majorEastAsia"/>
          <w:color w:val="000000"/>
          <w:sz w:val="24"/>
        </w:rPr>
        <w:t> </w:t>
      </w:r>
      <w:r w:rsidRPr="00131165">
        <w:rPr>
          <w:i/>
          <w:iCs/>
          <w:color w:val="000000"/>
          <w:sz w:val="24"/>
        </w:rPr>
        <w:t>International Journal of Research -GRANTHAALAYAH</w:t>
      </w:r>
      <w:r w:rsidRPr="00131165">
        <w:rPr>
          <w:color w:val="000000"/>
          <w:sz w:val="24"/>
        </w:rPr>
        <w:t xml:space="preserve">, [online] 12(5). </w:t>
      </w:r>
      <w:proofErr w:type="spellStart"/>
      <w:r w:rsidRPr="00131165">
        <w:rPr>
          <w:color w:val="000000"/>
          <w:sz w:val="24"/>
        </w:rPr>
        <w:t>doi:https</w:t>
      </w:r>
      <w:proofErr w:type="spellEnd"/>
      <w:r w:rsidRPr="00131165">
        <w:rPr>
          <w:color w:val="000000"/>
          <w:sz w:val="24"/>
        </w:rPr>
        <w:t>://doi.org/10.29121/granthaalayah.v12.i5.2024.5617.</w:t>
      </w:r>
    </w:p>
    <w:p w14:paraId="675B24D0"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Hammond, J., Davies, N., Morrow, E., Ross, F., </w:t>
      </w:r>
      <w:proofErr w:type="spellStart"/>
      <w:r w:rsidRPr="00131165">
        <w:rPr>
          <w:color w:val="000000"/>
          <w:sz w:val="24"/>
        </w:rPr>
        <w:t>Vandrevala</w:t>
      </w:r>
      <w:proofErr w:type="spellEnd"/>
      <w:r w:rsidRPr="00131165">
        <w:rPr>
          <w:color w:val="000000"/>
          <w:sz w:val="24"/>
        </w:rPr>
        <w:t>, T. and Harris, R. (2022). ‘Raising the curtain on the equality theatre’: a study of recruitment to first healthcare job post-qualification in the UK National Health Service.</w:t>
      </w:r>
      <w:r w:rsidRPr="00131165">
        <w:rPr>
          <w:rStyle w:val="apple-converted-space"/>
          <w:rFonts w:eastAsiaTheme="majorEastAsia"/>
          <w:color w:val="000000"/>
          <w:sz w:val="24"/>
        </w:rPr>
        <w:t> </w:t>
      </w:r>
      <w:r w:rsidRPr="00131165">
        <w:rPr>
          <w:i/>
          <w:iCs/>
          <w:color w:val="000000"/>
          <w:sz w:val="24"/>
        </w:rPr>
        <w:t>Human Resources for Health</w:t>
      </w:r>
      <w:r w:rsidRPr="00131165">
        <w:rPr>
          <w:color w:val="000000"/>
          <w:sz w:val="24"/>
        </w:rPr>
        <w:t xml:space="preserve">, 20(1). </w:t>
      </w:r>
      <w:proofErr w:type="spellStart"/>
      <w:r w:rsidRPr="00131165">
        <w:rPr>
          <w:color w:val="000000"/>
          <w:sz w:val="24"/>
        </w:rPr>
        <w:t>doi:https</w:t>
      </w:r>
      <w:proofErr w:type="spellEnd"/>
      <w:r w:rsidRPr="00131165">
        <w:rPr>
          <w:color w:val="000000"/>
          <w:sz w:val="24"/>
        </w:rPr>
        <w:t>://doi.org/10.1186/s12960-022-00754-9.</w:t>
      </w:r>
    </w:p>
    <w:p w14:paraId="2EA039C6"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Harkiolakis</w:t>
      </w:r>
      <w:proofErr w:type="spellEnd"/>
      <w:r w:rsidRPr="00131165">
        <w:rPr>
          <w:color w:val="000000"/>
          <w:sz w:val="24"/>
        </w:rPr>
        <w:t>, N. (2019).</w:t>
      </w:r>
      <w:r w:rsidRPr="00131165">
        <w:rPr>
          <w:rStyle w:val="apple-converted-space"/>
          <w:rFonts w:eastAsiaTheme="majorEastAsia"/>
          <w:color w:val="000000"/>
          <w:sz w:val="24"/>
        </w:rPr>
        <w:t> </w:t>
      </w:r>
      <w:r w:rsidRPr="00131165">
        <w:rPr>
          <w:i/>
          <w:iCs/>
          <w:color w:val="000000"/>
          <w:sz w:val="24"/>
        </w:rPr>
        <w:t>Quantitative research methods : from theory to publication</w:t>
      </w:r>
      <w:r w:rsidRPr="00131165">
        <w:rPr>
          <w:color w:val="000000"/>
          <w:sz w:val="24"/>
        </w:rPr>
        <w:t xml:space="preserve">. United States: </w:t>
      </w:r>
      <w:proofErr w:type="spellStart"/>
      <w:r w:rsidRPr="00131165">
        <w:rPr>
          <w:color w:val="000000"/>
          <w:sz w:val="24"/>
        </w:rPr>
        <w:t>Createspace</w:t>
      </w:r>
      <w:proofErr w:type="spellEnd"/>
      <w:r w:rsidRPr="00131165">
        <w:rPr>
          <w:color w:val="000000"/>
          <w:sz w:val="24"/>
        </w:rPr>
        <w:t>.</w:t>
      </w:r>
    </w:p>
    <w:p w14:paraId="53D51E38"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Holmes, P.E. and Howard, M.C. (2022). The duplicitous effect of organizational identification: applying social identity theory to identify joint relations with workplace social courage </w:t>
      </w:r>
      <w:r w:rsidRPr="00131165">
        <w:rPr>
          <w:color w:val="000000"/>
          <w:sz w:val="24"/>
        </w:rPr>
        <w:lastRenderedPageBreak/>
        <w:t>and unethical pro-organizational behaviors.</w:t>
      </w:r>
      <w:r w:rsidRPr="00131165">
        <w:rPr>
          <w:rStyle w:val="apple-converted-space"/>
          <w:rFonts w:eastAsiaTheme="majorEastAsia"/>
          <w:color w:val="000000"/>
          <w:sz w:val="24"/>
        </w:rPr>
        <w:t> </w:t>
      </w:r>
      <w:r w:rsidRPr="00131165">
        <w:rPr>
          <w:i/>
          <w:iCs/>
          <w:color w:val="000000"/>
          <w:sz w:val="24"/>
        </w:rPr>
        <w:t>The Journal of Positive Psychology</w:t>
      </w:r>
      <w:r w:rsidRPr="00131165">
        <w:rPr>
          <w:color w:val="000000"/>
          <w:sz w:val="24"/>
        </w:rPr>
        <w:t xml:space="preserve">, 18(5), pp.1–14. </w:t>
      </w:r>
      <w:proofErr w:type="spellStart"/>
      <w:r w:rsidRPr="00131165">
        <w:rPr>
          <w:color w:val="000000"/>
          <w:sz w:val="24"/>
        </w:rPr>
        <w:t>doi:https</w:t>
      </w:r>
      <w:proofErr w:type="spellEnd"/>
      <w:r w:rsidRPr="00131165">
        <w:rPr>
          <w:color w:val="000000"/>
          <w:sz w:val="24"/>
        </w:rPr>
        <w:t>://doi.org/10.1080/17439760.2022.2109199.</w:t>
      </w:r>
    </w:p>
    <w:p w14:paraId="31F53A83"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Ikhsan</w:t>
      </w:r>
      <w:proofErr w:type="spellEnd"/>
      <w:r w:rsidRPr="00131165">
        <w:rPr>
          <w:color w:val="000000"/>
          <w:sz w:val="24"/>
        </w:rPr>
        <w:t xml:space="preserve">, I., </w:t>
      </w:r>
      <w:proofErr w:type="spellStart"/>
      <w:r w:rsidRPr="00131165">
        <w:rPr>
          <w:color w:val="000000"/>
          <w:sz w:val="24"/>
        </w:rPr>
        <w:t>Hajad</w:t>
      </w:r>
      <w:proofErr w:type="spellEnd"/>
      <w:r w:rsidRPr="00131165">
        <w:rPr>
          <w:color w:val="000000"/>
          <w:sz w:val="24"/>
        </w:rPr>
        <w:t xml:space="preserve">, V., </w:t>
      </w:r>
      <w:proofErr w:type="spellStart"/>
      <w:r w:rsidRPr="00131165">
        <w:rPr>
          <w:color w:val="000000"/>
          <w:sz w:val="24"/>
        </w:rPr>
        <w:t>Saputra</w:t>
      </w:r>
      <w:proofErr w:type="spellEnd"/>
      <w:r w:rsidRPr="00131165">
        <w:rPr>
          <w:color w:val="000000"/>
          <w:sz w:val="24"/>
        </w:rPr>
        <w:t xml:space="preserve">, I.M., </w:t>
      </w:r>
      <w:proofErr w:type="spellStart"/>
      <w:r w:rsidRPr="00131165">
        <w:rPr>
          <w:color w:val="000000"/>
          <w:sz w:val="24"/>
        </w:rPr>
        <w:t>Herizal</w:t>
      </w:r>
      <w:proofErr w:type="spellEnd"/>
      <w:r w:rsidRPr="00131165">
        <w:rPr>
          <w:color w:val="000000"/>
          <w:sz w:val="24"/>
        </w:rPr>
        <w:t>, H. and Latif, I.R. (2025). Governance-Driven Solutions for Women’s Empowerment in the Mining Sector: Tackling Gender Inequality through Inclusive Policies.</w:t>
      </w:r>
      <w:r w:rsidRPr="00131165">
        <w:rPr>
          <w:rStyle w:val="apple-converted-space"/>
          <w:rFonts w:eastAsiaTheme="majorEastAsia"/>
          <w:color w:val="000000"/>
          <w:sz w:val="24"/>
        </w:rPr>
        <w:t> </w:t>
      </w:r>
      <w:r w:rsidRPr="00131165">
        <w:rPr>
          <w:i/>
          <w:iCs/>
          <w:color w:val="000000"/>
          <w:sz w:val="24"/>
        </w:rPr>
        <w:t>Journal of Contemporary Governance and Public Policy</w:t>
      </w:r>
      <w:r w:rsidRPr="00131165">
        <w:rPr>
          <w:color w:val="000000"/>
          <w:sz w:val="24"/>
        </w:rPr>
        <w:t xml:space="preserve">, 6(1), pp.1–22. </w:t>
      </w:r>
      <w:proofErr w:type="spellStart"/>
      <w:r w:rsidRPr="00131165">
        <w:rPr>
          <w:color w:val="000000"/>
          <w:sz w:val="24"/>
        </w:rPr>
        <w:t>doi:https</w:t>
      </w:r>
      <w:proofErr w:type="spellEnd"/>
      <w:r w:rsidRPr="00131165">
        <w:rPr>
          <w:color w:val="000000"/>
          <w:sz w:val="24"/>
        </w:rPr>
        <w:t>://doi.org/10.46507/jcgpp.v6i1.647.</w:t>
      </w:r>
    </w:p>
    <w:p w14:paraId="27D28A35"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Iskhakova</w:t>
      </w:r>
      <w:proofErr w:type="spellEnd"/>
      <w:r w:rsidRPr="00131165">
        <w:rPr>
          <w:color w:val="000000"/>
          <w:sz w:val="24"/>
        </w:rPr>
        <w:t>, M. and Ott, D.L. (2020). Working in culturally diverse teams.</w:t>
      </w:r>
      <w:r w:rsidRPr="00131165">
        <w:rPr>
          <w:rStyle w:val="apple-converted-space"/>
          <w:rFonts w:eastAsiaTheme="majorEastAsia"/>
          <w:color w:val="000000"/>
          <w:sz w:val="24"/>
        </w:rPr>
        <w:t> </w:t>
      </w:r>
      <w:r w:rsidRPr="00131165">
        <w:rPr>
          <w:i/>
          <w:iCs/>
          <w:color w:val="000000"/>
          <w:sz w:val="24"/>
        </w:rPr>
        <w:t>Journal of International Education in Business</w:t>
      </w:r>
      <w:r w:rsidRPr="00131165">
        <w:rPr>
          <w:color w:val="000000"/>
          <w:sz w:val="24"/>
        </w:rPr>
        <w:t xml:space="preserve">, ahead-of-print(ahead-of-print). </w:t>
      </w:r>
      <w:proofErr w:type="spellStart"/>
      <w:r w:rsidRPr="00131165">
        <w:rPr>
          <w:color w:val="000000"/>
          <w:sz w:val="24"/>
        </w:rPr>
        <w:t>doi:https</w:t>
      </w:r>
      <w:proofErr w:type="spellEnd"/>
      <w:r w:rsidRPr="00131165">
        <w:rPr>
          <w:color w:val="000000"/>
          <w:sz w:val="24"/>
        </w:rPr>
        <w:t>://doi.org/10.1108/jieb-11-2019-0052.</w:t>
      </w:r>
    </w:p>
    <w:p w14:paraId="530CEC31"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Jaarsveld, D.D. van , Walker, D.D., </w:t>
      </w:r>
      <w:proofErr w:type="spellStart"/>
      <w:r w:rsidRPr="00131165">
        <w:rPr>
          <w:color w:val="000000"/>
          <w:sz w:val="24"/>
        </w:rPr>
        <w:t>Restubog</w:t>
      </w:r>
      <w:proofErr w:type="spellEnd"/>
      <w:r w:rsidRPr="00131165">
        <w:rPr>
          <w:color w:val="000000"/>
          <w:sz w:val="24"/>
        </w:rPr>
        <w:t xml:space="preserve">, S.L.D., </w:t>
      </w:r>
      <w:proofErr w:type="spellStart"/>
      <w:r w:rsidRPr="00131165">
        <w:rPr>
          <w:color w:val="000000"/>
          <w:sz w:val="24"/>
        </w:rPr>
        <w:t>Skarlicki</w:t>
      </w:r>
      <w:proofErr w:type="spellEnd"/>
      <w:r w:rsidRPr="00131165">
        <w:rPr>
          <w:color w:val="000000"/>
          <w:sz w:val="24"/>
        </w:rPr>
        <w:t xml:space="preserve">, D., Chen, Y. and </w:t>
      </w:r>
      <w:proofErr w:type="spellStart"/>
      <w:r w:rsidRPr="00131165">
        <w:rPr>
          <w:color w:val="000000"/>
          <w:sz w:val="24"/>
        </w:rPr>
        <w:t>Frické</w:t>
      </w:r>
      <w:proofErr w:type="spellEnd"/>
      <w:r w:rsidRPr="00131165">
        <w:rPr>
          <w:color w:val="000000"/>
          <w:sz w:val="24"/>
        </w:rPr>
        <w:t>, P.H. (2019). Unpacking the Relationship Between Customer (In)Justice and Employee Turnover Outcomes: Can Fair Supervisor Treatment Reduce Employees’ Emotional Turmoil?</w:t>
      </w:r>
      <w:r w:rsidRPr="00131165">
        <w:rPr>
          <w:rStyle w:val="apple-converted-space"/>
          <w:rFonts w:eastAsiaTheme="majorEastAsia"/>
          <w:color w:val="000000"/>
          <w:sz w:val="24"/>
        </w:rPr>
        <w:t> </w:t>
      </w:r>
      <w:r w:rsidRPr="00131165">
        <w:rPr>
          <w:i/>
          <w:iCs/>
          <w:color w:val="000000"/>
          <w:sz w:val="24"/>
        </w:rPr>
        <w:t>Journal of Service Research</w:t>
      </w:r>
      <w:r w:rsidRPr="00131165">
        <w:rPr>
          <w:color w:val="000000"/>
          <w:sz w:val="24"/>
        </w:rPr>
        <w:t xml:space="preserve">, 24(2), pp.301–319. </w:t>
      </w:r>
      <w:proofErr w:type="spellStart"/>
      <w:r w:rsidRPr="00131165">
        <w:rPr>
          <w:color w:val="000000"/>
          <w:sz w:val="24"/>
        </w:rPr>
        <w:t>doi:https</w:t>
      </w:r>
      <w:proofErr w:type="spellEnd"/>
      <w:r w:rsidRPr="00131165">
        <w:rPr>
          <w:color w:val="000000"/>
          <w:sz w:val="24"/>
        </w:rPr>
        <w:t>://doi.org/10.1177/1094670519883949.</w:t>
      </w:r>
    </w:p>
    <w:p w14:paraId="31CE04F2"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Jamil, S. and </w:t>
      </w:r>
      <w:proofErr w:type="spellStart"/>
      <w:r w:rsidRPr="00131165">
        <w:rPr>
          <w:color w:val="000000"/>
          <w:sz w:val="24"/>
        </w:rPr>
        <w:t>Hyder</w:t>
      </w:r>
      <w:proofErr w:type="spellEnd"/>
      <w:r w:rsidRPr="00131165">
        <w:rPr>
          <w:color w:val="000000"/>
          <w:sz w:val="24"/>
        </w:rPr>
        <w:t>, M. (2024). Bridging Differences: The Role of Socialization and Inclusivity in Fostering Employee Performance in Healthcare Sector.</w:t>
      </w:r>
      <w:r w:rsidRPr="00131165">
        <w:rPr>
          <w:rStyle w:val="apple-converted-space"/>
          <w:rFonts w:eastAsiaTheme="majorEastAsia"/>
          <w:color w:val="000000"/>
          <w:sz w:val="24"/>
        </w:rPr>
        <w:t> </w:t>
      </w:r>
      <w:r w:rsidRPr="00131165">
        <w:rPr>
          <w:i/>
          <w:iCs/>
          <w:color w:val="000000"/>
          <w:sz w:val="24"/>
        </w:rPr>
        <w:t>International Journal of Social Science &amp; Entrepreneurship</w:t>
      </w:r>
      <w:r w:rsidRPr="00131165">
        <w:rPr>
          <w:color w:val="000000"/>
          <w:sz w:val="24"/>
        </w:rPr>
        <w:t xml:space="preserve">, 4(1), pp.285–312. </w:t>
      </w:r>
      <w:proofErr w:type="spellStart"/>
      <w:r w:rsidRPr="00131165">
        <w:rPr>
          <w:color w:val="000000"/>
          <w:sz w:val="24"/>
        </w:rPr>
        <w:t>doi:https</w:t>
      </w:r>
      <w:proofErr w:type="spellEnd"/>
      <w:r w:rsidRPr="00131165">
        <w:rPr>
          <w:color w:val="000000"/>
          <w:sz w:val="24"/>
        </w:rPr>
        <w:t>://doi.org/10.58661/ijsse.v4i1.265.</w:t>
      </w:r>
    </w:p>
    <w:p w14:paraId="47A07608"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Järlström</w:t>
      </w:r>
      <w:proofErr w:type="spellEnd"/>
      <w:r w:rsidRPr="00131165">
        <w:rPr>
          <w:color w:val="000000"/>
          <w:sz w:val="24"/>
        </w:rPr>
        <w:t xml:space="preserve">, M., </w:t>
      </w:r>
      <w:proofErr w:type="spellStart"/>
      <w:r w:rsidRPr="00131165">
        <w:rPr>
          <w:color w:val="000000"/>
          <w:sz w:val="24"/>
        </w:rPr>
        <w:t>Saru</w:t>
      </w:r>
      <w:proofErr w:type="spellEnd"/>
      <w:r w:rsidRPr="00131165">
        <w:rPr>
          <w:color w:val="000000"/>
          <w:sz w:val="24"/>
        </w:rPr>
        <w:t xml:space="preserve">, E., </w:t>
      </w:r>
      <w:proofErr w:type="spellStart"/>
      <w:r w:rsidRPr="00131165">
        <w:rPr>
          <w:color w:val="000000"/>
          <w:sz w:val="24"/>
        </w:rPr>
        <w:t>Viitasaari</w:t>
      </w:r>
      <w:proofErr w:type="spellEnd"/>
      <w:r w:rsidRPr="00131165">
        <w:rPr>
          <w:color w:val="000000"/>
          <w:sz w:val="24"/>
        </w:rPr>
        <w:t xml:space="preserve">, M. and </w:t>
      </w:r>
      <w:proofErr w:type="spellStart"/>
      <w:r w:rsidRPr="00131165">
        <w:rPr>
          <w:color w:val="000000"/>
          <w:sz w:val="24"/>
        </w:rPr>
        <w:t>Akrivou</w:t>
      </w:r>
      <w:proofErr w:type="spellEnd"/>
      <w:r w:rsidRPr="00131165">
        <w:rPr>
          <w:color w:val="000000"/>
          <w:sz w:val="24"/>
        </w:rPr>
        <w:t>, K. (2024). Integrating ‘common good’ authenticity for sustainable human resource management reporting.</w:t>
      </w:r>
      <w:r w:rsidRPr="00131165">
        <w:rPr>
          <w:rStyle w:val="apple-converted-space"/>
          <w:rFonts w:eastAsiaTheme="majorEastAsia"/>
          <w:color w:val="000000"/>
          <w:sz w:val="24"/>
        </w:rPr>
        <w:t> </w:t>
      </w:r>
      <w:proofErr w:type="spellStart"/>
      <w:r w:rsidRPr="00131165">
        <w:rPr>
          <w:i/>
          <w:iCs/>
          <w:color w:val="000000"/>
          <w:sz w:val="24"/>
        </w:rPr>
        <w:t>Zeitschrift</w:t>
      </w:r>
      <w:proofErr w:type="spellEnd"/>
      <w:r w:rsidRPr="00131165">
        <w:rPr>
          <w:i/>
          <w:iCs/>
          <w:color w:val="000000"/>
          <w:sz w:val="24"/>
        </w:rPr>
        <w:t xml:space="preserve"> Fur </w:t>
      </w:r>
      <w:proofErr w:type="spellStart"/>
      <w:r w:rsidRPr="00131165">
        <w:rPr>
          <w:i/>
          <w:iCs/>
          <w:color w:val="000000"/>
          <w:sz w:val="24"/>
        </w:rPr>
        <w:t>Personalforschung</w:t>
      </w:r>
      <w:proofErr w:type="spellEnd"/>
      <w:r w:rsidRPr="00131165">
        <w:rPr>
          <w:color w:val="000000"/>
          <w:sz w:val="24"/>
        </w:rPr>
        <w:t xml:space="preserve">, 38(2). </w:t>
      </w:r>
      <w:proofErr w:type="spellStart"/>
      <w:r w:rsidRPr="00131165">
        <w:rPr>
          <w:color w:val="000000"/>
          <w:sz w:val="24"/>
        </w:rPr>
        <w:t>doi:https</w:t>
      </w:r>
      <w:proofErr w:type="spellEnd"/>
      <w:r w:rsidRPr="00131165">
        <w:rPr>
          <w:color w:val="000000"/>
          <w:sz w:val="24"/>
        </w:rPr>
        <w:t>://doi.org/10.1177/23970022241229035.</w:t>
      </w:r>
    </w:p>
    <w:p w14:paraId="71DCDAA2"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Jones, A., Maben, J., Adams, M., Mannion, R., Banks, C., Blake, J., Job, K. and Kelly, D. (2022). Implementation of ‘Freedom to Speak Up Guardians’ in NHS acute and mental health trusts in England: the FTSUG mixed-methods study.</w:t>
      </w:r>
      <w:r w:rsidRPr="00131165">
        <w:rPr>
          <w:rStyle w:val="apple-converted-space"/>
          <w:rFonts w:eastAsiaTheme="majorEastAsia"/>
          <w:color w:val="000000"/>
          <w:sz w:val="24"/>
        </w:rPr>
        <w:t> </w:t>
      </w:r>
      <w:r w:rsidRPr="00131165">
        <w:rPr>
          <w:i/>
          <w:iCs/>
          <w:color w:val="000000"/>
          <w:sz w:val="24"/>
        </w:rPr>
        <w:t>Health and Social Care Delivery Research</w:t>
      </w:r>
      <w:r w:rsidRPr="00131165">
        <w:rPr>
          <w:color w:val="000000"/>
          <w:sz w:val="24"/>
        </w:rPr>
        <w:t xml:space="preserve">, 10(23), pp.1–124. </w:t>
      </w:r>
      <w:proofErr w:type="spellStart"/>
      <w:r w:rsidRPr="00131165">
        <w:rPr>
          <w:color w:val="000000"/>
          <w:sz w:val="24"/>
        </w:rPr>
        <w:t>doi:https</w:t>
      </w:r>
      <w:proofErr w:type="spellEnd"/>
      <w:r w:rsidRPr="00131165">
        <w:rPr>
          <w:color w:val="000000"/>
          <w:sz w:val="24"/>
        </w:rPr>
        <w:t>://doi.org/10.3310/guws9067.</w:t>
      </w:r>
    </w:p>
    <w:p w14:paraId="40BC6EDD"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Kauff</w:t>
      </w:r>
      <w:proofErr w:type="spellEnd"/>
      <w:r w:rsidRPr="00131165">
        <w:rPr>
          <w:color w:val="000000"/>
          <w:sz w:val="24"/>
        </w:rPr>
        <w:t xml:space="preserve">, M., </w:t>
      </w:r>
      <w:proofErr w:type="spellStart"/>
      <w:r w:rsidRPr="00131165">
        <w:rPr>
          <w:color w:val="000000"/>
          <w:sz w:val="24"/>
        </w:rPr>
        <w:t>Beneda</w:t>
      </w:r>
      <w:proofErr w:type="spellEnd"/>
      <w:r w:rsidRPr="00131165">
        <w:rPr>
          <w:color w:val="000000"/>
          <w:sz w:val="24"/>
        </w:rPr>
        <w:t xml:space="preserve">, M., </w:t>
      </w:r>
      <w:proofErr w:type="spellStart"/>
      <w:r w:rsidRPr="00131165">
        <w:rPr>
          <w:color w:val="000000"/>
          <w:sz w:val="24"/>
        </w:rPr>
        <w:t>Paolini</w:t>
      </w:r>
      <w:proofErr w:type="spellEnd"/>
      <w:r w:rsidRPr="00131165">
        <w:rPr>
          <w:color w:val="000000"/>
          <w:sz w:val="24"/>
        </w:rPr>
        <w:t xml:space="preserve">, S., </w:t>
      </w:r>
      <w:proofErr w:type="spellStart"/>
      <w:r w:rsidRPr="00131165">
        <w:rPr>
          <w:color w:val="000000"/>
          <w:sz w:val="24"/>
        </w:rPr>
        <w:t>Bilewicz</w:t>
      </w:r>
      <w:proofErr w:type="spellEnd"/>
      <w:r w:rsidRPr="00131165">
        <w:rPr>
          <w:color w:val="000000"/>
          <w:sz w:val="24"/>
        </w:rPr>
        <w:t xml:space="preserve">, M., </w:t>
      </w:r>
      <w:proofErr w:type="spellStart"/>
      <w:r w:rsidRPr="00131165">
        <w:rPr>
          <w:color w:val="000000"/>
          <w:sz w:val="24"/>
        </w:rPr>
        <w:t>Kotzur</w:t>
      </w:r>
      <w:proofErr w:type="spellEnd"/>
      <w:r w:rsidRPr="00131165">
        <w:rPr>
          <w:color w:val="000000"/>
          <w:sz w:val="24"/>
        </w:rPr>
        <w:t>, P., O’Donnell, A.W., Stevenson, C., Wagner, U. and Christ, O. (2020). How do we get people into contact? Predictors of intergroup contact and drivers of contact seeking.</w:t>
      </w:r>
      <w:r w:rsidRPr="00131165">
        <w:rPr>
          <w:rStyle w:val="apple-converted-space"/>
          <w:rFonts w:eastAsiaTheme="majorEastAsia"/>
          <w:color w:val="000000"/>
          <w:sz w:val="24"/>
        </w:rPr>
        <w:t> </w:t>
      </w:r>
      <w:r w:rsidRPr="00131165">
        <w:rPr>
          <w:i/>
          <w:iCs/>
          <w:color w:val="000000"/>
          <w:sz w:val="24"/>
        </w:rPr>
        <w:t>Journal of Social Issues</w:t>
      </w:r>
      <w:r w:rsidRPr="00131165">
        <w:rPr>
          <w:color w:val="000000"/>
          <w:sz w:val="24"/>
        </w:rPr>
        <w:t xml:space="preserve">, 77. </w:t>
      </w:r>
      <w:proofErr w:type="spellStart"/>
      <w:r w:rsidRPr="00131165">
        <w:rPr>
          <w:color w:val="000000"/>
          <w:sz w:val="24"/>
        </w:rPr>
        <w:t>doi:https</w:t>
      </w:r>
      <w:proofErr w:type="spellEnd"/>
      <w:r w:rsidRPr="00131165">
        <w:rPr>
          <w:color w:val="000000"/>
          <w:sz w:val="24"/>
        </w:rPr>
        <w:t>://doi.org/10.1111/josi.12398.</w:t>
      </w:r>
    </w:p>
    <w:p w14:paraId="17F5F16C"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lastRenderedPageBreak/>
        <w:t>Khadka, C. (2024). Social identity theory and group behavior.</w:t>
      </w:r>
      <w:r w:rsidRPr="00131165">
        <w:rPr>
          <w:rStyle w:val="apple-converted-space"/>
          <w:rFonts w:eastAsiaTheme="majorEastAsia"/>
          <w:color w:val="000000"/>
          <w:sz w:val="24"/>
        </w:rPr>
        <w:t> </w:t>
      </w:r>
      <w:r w:rsidRPr="00131165">
        <w:rPr>
          <w:i/>
          <w:iCs/>
          <w:color w:val="000000"/>
          <w:sz w:val="24"/>
        </w:rPr>
        <w:t>TUTA Journal</w:t>
      </w:r>
      <w:r w:rsidRPr="00131165">
        <w:rPr>
          <w:color w:val="000000"/>
          <w:sz w:val="24"/>
        </w:rPr>
        <w:t xml:space="preserve">, 11-12(1), pp.105–120. </w:t>
      </w:r>
      <w:proofErr w:type="spellStart"/>
      <w:r w:rsidRPr="00131165">
        <w:rPr>
          <w:color w:val="000000"/>
          <w:sz w:val="24"/>
        </w:rPr>
        <w:t>doi:https</w:t>
      </w:r>
      <w:proofErr w:type="spellEnd"/>
      <w:r w:rsidRPr="00131165">
        <w:rPr>
          <w:color w:val="000000"/>
          <w:sz w:val="24"/>
        </w:rPr>
        <w:t>://doi.org/10.3126/tutaj.v12i1.74063.</w:t>
      </w:r>
    </w:p>
    <w:p w14:paraId="513B8D9B"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Kiani</w:t>
      </w:r>
      <w:proofErr w:type="spellEnd"/>
      <w:r w:rsidRPr="00131165">
        <w:rPr>
          <w:color w:val="000000"/>
          <w:sz w:val="24"/>
        </w:rPr>
        <w:t xml:space="preserve">, A.K., </w:t>
      </w:r>
      <w:proofErr w:type="spellStart"/>
      <w:r w:rsidRPr="00131165">
        <w:rPr>
          <w:color w:val="000000"/>
          <w:sz w:val="24"/>
        </w:rPr>
        <w:t>Naureen</w:t>
      </w:r>
      <w:proofErr w:type="spellEnd"/>
      <w:r w:rsidRPr="00131165">
        <w:rPr>
          <w:color w:val="000000"/>
          <w:sz w:val="24"/>
        </w:rPr>
        <w:t xml:space="preserve">, Z., </w:t>
      </w:r>
      <w:proofErr w:type="spellStart"/>
      <w:r w:rsidRPr="00131165">
        <w:rPr>
          <w:color w:val="000000"/>
          <w:sz w:val="24"/>
        </w:rPr>
        <w:t>Pheby</w:t>
      </w:r>
      <w:proofErr w:type="spellEnd"/>
      <w:r w:rsidRPr="00131165">
        <w:rPr>
          <w:color w:val="000000"/>
          <w:sz w:val="24"/>
        </w:rPr>
        <w:t xml:space="preserve">, D., </w:t>
      </w:r>
      <w:proofErr w:type="spellStart"/>
      <w:r w:rsidRPr="00131165">
        <w:rPr>
          <w:color w:val="000000"/>
          <w:sz w:val="24"/>
        </w:rPr>
        <w:t>Henehan</w:t>
      </w:r>
      <w:proofErr w:type="spellEnd"/>
      <w:r w:rsidRPr="00131165">
        <w:rPr>
          <w:color w:val="000000"/>
          <w:sz w:val="24"/>
        </w:rPr>
        <w:t xml:space="preserve">, G., Brown, R., Sieving, P., </w:t>
      </w:r>
      <w:proofErr w:type="spellStart"/>
      <w:r w:rsidRPr="00131165">
        <w:rPr>
          <w:color w:val="000000"/>
          <w:sz w:val="24"/>
        </w:rPr>
        <w:t>Sykora</w:t>
      </w:r>
      <w:proofErr w:type="spellEnd"/>
      <w:r w:rsidRPr="00131165">
        <w:rPr>
          <w:color w:val="000000"/>
          <w:sz w:val="24"/>
        </w:rPr>
        <w:t xml:space="preserve">, P., Marks, R., </w:t>
      </w:r>
      <w:proofErr w:type="spellStart"/>
      <w:r w:rsidRPr="00131165">
        <w:rPr>
          <w:color w:val="000000"/>
          <w:sz w:val="24"/>
        </w:rPr>
        <w:t>Falsini</w:t>
      </w:r>
      <w:proofErr w:type="spellEnd"/>
      <w:r w:rsidRPr="00131165">
        <w:rPr>
          <w:color w:val="000000"/>
          <w:sz w:val="24"/>
        </w:rPr>
        <w:t xml:space="preserve">, B., </w:t>
      </w:r>
      <w:proofErr w:type="spellStart"/>
      <w:r w:rsidRPr="00131165">
        <w:rPr>
          <w:color w:val="000000"/>
          <w:sz w:val="24"/>
        </w:rPr>
        <w:t>Capodicasa</w:t>
      </w:r>
      <w:proofErr w:type="spellEnd"/>
      <w:r w:rsidRPr="00131165">
        <w:rPr>
          <w:color w:val="000000"/>
          <w:sz w:val="24"/>
        </w:rPr>
        <w:t xml:space="preserve">, N., </w:t>
      </w:r>
      <w:proofErr w:type="spellStart"/>
      <w:r w:rsidRPr="00131165">
        <w:rPr>
          <w:color w:val="000000"/>
          <w:sz w:val="24"/>
        </w:rPr>
        <w:t>Miertus</w:t>
      </w:r>
      <w:proofErr w:type="spellEnd"/>
      <w:r w:rsidRPr="00131165">
        <w:rPr>
          <w:color w:val="000000"/>
          <w:sz w:val="24"/>
        </w:rPr>
        <w:t xml:space="preserve">, S., </w:t>
      </w:r>
      <w:proofErr w:type="spellStart"/>
      <w:r w:rsidRPr="00131165">
        <w:rPr>
          <w:color w:val="000000"/>
          <w:sz w:val="24"/>
        </w:rPr>
        <w:t>Lorusso</w:t>
      </w:r>
      <w:proofErr w:type="spellEnd"/>
      <w:r w:rsidRPr="00131165">
        <w:rPr>
          <w:color w:val="000000"/>
          <w:sz w:val="24"/>
        </w:rPr>
        <w:t xml:space="preserve">, L., </w:t>
      </w:r>
      <w:proofErr w:type="spellStart"/>
      <w:r w:rsidRPr="00131165">
        <w:rPr>
          <w:color w:val="000000"/>
          <w:sz w:val="24"/>
        </w:rPr>
        <w:t>Dondossola</w:t>
      </w:r>
      <w:proofErr w:type="spellEnd"/>
      <w:r w:rsidRPr="00131165">
        <w:rPr>
          <w:color w:val="000000"/>
          <w:sz w:val="24"/>
        </w:rPr>
        <w:t xml:space="preserve">, D., </w:t>
      </w:r>
      <w:proofErr w:type="spellStart"/>
      <w:r w:rsidRPr="00131165">
        <w:rPr>
          <w:color w:val="000000"/>
          <w:sz w:val="24"/>
        </w:rPr>
        <w:t>Tartaglia</w:t>
      </w:r>
      <w:proofErr w:type="spellEnd"/>
      <w:r w:rsidRPr="00131165">
        <w:rPr>
          <w:color w:val="000000"/>
          <w:sz w:val="24"/>
        </w:rPr>
        <w:t xml:space="preserve">, G.M., </w:t>
      </w:r>
      <w:proofErr w:type="spellStart"/>
      <w:r w:rsidRPr="00131165">
        <w:rPr>
          <w:color w:val="000000"/>
          <w:sz w:val="24"/>
        </w:rPr>
        <w:t>Ergoren</w:t>
      </w:r>
      <w:proofErr w:type="spellEnd"/>
      <w:r w:rsidRPr="00131165">
        <w:rPr>
          <w:color w:val="000000"/>
          <w:sz w:val="24"/>
        </w:rPr>
        <w:t xml:space="preserve">, M.C., </w:t>
      </w:r>
      <w:proofErr w:type="spellStart"/>
      <w:r w:rsidRPr="00131165">
        <w:rPr>
          <w:color w:val="000000"/>
          <w:sz w:val="24"/>
        </w:rPr>
        <w:t>Dundar</w:t>
      </w:r>
      <w:proofErr w:type="spellEnd"/>
      <w:r w:rsidRPr="00131165">
        <w:rPr>
          <w:color w:val="000000"/>
          <w:sz w:val="24"/>
        </w:rPr>
        <w:t xml:space="preserve">, M., </w:t>
      </w:r>
      <w:proofErr w:type="spellStart"/>
      <w:r w:rsidRPr="00131165">
        <w:rPr>
          <w:color w:val="000000"/>
          <w:sz w:val="24"/>
        </w:rPr>
        <w:t>Michelini</w:t>
      </w:r>
      <w:proofErr w:type="spellEnd"/>
      <w:r w:rsidRPr="00131165">
        <w:rPr>
          <w:color w:val="000000"/>
          <w:sz w:val="24"/>
        </w:rPr>
        <w:t xml:space="preserve">, S., </w:t>
      </w:r>
      <w:proofErr w:type="spellStart"/>
      <w:r w:rsidRPr="00131165">
        <w:rPr>
          <w:color w:val="000000"/>
          <w:sz w:val="24"/>
        </w:rPr>
        <w:t>Malacarne</w:t>
      </w:r>
      <w:proofErr w:type="spellEnd"/>
      <w:r w:rsidRPr="00131165">
        <w:rPr>
          <w:color w:val="000000"/>
          <w:sz w:val="24"/>
        </w:rPr>
        <w:t>, D., Bonetti, G. and Donato, K. (2022). Methodology for clinical research.</w:t>
      </w:r>
      <w:r w:rsidRPr="00131165">
        <w:rPr>
          <w:rStyle w:val="apple-converted-space"/>
          <w:rFonts w:eastAsiaTheme="majorEastAsia"/>
          <w:color w:val="000000"/>
          <w:sz w:val="24"/>
        </w:rPr>
        <w:t> </w:t>
      </w:r>
      <w:r w:rsidRPr="00131165">
        <w:rPr>
          <w:i/>
          <w:iCs/>
          <w:color w:val="000000"/>
          <w:sz w:val="24"/>
        </w:rPr>
        <w:t>Journal of Preventive Medicine and Hygiene</w:t>
      </w:r>
      <w:r w:rsidRPr="00131165">
        <w:rPr>
          <w:color w:val="000000"/>
          <w:sz w:val="24"/>
        </w:rPr>
        <w:t xml:space="preserve">, [online] 63(2 Suppl 3), pp.E267–E278. </w:t>
      </w:r>
      <w:proofErr w:type="spellStart"/>
      <w:r w:rsidRPr="00131165">
        <w:rPr>
          <w:color w:val="000000"/>
          <w:sz w:val="24"/>
        </w:rPr>
        <w:t>doi:https</w:t>
      </w:r>
      <w:proofErr w:type="spellEnd"/>
      <w:r w:rsidRPr="00131165">
        <w:rPr>
          <w:color w:val="000000"/>
          <w:sz w:val="24"/>
        </w:rPr>
        <w:t>://doi.org/10.15167/2421-4248/jpmh2022.63.2S3.2769.</w:t>
      </w:r>
    </w:p>
    <w:p w14:paraId="74B4572F"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Kordzadeh</w:t>
      </w:r>
      <w:proofErr w:type="spellEnd"/>
      <w:r w:rsidRPr="00131165">
        <w:rPr>
          <w:color w:val="000000"/>
          <w:sz w:val="24"/>
        </w:rPr>
        <w:t xml:space="preserve">, N. and </w:t>
      </w:r>
      <w:proofErr w:type="spellStart"/>
      <w:r w:rsidRPr="00131165">
        <w:rPr>
          <w:color w:val="000000"/>
          <w:sz w:val="24"/>
        </w:rPr>
        <w:t>Ghasemaghaei</w:t>
      </w:r>
      <w:proofErr w:type="spellEnd"/>
      <w:r w:rsidRPr="00131165">
        <w:rPr>
          <w:color w:val="000000"/>
          <w:sz w:val="24"/>
        </w:rPr>
        <w:t>, M. (2021). Algorithmic bias: review, synthesis, and Future Research Directions.</w:t>
      </w:r>
      <w:r w:rsidRPr="00131165">
        <w:rPr>
          <w:rStyle w:val="apple-converted-space"/>
          <w:rFonts w:eastAsiaTheme="majorEastAsia"/>
          <w:color w:val="000000"/>
          <w:sz w:val="24"/>
        </w:rPr>
        <w:t> </w:t>
      </w:r>
      <w:r w:rsidRPr="00131165">
        <w:rPr>
          <w:i/>
          <w:iCs/>
          <w:color w:val="000000"/>
          <w:sz w:val="24"/>
        </w:rPr>
        <w:t>European Journal of Information Systems</w:t>
      </w:r>
      <w:r w:rsidRPr="00131165">
        <w:rPr>
          <w:color w:val="000000"/>
          <w:sz w:val="24"/>
        </w:rPr>
        <w:t xml:space="preserve">, 31(3), pp.388–409. </w:t>
      </w:r>
      <w:proofErr w:type="spellStart"/>
      <w:r w:rsidRPr="00131165">
        <w:rPr>
          <w:color w:val="000000"/>
          <w:sz w:val="24"/>
        </w:rPr>
        <w:t>doi:https</w:t>
      </w:r>
      <w:proofErr w:type="spellEnd"/>
      <w:r w:rsidRPr="00131165">
        <w:rPr>
          <w:color w:val="000000"/>
          <w:sz w:val="24"/>
        </w:rPr>
        <w:t>://doi.org/10.1080/0960085X.2021.1927212.</w:t>
      </w:r>
    </w:p>
    <w:p w14:paraId="4581AB26"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Kour</w:t>
      </w:r>
      <w:proofErr w:type="spellEnd"/>
      <w:r w:rsidRPr="00131165">
        <w:rPr>
          <w:color w:val="000000"/>
          <w:sz w:val="24"/>
        </w:rPr>
        <w:t>, S. and Jyoti, J. (2021). Cross-cultural training and adjustment through the lens of cultural intelligence and type of expatriates.</w:t>
      </w:r>
      <w:r w:rsidRPr="00131165">
        <w:rPr>
          <w:rStyle w:val="apple-converted-space"/>
          <w:rFonts w:eastAsiaTheme="majorEastAsia"/>
          <w:color w:val="000000"/>
          <w:sz w:val="24"/>
        </w:rPr>
        <w:t> </w:t>
      </w:r>
      <w:r w:rsidRPr="00131165">
        <w:rPr>
          <w:i/>
          <w:iCs/>
          <w:color w:val="000000"/>
          <w:sz w:val="24"/>
        </w:rPr>
        <w:t>Employee Relations: The International Journal</w:t>
      </w:r>
      <w:r w:rsidRPr="00131165">
        <w:rPr>
          <w:color w:val="000000"/>
          <w:sz w:val="24"/>
        </w:rPr>
        <w:t>, 44(1), pp.1–36.</w:t>
      </w:r>
    </w:p>
    <w:p w14:paraId="1A8F9B10"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Kruger, F. and Mitchell, B. (2021).</w:t>
      </w:r>
      <w:r w:rsidRPr="00131165">
        <w:rPr>
          <w:rStyle w:val="apple-converted-space"/>
          <w:rFonts w:eastAsiaTheme="majorEastAsia"/>
          <w:color w:val="000000"/>
          <w:sz w:val="24"/>
        </w:rPr>
        <w:t> </w:t>
      </w:r>
      <w:r w:rsidRPr="00131165">
        <w:rPr>
          <w:i/>
          <w:iCs/>
          <w:color w:val="000000"/>
          <w:sz w:val="24"/>
        </w:rPr>
        <w:t>Research methodology</w:t>
      </w:r>
      <w:r w:rsidRPr="00131165">
        <w:rPr>
          <w:color w:val="000000"/>
          <w:sz w:val="24"/>
        </w:rPr>
        <w:t>. Oxford: Oxford University Press.</w:t>
      </w:r>
    </w:p>
    <w:p w14:paraId="123C6884"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Langendorf</w:t>
      </w:r>
      <w:proofErr w:type="spellEnd"/>
      <w:r w:rsidRPr="00131165">
        <w:rPr>
          <w:color w:val="000000"/>
          <w:sz w:val="24"/>
        </w:rPr>
        <w:t xml:space="preserve">, R.E., Estes, J.A., Watson, J.C., Kenner, M.C., Hatfield, B.B., Tinker, M.T., Waddle, E., </w:t>
      </w:r>
      <w:proofErr w:type="spellStart"/>
      <w:r w:rsidRPr="00131165">
        <w:rPr>
          <w:color w:val="000000"/>
          <w:sz w:val="24"/>
        </w:rPr>
        <w:t>DeMarche</w:t>
      </w:r>
      <w:proofErr w:type="spellEnd"/>
      <w:r w:rsidRPr="00131165">
        <w:rPr>
          <w:color w:val="000000"/>
          <w:sz w:val="24"/>
        </w:rPr>
        <w:t xml:space="preserve">, M.L. and </w:t>
      </w:r>
      <w:proofErr w:type="spellStart"/>
      <w:r w:rsidRPr="00131165">
        <w:rPr>
          <w:color w:val="000000"/>
          <w:sz w:val="24"/>
        </w:rPr>
        <w:t>Doak</w:t>
      </w:r>
      <w:proofErr w:type="spellEnd"/>
      <w:r w:rsidRPr="00131165">
        <w:rPr>
          <w:color w:val="000000"/>
          <w:sz w:val="24"/>
        </w:rPr>
        <w:t>, D.F. (2025). Dynamic and context-dependent keystone species effects in kelp forests.</w:t>
      </w:r>
      <w:r w:rsidRPr="00131165">
        <w:rPr>
          <w:rStyle w:val="apple-converted-space"/>
          <w:rFonts w:eastAsiaTheme="majorEastAsia"/>
          <w:color w:val="000000"/>
          <w:sz w:val="24"/>
        </w:rPr>
        <w:t> </w:t>
      </w:r>
      <w:r w:rsidRPr="00131165">
        <w:rPr>
          <w:i/>
          <w:iCs/>
          <w:color w:val="000000"/>
          <w:sz w:val="24"/>
        </w:rPr>
        <w:t>Proceedings of the National Academy of Sciences</w:t>
      </w:r>
      <w:r w:rsidRPr="00131165">
        <w:rPr>
          <w:color w:val="000000"/>
          <w:sz w:val="24"/>
        </w:rPr>
        <w:t xml:space="preserve">, 122(10). </w:t>
      </w:r>
      <w:proofErr w:type="spellStart"/>
      <w:r w:rsidRPr="00131165">
        <w:rPr>
          <w:color w:val="000000"/>
          <w:sz w:val="24"/>
        </w:rPr>
        <w:t>doi:https</w:t>
      </w:r>
      <w:proofErr w:type="spellEnd"/>
      <w:r w:rsidRPr="00131165">
        <w:rPr>
          <w:color w:val="000000"/>
          <w:sz w:val="24"/>
        </w:rPr>
        <w:t>://doi.org/10.1073/pnas.2413360122.</w:t>
      </w:r>
    </w:p>
    <w:p w14:paraId="3282502B"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Lima, S.A., Rahman, M.M., Hoque, I. and Rahman, Z. (2025). The Role of HRM in Shaping Inclusive Cultures: Navigating Cross-Cultural D&amp;I Challenges in U.S. Organizations.</w:t>
      </w:r>
      <w:r w:rsidRPr="00131165">
        <w:rPr>
          <w:rStyle w:val="apple-converted-space"/>
          <w:rFonts w:eastAsiaTheme="majorEastAsia"/>
          <w:color w:val="000000"/>
          <w:sz w:val="24"/>
        </w:rPr>
        <w:t> </w:t>
      </w:r>
      <w:r w:rsidRPr="00131165">
        <w:rPr>
          <w:i/>
          <w:iCs/>
          <w:color w:val="000000"/>
          <w:sz w:val="24"/>
        </w:rPr>
        <w:t>Journal of Business and Management Studies</w:t>
      </w:r>
      <w:r w:rsidRPr="00131165">
        <w:rPr>
          <w:color w:val="000000"/>
          <w:sz w:val="24"/>
        </w:rPr>
        <w:t xml:space="preserve">, [online] 7(1), pp.263–272. </w:t>
      </w:r>
      <w:proofErr w:type="spellStart"/>
      <w:r w:rsidRPr="00131165">
        <w:rPr>
          <w:color w:val="000000"/>
          <w:sz w:val="24"/>
        </w:rPr>
        <w:t>doi:https</w:t>
      </w:r>
      <w:proofErr w:type="spellEnd"/>
      <w:r w:rsidRPr="00131165">
        <w:rPr>
          <w:color w:val="000000"/>
          <w:sz w:val="24"/>
        </w:rPr>
        <w:t>://doi.org/10.32996/jbms.2025.7.1.21.</w:t>
      </w:r>
    </w:p>
    <w:p w14:paraId="4C4A4EA6"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Lima, S.A. and Rahman, </w:t>
      </w:r>
      <w:proofErr w:type="spellStart"/>
      <w:r w:rsidRPr="00131165">
        <w:rPr>
          <w:color w:val="000000"/>
          <w:sz w:val="24"/>
        </w:rPr>
        <w:t>Md.M</w:t>
      </w:r>
      <w:proofErr w:type="spellEnd"/>
      <w:r w:rsidRPr="00131165">
        <w:rPr>
          <w:color w:val="000000"/>
          <w:sz w:val="24"/>
        </w:rPr>
        <w:t>. (2025). Effective Strategies for Implementing D&amp;I Programs.</w:t>
      </w:r>
      <w:r w:rsidRPr="00131165">
        <w:rPr>
          <w:rStyle w:val="apple-converted-space"/>
          <w:rFonts w:eastAsiaTheme="majorEastAsia"/>
          <w:color w:val="000000"/>
          <w:sz w:val="24"/>
        </w:rPr>
        <w:t> </w:t>
      </w:r>
      <w:r w:rsidRPr="00131165">
        <w:rPr>
          <w:i/>
          <w:iCs/>
          <w:color w:val="000000"/>
          <w:sz w:val="24"/>
        </w:rPr>
        <w:t>International Journal of Research and Innovation in Social Science</w:t>
      </w:r>
      <w:r w:rsidRPr="00131165">
        <w:rPr>
          <w:color w:val="000000"/>
          <w:sz w:val="24"/>
        </w:rPr>
        <w:t xml:space="preserve">, VIII(XII), pp.1154–1168. </w:t>
      </w:r>
      <w:proofErr w:type="spellStart"/>
      <w:r w:rsidRPr="00131165">
        <w:rPr>
          <w:color w:val="000000"/>
          <w:sz w:val="24"/>
        </w:rPr>
        <w:t>doi:https</w:t>
      </w:r>
      <w:proofErr w:type="spellEnd"/>
      <w:r w:rsidRPr="00131165">
        <w:rPr>
          <w:color w:val="000000"/>
          <w:sz w:val="24"/>
        </w:rPr>
        <w:t>://doi.org/10.47772/ijriss.2024.8120096.</w:t>
      </w:r>
    </w:p>
    <w:p w14:paraId="59B805A7"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Long, J., Buchan, S., Sampson, F., </w:t>
      </w:r>
      <w:proofErr w:type="spellStart"/>
      <w:r w:rsidRPr="00131165">
        <w:rPr>
          <w:color w:val="000000"/>
          <w:sz w:val="24"/>
        </w:rPr>
        <w:t>Otaye-Ebede</w:t>
      </w:r>
      <w:proofErr w:type="spellEnd"/>
      <w:r w:rsidRPr="00131165">
        <w:rPr>
          <w:color w:val="000000"/>
          <w:sz w:val="24"/>
        </w:rPr>
        <w:t xml:space="preserve">, L. and Dawson, J. (2025). Middle Managers as Barriers or Enablers in Tackling Racial Discrimination in the NHS: A Qualitative </w:t>
      </w:r>
      <w:r w:rsidRPr="00131165">
        <w:rPr>
          <w:color w:val="000000"/>
          <w:sz w:val="24"/>
        </w:rPr>
        <w:lastRenderedPageBreak/>
        <w:t>Research Study.</w:t>
      </w:r>
      <w:r w:rsidRPr="00131165">
        <w:rPr>
          <w:rStyle w:val="apple-converted-space"/>
          <w:rFonts w:eastAsiaTheme="majorEastAsia"/>
          <w:color w:val="000000"/>
          <w:sz w:val="24"/>
        </w:rPr>
        <w:t> </w:t>
      </w:r>
      <w:proofErr w:type="spellStart"/>
      <w:r w:rsidRPr="00131165">
        <w:rPr>
          <w:i/>
          <w:iCs/>
          <w:color w:val="000000"/>
          <w:sz w:val="24"/>
        </w:rPr>
        <w:t>bioRxiv</w:t>
      </w:r>
      <w:proofErr w:type="spellEnd"/>
      <w:r w:rsidRPr="00131165">
        <w:rPr>
          <w:i/>
          <w:iCs/>
          <w:color w:val="000000"/>
          <w:sz w:val="24"/>
        </w:rPr>
        <w:t xml:space="preserve"> (Cold Spring Harbor Laboratory)</w:t>
      </w:r>
      <w:r w:rsidRPr="00131165">
        <w:rPr>
          <w:color w:val="000000"/>
          <w:sz w:val="24"/>
        </w:rPr>
        <w:t xml:space="preserve">. </w:t>
      </w:r>
      <w:proofErr w:type="spellStart"/>
      <w:r w:rsidRPr="00131165">
        <w:rPr>
          <w:color w:val="000000"/>
          <w:sz w:val="24"/>
        </w:rPr>
        <w:t>doi:https</w:t>
      </w:r>
      <w:proofErr w:type="spellEnd"/>
      <w:r w:rsidRPr="00131165">
        <w:rPr>
          <w:color w:val="000000"/>
          <w:sz w:val="24"/>
        </w:rPr>
        <w:t>://doi.org/10.1101/2025.02.27.25323018.</w:t>
      </w:r>
    </w:p>
    <w:p w14:paraId="03BDBF39"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Luquis</w:t>
      </w:r>
      <w:proofErr w:type="spellEnd"/>
      <w:r w:rsidRPr="00131165">
        <w:rPr>
          <w:color w:val="000000"/>
          <w:sz w:val="24"/>
        </w:rPr>
        <w:t>, R.R. and Pérez, M.A. (2025).</w:t>
      </w:r>
      <w:r w:rsidRPr="00131165">
        <w:rPr>
          <w:rStyle w:val="apple-converted-space"/>
          <w:rFonts w:eastAsiaTheme="majorEastAsia"/>
          <w:color w:val="000000"/>
          <w:sz w:val="24"/>
        </w:rPr>
        <w:t> </w:t>
      </w:r>
      <w:r w:rsidRPr="00131165">
        <w:rPr>
          <w:i/>
          <w:iCs/>
          <w:color w:val="000000"/>
          <w:sz w:val="24"/>
        </w:rPr>
        <w:t>Research Handbook on Health Education, Health Promotion and Diversity</w:t>
      </w:r>
      <w:r w:rsidRPr="00131165">
        <w:rPr>
          <w:color w:val="000000"/>
          <w:sz w:val="24"/>
        </w:rPr>
        <w:t>. Edward Elgar Publishing.</w:t>
      </w:r>
    </w:p>
    <w:p w14:paraId="215DA23C"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Mahmood, H. (2025).</w:t>
      </w:r>
      <w:r w:rsidRPr="00131165">
        <w:rPr>
          <w:rStyle w:val="apple-converted-space"/>
          <w:rFonts w:eastAsiaTheme="majorEastAsia"/>
          <w:color w:val="000000"/>
          <w:sz w:val="24"/>
        </w:rPr>
        <w:t> </w:t>
      </w:r>
      <w:r w:rsidRPr="00131165">
        <w:rPr>
          <w:i/>
          <w:iCs/>
          <w:color w:val="000000"/>
          <w:sz w:val="24"/>
        </w:rPr>
        <w:t>Minority Ethnic Voices in Healthcare Professions</w:t>
      </w:r>
      <w:r w:rsidRPr="00131165">
        <w:rPr>
          <w:color w:val="000000"/>
          <w:sz w:val="24"/>
        </w:rPr>
        <w:t>. Jessica Kingsley Publishers.</w:t>
      </w:r>
    </w:p>
    <w:p w14:paraId="202597F0"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Martin, C.A., </w:t>
      </w:r>
      <w:proofErr w:type="spellStart"/>
      <w:r w:rsidRPr="00131165">
        <w:rPr>
          <w:color w:val="000000"/>
          <w:sz w:val="24"/>
        </w:rPr>
        <w:t>Asta</w:t>
      </w:r>
      <w:proofErr w:type="spellEnd"/>
      <w:r w:rsidRPr="00131165">
        <w:rPr>
          <w:color w:val="000000"/>
          <w:sz w:val="24"/>
        </w:rPr>
        <w:t xml:space="preserve"> </w:t>
      </w:r>
      <w:proofErr w:type="spellStart"/>
      <w:r w:rsidRPr="00131165">
        <w:rPr>
          <w:color w:val="000000"/>
          <w:sz w:val="24"/>
        </w:rPr>
        <w:t>Medisauskaite</w:t>
      </w:r>
      <w:proofErr w:type="spellEnd"/>
      <w:r w:rsidRPr="00131165">
        <w:rPr>
          <w:color w:val="000000"/>
          <w:sz w:val="24"/>
        </w:rPr>
        <w:t xml:space="preserve">, </w:t>
      </w:r>
      <w:proofErr w:type="spellStart"/>
      <w:r w:rsidRPr="00131165">
        <w:rPr>
          <w:color w:val="000000"/>
          <w:sz w:val="24"/>
        </w:rPr>
        <w:t>Guyatt</w:t>
      </w:r>
      <w:proofErr w:type="spellEnd"/>
      <w:r w:rsidRPr="00131165">
        <w:rPr>
          <w:color w:val="000000"/>
          <w:sz w:val="24"/>
        </w:rPr>
        <w:t xml:space="preserve">, A.L., Mishra, R., </w:t>
      </w:r>
      <w:proofErr w:type="spellStart"/>
      <w:r w:rsidRPr="00131165">
        <w:rPr>
          <w:color w:val="000000"/>
          <w:sz w:val="24"/>
        </w:rPr>
        <w:t>Srinivasa</w:t>
      </w:r>
      <w:proofErr w:type="spellEnd"/>
      <w:r w:rsidRPr="00131165">
        <w:rPr>
          <w:color w:val="000000"/>
          <w:sz w:val="24"/>
        </w:rPr>
        <w:t xml:space="preserve"> </w:t>
      </w:r>
      <w:proofErr w:type="spellStart"/>
      <w:r w:rsidRPr="00131165">
        <w:rPr>
          <w:color w:val="000000"/>
          <w:sz w:val="24"/>
        </w:rPr>
        <w:t>Vittal</w:t>
      </w:r>
      <w:proofErr w:type="spellEnd"/>
      <w:r w:rsidRPr="00131165">
        <w:rPr>
          <w:color w:val="000000"/>
          <w:sz w:val="24"/>
        </w:rPr>
        <w:t xml:space="preserve"> </w:t>
      </w:r>
      <w:proofErr w:type="spellStart"/>
      <w:r w:rsidRPr="00131165">
        <w:rPr>
          <w:color w:val="000000"/>
          <w:sz w:val="24"/>
        </w:rPr>
        <w:t>Katikireddi</w:t>
      </w:r>
      <w:proofErr w:type="spellEnd"/>
      <w:r w:rsidRPr="00131165">
        <w:rPr>
          <w:color w:val="000000"/>
          <w:sz w:val="24"/>
        </w:rPr>
        <w:t xml:space="preserve">, Woolf, K., Manish Pareek, Manish Pareek, Woolf, K., Woodhams, C., </w:t>
      </w:r>
      <w:proofErr w:type="spellStart"/>
      <w:r w:rsidRPr="00131165">
        <w:rPr>
          <w:color w:val="000000"/>
          <w:sz w:val="24"/>
        </w:rPr>
        <w:t>Krammer</w:t>
      </w:r>
      <w:proofErr w:type="spellEnd"/>
      <w:r w:rsidRPr="00131165">
        <w:rPr>
          <w:color w:val="000000"/>
          <w:sz w:val="24"/>
        </w:rPr>
        <w:t xml:space="preserve">, S., Rivas, C., </w:t>
      </w:r>
      <w:proofErr w:type="spellStart"/>
      <w:r w:rsidRPr="00131165">
        <w:rPr>
          <w:color w:val="000000"/>
          <w:sz w:val="24"/>
        </w:rPr>
        <w:t>Guyatt</w:t>
      </w:r>
      <w:proofErr w:type="spellEnd"/>
      <w:r w:rsidRPr="00131165">
        <w:rPr>
          <w:color w:val="000000"/>
          <w:sz w:val="24"/>
        </w:rPr>
        <w:t xml:space="preserve">, A.L., </w:t>
      </w:r>
      <w:proofErr w:type="spellStart"/>
      <w:r w:rsidRPr="00131165">
        <w:rPr>
          <w:color w:val="000000"/>
          <w:sz w:val="24"/>
        </w:rPr>
        <w:t>Asta</w:t>
      </w:r>
      <w:proofErr w:type="spellEnd"/>
      <w:r w:rsidRPr="00131165">
        <w:rPr>
          <w:color w:val="000000"/>
          <w:sz w:val="24"/>
        </w:rPr>
        <w:t xml:space="preserve"> </w:t>
      </w:r>
      <w:proofErr w:type="spellStart"/>
      <w:r w:rsidRPr="00131165">
        <w:rPr>
          <w:color w:val="000000"/>
          <w:sz w:val="24"/>
        </w:rPr>
        <w:t>Medisauskaite</w:t>
      </w:r>
      <w:proofErr w:type="spellEnd"/>
      <w:r w:rsidRPr="00131165">
        <w:rPr>
          <w:color w:val="000000"/>
          <w:sz w:val="24"/>
        </w:rPr>
        <w:t xml:space="preserve">, </w:t>
      </w:r>
      <w:proofErr w:type="spellStart"/>
      <w:r w:rsidRPr="00131165">
        <w:rPr>
          <w:color w:val="000000"/>
          <w:sz w:val="24"/>
        </w:rPr>
        <w:t>Srinivasa</w:t>
      </w:r>
      <w:proofErr w:type="spellEnd"/>
      <w:r w:rsidRPr="00131165">
        <w:rPr>
          <w:color w:val="000000"/>
          <w:sz w:val="24"/>
        </w:rPr>
        <w:t xml:space="preserve"> </w:t>
      </w:r>
      <w:proofErr w:type="spellStart"/>
      <w:r w:rsidRPr="00131165">
        <w:rPr>
          <w:color w:val="000000"/>
          <w:sz w:val="24"/>
        </w:rPr>
        <w:t>Vittal</w:t>
      </w:r>
      <w:proofErr w:type="spellEnd"/>
      <w:r w:rsidRPr="00131165">
        <w:rPr>
          <w:color w:val="000000"/>
          <w:sz w:val="24"/>
        </w:rPr>
        <w:t xml:space="preserve"> </w:t>
      </w:r>
      <w:proofErr w:type="spellStart"/>
      <w:r w:rsidRPr="00131165">
        <w:rPr>
          <w:color w:val="000000"/>
          <w:sz w:val="24"/>
        </w:rPr>
        <w:t>Katikireddi</w:t>
      </w:r>
      <w:proofErr w:type="spellEnd"/>
      <w:r w:rsidRPr="00131165">
        <w:rPr>
          <w:color w:val="000000"/>
          <w:sz w:val="24"/>
        </w:rPr>
        <w:t xml:space="preserve">, </w:t>
      </w:r>
      <w:proofErr w:type="spellStart"/>
      <w:r w:rsidRPr="00131165">
        <w:rPr>
          <w:color w:val="000000"/>
          <w:sz w:val="24"/>
        </w:rPr>
        <w:t>Padmasayee</w:t>
      </w:r>
      <w:proofErr w:type="spellEnd"/>
      <w:r w:rsidRPr="00131165">
        <w:rPr>
          <w:color w:val="000000"/>
          <w:sz w:val="24"/>
        </w:rPr>
        <w:t xml:space="preserve"> </w:t>
      </w:r>
      <w:proofErr w:type="spellStart"/>
      <w:r w:rsidRPr="00131165">
        <w:rPr>
          <w:color w:val="000000"/>
          <w:sz w:val="24"/>
        </w:rPr>
        <w:t>Papineni</w:t>
      </w:r>
      <w:proofErr w:type="spellEnd"/>
      <w:r w:rsidRPr="00131165">
        <w:rPr>
          <w:color w:val="000000"/>
          <w:sz w:val="24"/>
        </w:rPr>
        <w:t xml:space="preserve">, </w:t>
      </w:r>
      <w:proofErr w:type="spellStart"/>
      <w:r w:rsidRPr="00131165">
        <w:rPr>
          <w:color w:val="000000"/>
          <w:sz w:val="24"/>
        </w:rPr>
        <w:t>Lagrata</w:t>
      </w:r>
      <w:proofErr w:type="spellEnd"/>
      <w:r w:rsidRPr="00131165">
        <w:rPr>
          <w:color w:val="000000"/>
          <w:sz w:val="24"/>
        </w:rPr>
        <w:t>, S., Suleman, M., Masood, A. and Bryant, L. (2024). Factors associated with attrition from the UK healthcare workforce since the COVID-19 pandemic: results from a nationwide survey study.</w:t>
      </w:r>
      <w:r w:rsidRPr="00131165">
        <w:rPr>
          <w:rStyle w:val="apple-converted-space"/>
          <w:rFonts w:eastAsiaTheme="majorEastAsia"/>
          <w:color w:val="000000"/>
          <w:sz w:val="24"/>
        </w:rPr>
        <w:t> </w:t>
      </w:r>
      <w:r w:rsidRPr="00131165">
        <w:rPr>
          <w:i/>
          <w:iCs/>
          <w:color w:val="000000"/>
          <w:sz w:val="24"/>
        </w:rPr>
        <w:t>The Lancet Regional Health - Europe</w:t>
      </w:r>
      <w:r w:rsidRPr="00131165">
        <w:rPr>
          <w:color w:val="000000"/>
          <w:sz w:val="24"/>
        </w:rPr>
        <w:t xml:space="preserve">, 47, pp.101133–101133. </w:t>
      </w:r>
      <w:proofErr w:type="spellStart"/>
      <w:r w:rsidRPr="00131165">
        <w:rPr>
          <w:color w:val="000000"/>
          <w:sz w:val="24"/>
        </w:rPr>
        <w:t>doi:https</w:t>
      </w:r>
      <w:proofErr w:type="spellEnd"/>
      <w:r w:rsidRPr="00131165">
        <w:rPr>
          <w:color w:val="000000"/>
          <w:sz w:val="24"/>
        </w:rPr>
        <w:t>://doi.org/10.1016/j.lanepe.2024.101133.</w:t>
      </w:r>
    </w:p>
    <w:p w14:paraId="5D42983E"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McGinnity</w:t>
      </w:r>
      <w:proofErr w:type="spellEnd"/>
      <w:r w:rsidRPr="00131165">
        <w:rPr>
          <w:color w:val="000000"/>
          <w:sz w:val="24"/>
        </w:rPr>
        <w:t xml:space="preserve">, F., Quinn, E., McCullough, E., Enright, S. and </w:t>
      </w:r>
      <w:proofErr w:type="spellStart"/>
      <w:r w:rsidRPr="00131165">
        <w:rPr>
          <w:color w:val="000000"/>
          <w:sz w:val="24"/>
        </w:rPr>
        <w:t>Curristan</w:t>
      </w:r>
      <w:proofErr w:type="spellEnd"/>
      <w:r w:rsidRPr="00131165">
        <w:rPr>
          <w:color w:val="000000"/>
          <w:sz w:val="24"/>
        </w:rPr>
        <w:t xml:space="preserve">, S. (2021). Measures to combat racial discrimination and promote diversity in the </w:t>
      </w:r>
      <w:proofErr w:type="spellStart"/>
      <w:r w:rsidRPr="00131165">
        <w:rPr>
          <w:color w:val="000000"/>
          <w:sz w:val="24"/>
        </w:rPr>
        <w:t>labour</w:t>
      </w:r>
      <w:proofErr w:type="spellEnd"/>
      <w:r w:rsidRPr="00131165">
        <w:rPr>
          <w:color w:val="000000"/>
          <w:sz w:val="24"/>
        </w:rPr>
        <w:t xml:space="preserve"> market: a review of evidence.</w:t>
      </w:r>
      <w:r w:rsidRPr="00131165">
        <w:rPr>
          <w:rStyle w:val="apple-converted-space"/>
          <w:rFonts w:eastAsiaTheme="majorEastAsia"/>
          <w:color w:val="000000"/>
          <w:sz w:val="24"/>
        </w:rPr>
        <w:t> </w:t>
      </w:r>
      <w:r w:rsidRPr="00131165">
        <w:rPr>
          <w:i/>
          <w:iCs/>
          <w:color w:val="000000"/>
          <w:sz w:val="24"/>
        </w:rPr>
        <w:t>MEASURES TO COMBAT RACIAL DISCRIMINATION AND PROMOTE DIVERSITY IN THE LABOUR MARKET: A REVIEW OF EVIDENCE</w:t>
      </w:r>
      <w:r w:rsidRPr="00131165">
        <w:rPr>
          <w:color w:val="000000"/>
          <w:sz w:val="24"/>
        </w:rPr>
        <w:t xml:space="preserve">. </w:t>
      </w:r>
      <w:proofErr w:type="spellStart"/>
      <w:r w:rsidRPr="00131165">
        <w:rPr>
          <w:color w:val="000000"/>
          <w:sz w:val="24"/>
        </w:rPr>
        <w:t>doi:https</w:t>
      </w:r>
      <w:proofErr w:type="spellEnd"/>
      <w:r w:rsidRPr="00131165">
        <w:rPr>
          <w:color w:val="000000"/>
          <w:sz w:val="24"/>
        </w:rPr>
        <w:t>://doi.org/10.26504/sustat110.</w:t>
      </w:r>
    </w:p>
    <w:p w14:paraId="5ED77C5B"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Morfaki</w:t>
      </w:r>
      <w:proofErr w:type="spellEnd"/>
      <w:r w:rsidRPr="00131165">
        <w:rPr>
          <w:color w:val="000000"/>
          <w:sz w:val="24"/>
        </w:rPr>
        <w:t xml:space="preserve">, C. and </w:t>
      </w:r>
      <w:proofErr w:type="spellStart"/>
      <w:r w:rsidRPr="00131165">
        <w:rPr>
          <w:color w:val="000000"/>
          <w:sz w:val="24"/>
        </w:rPr>
        <w:t>Morfaki</w:t>
      </w:r>
      <w:proofErr w:type="spellEnd"/>
      <w:r w:rsidRPr="00131165">
        <w:rPr>
          <w:color w:val="000000"/>
          <w:sz w:val="24"/>
        </w:rPr>
        <w:t>, A. (2022). Managing Workforce Diversity and Inclusion: A Critical Review and Future Directions.</w:t>
      </w:r>
      <w:r w:rsidRPr="00131165">
        <w:rPr>
          <w:rStyle w:val="apple-converted-space"/>
          <w:rFonts w:eastAsiaTheme="majorEastAsia"/>
          <w:color w:val="000000"/>
          <w:sz w:val="24"/>
        </w:rPr>
        <w:t> </w:t>
      </w:r>
      <w:r w:rsidRPr="00131165">
        <w:rPr>
          <w:i/>
          <w:iCs/>
          <w:color w:val="000000"/>
          <w:sz w:val="24"/>
        </w:rPr>
        <w:t>International Journal of Organizational Leadership</w:t>
      </w:r>
      <w:r w:rsidRPr="00131165">
        <w:rPr>
          <w:color w:val="000000"/>
          <w:sz w:val="24"/>
        </w:rPr>
        <w:t xml:space="preserve">, 11(4), pp.426–443. </w:t>
      </w:r>
      <w:proofErr w:type="spellStart"/>
      <w:r w:rsidRPr="00131165">
        <w:rPr>
          <w:color w:val="000000"/>
          <w:sz w:val="24"/>
        </w:rPr>
        <w:t>doi:https</w:t>
      </w:r>
      <w:proofErr w:type="spellEnd"/>
      <w:r w:rsidRPr="00131165">
        <w:rPr>
          <w:color w:val="000000"/>
          <w:sz w:val="24"/>
        </w:rPr>
        <w:t>://doi.org/10.33844/ijol.2022.60343.</w:t>
      </w:r>
    </w:p>
    <w:p w14:paraId="0BCA963D"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Mou</w:t>
      </w:r>
      <w:proofErr w:type="spellEnd"/>
      <w:r w:rsidRPr="00131165">
        <w:rPr>
          <w:color w:val="000000"/>
          <w:sz w:val="24"/>
        </w:rPr>
        <w:t>, Y., Wang, J., Ding, Z., Huang, J. and Wang, Z. (2025). When automation backfires: exploring the impact of consumer resistance to AI application in hybrid service agents.</w:t>
      </w:r>
      <w:r w:rsidRPr="00131165">
        <w:rPr>
          <w:rStyle w:val="apple-converted-space"/>
          <w:rFonts w:eastAsiaTheme="majorEastAsia"/>
          <w:color w:val="000000"/>
          <w:sz w:val="24"/>
        </w:rPr>
        <w:t> </w:t>
      </w:r>
      <w:r w:rsidRPr="00131165">
        <w:rPr>
          <w:i/>
          <w:iCs/>
          <w:color w:val="000000"/>
          <w:sz w:val="24"/>
        </w:rPr>
        <w:t>Journal of Hospitality Marketing &amp; Management</w:t>
      </w:r>
      <w:r w:rsidRPr="00131165">
        <w:rPr>
          <w:color w:val="000000"/>
          <w:sz w:val="24"/>
        </w:rPr>
        <w:t xml:space="preserve">, 75(65), pp.1–32. </w:t>
      </w:r>
      <w:proofErr w:type="spellStart"/>
      <w:r w:rsidRPr="00131165">
        <w:rPr>
          <w:color w:val="000000"/>
          <w:sz w:val="24"/>
        </w:rPr>
        <w:t>doi:https</w:t>
      </w:r>
      <w:proofErr w:type="spellEnd"/>
      <w:r w:rsidRPr="00131165">
        <w:rPr>
          <w:color w:val="000000"/>
          <w:sz w:val="24"/>
        </w:rPr>
        <w:t>://doi.org/10.1080/19368623.2025.2532488.</w:t>
      </w:r>
    </w:p>
    <w:p w14:paraId="75F25A34"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Mousa, M., Boyle, J., </w:t>
      </w:r>
      <w:proofErr w:type="spellStart"/>
      <w:r w:rsidRPr="00131165">
        <w:rPr>
          <w:color w:val="000000"/>
          <w:sz w:val="24"/>
        </w:rPr>
        <w:t>Skouteris</w:t>
      </w:r>
      <w:proofErr w:type="spellEnd"/>
      <w:r w:rsidRPr="00131165">
        <w:rPr>
          <w:color w:val="000000"/>
          <w:sz w:val="24"/>
        </w:rPr>
        <w:t xml:space="preserve">, H., Mullins, A.K., Currie, G., </w:t>
      </w:r>
      <w:proofErr w:type="spellStart"/>
      <w:r w:rsidRPr="00131165">
        <w:rPr>
          <w:color w:val="000000"/>
          <w:sz w:val="24"/>
        </w:rPr>
        <w:t>Riach</w:t>
      </w:r>
      <w:proofErr w:type="spellEnd"/>
      <w:r w:rsidRPr="00131165">
        <w:rPr>
          <w:color w:val="000000"/>
          <w:sz w:val="24"/>
        </w:rPr>
        <w:t xml:space="preserve">, K. and </w:t>
      </w:r>
      <w:proofErr w:type="spellStart"/>
      <w:r w:rsidRPr="00131165">
        <w:rPr>
          <w:color w:val="000000"/>
          <w:sz w:val="24"/>
        </w:rPr>
        <w:t>Teede</w:t>
      </w:r>
      <w:proofErr w:type="spellEnd"/>
      <w:r w:rsidRPr="00131165">
        <w:rPr>
          <w:color w:val="000000"/>
          <w:sz w:val="24"/>
        </w:rPr>
        <w:t xml:space="preserve">, H.J. (2021). Advancing women in healthcare leadership: A systematic review and meta-synthesis of multi-sector evidence on </w:t>
      </w:r>
      <w:proofErr w:type="spellStart"/>
      <w:r w:rsidRPr="00131165">
        <w:rPr>
          <w:color w:val="000000"/>
          <w:sz w:val="24"/>
        </w:rPr>
        <w:t>organisational</w:t>
      </w:r>
      <w:proofErr w:type="spellEnd"/>
      <w:r w:rsidRPr="00131165">
        <w:rPr>
          <w:color w:val="000000"/>
          <w:sz w:val="24"/>
        </w:rPr>
        <w:t xml:space="preserve"> interventions.</w:t>
      </w:r>
      <w:r w:rsidRPr="00131165">
        <w:rPr>
          <w:rStyle w:val="apple-converted-space"/>
          <w:rFonts w:eastAsiaTheme="majorEastAsia"/>
          <w:color w:val="000000"/>
          <w:sz w:val="24"/>
        </w:rPr>
        <w:t> </w:t>
      </w:r>
      <w:proofErr w:type="spellStart"/>
      <w:r w:rsidRPr="00131165">
        <w:rPr>
          <w:i/>
          <w:iCs/>
          <w:color w:val="000000"/>
          <w:sz w:val="24"/>
        </w:rPr>
        <w:t>EClinicalMedicine</w:t>
      </w:r>
      <w:proofErr w:type="spellEnd"/>
      <w:r w:rsidRPr="00131165">
        <w:rPr>
          <w:color w:val="000000"/>
          <w:sz w:val="24"/>
        </w:rPr>
        <w:t xml:space="preserve">, [online] 39(101084). Available at: </w:t>
      </w:r>
      <w:r w:rsidRPr="00131165">
        <w:rPr>
          <w:color w:val="000000"/>
          <w:sz w:val="24"/>
        </w:rPr>
        <w:lastRenderedPageBreak/>
        <w:t>https://www.thelancet.com/journals/eclinm/article/PIIS2589-5370(21)00364-3/fulltext.</w:t>
      </w:r>
    </w:p>
    <w:p w14:paraId="6D7B77FF"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Mujtaba, B.G. (2025). Workplace Well-Being and Health in a Fast-Paced Era: How Education, Experience, and Mindfulness Shape Stress Management.</w:t>
      </w:r>
      <w:r w:rsidRPr="00131165">
        <w:rPr>
          <w:rStyle w:val="apple-converted-space"/>
          <w:rFonts w:eastAsiaTheme="majorEastAsia"/>
          <w:color w:val="000000"/>
          <w:sz w:val="24"/>
        </w:rPr>
        <w:t> </w:t>
      </w:r>
      <w:r w:rsidRPr="00131165">
        <w:rPr>
          <w:i/>
          <w:iCs/>
          <w:color w:val="000000"/>
          <w:sz w:val="24"/>
        </w:rPr>
        <w:t>Health Economics and Management Review</w:t>
      </w:r>
      <w:r w:rsidRPr="00131165">
        <w:rPr>
          <w:color w:val="000000"/>
          <w:sz w:val="24"/>
        </w:rPr>
        <w:t xml:space="preserve">, 6(2), pp.108–119. </w:t>
      </w:r>
      <w:proofErr w:type="spellStart"/>
      <w:r w:rsidRPr="00131165">
        <w:rPr>
          <w:color w:val="000000"/>
          <w:sz w:val="24"/>
        </w:rPr>
        <w:t>doi:https</w:t>
      </w:r>
      <w:proofErr w:type="spellEnd"/>
      <w:r w:rsidRPr="00131165">
        <w:rPr>
          <w:color w:val="000000"/>
          <w:sz w:val="24"/>
        </w:rPr>
        <w:t>://doi.org/10.61093/hem.2025.2-08.</w:t>
      </w:r>
    </w:p>
    <w:p w14:paraId="34B75C43"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NCRHC (2024).</w:t>
      </w:r>
      <w:r w:rsidRPr="00131165">
        <w:rPr>
          <w:rStyle w:val="apple-converted-space"/>
          <w:rFonts w:eastAsiaTheme="majorEastAsia"/>
          <w:color w:val="000000"/>
          <w:sz w:val="24"/>
        </w:rPr>
        <w:t> </w:t>
      </w:r>
      <w:r w:rsidRPr="00131165">
        <w:rPr>
          <w:i/>
          <w:iCs/>
          <w:color w:val="000000"/>
          <w:sz w:val="24"/>
        </w:rPr>
        <w:t>Rural Workforce Issues in Health and Care Background Securing Staff in Rural Areas</w:t>
      </w:r>
      <w:r w:rsidRPr="00131165">
        <w:rPr>
          <w:color w:val="000000"/>
          <w:sz w:val="24"/>
        </w:rPr>
        <w:t>. [online] Available at: https://www.eastmidlandsdeanery.nhs.uk/sites/default/files/rural_workforce_issues_in_health_and_care.pdf.</w:t>
      </w:r>
    </w:p>
    <w:p w14:paraId="795B3C18"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Ngozi, D.-E. and </w:t>
      </w:r>
      <w:proofErr w:type="spellStart"/>
      <w:r w:rsidRPr="00131165">
        <w:rPr>
          <w:color w:val="000000"/>
          <w:sz w:val="24"/>
        </w:rPr>
        <w:t>Edwinah</w:t>
      </w:r>
      <w:proofErr w:type="spellEnd"/>
      <w:r w:rsidRPr="00131165">
        <w:rPr>
          <w:color w:val="000000"/>
          <w:sz w:val="24"/>
        </w:rPr>
        <w:t>, A. (2022). Employee Engagement and Talent Retention: A Review.</w:t>
      </w:r>
      <w:r w:rsidRPr="00131165">
        <w:rPr>
          <w:rStyle w:val="apple-converted-space"/>
          <w:rFonts w:eastAsiaTheme="majorEastAsia"/>
          <w:color w:val="000000"/>
          <w:sz w:val="24"/>
        </w:rPr>
        <w:t> </w:t>
      </w:r>
      <w:r w:rsidRPr="00131165">
        <w:rPr>
          <w:i/>
          <w:iCs/>
          <w:color w:val="000000"/>
          <w:sz w:val="24"/>
        </w:rPr>
        <w:t>South Asian Research Journal of Biology and Applied Biosciences</w:t>
      </w:r>
      <w:r w:rsidRPr="00131165">
        <w:rPr>
          <w:color w:val="000000"/>
          <w:sz w:val="24"/>
        </w:rPr>
        <w:t xml:space="preserve">, 4(5), pp.188–197. </w:t>
      </w:r>
      <w:proofErr w:type="spellStart"/>
      <w:r w:rsidRPr="00131165">
        <w:rPr>
          <w:color w:val="000000"/>
          <w:sz w:val="24"/>
        </w:rPr>
        <w:t>doi:https</w:t>
      </w:r>
      <w:proofErr w:type="spellEnd"/>
      <w:r w:rsidRPr="00131165">
        <w:rPr>
          <w:color w:val="000000"/>
          <w:sz w:val="24"/>
        </w:rPr>
        <w:t>://doi.org/10.36346/sarjbm.2022.v04i05.003.</w:t>
      </w:r>
    </w:p>
    <w:p w14:paraId="3C1D690B"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NHS (2023).</w:t>
      </w:r>
      <w:r w:rsidRPr="00131165">
        <w:rPr>
          <w:rStyle w:val="apple-converted-space"/>
          <w:rFonts w:eastAsiaTheme="majorEastAsia"/>
          <w:color w:val="000000"/>
          <w:sz w:val="24"/>
        </w:rPr>
        <w:t> </w:t>
      </w:r>
      <w:r w:rsidRPr="00131165">
        <w:rPr>
          <w:i/>
          <w:iCs/>
          <w:color w:val="000000"/>
          <w:sz w:val="24"/>
        </w:rPr>
        <w:t>NHS England» Staff recognition framework</w:t>
      </w:r>
      <w:r w:rsidRPr="00131165">
        <w:rPr>
          <w:color w:val="000000"/>
          <w:sz w:val="24"/>
        </w:rPr>
        <w:t>. [online] www.england.nhs.uk. Available at: https://www.england.nhs.uk/long-read/staff-recognition-framework/.</w:t>
      </w:r>
    </w:p>
    <w:p w14:paraId="4F539C4B"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NHS Wales (2025).</w:t>
      </w:r>
      <w:r w:rsidRPr="00131165">
        <w:rPr>
          <w:rStyle w:val="apple-converted-space"/>
          <w:rFonts w:eastAsiaTheme="majorEastAsia"/>
          <w:color w:val="000000"/>
          <w:sz w:val="24"/>
        </w:rPr>
        <w:t> </w:t>
      </w:r>
      <w:r w:rsidRPr="00131165">
        <w:rPr>
          <w:i/>
          <w:iCs/>
          <w:color w:val="000000"/>
          <w:sz w:val="24"/>
        </w:rPr>
        <w:t>Working in NHS Wales</w:t>
      </w:r>
      <w:r w:rsidRPr="00131165">
        <w:rPr>
          <w:color w:val="000000"/>
          <w:sz w:val="24"/>
        </w:rPr>
        <w:t>. [online] HEIW. Available at: https://heiw.nhs.wales/careers/working-in-nhs-wales/ [Accessed 19 Nov. 2025].</w:t>
      </w:r>
    </w:p>
    <w:p w14:paraId="559FC628"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Ogbonna, E. (2023). Making Wales an Anti-racist Nation: A ‘Public Value Mission’ in Action.</w:t>
      </w:r>
      <w:r w:rsidRPr="00131165">
        <w:rPr>
          <w:rStyle w:val="apple-converted-space"/>
          <w:rFonts w:eastAsiaTheme="majorEastAsia"/>
          <w:color w:val="000000"/>
          <w:sz w:val="24"/>
        </w:rPr>
        <w:t> </w:t>
      </w:r>
      <w:r w:rsidRPr="00131165">
        <w:rPr>
          <w:i/>
          <w:iCs/>
          <w:color w:val="000000"/>
          <w:sz w:val="24"/>
        </w:rPr>
        <w:t>Routledge eBooks</w:t>
      </w:r>
      <w:r w:rsidRPr="00131165">
        <w:rPr>
          <w:color w:val="000000"/>
          <w:sz w:val="24"/>
        </w:rPr>
        <w:t xml:space="preserve">, pp.78–83. </w:t>
      </w:r>
      <w:proofErr w:type="spellStart"/>
      <w:r w:rsidRPr="00131165">
        <w:rPr>
          <w:color w:val="000000"/>
          <w:sz w:val="24"/>
        </w:rPr>
        <w:t>doi:https</w:t>
      </w:r>
      <w:proofErr w:type="spellEnd"/>
      <w:r w:rsidRPr="00131165">
        <w:rPr>
          <w:color w:val="000000"/>
          <w:sz w:val="24"/>
        </w:rPr>
        <w:t>://doi.org/10.4324/9781003467410-12.</w:t>
      </w:r>
    </w:p>
    <w:p w14:paraId="6D81CF5C"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Paiuc</w:t>
      </w:r>
      <w:proofErr w:type="spellEnd"/>
      <w:r w:rsidRPr="00131165">
        <w:rPr>
          <w:color w:val="000000"/>
          <w:sz w:val="24"/>
        </w:rPr>
        <w:t>, D. (2021). The Impact of Cultural Intelligence on Multinational Leadership: A Semantic Review.</w:t>
      </w:r>
      <w:r w:rsidRPr="00131165">
        <w:rPr>
          <w:rStyle w:val="apple-converted-space"/>
          <w:rFonts w:eastAsiaTheme="majorEastAsia"/>
          <w:color w:val="000000"/>
          <w:sz w:val="24"/>
        </w:rPr>
        <w:t> </w:t>
      </w:r>
      <w:r w:rsidRPr="00131165">
        <w:rPr>
          <w:i/>
          <w:iCs/>
          <w:color w:val="000000"/>
          <w:sz w:val="24"/>
        </w:rPr>
        <w:t>Management Dynamics in the Knowledge Economy</w:t>
      </w:r>
      <w:r w:rsidRPr="00131165">
        <w:rPr>
          <w:color w:val="000000"/>
          <w:sz w:val="24"/>
        </w:rPr>
        <w:t xml:space="preserve">, 9(1), pp.81–93. </w:t>
      </w:r>
      <w:proofErr w:type="spellStart"/>
      <w:r w:rsidRPr="00131165">
        <w:rPr>
          <w:color w:val="000000"/>
          <w:sz w:val="24"/>
        </w:rPr>
        <w:t>doi:https</w:t>
      </w:r>
      <w:proofErr w:type="spellEnd"/>
      <w:r w:rsidRPr="00131165">
        <w:rPr>
          <w:color w:val="000000"/>
          <w:sz w:val="24"/>
        </w:rPr>
        <w:t>://doi.org/10.2478/mdke-2021-0006.</w:t>
      </w:r>
    </w:p>
    <w:p w14:paraId="27FCECAB"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Palanski</w:t>
      </w:r>
      <w:proofErr w:type="spellEnd"/>
      <w:r w:rsidRPr="00131165">
        <w:rPr>
          <w:color w:val="000000"/>
          <w:sz w:val="24"/>
        </w:rPr>
        <w:t>, M., Newman, A., Leroy, H., Moore, C., Hannah, S. and Den Hartog, D. (2021). Quantitative Research on Leadership and Business Ethics: Examining the State of the Field and an Agenda for Future Research.</w:t>
      </w:r>
      <w:r w:rsidRPr="00131165">
        <w:rPr>
          <w:rStyle w:val="apple-converted-space"/>
          <w:rFonts w:eastAsiaTheme="majorEastAsia"/>
          <w:color w:val="000000"/>
          <w:sz w:val="24"/>
        </w:rPr>
        <w:t> </w:t>
      </w:r>
      <w:r w:rsidRPr="00131165">
        <w:rPr>
          <w:i/>
          <w:iCs/>
          <w:color w:val="000000"/>
          <w:sz w:val="24"/>
        </w:rPr>
        <w:t>Journal of Business Ethics</w:t>
      </w:r>
      <w:r w:rsidRPr="00131165">
        <w:rPr>
          <w:color w:val="000000"/>
          <w:sz w:val="24"/>
        </w:rPr>
        <w:t xml:space="preserve">, [online] 168(1). </w:t>
      </w:r>
      <w:proofErr w:type="spellStart"/>
      <w:r w:rsidRPr="00131165">
        <w:rPr>
          <w:color w:val="000000"/>
          <w:sz w:val="24"/>
        </w:rPr>
        <w:t>doi:https</w:t>
      </w:r>
      <w:proofErr w:type="spellEnd"/>
      <w:r w:rsidRPr="00131165">
        <w:rPr>
          <w:color w:val="000000"/>
          <w:sz w:val="24"/>
        </w:rPr>
        <w:t>://doi.org/10.1007/s10551-019-04267-9.</w:t>
      </w:r>
    </w:p>
    <w:p w14:paraId="2D101358"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Parasurama</w:t>
      </w:r>
      <w:proofErr w:type="spellEnd"/>
      <w:r w:rsidRPr="00131165">
        <w:rPr>
          <w:color w:val="000000"/>
          <w:sz w:val="24"/>
        </w:rPr>
        <w:t xml:space="preserve">, P. and </w:t>
      </w:r>
      <w:proofErr w:type="spellStart"/>
      <w:r w:rsidRPr="00131165">
        <w:rPr>
          <w:color w:val="000000"/>
          <w:sz w:val="24"/>
        </w:rPr>
        <w:t>Ipeirotis</w:t>
      </w:r>
      <w:proofErr w:type="spellEnd"/>
      <w:r w:rsidRPr="00131165">
        <w:rPr>
          <w:color w:val="000000"/>
          <w:sz w:val="24"/>
        </w:rPr>
        <w:t>, P. (2025). Algorithmic Hiring and Diversity: Reducing Human-Algorithm Similarity for Better Outcomes.</w:t>
      </w:r>
      <w:r w:rsidRPr="00131165">
        <w:rPr>
          <w:rStyle w:val="apple-converted-space"/>
          <w:rFonts w:eastAsiaTheme="majorEastAsia"/>
          <w:color w:val="000000"/>
          <w:sz w:val="24"/>
        </w:rPr>
        <w:t> </w:t>
      </w:r>
      <w:proofErr w:type="spellStart"/>
      <w:r w:rsidRPr="00131165">
        <w:rPr>
          <w:i/>
          <w:iCs/>
          <w:color w:val="000000"/>
          <w:sz w:val="24"/>
        </w:rPr>
        <w:t>arXiv</w:t>
      </w:r>
      <w:proofErr w:type="spellEnd"/>
      <w:r w:rsidRPr="00131165">
        <w:rPr>
          <w:i/>
          <w:iCs/>
          <w:color w:val="000000"/>
          <w:sz w:val="24"/>
        </w:rPr>
        <w:t xml:space="preserve"> (Cornell University)</w:t>
      </w:r>
      <w:r w:rsidRPr="00131165">
        <w:rPr>
          <w:color w:val="000000"/>
          <w:sz w:val="24"/>
        </w:rPr>
        <w:t xml:space="preserve">. </w:t>
      </w:r>
      <w:proofErr w:type="spellStart"/>
      <w:r w:rsidRPr="00131165">
        <w:rPr>
          <w:color w:val="000000"/>
          <w:sz w:val="24"/>
        </w:rPr>
        <w:t>doi:https</w:t>
      </w:r>
      <w:proofErr w:type="spellEnd"/>
      <w:r w:rsidRPr="00131165">
        <w:rPr>
          <w:color w:val="000000"/>
          <w:sz w:val="24"/>
        </w:rPr>
        <w:t>://doi.org/10.48550/arXiv.2505.14388.</w:t>
      </w:r>
    </w:p>
    <w:p w14:paraId="5CC2EBC9"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lastRenderedPageBreak/>
        <w:t>Perera</w:t>
      </w:r>
      <w:proofErr w:type="spellEnd"/>
      <w:r w:rsidRPr="00131165">
        <w:rPr>
          <w:color w:val="000000"/>
          <w:sz w:val="24"/>
        </w:rPr>
        <w:t xml:space="preserve">, A.P.K. (2025). Cross-Cultural Leadership in Global Teams. [online] </w:t>
      </w:r>
      <w:proofErr w:type="spellStart"/>
      <w:r w:rsidRPr="00131165">
        <w:rPr>
          <w:color w:val="000000"/>
          <w:sz w:val="24"/>
        </w:rPr>
        <w:t>doi:https</w:t>
      </w:r>
      <w:proofErr w:type="spellEnd"/>
      <w:r w:rsidRPr="00131165">
        <w:rPr>
          <w:color w:val="000000"/>
          <w:sz w:val="24"/>
        </w:rPr>
        <w:t>://doi.org/10.2139/ssrn.5097264.</w:t>
      </w:r>
    </w:p>
    <w:p w14:paraId="3CDC6F89"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Perrigino</w:t>
      </w:r>
      <w:proofErr w:type="spellEnd"/>
      <w:r w:rsidRPr="00131165">
        <w:rPr>
          <w:color w:val="000000"/>
          <w:sz w:val="24"/>
        </w:rPr>
        <w:t>, M.B. and Jenkins, M. (2023). Unlocking the benefits of diversity among healthcare workforces: a holistic view.</w:t>
      </w:r>
      <w:r w:rsidRPr="00131165">
        <w:rPr>
          <w:rStyle w:val="apple-converted-space"/>
          <w:rFonts w:eastAsiaTheme="majorEastAsia"/>
          <w:color w:val="000000"/>
          <w:sz w:val="24"/>
        </w:rPr>
        <w:t> </w:t>
      </w:r>
      <w:r w:rsidRPr="00131165">
        <w:rPr>
          <w:i/>
          <w:iCs/>
          <w:color w:val="000000"/>
          <w:sz w:val="24"/>
        </w:rPr>
        <w:t>Journal of Health Organization and Management</w:t>
      </w:r>
      <w:r w:rsidRPr="00131165">
        <w:rPr>
          <w:color w:val="000000"/>
          <w:sz w:val="24"/>
        </w:rPr>
        <w:t xml:space="preserve">, 37(2). </w:t>
      </w:r>
      <w:proofErr w:type="spellStart"/>
      <w:r w:rsidRPr="00131165">
        <w:rPr>
          <w:color w:val="000000"/>
          <w:sz w:val="24"/>
        </w:rPr>
        <w:t>doi:https</w:t>
      </w:r>
      <w:proofErr w:type="spellEnd"/>
      <w:r w:rsidRPr="00131165">
        <w:rPr>
          <w:color w:val="000000"/>
          <w:sz w:val="24"/>
        </w:rPr>
        <w:t>://doi.org/10.1108/jhom-06-2022-0163.</w:t>
      </w:r>
    </w:p>
    <w:p w14:paraId="6FAFBBB9"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Sacerdoti</w:t>
      </w:r>
      <w:proofErr w:type="spellEnd"/>
      <w:r w:rsidRPr="00131165">
        <w:rPr>
          <w:color w:val="000000"/>
          <w:sz w:val="24"/>
        </w:rPr>
        <w:t xml:space="preserve">, G. and </w:t>
      </w:r>
      <w:proofErr w:type="spellStart"/>
      <w:r w:rsidRPr="00131165">
        <w:rPr>
          <w:color w:val="000000"/>
          <w:sz w:val="24"/>
        </w:rPr>
        <w:t>Borlini</w:t>
      </w:r>
      <w:proofErr w:type="spellEnd"/>
      <w:r w:rsidRPr="00131165">
        <w:rPr>
          <w:color w:val="000000"/>
          <w:sz w:val="24"/>
        </w:rPr>
        <w:t>, L.S. (2023). Systemic Changes in the Politicization of the International Trade Relations and the Decline of the Multilateral Trading System.</w:t>
      </w:r>
      <w:r w:rsidRPr="00131165">
        <w:rPr>
          <w:rStyle w:val="apple-converted-space"/>
          <w:rFonts w:eastAsiaTheme="majorEastAsia"/>
          <w:color w:val="000000"/>
          <w:sz w:val="24"/>
        </w:rPr>
        <w:t> </w:t>
      </w:r>
      <w:r w:rsidRPr="00131165">
        <w:rPr>
          <w:i/>
          <w:iCs/>
          <w:color w:val="000000"/>
          <w:sz w:val="24"/>
        </w:rPr>
        <w:t>German Law Journal</w:t>
      </w:r>
      <w:r w:rsidRPr="00131165">
        <w:rPr>
          <w:color w:val="000000"/>
          <w:sz w:val="24"/>
        </w:rPr>
        <w:t xml:space="preserve">, 24(1), pp.17–44. </w:t>
      </w:r>
      <w:proofErr w:type="spellStart"/>
      <w:r w:rsidRPr="00131165">
        <w:rPr>
          <w:color w:val="000000"/>
          <w:sz w:val="24"/>
        </w:rPr>
        <w:t>doi:https</w:t>
      </w:r>
      <w:proofErr w:type="spellEnd"/>
      <w:r w:rsidRPr="00131165">
        <w:rPr>
          <w:color w:val="000000"/>
          <w:sz w:val="24"/>
        </w:rPr>
        <w:t>://doi.org/10.1017/glj.2023.10.</w:t>
      </w:r>
    </w:p>
    <w:p w14:paraId="43C1AA0F"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Salimi</w:t>
      </w:r>
      <w:proofErr w:type="spellEnd"/>
      <w:r w:rsidRPr="00131165">
        <w:rPr>
          <w:color w:val="000000"/>
          <w:sz w:val="24"/>
        </w:rPr>
        <w:t>, K., Richman, J.T., Karp, R., Richardson, G.P. and Andersen, D. (2022). Emergence of a Norm from Resistance: Using Simulation to Explore the Macro Implications of Social Identity Theory.</w:t>
      </w:r>
      <w:r w:rsidRPr="00131165">
        <w:rPr>
          <w:rStyle w:val="apple-converted-space"/>
          <w:rFonts w:eastAsiaTheme="majorEastAsia"/>
          <w:color w:val="000000"/>
          <w:sz w:val="24"/>
        </w:rPr>
        <w:t> </w:t>
      </w:r>
      <w:r w:rsidRPr="00131165">
        <w:rPr>
          <w:i/>
          <w:iCs/>
          <w:color w:val="000000"/>
          <w:sz w:val="24"/>
        </w:rPr>
        <w:t>Systems</w:t>
      </w:r>
      <w:r w:rsidRPr="00131165">
        <w:rPr>
          <w:color w:val="000000"/>
          <w:sz w:val="24"/>
        </w:rPr>
        <w:t xml:space="preserve">, [online] 10(5), p.143. </w:t>
      </w:r>
      <w:proofErr w:type="spellStart"/>
      <w:r w:rsidRPr="00131165">
        <w:rPr>
          <w:color w:val="000000"/>
          <w:sz w:val="24"/>
        </w:rPr>
        <w:t>doi:https</w:t>
      </w:r>
      <w:proofErr w:type="spellEnd"/>
      <w:r w:rsidRPr="00131165">
        <w:rPr>
          <w:color w:val="000000"/>
          <w:sz w:val="24"/>
        </w:rPr>
        <w:t>://doi.org/10.3390/systems10050143.</w:t>
      </w:r>
    </w:p>
    <w:p w14:paraId="77A5D30B"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Sarvari, G., </w:t>
      </w:r>
      <w:proofErr w:type="spellStart"/>
      <w:r w:rsidRPr="00131165">
        <w:rPr>
          <w:color w:val="000000"/>
          <w:sz w:val="24"/>
        </w:rPr>
        <w:t>Razeghi</w:t>
      </w:r>
      <w:proofErr w:type="spellEnd"/>
      <w:r w:rsidRPr="00131165">
        <w:rPr>
          <w:color w:val="000000"/>
          <w:sz w:val="24"/>
        </w:rPr>
        <w:t xml:space="preserve">, S., </w:t>
      </w:r>
      <w:proofErr w:type="spellStart"/>
      <w:r w:rsidRPr="00131165">
        <w:rPr>
          <w:color w:val="000000"/>
          <w:sz w:val="24"/>
        </w:rPr>
        <w:t>Mahmoudian</w:t>
      </w:r>
      <w:proofErr w:type="spellEnd"/>
      <w:r w:rsidRPr="00131165">
        <w:rPr>
          <w:color w:val="000000"/>
          <w:sz w:val="24"/>
        </w:rPr>
        <w:t xml:space="preserve">, H. and </w:t>
      </w:r>
      <w:proofErr w:type="spellStart"/>
      <w:r w:rsidRPr="00131165">
        <w:rPr>
          <w:color w:val="000000"/>
          <w:sz w:val="24"/>
        </w:rPr>
        <w:t>Mahmoudian</w:t>
      </w:r>
      <w:proofErr w:type="spellEnd"/>
      <w:r w:rsidRPr="00131165">
        <w:rPr>
          <w:color w:val="000000"/>
          <w:sz w:val="24"/>
        </w:rPr>
        <w:t xml:space="preserve"> (2025). Identifying the Conditions, Consequences, and Strategies for Enhancing Leaders’ Cultural Intelligence.</w:t>
      </w:r>
      <w:r w:rsidRPr="00131165">
        <w:rPr>
          <w:rStyle w:val="apple-converted-space"/>
          <w:rFonts w:eastAsiaTheme="majorEastAsia"/>
          <w:color w:val="000000"/>
          <w:sz w:val="24"/>
        </w:rPr>
        <w:t> </w:t>
      </w:r>
      <w:r w:rsidRPr="00131165">
        <w:rPr>
          <w:i/>
          <w:iCs/>
          <w:color w:val="000000"/>
          <w:sz w:val="24"/>
        </w:rPr>
        <w:t>Business, Marketing, and Finance Open</w:t>
      </w:r>
      <w:r w:rsidRPr="00131165">
        <w:rPr>
          <w:color w:val="000000"/>
          <w:sz w:val="24"/>
        </w:rPr>
        <w:t xml:space="preserve">, [online] 2(1), pp.132–138. </w:t>
      </w:r>
      <w:proofErr w:type="spellStart"/>
      <w:r w:rsidRPr="00131165">
        <w:rPr>
          <w:color w:val="000000"/>
          <w:sz w:val="24"/>
        </w:rPr>
        <w:t>doi:https</w:t>
      </w:r>
      <w:proofErr w:type="spellEnd"/>
      <w:r w:rsidRPr="00131165">
        <w:rPr>
          <w:color w:val="000000"/>
          <w:sz w:val="24"/>
        </w:rPr>
        <w:t>://doi.org/10.61838/bmfopen.2.1.12.</w:t>
      </w:r>
    </w:p>
    <w:p w14:paraId="2F9E45C8"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Shinde, O. and </w:t>
      </w:r>
      <w:proofErr w:type="spellStart"/>
      <w:r w:rsidRPr="00131165">
        <w:rPr>
          <w:color w:val="000000"/>
          <w:sz w:val="24"/>
        </w:rPr>
        <w:t>Surve</w:t>
      </w:r>
      <w:proofErr w:type="spellEnd"/>
      <w:r w:rsidRPr="00131165">
        <w:rPr>
          <w:color w:val="000000"/>
          <w:sz w:val="24"/>
        </w:rPr>
        <w:t>, M. (2025). Understanding Generation Z in the Workplace: Adapting Organizational Strategies for a New Era of Work.</w:t>
      </w:r>
      <w:r w:rsidRPr="00131165">
        <w:rPr>
          <w:rStyle w:val="apple-converted-space"/>
          <w:rFonts w:eastAsiaTheme="majorEastAsia"/>
          <w:color w:val="000000"/>
          <w:sz w:val="24"/>
        </w:rPr>
        <w:t> </w:t>
      </w:r>
      <w:r w:rsidRPr="00131165">
        <w:rPr>
          <w:i/>
          <w:iCs/>
          <w:color w:val="000000"/>
          <w:sz w:val="24"/>
        </w:rPr>
        <w:t>International Journal of Science and Research (IJSR)</w:t>
      </w:r>
      <w:r w:rsidRPr="00131165">
        <w:rPr>
          <w:color w:val="000000"/>
          <w:sz w:val="24"/>
        </w:rPr>
        <w:t xml:space="preserve">, 14(3), pp.790–797. </w:t>
      </w:r>
      <w:proofErr w:type="spellStart"/>
      <w:r w:rsidRPr="00131165">
        <w:rPr>
          <w:color w:val="000000"/>
          <w:sz w:val="24"/>
        </w:rPr>
        <w:t>doi:https</w:t>
      </w:r>
      <w:proofErr w:type="spellEnd"/>
      <w:r w:rsidRPr="00131165">
        <w:rPr>
          <w:color w:val="000000"/>
          <w:sz w:val="24"/>
        </w:rPr>
        <w:t>://doi.org/10.21275/sr25316115930.</w:t>
      </w:r>
    </w:p>
    <w:p w14:paraId="65E7DC00"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Siahaan</w:t>
      </w:r>
      <w:proofErr w:type="spellEnd"/>
      <w:r w:rsidRPr="00131165">
        <w:rPr>
          <w:color w:val="000000"/>
          <w:sz w:val="24"/>
        </w:rPr>
        <w:t xml:space="preserve">, J.R., </w:t>
      </w:r>
      <w:proofErr w:type="spellStart"/>
      <w:r w:rsidRPr="00131165">
        <w:rPr>
          <w:color w:val="000000"/>
          <w:sz w:val="24"/>
        </w:rPr>
        <w:t>Pagalung</w:t>
      </w:r>
      <w:proofErr w:type="spellEnd"/>
      <w:r w:rsidRPr="00131165">
        <w:rPr>
          <w:color w:val="000000"/>
          <w:sz w:val="24"/>
        </w:rPr>
        <w:t xml:space="preserve">, G., </w:t>
      </w:r>
      <w:proofErr w:type="spellStart"/>
      <w:r w:rsidRPr="00131165">
        <w:rPr>
          <w:color w:val="000000"/>
          <w:sz w:val="24"/>
        </w:rPr>
        <w:t>Demmallino</w:t>
      </w:r>
      <w:proofErr w:type="spellEnd"/>
      <w:r w:rsidRPr="00131165">
        <w:rPr>
          <w:color w:val="000000"/>
          <w:sz w:val="24"/>
        </w:rPr>
        <w:t xml:space="preserve">, E.B., </w:t>
      </w:r>
      <w:proofErr w:type="spellStart"/>
      <w:r w:rsidRPr="00131165">
        <w:rPr>
          <w:color w:val="000000"/>
          <w:sz w:val="24"/>
        </w:rPr>
        <w:t>Saleng</w:t>
      </w:r>
      <w:proofErr w:type="spellEnd"/>
      <w:r w:rsidRPr="00131165">
        <w:rPr>
          <w:color w:val="000000"/>
          <w:sz w:val="24"/>
        </w:rPr>
        <w:t xml:space="preserve">, A., </w:t>
      </w:r>
      <w:proofErr w:type="spellStart"/>
      <w:r w:rsidRPr="00131165">
        <w:rPr>
          <w:color w:val="000000"/>
          <w:sz w:val="24"/>
        </w:rPr>
        <w:t>Sulaiman</w:t>
      </w:r>
      <w:proofErr w:type="spellEnd"/>
      <w:r w:rsidRPr="00131165">
        <w:rPr>
          <w:color w:val="000000"/>
          <w:sz w:val="24"/>
        </w:rPr>
        <w:t xml:space="preserve">, A.A. and </w:t>
      </w:r>
      <w:proofErr w:type="spellStart"/>
      <w:r w:rsidRPr="00131165">
        <w:rPr>
          <w:color w:val="000000"/>
          <w:sz w:val="24"/>
        </w:rPr>
        <w:t>Nagu</w:t>
      </w:r>
      <w:proofErr w:type="spellEnd"/>
      <w:r w:rsidRPr="00131165">
        <w:rPr>
          <w:color w:val="000000"/>
          <w:sz w:val="24"/>
        </w:rPr>
        <w:t>, N. (2025). Reframing Sustainability in Post-Mining Landscapes: A Foundational Framework for Institutional and Behavioral Integration in Indonesia.</w:t>
      </w:r>
      <w:r w:rsidRPr="00131165">
        <w:rPr>
          <w:rStyle w:val="apple-converted-space"/>
          <w:rFonts w:eastAsiaTheme="majorEastAsia"/>
          <w:color w:val="000000"/>
          <w:sz w:val="24"/>
        </w:rPr>
        <w:t> </w:t>
      </w:r>
      <w:r w:rsidRPr="00131165">
        <w:rPr>
          <w:i/>
          <w:iCs/>
          <w:color w:val="000000"/>
          <w:sz w:val="24"/>
        </w:rPr>
        <w:t>Sustainability</w:t>
      </w:r>
      <w:r w:rsidRPr="00131165">
        <w:rPr>
          <w:color w:val="000000"/>
          <w:sz w:val="24"/>
        </w:rPr>
        <w:t xml:space="preserve">, 17(12), pp.5278–5278. </w:t>
      </w:r>
      <w:proofErr w:type="spellStart"/>
      <w:r w:rsidRPr="00131165">
        <w:rPr>
          <w:color w:val="000000"/>
          <w:sz w:val="24"/>
        </w:rPr>
        <w:t>doi:https</w:t>
      </w:r>
      <w:proofErr w:type="spellEnd"/>
      <w:r w:rsidRPr="00131165">
        <w:rPr>
          <w:color w:val="000000"/>
          <w:sz w:val="24"/>
        </w:rPr>
        <w:t>://doi.org/10.3390/su17125278.</w:t>
      </w:r>
    </w:p>
    <w:p w14:paraId="0AEFDDBF"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Singha, S. (2024). Unmasking the Shadows: Confronting Racism-Driven Cognitive Biases in Strategic Decision Making.</w:t>
      </w:r>
      <w:r w:rsidRPr="00131165">
        <w:rPr>
          <w:rStyle w:val="apple-converted-space"/>
          <w:rFonts w:eastAsiaTheme="majorEastAsia"/>
          <w:color w:val="000000"/>
          <w:sz w:val="24"/>
        </w:rPr>
        <w:t> </w:t>
      </w:r>
      <w:r w:rsidRPr="00131165">
        <w:rPr>
          <w:i/>
          <w:iCs/>
          <w:color w:val="000000"/>
          <w:sz w:val="24"/>
        </w:rPr>
        <w:t>Advances in Religious and Cultural Studies</w:t>
      </w:r>
      <w:r w:rsidRPr="00131165">
        <w:rPr>
          <w:color w:val="000000"/>
          <w:sz w:val="24"/>
        </w:rPr>
        <w:t xml:space="preserve">, pp.15–36. </w:t>
      </w:r>
      <w:proofErr w:type="spellStart"/>
      <w:r w:rsidRPr="00131165">
        <w:rPr>
          <w:color w:val="000000"/>
          <w:sz w:val="24"/>
        </w:rPr>
        <w:t>doi:https</w:t>
      </w:r>
      <w:proofErr w:type="spellEnd"/>
      <w:r w:rsidRPr="00131165">
        <w:rPr>
          <w:color w:val="000000"/>
          <w:sz w:val="24"/>
        </w:rPr>
        <w:t>://doi.org/10.4018/978-1-6684-9897-2.ch002.</w:t>
      </w:r>
    </w:p>
    <w:p w14:paraId="2F1A9186"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Smith, S.M., </w:t>
      </w:r>
      <w:proofErr w:type="spellStart"/>
      <w:r w:rsidRPr="00131165">
        <w:rPr>
          <w:color w:val="000000"/>
          <w:sz w:val="24"/>
        </w:rPr>
        <w:t>Kheri</w:t>
      </w:r>
      <w:proofErr w:type="spellEnd"/>
      <w:r w:rsidRPr="00131165">
        <w:rPr>
          <w:color w:val="000000"/>
          <w:sz w:val="24"/>
        </w:rPr>
        <w:t xml:space="preserve">, A., </w:t>
      </w:r>
      <w:proofErr w:type="spellStart"/>
      <w:r w:rsidRPr="00131165">
        <w:rPr>
          <w:color w:val="000000"/>
          <w:sz w:val="24"/>
        </w:rPr>
        <w:t>Ariyo</w:t>
      </w:r>
      <w:proofErr w:type="spellEnd"/>
      <w:r w:rsidRPr="00131165">
        <w:rPr>
          <w:color w:val="000000"/>
          <w:sz w:val="24"/>
        </w:rPr>
        <w:t xml:space="preserve">, K., Gilbert, S., Salla, A., </w:t>
      </w:r>
      <w:proofErr w:type="spellStart"/>
      <w:r w:rsidRPr="00131165">
        <w:rPr>
          <w:color w:val="000000"/>
          <w:sz w:val="24"/>
        </w:rPr>
        <w:t>Lingiah</w:t>
      </w:r>
      <w:proofErr w:type="spellEnd"/>
      <w:r w:rsidRPr="00131165">
        <w:rPr>
          <w:color w:val="000000"/>
          <w:sz w:val="24"/>
        </w:rPr>
        <w:t xml:space="preserve">, T., Taylor, C. and Edge, D. (2023). The Patient and </w:t>
      </w:r>
      <w:proofErr w:type="spellStart"/>
      <w:r w:rsidRPr="00131165">
        <w:rPr>
          <w:color w:val="000000"/>
          <w:sz w:val="24"/>
        </w:rPr>
        <w:t>Carer</w:t>
      </w:r>
      <w:proofErr w:type="spellEnd"/>
      <w:r w:rsidRPr="00131165">
        <w:rPr>
          <w:color w:val="000000"/>
          <w:sz w:val="24"/>
        </w:rPr>
        <w:t xml:space="preserve"> Race Equality Framework: a Model to Reduce Mental </w:t>
      </w:r>
      <w:r w:rsidRPr="00131165">
        <w:rPr>
          <w:color w:val="000000"/>
          <w:sz w:val="24"/>
        </w:rPr>
        <w:lastRenderedPageBreak/>
        <w:t>Health Inequity in England and Wales.</w:t>
      </w:r>
      <w:r w:rsidRPr="00131165">
        <w:rPr>
          <w:rStyle w:val="apple-converted-space"/>
          <w:rFonts w:eastAsiaTheme="majorEastAsia"/>
          <w:color w:val="000000"/>
          <w:sz w:val="24"/>
        </w:rPr>
        <w:t> </w:t>
      </w:r>
      <w:r w:rsidRPr="00131165">
        <w:rPr>
          <w:i/>
          <w:iCs/>
          <w:color w:val="000000"/>
          <w:sz w:val="24"/>
        </w:rPr>
        <w:t>Frontiers in Psychiatry</w:t>
      </w:r>
      <w:r w:rsidRPr="00131165">
        <w:rPr>
          <w:color w:val="000000"/>
          <w:sz w:val="24"/>
        </w:rPr>
        <w:t xml:space="preserve">, 14. </w:t>
      </w:r>
      <w:proofErr w:type="spellStart"/>
      <w:r w:rsidRPr="00131165">
        <w:rPr>
          <w:color w:val="000000"/>
          <w:sz w:val="24"/>
        </w:rPr>
        <w:t>doi:https</w:t>
      </w:r>
      <w:proofErr w:type="spellEnd"/>
      <w:r w:rsidRPr="00131165">
        <w:rPr>
          <w:color w:val="000000"/>
          <w:sz w:val="24"/>
        </w:rPr>
        <w:t>://doi.org/10.3389/fpsyt.2023.1053502.</w:t>
      </w:r>
    </w:p>
    <w:p w14:paraId="294D90CE"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Storm, K.I.L., Reiss, L.K., Guenther, E.A., </w:t>
      </w:r>
      <w:proofErr w:type="spellStart"/>
      <w:r w:rsidRPr="00131165">
        <w:rPr>
          <w:color w:val="000000"/>
          <w:sz w:val="24"/>
        </w:rPr>
        <w:t>Clar</w:t>
      </w:r>
      <w:proofErr w:type="spellEnd"/>
      <w:r w:rsidRPr="00131165">
        <w:rPr>
          <w:color w:val="000000"/>
          <w:sz w:val="24"/>
        </w:rPr>
        <w:t xml:space="preserve">-Novak, M. and </w:t>
      </w:r>
      <w:proofErr w:type="spellStart"/>
      <w:r w:rsidRPr="00131165">
        <w:rPr>
          <w:color w:val="000000"/>
          <w:sz w:val="24"/>
        </w:rPr>
        <w:t>Muhr</w:t>
      </w:r>
      <w:proofErr w:type="spellEnd"/>
      <w:r w:rsidRPr="00131165">
        <w:rPr>
          <w:color w:val="000000"/>
          <w:sz w:val="24"/>
        </w:rPr>
        <w:t>, S.L. (2023). Unconscious Bias in the HRM literature: Towards a critical-reflexive Approach.</w:t>
      </w:r>
      <w:r w:rsidRPr="00131165">
        <w:rPr>
          <w:rStyle w:val="apple-converted-space"/>
          <w:rFonts w:eastAsiaTheme="majorEastAsia"/>
          <w:color w:val="000000"/>
          <w:sz w:val="24"/>
        </w:rPr>
        <w:t> </w:t>
      </w:r>
      <w:r w:rsidRPr="00131165">
        <w:rPr>
          <w:i/>
          <w:iCs/>
          <w:color w:val="000000"/>
          <w:sz w:val="24"/>
        </w:rPr>
        <w:t>Human Resource Management Review</w:t>
      </w:r>
      <w:r w:rsidRPr="00131165">
        <w:rPr>
          <w:color w:val="000000"/>
          <w:sz w:val="24"/>
        </w:rPr>
        <w:t xml:space="preserve">, 33(3), pp.1–32. </w:t>
      </w:r>
      <w:proofErr w:type="spellStart"/>
      <w:r w:rsidRPr="00131165">
        <w:rPr>
          <w:color w:val="000000"/>
          <w:sz w:val="24"/>
        </w:rPr>
        <w:t>doi:https</w:t>
      </w:r>
      <w:proofErr w:type="spellEnd"/>
      <w:r w:rsidRPr="00131165">
        <w:rPr>
          <w:color w:val="000000"/>
          <w:sz w:val="24"/>
        </w:rPr>
        <w:t>://doi.org/10.1016/j.hrmr.2023.100969.</w:t>
      </w:r>
    </w:p>
    <w:p w14:paraId="1FB9017C"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Sweeting, K.D. (2023). Executive Orders: Mandating Inclusion in the Federal Workplace: Insights from Federal Executive Departments’ Strategic Plans.</w:t>
      </w:r>
      <w:r w:rsidRPr="00131165">
        <w:rPr>
          <w:rStyle w:val="apple-converted-space"/>
          <w:rFonts w:eastAsiaTheme="majorEastAsia"/>
          <w:color w:val="000000"/>
          <w:sz w:val="24"/>
        </w:rPr>
        <w:t> </w:t>
      </w:r>
      <w:r w:rsidRPr="00131165">
        <w:rPr>
          <w:i/>
          <w:iCs/>
          <w:color w:val="000000"/>
          <w:sz w:val="24"/>
        </w:rPr>
        <w:t>Public Personnel Management</w:t>
      </w:r>
      <w:r w:rsidRPr="00131165">
        <w:rPr>
          <w:color w:val="000000"/>
          <w:sz w:val="24"/>
        </w:rPr>
        <w:t xml:space="preserve">, 52(4). </w:t>
      </w:r>
      <w:proofErr w:type="spellStart"/>
      <w:r w:rsidRPr="00131165">
        <w:rPr>
          <w:color w:val="000000"/>
          <w:sz w:val="24"/>
        </w:rPr>
        <w:t>doi:https</w:t>
      </w:r>
      <w:proofErr w:type="spellEnd"/>
      <w:r w:rsidRPr="00131165">
        <w:rPr>
          <w:color w:val="000000"/>
          <w:sz w:val="24"/>
        </w:rPr>
        <w:t>://doi.org/10.1177/00910260231187542.</w:t>
      </w:r>
    </w:p>
    <w:p w14:paraId="177AB2F0"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Sylejmani</w:t>
      </w:r>
      <w:proofErr w:type="spellEnd"/>
      <w:r w:rsidRPr="00131165">
        <w:rPr>
          <w:color w:val="000000"/>
          <w:sz w:val="24"/>
        </w:rPr>
        <w:t>, M. and Mesko, M. (2024). The Role of Organizational Culture in Employee Retention in Kosovar Businesses.</w:t>
      </w:r>
      <w:r w:rsidRPr="00131165">
        <w:rPr>
          <w:rStyle w:val="apple-converted-space"/>
          <w:rFonts w:eastAsiaTheme="majorEastAsia"/>
          <w:color w:val="000000"/>
          <w:sz w:val="24"/>
        </w:rPr>
        <w:t> </w:t>
      </w:r>
      <w:r w:rsidRPr="00131165">
        <w:rPr>
          <w:i/>
          <w:iCs/>
          <w:color w:val="000000"/>
          <w:sz w:val="24"/>
        </w:rPr>
        <w:t>Journal of Organizational Psychology</w:t>
      </w:r>
      <w:r w:rsidRPr="00131165">
        <w:rPr>
          <w:color w:val="000000"/>
          <w:sz w:val="24"/>
        </w:rPr>
        <w:t xml:space="preserve">, 24(3). </w:t>
      </w:r>
      <w:proofErr w:type="spellStart"/>
      <w:r w:rsidRPr="00131165">
        <w:rPr>
          <w:color w:val="000000"/>
          <w:sz w:val="24"/>
        </w:rPr>
        <w:t>doi:https</w:t>
      </w:r>
      <w:proofErr w:type="spellEnd"/>
      <w:r w:rsidRPr="00131165">
        <w:rPr>
          <w:color w:val="000000"/>
          <w:sz w:val="24"/>
        </w:rPr>
        <w:t>://doi.org/10.33423/jop.v24i3.7328.</w:t>
      </w:r>
    </w:p>
    <w:p w14:paraId="592F6033"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Tajfel, H. and Turner, J. (1979). An Integrative Theory of Intergroup Conflict. In:</w:t>
      </w:r>
      <w:r w:rsidRPr="00131165">
        <w:rPr>
          <w:rStyle w:val="apple-converted-space"/>
          <w:rFonts w:eastAsiaTheme="majorEastAsia"/>
          <w:color w:val="000000"/>
          <w:sz w:val="24"/>
        </w:rPr>
        <w:t> </w:t>
      </w:r>
      <w:r w:rsidRPr="00131165">
        <w:rPr>
          <w:i/>
          <w:iCs/>
          <w:color w:val="000000"/>
          <w:sz w:val="24"/>
        </w:rPr>
        <w:t>The social psychology of intergroup relations</w:t>
      </w:r>
      <w:r w:rsidRPr="00131165">
        <w:rPr>
          <w:color w:val="000000"/>
          <w:sz w:val="24"/>
        </w:rPr>
        <w:t>. CA: Brooks/Cole: Monterey, pp.33–37.</w:t>
      </w:r>
    </w:p>
    <w:p w14:paraId="098A7B84" w14:textId="77777777" w:rsidR="009C7ADA" w:rsidRPr="00131165" w:rsidRDefault="009C7ADA" w:rsidP="00131165">
      <w:pPr>
        <w:pStyle w:val="NormalWeb"/>
        <w:spacing w:before="0" w:beforeAutospacing="0" w:after="240" w:afterAutospacing="0" w:line="360" w:lineRule="auto"/>
        <w:rPr>
          <w:color w:val="000000"/>
          <w:sz w:val="24"/>
        </w:rPr>
      </w:pPr>
      <w:proofErr w:type="spellStart"/>
      <w:r w:rsidRPr="00131165">
        <w:rPr>
          <w:color w:val="000000"/>
          <w:sz w:val="24"/>
        </w:rPr>
        <w:t>Treffers</w:t>
      </w:r>
      <w:proofErr w:type="spellEnd"/>
      <w:r w:rsidRPr="00131165">
        <w:rPr>
          <w:color w:val="000000"/>
          <w:sz w:val="24"/>
        </w:rPr>
        <w:t xml:space="preserve">, T., Ritter, A.-C., Born, N. and </w:t>
      </w:r>
      <w:proofErr w:type="spellStart"/>
      <w:r w:rsidRPr="00131165">
        <w:rPr>
          <w:color w:val="000000"/>
          <w:sz w:val="24"/>
        </w:rPr>
        <w:t>Welpe</w:t>
      </w:r>
      <w:proofErr w:type="spellEnd"/>
      <w:r w:rsidRPr="00131165">
        <w:rPr>
          <w:color w:val="000000"/>
          <w:sz w:val="24"/>
        </w:rPr>
        <w:t>, I. (2024). A systematic review of experimental evidence on interventions against bias and discrimination in organizations.</w:t>
      </w:r>
      <w:r w:rsidRPr="00131165">
        <w:rPr>
          <w:rStyle w:val="apple-converted-space"/>
          <w:rFonts w:eastAsiaTheme="majorEastAsia"/>
          <w:color w:val="000000"/>
          <w:sz w:val="24"/>
        </w:rPr>
        <w:t> </w:t>
      </w:r>
      <w:r w:rsidRPr="00131165">
        <w:rPr>
          <w:i/>
          <w:iCs/>
          <w:color w:val="000000"/>
          <w:sz w:val="24"/>
        </w:rPr>
        <w:t>Human resource management review</w:t>
      </w:r>
      <w:r w:rsidRPr="00131165">
        <w:rPr>
          <w:color w:val="000000"/>
          <w:sz w:val="24"/>
        </w:rPr>
        <w:t xml:space="preserve">, 34(3), pp.101029–101029. </w:t>
      </w:r>
      <w:proofErr w:type="spellStart"/>
      <w:r w:rsidRPr="00131165">
        <w:rPr>
          <w:color w:val="000000"/>
          <w:sz w:val="24"/>
        </w:rPr>
        <w:t>doi:https</w:t>
      </w:r>
      <w:proofErr w:type="spellEnd"/>
      <w:r w:rsidRPr="00131165">
        <w:rPr>
          <w:color w:val="000000"/>
          <w:sz w:val="24"/>
        </w:rPr>
        <w:t>://doi.org/10.1016/j.hrmr.2024.101029.</w:t>
      </w:r>
    </w:p>
    <w:p w14:paraId="20B13B84"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Vries, N. de, </w:t>
      </w:r>
      <w:proofErr w:type="spellStart"/>
      <w:r w:rsidRPr="00131165">
        <w:rPr>
          <w:color w:val="000000"/>
          <w:sz w:val="24"/>
        </w:rPr>
        <w:t>Lavreysen</w:t>
      </w:r>
      <w:proofErr w:type="spellEnd"/>
      <w:r w:rsidRPr="00131165">
        <w:rPr>
          <w:color w:val="000000"/>
          <w:sz w:val="24"/>
        </w:rPr>
        <w:t xml:space="preserve">, O., Boone, A., </w:t>
      </w:r>
      <w:proofErr w:type="spellStart"/>
      <w:r w:rsidRPr="00131165">
        <w:rPr>
          <w:color w:val="000000"/>
          <w:sz w:val="24"/>
        </w:rPr>
        <w:t>Bouman</w:t>
      </w:r>
      <w:proofErr w:type="spellEnd"/>
      <w:r w:rsidRPr="00131165">
        <w:rPr>
          <w:color w:val="000000"/>
          <w:sz w:val="24"/>
        </w:rPr>
        <w:t xml:space="preserve">, J., </w:t>
      </w:r>
      <w:proofErr w:type="spellStart"/>
      <w:r w:rsidRPr="00131165">
        <w:rPr>
          <w:color w:val="000000"/>
          <w:sz w:val="24"/>
        </w:rPr>
        <w:t>Szemik</w:t>
      </w:r>
      <w:proofErr w:type="spellEnd"/>
      <w:r w:rsidRPr="00131165">
        <w:rPr>
          <w:color w:val="000000"/>
          <w:sz w:val="24"/>
        </w:rPr>
        <w:t xml:space="preserve">, S., </w:t>
      </w:r>
      <w:proofErr w:type="spellStart"/>
      <w:r w:rsidRPr="00131165">
        <w:rPr>
          <w:color w:val="000000"/>
          <w:sz w:val="24"/>
        </w:rPr>
        <w:t>Barański</w:t>
      </w:r>
      <w:proofErr w:type="spellEnd"/>
      <w:r w:rsidRPr="00131165">
        <w:rPr>
          <w:color w:val="000000"/>
          <w:sz w:val="24"/>
        </w:rPr>
        <w:t xml:space="preserve">, K., </w:t>
      </w:r>
      <w:proofErr w:type="spellStart"/>
      <w:r w:rsidRPr="00131165">
        <w:rPr>
          <w:color w:val="000000"/>
          <w:sz w:val="24"/>
        </w:rPr>
        <w:t>Godderis</w:t>
      </w:r>
      <w:proofErr w:type="spellEnd"/>
      <w:r w:rsidRPr="00131165">
        <w:rPr>
          <w:color w:val="000000"/>
          <w:sz w:val="24"/>
        </w:rPr>
        <w:t>, L. and Winter, P. de (2023). Retaining healthcare workers: a systematic review of strategies for sustaining power in the workplace.</w:t>
      </w:r>
      <w:r w:rsidRPr="00131165">
        <w:rPr>
          <w:rStyle w:val="apple-converted-space"/>
          <w:rFonts w:eastAsiaTheme="majorEastAsia"/>
          <w:color w:val="000000"/>
          <w:sz w:val="24"/>
        </w:rPr>
        <w:t> </w:t>
      </w:r>
      <w:r w:rsidRPr="00131165">
        <w:rPr>
          <w:i/>
          <w:iCs/>
          <w:color w:val="000000"/>
          <w:sz w:val="24"/>
        </w:rPr>
        <w:t>Healthcare</w:t>
      </w:r>
      <w:r w:rsidRPr="00131165">
        <w:rPr>
          <w:color w:val="000000"/>
          <w:sz w:val="24"/>
        </w:rPr>
        <w:t xml:space="preserve">, [online] 11(13), pp.1–29. </w:t>
      </w:r>
      <w:proofErr w:type="spellStart"/>
      <w:r w:rsidRPr="00131165">
        <w:rPr>
          <w:color w:val="000000"/>
          <w:sz w:val="24"/>
        </w:rPr>
        <w:t>doi:https</w:t>
      </w:r>
      <w:proofErr w:type="spellEnd"/>
      <w:r w:rsidRPr="00131165">
        <w:rPr>
          <w:color w:val="000000"/>
          <w:sz w:val="24"/>
        </w:rPr>
        <w:t>://doi.org/10.3390/healthcare11131887.</w:t>
      </w:r>
    </w:p>
    <w:p w14:paraId="4A44F225"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Wang, K.T. and Goh, M. (2020). Cultural Intelligence.</w:t>
      </w:r>
      <w:r w:rsidRPr="00131165">
        <w:rPr>
          <w:rStyle w:val="apple-converted-space"/>
          <w:rFonts w:eastAsiaTheme="majorEastAsia"/>
          <w:color w:val="000000"/>
          <w:sz w:val="24"/>
        </w:rPr>
        <w:t> </w:t>
      </w:r>
      <w:r w:rsidRPr="00131165">
        <w:rPr>
          <w:i/>
          <w:iCs/>
          <w:color w:val="000000"/>
          <w:sz w:val="24"/>
        </w:rPr>
        <w:t>The Wiley Encyclopedia of Personality and Individual Differences</w:t>
      </w:r>
      <w:r w:rsidRPr="00131165">
        <w:rPr>
          <w:color w:val="000000"/>
          <w:sz w:val="24"/>
        </w:rPr>
        <w:t xml:space="preserve">, 1(1), pp.269–273. </w:t>
      </w:r>
      <w:proofErr w:type="spellStart"/>
      <w:r w:rsidRPr="00131165">
        <w:rPr>
          <w:color w:val="000000"/>
          <w:sz w:val="24"/>
        </w:rPr>
        <w:t>doi:https</w:t>
      </w:r>
      <w:proofErr w:type="spellEnd"/>
      <w:r w:rsidRPr="00131165">
        <w:rPr>
          <w:color w:val="000000"/>
          <w:sz w:val="24"/>
        </w:rPr>
        <w:t>://doi.org/10.1002/9781118970843.ch310.</w:t>
      </w:r>
    </w:p>
    <w:p w14:paraId="520A6250"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Wang, Y. and Yin, B. (2023). A new understanding of the cognitive reappraisal technique: An extension based on the schema theory.</w:t>
      </w:r>
      <w:r w:rsidRPr="00131165">
        <w:rPr>
          <w:rStyle w:val="apple-converted-space"/>
          <w:rFonts w:eastAsiaTheme="majorEastAsia"/>
          <w:color w:val="000000"/>
          <w:sz w:val="24"/>
        </w:rPr>
        <w:t> </w:t>
      </w:r>
      <w:r w:rsidRPr="00131165">
        <w:rPr>
          <w:i/>
          <w:iCs/>
          <w:color w:val="000000"/>
          <w:sz w:val="24"/>
        </w:rPr>
        <w:t>Frontiers in Behavioral Neuroscience</w:t>
      </w:r>
      <w:r w:rsidRPr="00131165">
        <w:rPr>
          <w:color w:val="000000"/>
          <w:sz w:val="24"/>
        </w:rPr>
        <w:t xml:space="preserve">, 17(1). </w:t>
      </w:r>
      <w:proofErr w:type="spellStart"/>
      <w:r w:rsidRPr="00131165">
        <w:rPr>
          <w:color w:val="000000"/>
          <w:sz w:val="24"/>
        </w:rPr>
        <w:t>doi:https</w:t>
      </w:r>
      <w:proofErr w:type="spellEnd"/>
      <w:r w:rsidRPr="00131165">
        <w:rPr>
          <w:color w:val="000000"/>
          <w:sz w:val="24"/>
        </w:rPr>
        <w:t>://doi.org/10.3389/fnbeh.2023.1174585.</w:t>
      </w:r>
    </w:p>
    <w:p w14:paraId="736A6DFA"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lastRenderedPageBreak/>
        <w:t xml:space="preserve">Weekes, A.P., Ward, S. and </w:t>
      </w:r>
      <w:proofErr w:type="spellStart"/>
      <w:r w:rsidRPr="00131165">
        <w:rPr>
          <w:color w:val="000000"/>
          <w:sz w:val="24"/>
        </w:rPr>
        <w:t>Mguni</w:t>
      </w:r>
      <w:proofErr w:type="spellEnd"/>
      <w:r w:rsidRPr="00131165">
        <w:rPr>
          <w:color w:val="000000"/>
          <w:sz w:val="24"/>
        </w:rPr>
        <w:t>, M. (2024). Beyond tokenism: activism, resistance and rebellion.</w:t>
      </w:r>
      <w:r w:rsidRPr="00131165">
        <w:rPr>
          <w:rStyle w:val="apple-converted-space"/>
          <w:rFonts w:eastAsiaTheme="majorEastAsia"/>
          <w:color w:val="000000"/>
          <w:sz w:val="24"/>
        </w:rPr>
        <w:t> </w:t>
      </w:r>
      <w:r w:rsidRPr="00131165">
        <w:rPr>
          <w:i/>
          <w:iCs/>
          <w:color w:val="000000"/>
          <w:sz w:val="24"/>
        </w:rPr>
        <w:t>Equality, Diversity and Inclusion: An International Journal</w:t>
      </w:r>
      <w:r w:rsidRPr="00131165">
        <w:rPr>
          <w:color w:val="000000"/>
          <w:sz w:val="24"/>
        </w:rPr>
        <w:t xml:space="preserve">, 44(1). </w:t>
      </w:r>
      <w:proofErr w:type="spellStart"/>
      <w:r w:rsidRPr="00131165">
        <w:rPr>
          <w:color w:val="000000"/>
          <w:sz w:val="24"/>
        </w:rPr>
        <w:t>doi:https</w:t>
      </w:r>
      <w:proofErr w:type="spellEnd"/>
      <w:r w:rsidRPr="00131165">
        <w:rPr>
          <w:color w:val="000000"/>
          <w:sz w:val="24"/>
        </w:rPr>
        <w:t>://doi.org/10.1108/edi-04-2023-0105.</w:t>
      </w:r>
    </w:p>
    <w:p w14:paraId="550A04A2" w14:textId="77777777" w:rsidR="009C7ADA" w:rsidRPr="00131165" w:rsidRDefault="009C7ADA" w:rsidP="00131165">
      <w:pPr>
        <w:pStyle w:val="NormalWeb"/>
        <w:spacing w:before="0" w:beforeAutospacing="0" w:after="240" w:afterAutospacing="0" w:line="360" w:lineRule="auto"/>
        <w:rPr>
          <w:color w:val="000000"/>
          <w:sz w:val="24"/>
        </w:rPr>
      </w:pPr>
      <w:r w:rsidRPr="00131165">
        <w:rPr>
          <w:color w:val="000000"/>
          <w:sz w:val="24"/>
        </w:rPr>
        <w:t xml:space="preserve">Wiesel, I., </w:t>
      </w:r>
      <w:proofErr w:type="spellStart"/>
      <w:r w:rsidRPr="00131165">
        <w:rPr>
          <w:color w:val="000000"/>
          <w:sz w:val="24"/>
        </w:rPr>
        <w:t>Bigby</w:t>
      </w:r>
      <w:proofErr w:type="spellEnd"/>
      <w:r w:rsidRPr="00131165">
        <w:rPr>
          <w:color w:val="000000"/>
          <w:sz w:val="24"/>
        </w:rPr>
        <w:t xml:space="preserve">, C., van Holstein, E. and Gleeson, B. (2022). Three modes of inclusion of people with intellectual disability in mainstream services: Mainstreaming, differentiation and </w:t>
      </w:r>
      <w:proofErr w:type="spellStart"/>
      <w:r w:rsidRPr="00131165">
        <w:rPr>
          <w:color w:val="000000"/>
          <w:sz w:val="24"/>
        </w:rPr>
        <w:t>individualisation</w:t>
      </w:r>
      <w:proofErr w:type="spellEnd"/>
      <w:r w:rsidRPr="00131165">
        <w:rPr>
          <w:color w:val="000000"/>
          <w:sz w:val="24"/>
        </w:rPr>
        <w:t>.</w:t>
      </w:r>
      <w:r w:rsidRPr="00131165">
        <w:rPr>
          <w:rStyle w:val="apple-converted-space"/>
          <w:rFonts w:eastAsiaTheme="majorEastAsia"/>
          <w:color w:val="000000"/>
          <w:sz w:val="24"/>
        </w:rPr>
        <w:t> </w:t>
      </w:r>
      <w:r w:rsidRPr="00131165">
        <w:rPr>
          <w:i/>
          <w:iCs/>
          <w:color w:val="000000"/>
          <w:sz w:val="24"/>
        </w:rPr>
        <w:t>Disability &amp; Society</w:t>
      </w:r>
      <w:r w:rsidRPr="00131165">
        <w:rPr>
          <w:color w:val="000000"/>
          <w:sz w:val="24"/>
        </w:rPr>
        <w:t xml:space="preserve">, 39(1), pp.1–22. </w:t>
      </w:r>
      <w:proofErr w:type="spellStart"/>
      <w:r w:rsidRPr="00131165">
        <w:rPr>
          <w:color w:val="000000"/>
          <w:sz w:val="24"/>
        </w:rPr>
        <w:t>doi:https</w:t>
      </w:r>
      <w:proofErr w:type="spellEnd"/>
      <w:r w:rsidRPr="00131165">
        <w:rPr>
          <w:color w:val="000000"/>
          <w:sz w:val="24"/>
        </w:rPr>
        <w:t>://doi.org/10.1080/09687599.2022.2060803.</w:t>
      </w:r>
    </w:p>
    <w:p w14:paraId="1B99089F" w14:textId="2AA3F7AD" w:rsidR="00177084" w:rsidRDefault="00177084">
      <w:pPr>
        <w:spacing w:line="240" w:lineRule="auto"/>
        <w:jc w:val="left"/>
      </w:pPr>
      <w:r>
        <w:br w:type="page"/>
      </w:r>
    </w:p>
    <w:p w14:paraId="3F24C51A" w14:textId="445AE24C" w:rsidR="00883087" w:rsidRPr="00883087" w:rsidRDefault="00177084" w:rsidP="00883087">
      <w:pPr>
        <w:pStyle w:val="Heading1"/>
      </w:pPr>
      <w:bookmarkStart w:id="67" w:name="_Toc216408911"/>
      <w:r>
        <w:lastRenderedPageBreak/>
        <w:t>Appendix</w:t>
      </w:r>
      <w:r w:rsidR="00CF0768">
        <w:t xml:space="preserve"> A</w:t>
      </w:r>
      <w:bookmarkEnd w:id="67"/>
    </w:p>
    <w:p w14:paraId="6EFE9F23" w14:textId="46D66A93" w:rsidR="00883087" w:rsidRDefault="00883087" w:rsidP="00177084">
      <w:r>
        <w:rPr>
          <w:noProof/>
        </w:rPr>
        <w:drawing>
          <wp:inline distT="0" distB="0" distL="0" distR="0" wp14:anchorId="3AC2D38A" wp14:editId="1F7771F1">
            <wp:extent cx="5731510" cy="8120380"/>
            <wp:effectExtent l="0" t="0" r="0" b="0"/>
            <wp:docPr id="434056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056747" name="Picture 434056747"/>
                    <pic:cNvPicPr/>
                  </pic:nvPicPr>
                  <pic:blipFill>
                    <a:blip r:embed="rId17">
                      <a:extLst>
                        <a:ext uri="{28A0092B-C50C-407E-A947-70E740481C1C}">
                          <a14:useLocalDpi xmlns:a14="http://schemas.microsoft.com/office/drawing/2010/main" val="0"/>
                        </a:ext>
                      </a:extLst>
                    </a:blip>
                    <a:stretch>
                      <a:fillRect/>
                    </a:stretch>
                  </pic:blipFill>
                  <pic:spPr>
                    <a:xfrm>
                      <a:off x="0" y="0"/>
                      <a:ext cx="5731510" cy="8120380"/>
                    </a:xfrm>
                    <a:prstGeom prst="rect">
                      <a:avLst/>
                    </a:prstGeom>
                  </pic:spPr>
                </pic:pic>
              </a:graphicData>
            </a:graphic>
          </wp:inline>
        </w:drawing>
      </w:r>
    </w:p>
    <w:p w14:paraId="64085785" w14:textId="6534B019" w:rsidR="00883087" w:rsidRDefault="00883087" w:rsidP="00177084">
      <w:r>
        <w:rPr>
          <w:noProof/>
        </w:rPr>
        <w:lastRenderedPageBreak/>
        <w:drawing>
          <wp:inline distT="0" distB="0" distL="0" distR="0" wp14:anchorId="31549237" wp14:editId="5B47215A">
            <wp:extent cx="5731510" cy="8120380"/>
            <wp:effectExtent l="0" t="0" r="0" b="0"/>
            <wp:docPr id="17152771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77147" name="Picture 1715277147"/>
                    <pic:cNvPicPr/>
                  </pic:nvPicPr>
                  <pic:blipFill>
                    <a:blip r:embed="rId18">
                      <a:extLst>
                        <a:ext uri="{28A0092B-C50C-407E-A947-70E740481C1C}">
                          <a14:useLocalDpi xmlns:a14="http://schemas.microsoft.com/office/drawing/2010/main" val="0"/>
                        </a:ext>
                      </a:extLst>
                    </a:blip>
                    <a:stretch>
                      <a:fillRect/>
                    </a:stretch>
                  </pic:blipFill>
                  <pic:spPr>
                    <a:xfrm>
                      <a:off x="0" y="0"/>
                      <a:ext cx="5731510" cy="8120380"/>
                    </a:xfrm>
                    <a:prstGeom prst="rect">
                      <a:avLst/>
                    </a:prstGeom>
                  </pic:spPr>
                </pic:pic>
              </a:graphicData>
            </a:graphic>
          </wp:inline>
        </w:drawing>
      </w:r>
    </w:p>
    <w:p w14:paraId="7095D4E4" w14:textId="2AC3578E" w:rsidR="00CF0768" w:rsidRDefault="00CF0768">
      <w:pPr>
        <w:spacing w:line="240" w:lineRule="auto"/>
        <w:jc w:val="left"/>
      </w:pPr>
    </w:p>
    <w:p w14:paraId="2B133392" w14:textId="1F400122" w:rsidR="00CF0768" w:rsidRDefault="004B5345" w:rsidP="00177084">
      <w:r>
        <w:rPr>
          <w:noProof/>
        </w:rPr>
        <w:lastRenderedPageBreak/>
        <w:drawing>
          <wp:inline distT="0" distB="0" distL="0" distR="0" wp14:anchorId="75783B7B" wp14:editId="4D648A1A">
            <wp:extent cx="5731510" cy="8120380"/>
            <wp:effectExtent l="0" t="0" r="0" b="0"/>
            <wp:docPr id="15029666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966609" name="Picture 1502966609"/>
                    <pic:cNvPicPr/>
                  </pic:nvPicPr>
                  <pic:blipFill>
                    <a:blip r:embed="rId19">
                      <a:extLst>
                        <a:ext uri="{28A0092B-C50C-407E-A947-70E740481C1C}">
                          <a14:useLocalDpi xmlns:a14="http://schemas.microsoft.com/office/drawing/2010/main" val="0"/>
                        </a:ext>
                      </a:extLst>
                    </a:blip>
                    <a:stretch>
                      <a:fillRect/>
                    </a:stretch>
                  </pic:blipFill>
                  <pic:spPr>
                    <a:xfrm>
                      <a:off x="0" y="0"/>
                      <a:ext cx="5731510" cy="8120380"/>
                    </a:xfrm>
                    <a:prstGeom prst="rect">
                      <a:avLst/>
                    </a:prstGeom>
                  </pic:spPr>
                </pic:pic>
              </a:graphicData>
            </a:graphic>
          </wp:inline>
        </w:drawing>
      </w:r>
    </w:p>
    <w:p w14:paraId="5E70D52D" w14:textId="77777777" w:rsidR="004B5345" w:rsidRDefault="004B5345" w:rsidP="00177084"/>
    <w:p w14:paraId="3A0A678E" w14:textId="28B071B5" w:rsidR="004B5345" w:rsidRDefault="004B5345" w:rsidP="00177084">
      <w:r>
        <w:rPr>
          <w:noProof/>
        </w:rPr>
        <w:lastRenderedPageBreak/>
        <w:drawing>
          <wp:inline distT="0" distB="0" distL="0" distR="0" wp14:anchorId="1406E481" wp14:editId="6A1C904F">
            <wp:extent cx="5731510" cy="8120380"/>
            <wp:effectExtent l="0" t="0" r="0" b="0"/>
            <wp:docPr id="20737589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758983" name="Picture 2073758983"/>
                    <pic:cNvPicPr/>
                  </pic:nvPicPr>
                  <pic:blipFill>
                    <a:blip r:embed="rId20">
                      <a:extLst>
                        <a:ext uri="{28A0092B-C50C-407E-A947-70E740481C1C}">
                          <a14:useLocalDpi xmlns:a14="http://schemas.microsoft.com/office/drawing/2010/main" val="0"/>
                        </a:ext>
                      </a:extLst>
                    </a:blip>
                    <a:stretch>
                      <a:fillRect/>
                    </a:stretch>
                  </pic:blipFill>
                  <pic:spPr>
                    <a:xfrm>
                      <a:off x="0" y="0"/>
                      <a:ext cx="5731510" cy="8120380"/>
                    </a:xfrm>
                    <a:prstGeom prst="rect">
                      <a:avLst/>
                    </a:prstGeom>
                  </pic:spPr>
                </pic:pic>
              </a:graphicData>
            </a:graphic>
          </wp:inline>
        </w:drawing>
      </w:r>
    </w:p>
    <w:p w14:paraId="7643C54A" w14:textId="77777777" w:rsidR="004B5345" w:rsidRDefault="004B5345" w:rsidP="00177084"/>
    <w:p w14:paraId="64B047DC" w14:textId="77777777" w:rsidR="004B5345" w:rsidRDefault="004B5345" w:rsidP="00177084"/>
    <w:p w14:paraId="282B1D0B" w14:textId="5B568FC4" w:rsidR="00CF0768" w:rsidRDefault="004B5345" w:rsidP="00177084">
      <w:r>
        <w:rPr>
          <w:noProof/>
        </w:rPr>
        <w:lastRenderedPageBreak/>
        <w:drawing>
          <wp:inline distT="0" distB="0" distL="0" distR="0" wp14:anchorId="22D64585" wp14:editId="093034C2">
            <wp:extent cx="5731510" cy="8120380"/>
            <wp:effectExtent l="0" t="0" r="0" b="0"/>
            <wp:docPr id="7461920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192022" name="Picture 746192022"/>
                    <pic:cNvPicPr/>
                  </pic:nvPicPr>
                  <pic:blipFill>
                    <a:blip r:embed="rId21">
                      <a:extLst>
                        <a:ext uri="{28A0092B-C50C-407E-A947-70E740481C1C}">
                          <a14:useLocalDpi xmlns:a14="http://schemas.microsoft.com/office/drawing/2010/main" val="0"/>
                        </a:ext>
                      </a:extLst>
                    </a:blip>
                    <a:stretch>
                      <a:fillRect/>
                    </a:stretch>
                  </pic:blipFill>
                  <pic:spPr>
                    <a:xfrm>
                      <a:off x="0" y="0"/>
                      <a:ext cx="5731510" cy="8120380"/>
                    </a:xfrm>
                    <a:prstGeom prst="rect">
                      <a:avLst/>
                    </a:prstGeom>
                  </pic:spPr>
                </pic:pic>
              </a:graphicData>
            </a:graphic>
          </wp:inline>
        </w:drawing>
      </w:r>
    </w:p>
    <w:p w14:paraId="00CE7F58" w14:textId="77777777" w:rsidR="004B5345" w:rsidRDefault="004B5345">
      <w:pPr>
        <w:spacing w:line="240" w:lineRule="auto"/>
        <w:jc w:val="left"/>
      </w:pPr>
      <w:r>
        <w:rPr>
          <w:noProof/>
        </w:rPr>
        <w:lastRenderedPageBreak/>
        <w:drawing>
          <wp:inline distT="0" distB="0" distL="0" distR="0" wp14:anchorId="4ED7D79E" wp14:editId="77F72197">
            <wp:extent cx="5731510" cy="8120380"/>
            <wp:effectExtent l="0" t="0" r="0" b="0"/>
            <wp:docPr id="15896174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617445" name="Picture 1589617445"/>
                    <pic:cNvPicPr/>
                  </pic:nvPicPr>
                  <pic:blipFill>
                    <a:blip r:embed="rId22">
                      <a:extLst>
                        <a:ext uri="{28A0092B-C50C-407E-A947-70E740481C1C}">
                          <a14:useLocalDpi xmlns:a14="http://schemas.microsoft.com/office/drawing/2010/main" val="0"/>
                        </a:ext>
                      </a:extLst>
                    </a:blip>
                    <a:stretch>
                      <a:fillRect/>
                    </a:stretch>
                  </pic:blipFill>
                  <pic:spPr>
                    <a:xfrm>
                      <a:off x="0" y="0"/>
                      <a:ext cx="5731510" cy="8120380"/>
                    </a:xfrm>
                    <a:prstGeom prst="rect">
                      <a:avLst/>
                    </a:prstGeom>
                  </pic:spPr>
                </pic:pic>
              </a:graphicData>
            </a:graphic>
          </wp:inline>
        </w:drawing>
      </w:r>
    </w:p>
    <w:p w14:paraId="7F01EB95" w14:textId="77777777" w:rsidR="00893967" w:rsidRDefault="00893967">
      <w:pPr>
        <w:spacing w:line="240" w:lineRule="auto"/>
        <w:jc w:val="left"/>
      </w:pPr>
      <w:r>
        <w:rPr>
          <w:noProof/>
        </w:rPr>
        <w:lastRenderedPageBreak/>
        <w:drawing>
          <wp:inline distT="0" distB="0" distL="0" distR="0" wp14:anchorId="06CBEE47" wp14:editId="31213BB4">
            <wp:extent cx="5731510" cy="8120380"/>
            <wp:effectExtent l="0" t="0" r="0" b="0"/>
            <wp:docPr id="4394769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476962" name="Picture 439476962"/>
                    <pic:cNvPicPr/>
                  </pic:nvPicPr>
                  <pic:blipFill>
                    <a:blip r:embed="rId23">
                      <a:extLst>
                        <a:ext uri="{28A0092B-C50C-407E-A947-70E740481C1C}">
                          <a14:useLocalDpi xmlns:a14="http://schemas.microsoft.com/office/drawing/2010/main" val="0"/>
                        </a:ext>
                      </a:extLst>
                    </a:blip>
                    <a:stretch>
                      <a:fillRect/>
                    </a:stretch>
                  </pic:blipFill>
                  <pic:spPr>
                    <a:xfrm>
                      <a:off x="0" y="0"/>
                      <a:ext cx="5731510" cy="8120380"/>
                    </a:xfrm>
                    <a:prstGeom prst="rect">
                      <a:avLst/>
                    </a:prstGeom>
                  </pic:spPr>
                </pic:pic>
              </a:graphicData>
            </a:graphic>
          </wp:inline>
        </w:drawing>
      </w:r>
    </w:p>
    <w:p w14:paraId="37DBB79C" w14:textId="77777777" w:rsidR="00893967" w:rsidRDefault="00893967">
      <w:pPr>
        <w:spacing w:line="240" w:lineRule="auto"/>
        <w:jc w:val="left"/>
      </w:pPr>
      <w:r>
        <w:rPr>
          <w:noProof/>
        </w:rPr>
        <w:lastRenderedPageBreak/>
        <w:drawing>
          <wp:inline distT="0" distB="0" distL="0" distR="0" wp14:anchorId="1B676451" wp14:editId="7B38A31C">
            <wp:extent cx="5731510" cy="8120380"/>
            <wp:effectExtent l="0" t="0" r="0" b="0"/>
            <wp:docPr id="17377349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734942" name="Picture 1737734942"/>
                    <pic:cNvPicPr/>
                  </pic:nvPicPr>
                  <pic:blipFill>
                    <a:blip r:embed="rId24">
                      <a:extLst>
                        <a:ext uri="{28A0092B-C50C-407E-A947-70E740481C1C}">
                          <a14:useLocalDpi xmlns:a14="http://schemas.microsoft.com/office/drawing/2010/main" val="0"/>
                        </a:ext>
                      </a:extLst>
                    </a:blip>
                    <a:stretch>
                      <a:fillRect/>
                    </a:stretch>
                  </pic:blipFill>
                  <pic:spPr>
                    <a:xfrm>
                      <a:off x="0" y="0"/>
                      <a:ext cx="5731510" cy="8120380"/>
                    </a:xfrm>
                    <a:prstGeom prst="rect">
                      <a:avLst/>
                    </a:prstGeom>
                  </pic:spPr>
                </pic:pic>
              </a:graphicData>
            </a:graphic>
          </wp:inline>
        </w:drawing>
      </w:r>
    </w:p>
    <w:p w14:paraId="738308C0" w14:textId="77777777" w:rsidR="00893967" w:rsidRDefault="00893967">
      <w:pPr>
        <w:spacing w:line="240" w:lineRule="auto"/>
        <w:jc w:val="left"/>
      </w:pPr>
      <w:r>
        <w:br w:type="page"/>
      </w:r>
    </w:p>
    <w:p w14:paraId="54E2E8BA" w14:textId="77777777" w:rsidR="00893967" w:rsidRDefault="00893967" w:rsidP="00893967">
      <w:pPr>
        <w:pStyle w:val="Heading1"/>
      </w:pPr>
      <w:bookmarkStart w:id="68" w:name="_Toc216408912"/>
      <w:r>
        <w:lastRenderedPageBreak/>
        <w:t>Appendix B</w:t>
      </w:r>
      <w:bookmarkEnd w:id="68"/>
    </w:p>
    <w:p w14:paraId="16547983" w14:textId="1FF560EE" w:rsidR="00CF0768" w:rsidRDefault="007B629C" w:rsidP="00893967">
      <w:r>
        <w:rPr>
          <w:noProof/>
        </w:rPr>
      </w:r>
      <w:r w:rsidR="000E152E">
        <w:rPr>
          <w:noProof/>
        </w:rPr>
        <w:object w:dxaOrig="21330" w:dyaOrig="17055" w14:anchorId="00CB9D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01.25pt;height:401pt;mso-width-percent:0;mso-height-percent:0;mso-width-percent:0;mso-height-percent:0" o:ole="">
            <v:imagedata r:id="rId25" o:title=""/>
          </v:shape>
          <o:OLEObject Type="Embed" ProgID="Excel.Sheet.12" ShapeID="_x0000_i1025" DrawAspect="Content" ObjectID="_1827042406" r:id="rId26"/>
        </w:object>
      </w:r>
      <w:r w:rsidR="00CF0768">
        <w:br w:type="page"/>
      </w:r>
    </w:p>
    <w:p w14:paraId="731671AD" w14:textId="2AC4198C" w:rsidR="00CF0768" w:rsidRDefault="00CF0768" w:rsidP="00CF0768">
      <w:pPr>
        <w:pStyle w:val="Heading1"/>
      </w:pPr>
      <w:bookmarkStart w:id="69" w:name="_Toc216408913"/>
      <w:r>
        <w:lastRenderedPageBreak/>
        <w:t>Appendix C</w:t>
      </w:r>
      <w:bookmarkEnd w:id="69"/>
    </w:p>
    <w:tbl>
      <w:tblPr>
        <w:tblW w:w="74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2"/>
        <w:gridCol w:w="1102"/>
        <w:gridCol w:w="1407"/>
        <w:gridCol w:w="1116"/>
        <w:gridCol w:w="1468"/>
        <w:gridCol w:w="1468"/>
      </w:tblGrid>
      <w:tr w:rsidR="00CF0768" w:rsidRPr="00ED2AE5" w14:paraId="39BB82D1" w14:textId="77777777" w:rsidTr="00C44D6E">
        <w:trPr>
          <w:cantSplit/>
        </w:trPr>
        <w:tc>
          <w:tcPr>
            <w:tcW w:w="7401" w:type="dxa"/>
            <w:gridSpan w:val="6"/>
            <w:tcBorders>
              <w:top w:val="nil"/>
              <w:left w:val="nil"/>
              <w:bottom w:val="nil"/>
              <w:right w:val="nil"/>
            </w:tcBorders>
            <w:shd w:val="clear" w:color="auto" w:fill="FFFFFF"/>
            <w:vAlign w:val="center"/>
          </w:tcPr>
          <w:p w14:paraId="2608C6B3"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1. What is your Gender?</w:t>
            </w:r>
          </w:p>
        </w:tc>
      </w:tr>
      <w:tr w:rsidR="00CF0768" w:rsidRPr="00ED2AE5" w14:paraId="454A9658" w14:textId="77777777" w:rsidTr="00C44D6E">
        <w:trPr>
          <w:cantSplit/>
        </w:trPr>
        <w:tc>
          <w:tcPr>
            <w:tcW w:w="1942" w:type="dxa"/>
            <w:gridSpan w:val="2"/>
            <w:tcBorders>
              <w:left w:val="nil"/>
              <w:right w:val="nil"/>
            </w:tcBorders>
            <w:shd w:val="clear" w:color="auto" w:fill="FFFFFF"/>
            <w:vAlign w:val="bottom"/>
          </w:tcPr>
          <w:p w14:paraId="699651D5"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46CE4447"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721E20D8"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08DF027F"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6E6F778F"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4D648AE8" w14:textId="77777777" w:rsidTr="00C44D6E">
        <w:trPr>
          <w:cantSplit/>
        </w:trPr>
        <w:tc>
          <w:tcPr>
            <w:tcW w:w="841" w:type="dxa"/>
            <w:vMerge w:val="restart"/>
            <w:tcBorders>
              <w:left w:val="nil"/>
              <w:right w:val="nil"/>
            </w:tcBorders>
            <w:shd w:val="clear" w:color="auto" w:fill="FFFFFF"/>
          </w:tcPr>
          <w:p w14:paraId="59768F4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1101" w:type="dxa"/>
            <w:tcBorders>
              <w:left w:val="nil"/>
              <w:bottom w:val="nil"/>
              <w:right w:val="nil"/>
            </w:tcBorders>
            <w:shd w:val="clear" w:color="auto" w:fill="FFFFFF"/>
          </w:tcPr>
          <w:p w14:paraId="346454F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Female</w:t>
            </w:r>
          </w:p>
        </w:tc>
        <w:tc>
          <w:tcPr>
            <w:tcW w:w="1407" w:type="dxa"/>
            <w:tcBorders>
              <w:left w:val="nil"/>
              <w:bottom w:val="nil"/>
              <w:right w:val="nil"/>
            </w:tcBorders>
            <w:shd w:val="clear" w:color="auto" w:fill="FFFFFF"/>
          </w:tcPr>
          <w:p w14:paraId="081B5E7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64</w:t>
            </w:r>
          </w:p>
        </w:tc>
        <w:tc>
          <w:tcPr>
            <w:tcW w:w="1116" w:type="dxa"/>
            <w:tcBorders>
              <w:left w:val="nil"/>
              <w:bottom w:val="nil"/>
              <w:right w:val="nil"/>
            </w:tcBorders>
            <w:shd w:val="clear" w:color="auto" w:fill="FFFFFF"/>
          </w:tcPr>
          <w:p w14:paraId="1D03EEE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41.6</w:t>
            </w:r>
          </w:p>
        </w:tc>
        <w:tc>
          <w:tcPr>
            <w:tcW w:w="1468" w:type="dxa"/>
            <w:tcBorders>
              <w:left w:val="nil"/>
              <w:bottom w:val="nil"/>
              <w:right w:val="nil"/>
            </w:tcBorders>
            <w:shd w:val="clear" w:color="auto" w:fill="FFFFFF"/>
          </w:tcPr>
          <w:p w14:paraId="3AF1989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41.6</w:t>
            </w:r>
          </w:p>
        </w:tc>
        <w:tc>
          <w:tcPr>
            <w:tcW w:w="1468" w:type="dxa"/>
            <w:tcBorders>
              <w:left w:val="nil"/>
              <w:bottom w:val="nil"/>
              <w:right w:val="nil"/>
            </w:tcBorders>
            <w:shd w:val="clear" w:color="auto" w:fill="FFFFFF"/>
          </w:tcPr>
          <w:p w14:paraId="6177D64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41.6</w:t>
            </w:r>
          </w:p>
        </w:tc>
      </w:tr>
      <w:tr w:rsidR="00CF0768" w:rsidRPr="00ED2AE5" w14:paraId="3A92A691" w14:textId="77777777" w:rsidTr="00C44D6E">
        <w:trPr>
          <w:cantSplit/>
        </w:trPr>
        <w:tc>
          <w:tcPr>
            <w:tcW w:w="841" w:type="dxa"/>
            <w:vMerge/>
            <w:tcBorders>
              <w:left w:val="nil"/>
              <w:right w:val="nil"/>
            </w:tcBorders>
            <w:shd w:val="clear" w:color="auto" w:fill="FFFFFF"/>
          </w:tcPr>
          <w:p w14:paraId="2531BEB3"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1101" w:type="dxa"/>
            <w:tcBorders>
              <w:top w:val="nil"/>
              <w:left w:val="nil"/>
              <w:bottom w:val="nil"/>
              <w:right w:val="nil"/>
            </w:tcBorders>
            <w:shd w:val="clear" w:color="auto" w:fill="FFFFFF"/>
          </w:tcPr>
          <w:p w14:paraId="006D9965"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Male</w:t>
            </w:r>
          </w:p>
        </w:tc>
        <w:tc>
          <w:tcPr>
            <w:tcW w:w="1407" w:type="dxa"/>
            <w:tcBorders>
              <w:top w:val="nil"/>
              <w:left w:val="nil"/>
              <w:bottom w:val="nil"/>
              <w:right w:val="nil"/>
            </w:tcBorders>
            <w:shd w:val="clear" w:color="auto" w:fill="FFFFFF"/>
          </w:tcPr>
          <w:p w14:paraId="07A26C4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90</w:t>
            </w:r>
          </w:p>
        </w:tc>
        <w:tc>
          <w:tcPr>
            <w:tcW w:w="1116" w:type="dxa"/>
            <w:tcBorders>
              <w:top w:val="nil"/>
              <w:left w:val="nil"/>
              <w:bottom w:val="nil"/>
              <w:right w:val="nil"/>
            </w:tcBorders>
            <w:shd w:val="clear" w:color="auto" w:fill="FFFFFF"/>
          </w:tcPr>
          <w:p w14:paraId="7D21405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58.4</w:t>
            </w:r>
          </w:p>
        </w:tc>
        <w:tc>
          <w:tcPr>
            <w:tcW w:w="1468" w:type="dxa"/>
            <w:tcBorders>
              <w:top w:val="nil"/>
              <w:left w:val="nil"/>
              <w:bottom w:val="nil"/>
              <w:right w:val="nil"/>
            </w:tcBorders>
            <w:shd w:val="clear" w:color="auto" w:fill="FFFFFF"/>
          </w:tcPr>
          <w:p w14:paraId="7FAEB07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58.4</w:t>
            </w:r>
          </w:p>
        </w:tc>
        <w:tc>
          <w:tcPr>
            <w:tcW w:w="1468" w:type="dxa"/>
            <w:tcBorders>
              <w:top w:val="nil"/>
              <w:left w:val="nil"/>
              <w:bottom w:val="nil"/>
              <w:right w:val="nil"/>
            </w:tcBorders>
            <w:shd w:val="clear" w:color="auto" w:fill="FFFFFF"/>
          </w:tcPr>
          <w:p w14:paraId="6BB5DAA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2AB55047" w14:textId="77777777" w:rsidTr="00C44D6E">
        <w:trPr>
          <w:cantSplit/>
        </w:trPr>
        <w:tc>
          <w:tcPr>
            <w:tcW w:w="841" w:type="dxa"/>
            <w:vMerge/>
            <w:tcBorders>
              <w:left w:val="nil"/>
              <w:right w:val="nil"/>
            </w:tcBorders>
            <w:shd w:val="clear" w:color="auto" w:fill="FFFFFF"/>
          </w:tcPr>
          <w:p w14:paraId="270CD76D"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1101" w:type="dxa"/>
            <w:tcBorders>
              <w:top w:val="nil"/>
              <w:left w:val="nil"/>
              <w:right w:val="nil"/>
            </w:tcBorders>
            <w:shd w:val="clear" w:color="auto" w:fill="FFFFFF"/>
          </w:tcPr>
          <w:p w14:paraId="32B146C4"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55F4A2B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25126A2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4E7FD5D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193BEB0F"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08D5859E"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0273BF5E"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0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0"/>
        <w:gridCol w:w="1744"/>
        <w:gridCol w:w="1408"/>
        <w:gridCol w:w="1116"/>
        <w:gridCol w:w="1469"/>
        <w:gridCol w:w="1469"/>
      </w:tblGrid>
      <w:tr w:rsidR="00CF0768" w:rsidRPr="00ED2AE5" w14:paraId="4CA00A12" w14:textId="77777777" w:rsidTr="00C44D6E">
        <w:trPr>
          <w:cantSplit/>
        </w:trPr>
        <w:tc>
          <w:tcPr>
            <w:tcW w:w="8043" w:type="dxa"/>
            <w:gridSpan w:val="6"/>
            <w:tcBorders>
              <w:top w:val="nil"/>
              <w:left w:val="nil"/>
              <w:bottom w:val="nil"/>
              <w:right w:val="nil"/>
            </w:tcBorders>
            <w:shd w:val="clear" w:color="auto" w:fill="FFFFFF"/>
            <w:vAlign w:val="center"/>
          </w:tcPr>
          <w:p w14:paraId="2D8118C5"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2. What is your age?</w:t>
            </w:r>
          </w:p>
        </w:tc>
      </w:tr>
      <w:tr w:rsidR="00CF0768" w:rsidRPr="00ED2AE5" w14:paraId="01B67231" w14:textId="77777777" w:rsidTr="00C44D6E">
        <w:trPr>
          <w:cantSplit/>
        </w:trPr>
        <w:tc>
          <w:tcPr>
            <w:tcW w:w="2584" w:type="dxa"/>
            <w:gridSpan w:val="2"/>
            <w:tcBorders>
              <w:left w:val="nil"/>
              <w:right w:val="nil"/>
            </w:tcBorders>
            <w:shd w:val="clear" w:color="auto" w:fill="FFFFFF"/>
            <w:vAlign w:val="bottom"/>
          </w:tcPr>
          <w:p w14:paraId="32AF307A"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05E38D4B"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05B028FA"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5220B12C"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4B39C13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7871BD16" w14:textId="77777777" w:rsidTr="00C44D6E">
        <w:trPr>
          <w:cantSplit/>
        </w:trPr>
        <w:tc>
          <w:tcPr>
            <w:tcW w:w="841" w:type="dxa"/>
            <w:vMerge w:val="restart"/>
            <w:tcBorders>
              <w:left w:val="nil"/>
              <w:right w:val="nil"/>
            </w:tcBorders>
            <w:shd w:val="clear" w:color="auto" w:fill="FFFFFF"/>
          </w:tcPr>
          <w:p w14:paraId="4F47640B"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1743" w:type="dxa"/>
            <w:tcBorders>
              <w:left w:val="nil"/>
              <w:bottom w:val="nil"/>
              <w:right w:val="nil"/>
            </w:tcBorders>
            <w:shd w:val="clear" w:color="auto" w:fill="FFFFFF"/>
          </w:tcPr>
          <w:p w14:paraId="00D5D437"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18-24</w:t>
            </w:r>
          </w:p>
        </w:tc>
        <w:tc>
          <w:tcPr>
            <w:tcW w:w="1407" w:type="dxa"/>
            <w:tcBorders>
              <w:left w:val="nil"/>
              <w:bottom w:val="nil"/>
              <w:right w:val="nil"/>
            </w:tcBorders>
            <w:shd w:val="clear" w:color="auto" w:fill="FFFFFF"/>
          </w:tcPr>
          <w:p w14:paraId="263B00C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w:t>
            </w:r>
          </w:p>
        </w:tc>
        <w:tc>
          <w:tcPr>
            <w:tcW w:w="1116" w:type="dxa"/>
            <w:tcBorders>
              <w:left w:val="nil"/>
              <w:bottom w:val="nil"/>
              <w:right w:val="nil"/>
            </w:tcBorders>
            <w:shd w:val="clear" w:color="auto" w:fill="FFFFFF"/>
          </w:tcPr>
          <w:p w14:paraId="409967A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468" w:type="dxa"/>
            <w:tcBorders>
              <w:left w:val="nil"/>
              <w:bottom w:val="nil"/>
              <w:right w:val="nil"/>
            </w:tcBorders>
            <w:shd w:val="clear" w:color="auto" w:fill="FFFFFF"/>
          </w:tcPr>
          <w:p w14:paraId="582A27B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468" w:type="dxa"/>
            <w:tcBorders>
              <w:left w:val="nil"/>
              <w:bottom w:val="nil"/>
              <w:right w:val="nil"/>
            </w:tcBorders>
            <w:shd w:val="clear" w:color="auto" w:fill="FFFFFF"/>
          </w:tcPr>
          <w:p w14:paraId="6442F9B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r>
      <w:tr w:rsidR="00CF0768" w:rsidRPr="00ED2AE5" w14:paraId="5BCB33F3" w14:textId="77777777" w:rsidTr="00C44D6E">
        <w:trPr>
          <w:cantSplit/>
        </w:trPr>
        <w:tc>
          <w:tcPr>
            <w:tcW w:w="841" w:type="dxa"/>
            <w:vMerge/>
            <w:tcBorders>
              <w:left w:val="nil"/>
              <w:right w:val="nil"/>
            </w:tcBorders>
            <w:shd w:val="clear" w:color="auto" w:fill="FFFFFF"/>
          </w:tcPr>
          <w:p w14:paraId="3E6FE144"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1743" w:type="dxa"/>
            <w:tcBorders>
              <w:top w:val="nil"/>
              <w:left w:val="nil"/>
              <w:bottom w:val="nil"/>
              <w:right w:val="nil"/>
            </w:tcBorders>
            <w:shd w:val="clear" w:color="auto" w:fill="FFFFFF"/>
          </w:tcPr>
          <w:p w14:paraId="6521B34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25-34</w:t>
            </w:r>
          </w:p>
        </w:tc>
        <w:tc>
          <w:tcPr>
            <w:tcW w:w="1407" w:type="dxa"/>
            <w:tcBorders>
              <w:top w:val="nil"/>
              <w:left w:val="nil"/>
              <w:bottom w:val="nil"/>
              <w:right w:val="nil"/>
            </w:tcBorders>
            <w:shd w:val="clear" w:color="auto" w:fill="FFFFFF"/>
          </w:tcPr>
          <w:p w14:paraId="58E8D41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53</w:t>
            </w:r>
          </w:p>
        </w:tc>
        <w:tc>
          <w:tcPr>
            <w:tcW w:w="1116" w:type="dxa"/>
            <w:tcBorders>
              <w:top w:val="nil"/>
              <w:left w:val="nil"/>
              <w:bottom w:val="nil"/>
              <w:right w:val="nil"/>
            </w:tcBorders>
            <w:shd w:val="clear" w:color="auto" w:fill="FFFFFF"/>
          </w:tcPr>
          <w:p w14:paraId="771D298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34.4</w:t>
            </w:r>
          </w:p>
        </w:tc>
        <w:tc>
          <w:tcPr>
            <w:tcW w:w="1468" w:type="dxa"/>
            <w:tcBorders>
              <w:top w:val="nil"/>
              <w:left w:val="nil"/>
              <w:bottom w:val="nil"/>
              <w:right w:val="nil"/>
            </w:tcBorders>
            <w:shd w:val="clear" w:color="auto" w:fill="FFFFFF"/>
          </w:tcPr>
          <w:p w14:paraId="34CF229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34.4</w:t>
            </w:r>
          </w:p>
        </w:tc>
        <w:tc>
          <w:tcPr>
            <w:tcW w:w="1468" w:type="dxa"/>
            <w:tcBorders>
              <w:top w:val="nil"/>
              <w:left w:val="nil"/>
              <w:bottom w:val="nil"/>
              <w:right w:val="nil"/>
            </w:tcBorders>
            <w:shd w:val="clear" w:color="auto" w:fill="FFFFFF"/>
          </w:tcPr>
          <w:p w14:paraId="096DFE8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40.9</w:t>
            </w:r>
          </w:p>
        </w:tc>
      </w:tr>
      <w:tr w:rsidR="00CF0768" w:rsidRPr="00ED2AE5" w14:paraId="66458E60" w14:textId="77777777" w:rsidTr="00C44D6E">
        <w:trPr>
          <w:cantSplit/>
        </w:trPr>
        <w:tc>
          <w:tcPr>
            <w:tcW w:w="841" w:type="dxa"/>
            <w:vMerge/>
            <w:tcBorders>
              <w:left w:val="nil"/>
              <w:right w:val="nil"/>
            </w:tcBorders>
            <w:shd w:val="clear" w:color="auto" w:fill="FFFFFF"/>
          </w:tcPr>
          <w:p w14:paraId="1D94CB1E"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1743" w:type="dxa"/>
            <w:tcBorders>
              <w:top w:val="nil"/>
              <w:left w:val="nil"/>
              <w:bottom w:val="nil"/>
              <w:right w:val="nil"/>
            </w:tcBorders>
            <w:shd w:val="clear" w:color="auto" w:fill="FFFFFF"/>
          </w:tcPr>
          <w:p w14:paraId="70410F9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35-44</w:t>
            </w:r>
          </w:p>
        </w:tc>
        <w:tc>
          <w:tcPr>
            <w:tcW w:w="1407" w:type="dxa"/>
            <w:tcBorders>
              <w:top w:val="nil"/>
              <w:left w:val="nil"/>
              <w:bottom w:val="nil"/>
              <w:right w:val="nil"/>
            </w:tcBorders>
            <w:shd w:val="clear" w:color="auto" w:fill="FFFFFF"/>
          </w:tcPr>
          <w:p w14:paraId="0AFF2D6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59</w:t>
            </w:r>
          </w:p>
        </w:tc>
        <w:tc>
          <w:tcPr>
            <w:tcW w:w="1116" w:type="dxa"/>
            <w:tcBorders>
              <w:top w:val="nil"/>
              <w:left w:val="nil"/>
              <w:bottom w:val="nil"/>
              <w:right w:val="nil"/>
            </w:tcBorders>
            <w:shd w:val="clear" w:color="auto" w:fill="FFFFFF"/>
          </w:tcPr>
          <w:p w14:paraId="7A7EA34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38.3</w:t>
            </w:r>
          </w:p>
        </w:tc>
        <w:tc>
          <w:tcPr>
            <w:tcW w:w="1468" w:type="dxa"/>
            <w:tcBorders>
              <w:top w:val="nil"/>
              <w:left w:val="nil"/>
              <w:bottom w:val="nil"/>
              <w:right w:val="nil"/>
            </w:tcBorders>
            <w:shd w:val="clear" w:color="auto" w:fill="FFFFFF"/>
          </w:tcPr>
          <w:p w14:paraId="674A140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38.3</w:t>
            </w:r>
          </w:p>
        </w:tc>
        <w:tc>
          <w:tcPr>
            <w:tcW w:w="1468" w:type="dxa"/>
            <w:tcBorders>
              <w:top w:val="nil"/>
              <w:left w:val="nil"/>
              <w:bottom w:val="nil"/>
              <w:right w:val="nil"/>
            </w:tcBorders>
            <w:shd w:val="clear" w:color="auto" w:fill="FFFFFF"/>
          </w:tcPr>
          <w:p w14:paraId="1FF071A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79.2</w:t>
            </w:r>
          </w:p>
        </w:tc>
      </w:tr>
      <w:tr w:rsidR="00CF0768" w:rsidRPr="00ED2AE5" w14:paraId="1A5A08FA" w14:textId="77777777" w:rsidTr="00C44D6E">
        <w:trPr>
          <w:cantSplit/>
        </w:trPr>
        <w:tc>
          <w:tcPr>
            <w:tcW w:w="841" w:type="dxa"/>
            <w:vMerge/>
            <w:tcBorders>
              <w:left w:val="nil"/>
              <w:right w:val="nil"/>
            </w:tcBorders>
            <w:shd w:val="clear" w:color="auto" w:fill="FFFFFF"/>
          </w:tcPr>
          <w:p w14:paraId="1573F03D"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1743" w:type="dxa"/>
            <w:tcBorders>
              <w:top w:val="nil"/>
              <w:left w:val="nil"/>
              <w:bottom w:val="nil"/>
              <w:right w:val="nil"/>
            </w:tcBorders>
            <w:shd w:val="clear" w:color="auto" w:fill="FFFFFF"/>
          </w:tcPr>
          <w:p w14:paraId="1BD41533"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45-54</w:t>
            </w:r>
          </w:p>
        </w:tc>
        <w:tc>
          <w:tcPr>
            <w:tcW w:w="1407" w:type="dxa"/>
            <w:tcBorders>
              <w:top w:val="nil"/>
              <w:left w:val="nil"/>
              <w:bottom w:val="nil"/>
              <w:right w:val="nil"/>
            </w:tcBorders>
            <w:shd w:val="clear" w:color="auto" w:fill="FFFFFF"/>
          </w:tcPr>
          <w:p w14:paraId="323E127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29</w:t>
            </w:r>
          </w:p>
        </w:tc>
        <w:tc>
          <w:tcPr>
            <w:tcW w:w="1116" w:type="dxa"/>
            <w:tcBorders>
              <w:top w:val="nil"/>
              <w:left w:val="nil"/>
              <w:bottom w:val="nil"/>
              <w:right w:val="nil"/>
            </w:tcBorders>
            <w:shd w:val="clear" w:color="auto" w:fill="FFFFFF"/>
          </w:tcPr>
          <w:p w14:paraId="1257C11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18.8</w:t>
            </w:r>
          </w:p>
        </w:tc>
        <w:tc>
          <w:tcPr>
            <w:tcW w:w="1468" w:type="dxa"/>
            <w:tcBorders>
              <w:top w:val="nil"/>
              <w:left w:val="nil"/>
              <w:bottom w:val="nil"/>
              <w:right w:val="nil"/>
            </w:tcBorders>
            <w:shd w:val="clear" w:color="auto" w:fill="FFFFFF"/>
          </w:tcPr>
          <w:p w14:paraId="4B966E7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18.8</w:t>
            </w:r>
          </w:p>
        </w:tc>
        <w:tc>
          <w:tcPr>
            <w:tcW w:w="1468" w:type="dxa"/>
            <w:tcBorders>
              <w:top w:val="nil"/>
              <w:left w:val="nil"/>
              <w:bottom w:val="nil"/>
              <w:right w:val="nil"/>
            </w:tcBorders>
            <w:shd w:val="clear" w:color="auto" w:fill="FFFFFF"/>
          </w:tcPr>
          <w:p w14:paraId="6519658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98.1</w:t>
            </w:r>
          </w:p>
        </w:tc>
      </w:tr>
      <w:tr w:rsidR="00CF0768" w:rsidRPr="00ED2AE5" w14:paraId="49983D42" w14:textId="77777777" w:rsidTr="00C44D6E">
        <w:trPr>
          <w:cantSplit/>
        </w:trPr>
        <w:tc>
          <w:tcPr>
            <w:tcW w:w="841" w:type="dxa"/>
            <w:vMerge/>
            <w:tcBorders>
              <w:left w:val="nil"/>
              <w:right w:val="nil"/>
            </w:tcBorders>
            <w:shd w:val="clear" w:color="auto" w:fill="FFFFFF"/>
          </w:tcPr>
          <w:p w14:paraId="0B171320"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1743" w:type="dxa"/>
            <w:tcBorders>
              <w:top w:val="nil"/>
              <w:left w:val="nil"/>
              <w:bottom w:val="nil"/>
              <w:right w:val="nil"/>
            </w:tcBorders>
            <w:shd w:val="clear" w:color="auto" w:fill="FFFFFF"/>
          </w:tcPr>
          <w:p w14:paraId="0F455DD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55 and above</w:t>
            </w:r>
          </w:p>
        </w:tc>
        <w:tc>
          <w:tcPr>
            <w:tcW w:w="1407" w:type="dxa"/>
            <w:tcBorders>
              <w:top w:val="nil"/>
              <w:left w:val="nil"/>
              <w:bottom w:val="nil"/>
              <w:right w:val="nil"/>
            </w:tcBorders>
            <w:shd w:val="clear" w:color="auto" w:fill="FFFFFF"/>
          </w:tcPr>
          <w:p w14:paraId="732E935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w:t>
            </w:r>
          </w:p>
        </w:tc>
        <w:tc>
          <w:tcPr>
            <w:tcW w:w="1116" w:type="dxa"/>
            <w:tcBorders>
              <w:top w:val="nil"/>
              <w:left w:val="nil"/>
              <w:bottom w:val="nil"/>
              <w:right w:val="nil"/>
            </w:tcBorders>
            <w:shd w:val="clear" w:color="auto" w:fill="FFFFFF"/>
          </w:tcPr>
          <w:p w14:paraId="5CD7695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w:t>
            </w:r>
          </w:p>
        </w:tc>
        <w:tc>
          <w:tcPr>
            <w:tcW w:w="1468" w:type="dxa"/>
            <w:tcBorders>
              <w:top w:val="nil"/>
              <w:left w:val="nil"/>
              <w:bottom w:val="nil"/>
              <w:right w:val="nil"/>
            </w:tcBorders>
            <w:shd w:val="clear" w:color="auto" w:fill="FFFFFF"/>
          </w:tcPr>
          <w:p w14:paraId="4EF013E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w:t>
            </w:r>
          </w:p>
        </w:tc>
        <w:tc>
          <w:tcPr>
            <w:tcW w:w="1468" w:type="dxa"/>
            <w:tcBorders>
              <w:top w:val="nil"/>
              <w:left w:val="nil"/>
              <w:bottom w:val="nil"/>
              <w:right w:val="nil"/>
            </w:tcBorders>
            <w:shd w:val="clear" w:color="auto" w:fill="FFFFFF"/>
          </w:tcPr>
          <w:p w14:paraId="6B37753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0409674D" w14:textId="77777777" w:rsidTr="00C44D6E">
        <w:trPr>
          <w:cantSplit/>
        </w:trPr>
        <w:tc>
          <w:tcPr>
            <w:tcW w:w="841" w:type="dxa"/>
            <w:vMerge/>
            <w:tcBorders>
              <w:left w:val="nil"/>
              <w:right w:val="nil"/>
            </w:tcBorders>
            <w:shd w:val="clear" w:color="auto" w:fill="FFFFFF"/>
          </w:tcPr>
          <w:p w14:paraId="7072E012"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1743" w:type="dxa"/>
            <w:tcBorders>
              <w:top w:val="nil"/>
              <w:left w:val="nil"/>
              <w:right w:val="nil"/>
            </w:tcBorders>
            <w:shd w:val="clear" w:color="auto" w:fill="FFFFFF"/>
          </w:tcPr>
          <w:p w14:paraId="020AFD3E"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7AA1D9C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2E2DD37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2F15360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5BC73357"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77CCAE84"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024FEAFA"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7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448"/>
        <w:gridCol w:w="1407"/>
        <w:gridCol w:w="1116"/>
        <w:gridCol w:w="1469"/>
        <w:gridCol w:w="1469"/>
      </w:tblGrid>
      <w:tr w:rsidR="00CF0768" w:rsidRPr="00ED2AE5" w14:paraId="56B79E24" w14:textId="77777777" w:rsidTr="00C44D6E">
        <w:trPr>
          <w:cantSplit/>
        </w:trPr>
        <w:tc>
          <w:tcPr>
            <w:tcW w:w="8747" w:type="dxa"/>
            <w:gridSpan w:val="6"/>
            <w:tcBorders>
              <w:top w:val="nil"/>
              <w:left w:val="nil"/>
              <w:bottom w:val="nil"/>
              <w:right w:val="nil"/>
            </w:tcBorders>
            <w:shd w:val="clear" w:color="auto" w:fill="FFFFFF"/>
            <w:vAlign w:val="center"/>
          </w:tcPr>
          <w:p w14:paraId="4EF63763"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3. What is your ethnic Background?</w:t>
            </w:r>
          </w:p>
        </w:tc>
      </w:tr>
      <w:tr w:rsidR="00CF0768" w:rsidRPr="00ED2AE5" w14:paraId="557F7889" w14:textId="77777777" w:rsidTr="00C44D6E">
        <w:trPr>
          <w:cantSplit/>
        </w:trPr>
        <w:tc>
          <w:tcPr>
            <w:tcW w:w="3288" w:type="dxa"/>
            <w:gridSpan w:val="2"/>
            <w:tcBorders>
              <w:left w:val="nil"/>
              <w:right w:val="nil"/>
            </w:tcBorders>
            <w:shd w:val="clear" w:color="auto" w:fill="FFFFFF"/>
            <w:vAlign w:val="bottom"/>
          </w:tcPr>
          <w:p w14:paraId="5D3ABF5E"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31CC4F64"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060E8BCB"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7715A3C3"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143878D0"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1DA0F395" w14:textId="77777777" w:rsidTr="00C44D6E">
        <w:trPr>
          <w:cantSplit/>
        </w:trPr>
        <w:tc>
          <w:tcPr>
            <w:tcW w:w="841" w:type="dxa"/>
            <w:vMerge w:val="restart"/>
            <w:tcBorders>
              <w:left w:val="nil"/>
              <w:right w:val="nil"/>
            </w:tcBorders>
            <w:shd w:val="clear" w:color="auto" w:fill="FFFFFF"/>
          </w:tcPr>
          <w:p w14:paraId="164009B9"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447" w:type="dxa"/>
            <w:tcBorders>
              <w:left w:val="nil"/>
              <w:bottom w:val="nil"/>
              <w:right w:val="nil"/>
            </w:tcBorders>
            <w:shd w:val="clear" w:color="auto" w:fill="FFFFFF"/>
          </w:tcPr>
          <w:p w14:paraId="31C1AB8A"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Asian / Asian British</w:t>
            </w:r>
          </w:p>
        </w:tc>
        <w:tc>
          <w:tcPr>
            <w:tcW w:w="1407" w:type="dxa"/>
            <w:tcBorders>
              <w:left w:val="nil"/>
              <w:bottom w:val="nil"/>
              <w:right w:val="nil"/>
            </w:tcBorders>
            <w:shd w:val="clear" w:color="auto" w:fill="FFFFFF"/>
          </w:tcPr>
          <w:p w14:paraId="6DDEA2D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30</w:t>
            </w:r>
          </w:p>
        </w:tc>
        <w:tc>
          <w:tcPr>
            <w:tcW w:w="1116" w:type="dxa"/>
            <w:tcBorders>
              <w:left w:val="nil"/>
              <w:bottom w:val="nil"/>
              <w:right w:val="nil"/>
            </w:tcBorders>
            <w:shd w:val="clear" w:color="auto" w:fill="FFFFFF"/>
          </w:tcPr>
          <w:p w14:paraId="111A573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1468" w:type="dxa"/>
            <w:tcBorders>
              <w:left w:val="nil"/>
              <w:bottom w:val="nil"/>
              <w:right w:val="nil"/>
            </w:tcBorders>
            <w:shd w:val="clear" w:color="auto" w:fill="FFFFFF"/>
          </w:tcPr>
          <w:p w14:paraId="3A91BB7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1468" w:type="dxa"/>
            <w:tcBorders>
              <w:left w:val="nil"/>
              <w:bottom w:val="nil"/>
              <w:right w:val="nil"/>
            </w:tcBorders>
            <w:shd w:val="clear" w:color="auto" w:fill="FFFFFF"/>
          </w:tcPr>
          <w:p w14:paraId="03D1AB3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r>
      <w:tr w:rsidR="00CF0768" w:rsidRPr="00ED2AE5" w14:paraId="7C017470" w14:textId="77777777" w:rsidTr="00C44D6E">
        <w:trPr>
          <w:cantSplit/>
        </w:trPr>
        <w:tc>
          <w:tcPr>
            <w:tcW w:w="841" w:type="dxa"/>
            <w:vMerge/>
            <w:tcBorders>
              <w:left w:val="nil"/>
              <w:right w:val="nil"/>
            </w:tcBorders>
            <w:shd w:val="clear" w:color="auto" w:fill="FFFFFF"/>
          </w:tcPr>
          <w:p w14:paraId="42AD55DF"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447" w:type="dxa"/>
            <w:tcBorders>
              <w:top w:val="nil"/>
              <w:left w:val="nil"/>
              <w:bottom w:val="nil"/>
              <w:right w:val="nil"/>
            </w:tcBorders>
            <w:shd w:val="clear" w:color="auto" w:fill="FFFFFF"/>
          </w:tcPr>
          <w:p w14:paraId="0EC43570"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Black / African / Caribbean / Black British</w:t>
            </w:r>
          </w:p>
        </w:tc>
        <w:tc>
          <w:tcPr>
            <w:tcW w:w="1407" w:type="dxa"/>
            <w:tcBorders>
              <w:top w:val="nil"/>
              <w:left w:val="nil"/>
              <w:bottom w:val="nil"/>
              <w:right w:val="nil"/>
            </w:tcBorders>
            <w:shd w:val="clear" w:color="auto" w:fill="FFFFFF"/>
          </w:tcPr>
          <w:p w14:paraId="1842D2F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41</w:t>
            </w:r>
          </w:p>
        </w:tc>
        <w:tc>
          <w:tcPr>
            <w:tcW w:w="1116" w:type="dxa"/>
            <w:tcBorders>
              <w:top w:val="nil"/>
              <w:left w:val="nil"/>
              <w:bottom w:val="nil"/>
              <w:right w:val="nil"/>
            </w:tcBorders>
            <w:shd w:val="clear" w:color="auto" w:fill="FFFFFF"/>
          </w:tcPr>
          <w:p w14:paraId="56A4404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26.6</w:t>
            </w:r>
          </w:p>
        </w:tc>
        <w:tc>
          <w:tcPr>
            <w:tcW w:w="1468" w:type="dxa"/>
            <w:tcBorders>
              <w:top w:val="nil"/>
              <w:left w:val="nil"/>
              <w:bottom w:val="nil"/>
              <w:right w:val="nil"/>
            </w:tcBorders>
            <w:shd w:val="clear" w:color="auto" w:fill="FFFFFF"/>
          </w:tcPr>
          <w:p w14:paraId="7643730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26.6</w:t>
            </w:r>
          </w:p>
        </w:tc>
        <w:tc>
          <w:tcPr>
            <w:tcW w:w="1468" w:type="dxa"/>
            <w:tcBorders>
              <w:top w:val="nil"/>
              <w:left w:val="nil"/>
              <w:bottom w:val="nil"/>
              <w:right w:val="nil"/>
            </w:tcBorders>
            <w:shd w:val="clear" w:color="auto" w:fill="FFFFFF"/>
          </w:tcPr>
          <w:p w14:paraId="14A0E86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46.1</w:t>
            </w:r>
          </w:p>
        </w:tc>
      </w:tr>
      <w:tr w:rsidR="00CF0768" w:rsidRPr="00ED2AE5" w14:paraId="677784AB" w14:textId="77777777" w:rsidTr="00C44D6E">
        <w:trPr>
          <w:cantSplit/>
        </w:trPr>
        <w:tc>
          <w:tcPr>
            <w:tcW w:w="841" w:type="dxa"/>
            <w:vMerge/>
            <w:tcBorders>
              <w:left w:val="nil"/>
              <w:right w:val="nil"/>
            </w:tcBorders>
            <w:shd w:val="clear" w:color="auto" w:fill="FFFFFF"/>
          </w:tcPr>
          <w:p w14:paraId="5EDCDA88"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447" w:type="dxa"/>
            <w:tcBorders>
              <w:top w:val="nil"/>
              <w:left w:val="nil"/>
              <w:bottom w:val="nil"/>
              <w:right w:val="nil"/>
            </w:tcBorders>
            <w:shd w:val="clear" w:color="auto" w:fill="FFFFFF"/>
          </w:tcPr>
          <w:p w14:paraId="59B8782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Mixed / Multiple ethnic groups</w:t>
            </w:r>
          </w:p>
        </w:tc>
        <w:tc>
          <w:tcPr>
            <w:tcW w:w="1407" w:type="dxa"/>
            <w:tcBorders>
              <w:top w:val="nil"/>
              <w:left w:val="nil"/>
              <w:bottom w:val="nil"/>
              <w:right w:val="nil"/>
            </w:tcBorders>
            <w:shd w:val="clear" w:color="auto" w:fill="FFFFFF"/>
          </w:tcPr>
          <w:p w14:paraId="14E788A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116" w:type="dxa"/>
            <w:tcBorders>
              <w:top w:val="nil"/>
              <w:left w:val="nil"/>
              <w:bottom w:val="nil"/>
              <w:right w:val="nil"/>
            </w:tcBorders>
            <w:shd w:val="clear" w:color="auto" w:fill="FFFFFF"/>
          </w:tcPr>
          <w:p w14:paraId="11733A6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42.2</w:t>
            </w:r>
          </w:p>
        </w:tc>
        <w:tc>
          <w:tcPr>
            <w:tcW w:w="1468" w:type="dxa"/>
            <w:tcBorders>
              <w:top w:val="nil"/>
              <w:left w:val="nil"/>
              <w:bottom w:val="nil"/>
              <w:right w:val="nil"/>
            </w:tcBorders>
            <w:shd w:val="clear" w:color="auto" w:fill="FFFFFF"/>
          </w:tcPr>
          <w:p w14:paraId="0C93537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42.2</w:t>
            </w:r>
          </w:p>
        </w:tc>
        <w:tc>
          <w:tcPr>
            <w:tcW w:w="1468" w:type="dxa"/>
            <w:tcBorders>
              <w:top w:val="nil"/>
              <w:left w:val="nil"/>
              <w:bottom w:val="nil"/>
              <w:right w:val="nil"/>
            </w:tcBorders>
            <w:shd w:val="clear" w:color="auto" w:fill="FFFFFF"/>
          </w:tcPr>
          <w:p w14:paraId="0AF4AC0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88.3</w:t>
            </w:r>
          </w:p>
        </w:tc>
      </w:tr>
      <w:tr w:rsidR="00CF0768" w:rsidRPr="00ED2AE5" w14:paraId="45FCBDFB" w14:textId="77777777" w:rsidTr="00C44D6E">
        <w:trPr>
          <w:cantSplit/>
        </w:trPr>
        <w:tc>
          <w:tcPr>
            <w:tcW w:w="841" w:type="dxa"/>
            <w:vMerge/>
            <w:tcBorders>
              <w:left w:val="nil"/>
              <w:right w:val="nil"/>
            </w:tcBorders>
            <w:shd w:val="clear" w:color="auto" w:fill="FFFFFF"/>
          </w:tcPr>
          <w:p w14:paraId="6F2979F2"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447" w:type="dxa"/>
            <w:tcBorders>
              <w:top w:val="nil"/>
              <w:left w:val="nil"/>
              <w:bottom w:val="nil"/>
              <w:right w:val="nil"/>
            </w:tcBorders>
            <w:shd w:val="clear" w:color="auto" w:fill="FFFFFF"/>
          </w:tcPr>
          <w:p w14:paraId="25383359"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Prefer not to say</w:t>
            </w:r>
          </w:p>
        </w:tc>
        <w:tc>
          <w:tcPr>
            <w:tcW w:w="1407" w:type="dxa"/>
            <w:tcBorders>
              <w:top w:val="nil"/>
              <w:left w:val="nil"/>
              <w:bottom w:val="nil"/>
              <w:right w:val="nil"/>
            </w:tcBorders>
            <w:shd w:val="clear" w:color="auto" w:fill="FFFFFF"/>
          </w:tcPr>
          <w:p w14:paraId="7816AF8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w:t>
            </w:r>
          </w:p>
        </w:tc>
        <w:tc>
          <w:tcPr>
            <w:tcW w:w="1116" w:type="dxa"/>
            <w:tcBorders>
              <w:top w:val="nil"/>
              <w:left w:val="nil"/>
              <w:bottom w:val="nil"/>
              <w:right w:val="nil"/>
            </w:tcBorders>
            <w:shd w:val="clear" w:color="auto" w:fill="FFFFFF"/>
          </w:tcPr>
          <w:p w14:paraId="1958B1D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5.2</w:t>
            </w:r>
          </w:p>
        </w:tc>
        <w:tc>
          <w:tcPr>
            <w:tcW w:w="1468" w:type="dxa"/>
            <w:tcBorders>
              <w:top w:val="nil"/>
              <w:left w:val="nil"/>
              <w:bottom w:val="nil"/>
              <w:right w:val="nil"/>
            </w:tcBorders>
            <w:shd w:val="clear" w:color="auto" w:fill="FFFFFF"/>
          </w:tcPr>
          <w:p w14:paraId="7AABA99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5.2</w:t>
            </w:r>
          </w:p>
        </w:tc>
        <w:tc>
          <w:tcPr>
            <w:tcW w:w="1468" w:type="dxa"/>
            <w:tcBorders>
              <w:top w:val="nil"/>
              <w:left w:val="nil"/>
              <w:bottom w:val="nil"/>
              <w:right w:val="nil"/>
            </w:tcBorders>
            <w:shd w:val="clear" w:color="auto" w:fill="FFFFFF"/>
          </w:tcPr>
          <w:p w14:paraId="26953AC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93.5</w:t>
            </w:r>
          </w:p>
        </w:tc>
      </w:tr>
      <w:tr w:rsidR="00CF0768" w:rsidRPr="00ED2AE5" w14:paraId="7182341B" w14:textId="77777777" w:rsidTr="00C44D6E">
        <w:trPr>
          <w:cantSplit/>
        </w:trPr>
        <w:tc>
          <w:tcPr>
            <w:tcW w:w="841" w:type="dxa"/>
            <w:vMerge/>
            <w:tcBorders>
              <w:left w:val="nil"/>
              <w:right w:val="nil"/>
            </w:tcBorders>
            <w:shd w:val="clear" w:color="auto" w:fill="FFFFFF"/>
          </w:tcPr>
          <w:p w14:paraId="0C113049"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447" w:type="dxa"/>
            <w:tcBorders>
              <w:top w:val="nil"/>
              <w:left w:val="nil"/>
              <w:bottom w:val="nil"/>
              <w:right w:val="nil"/>
            </w:tcBorders>
            <w:shd w:val="clear" w:color="auto" w:fill="FFFFFF"/>
          </w:tcPr>
          <w:p w14:paraId="0A761BCB"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White</w:t>
            </w:r>
          </w:p>
        </w:tc>
        <w:tc>
          <w:tcPr>
            <w:tcW w:w="1407" w:type="dxa"/>
            <w:tcBorders>
              <w:top w:val="nil"/>
              <w:left w:val="nil"/>
              <w:bottom w:val="nil"/>
              <w:right w:val="nil"/>
            </w:tcBorders>
            <w:shd w:val="clear" w:color="auto" w:fill="FFFFFF"/>
          </w:tcPr>
          <w:p w14:paraId="7014E1D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w:t>
            </w:r>
          </w:p>
        </w:tc>
        <w:tc>
          <w:tcPr>
            <w:tcW w:w="1116" w:type="dxa"/>
            <w:tcBorders>
              <w:top w:val="nil"/>
              <w:left w:val="nil"/>
              <w:bottom w:val="nil"/>
              <w:right w:val="nil"/>
            </w:tcBorders>
            <w:shd w:val="clear" w:color="auto" w:fill="FFFFFF"/>
          </w:tcPr>
          <w:p w14:paraId="6C2987B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468" w:type="dxa"/>
            <w:tcBorders>
              <w:top w:val="nil"/>
              <w:left w:val="nil"/>
              <w:bottom w:val="nil"/>
              <w:right w:val="nil"/>
            </w:tcBorders>
            <w:shd w:val="clear" w:color="auto" w:fill="FFFFFF"/>
          </w:tcPr>
          <w:p w14:paraId="10486CB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468" w:type="dxa"/>
            <w:tcBorders>
              <w:top w:val="nil"/>
              <w:left w:val="nil"/>
              <w:bottom w:val="nil"/>
              <w:right w:val="nil"/>
            </w:tcBorders>
            <w:shd w:val="clear" w:color="auto" w:fill="FFFFFF"/>
          </w:tcPr>
          <w:p w14:paraId="4580993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74BE386B" w14:textId="77777777" w:rsidTr="00C44D6E">
        <w:trPr>
          <w:cantSplit/>
        </w:trPr>
        <w:tc>
          <w:tcPr>
            <w:tcW w:w="841" w:type="dxa"/>
            <w:vMerge/>
            <w:tcBorders>
              <w:left w:val="nil"/>
              <w:right w:val="nil"/>
            </w:tcBorders>
            <w:shd w:val="clear" w:color="auto" w:fill="FFFFFF"/>
          </w:tcPr>
          <w:p w14:paraId="2B15F64E"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447" w:type="dxa"/>
            <w:tcBorders>
              <w:top w:val="nil"/>
              <w:left w:val="nil"/>
              <w:right w:val="nil"/>
            </w:tcBorders>
            <w:shd w:val="clear" w:color="auto" w:fill="FFFFFF"/>
          </w:tcPr>
          <w:p w14:paraId="0496E9FA"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2C9AD4E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4AE6FE9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1AC1715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0A26274C"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40874859"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20EF5254"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7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448"/>
        <w:gridCol w:w="1407"/>
        <w:gridCol w:w="1116"/>
        <w:gridCol w:w="1469"/>
        <w:gridCol w:w="1469"/>
      </w:tblGrid>
      <w:tr w:rsidR="00CF0768" w:rsidRPr="00ED2AE5" w14:paraId="7138FFF2" w14:textId="77777777" w:rsidTr="00C44D6E">
        <w:trPr>
          <w:cantSplit/>
        </w:trPr>
        <w:tc>
          <w:tcPr>
            <w:tcW w:w="8747" w:type="dxa"/>
            <w:gridSpan w:val="6"/>
            <w:tcBorders>
              <w:top w:val="nil"/>
              <w:left w:val="nil"/>
              <w:bottom w:val="nil"/>
              <w:right w:val="nil"/>
            </w:tcBorders>
            <w:shd w:val="clear" w:color="auto" w:fill="FFFFFF"/>
            <w:vAlign w:val="center"/>
          </w:tcPr>
          <w:p w14:paraId="18362BB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4. What is your current role in healthcare?</w:t>
            </w:r>
          </w:p>
        </w:tc>
      </w:tr>
      <w:tr w:rsidR="00CF0768" w:rsidRPr="00ED2AE5" w14:paraId="25F453DE" w14:textId="77777777" w:rsidTr="00C44D6E">
        <w:trPr>
          <w:cantSplit/>
        </w:trPr>
        <w:tc>
          <w:tcPr>
            <w:tcW w:w="3288" w:type="dxa"/>
            <w:gridSpan w:val="2"/>
            <w:tcBorders>
              <w:left w:val="nil"/>
              <w:right w:val="nil"/>
            </w:tcBorders>
            <w:shd w:val="clear" w:color="auto" w:fill="FFFFFF"/>
            <w:vAlign w:val="bottom"/>
          </w:tcPr>
          <w:p w14:paraId="32BFE4A5"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06B35FD8"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2A70830A"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395FD87F"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2D014D04"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76F1FFB3" w14:textId="77777777" w:rsidTr="00C44D6E">
        <w:trPr>
          <w:cantSplit/>
        </w:trPr>
        <w:tc>
          <w:tcPr>
            <w:tcW w:w="841" w:type="dxa"/>
            <w:vMerge w:val="restart"/>
            <w:tcBorders>
              <w:left w:val="nil"/>
              <w:right w:val="nil"/>
            </w:tcBorders>
            <w:shd w:val="clear" w:color="auto" w:fill="FFFFFF"/>
          </w:tcPr>
          <w:p w14:paraId="29423514"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447" w:type="dxa"/>
            <w:tcBorders>
              <w:left w:val="nil"/>
              <w:bottom w:val="nil"/>
              <w:right w:val="nil"/>
            </w:tcBorders>
            <w:shd w:val="clear" w:color="auto" w:fill="FFFFFF"/>
          </w:tcPr>
          <w:p w14:paraId="6BFB1A67"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Administrative / Support Staff</w:t>
            </w:r>
          </w:p>
        </w:tc>
        <w:tc>
          <w:tcPr>
            <w:tcW w:w="1407" w:type="dxa"/>
            <w:tcBorders>
              <w:left w:val="nil"/>
              <w:bottom w:val="nil"/>
              <w:right w:val="nil"/>
            </w:tcBorders>
            <w:shd w:val="clear" w:color="auto" w:fill="FFFFFF"/>
          </w:tcPr>
          <w:p w14:paraId="1B30CEF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51</w:t>
            </w:r>
          </w:p>
        </w:tc>
        <w:tc>
          <w:tcPr>
            <w:tcW w:w="1116" w:type="dxa"/>
            <w:tcBorders>
              <w:left w:val="nil"/>
              <w:bottom w:val="nil"/>
              <w:right w:val="nil"/>
            </w:tcBorders>
            <w:shd w:val="clear" w:color="auto" w:fill="FFFFFF"/>
          </w:tcPr>
          <w:p w14:paraId="3A80A2A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33.1</w:t>
            </w:r>
          </w:p>
        </w:tc>
        <w:tc>
          <w:tcPr>
            <w:tcW w:w="1468" w:type="dxa"/>
            <w:tcBorders>
              <w:left w:val="nil"/>
              <w:bottom w:val="nil"/>
              <w:right w:val="nil"/>
            </w:tcBorders>
            <w:shd w:val="clear" w:color="auto" w:fill="FFFFFF"/>
          </w:tcPr>
          <w:p w14:paraId="73EC16F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33.1</w:t>
            </w:r>
          </w:p>
        </w:tc>
        <w:tc>
          <w:tcPr>
            <w:tcW w:w="1468" w:type="dxa"/>
            <w:tcBorders>
              <w:left w:val="nil"/>
              <w:bottom w:val="nil"/>
              <w:right w:val="nil"/>
            </w:tcBorders>
            <w:shd w:val="clear" w:color="auto" w:fill="FFFFFF"/>
          </w:tcPr>
          <w:p w14:paraId="4338D93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33.1</w:t>
            </w:r>
          </w:p>
        </w:tc>
      </w:tr>
      <w:tr w:rsidR="00CF0768" w:rsidRPr="00ED2AE5" w14:paraId="20920B26" w14:textId="77777777" w:rsidTr="00C44D6E">
        <w:trPr>
          <w:cantSplit/>
        </w:trPr>
        <w:tc>
          <w:tcPr>
            <w:tcW w:w="841" w:type="dxa"/>
            <w:vMerge/>
            <w:tcBorders>
              <w:left w:val="nil"/>
              <w:right w:val="nil"/>
            </w:tcBorders>
            <w:shd w:val="clear" w:color="auto" w:fill="FFFFFF"/>
          </w:tcPr>
          <w:p w14:paraId="3CEB655F"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447" w:type="dxa"/>
            <w:tcBorders>
              <w:top w:val="nil"/>
              <w:left w:val="nil"/>
              <w:bottom w:val="nil"/>
              <w:right w:val="nil"/>
            </w:tcBorders>
            <w:shd w:val="clear" w:color="auto" w:fill="FFFFFF"/>
          </w:tcPr>
          <w:p w14:paraId="2D9CC435"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Allied Health Professional</w:t>
            </w:r>
          </w:p>
        </w:tc>
        <w:tc>
          <w:tcPr>
            <w:tcW w:w="1407" w:type="dxa"/>
            <w:tcBorders>
              <w:top w:val="nil"/>
              <w:left w:val="nil"/>
              <w:bottom w:val="nil"/>
              <w:right w:val="nil"/>
            </w:tcBorders>
            <w:shd w:val="clear" w:color="auto" w:fill="FFFFFF"/>
          </w:tcPr>
          <w:p w14:paraId="721FDEC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w:t>
            </w:r>
          </w:p>
        </w:tc>
        <w:tc>
          <w:tcPr>
            <w:tcW w:w="1116" w:type="dxa"/>
            <w:tcBorders>
              <w:top w:val="nil"/>
              <w:left w:val="nil"/>
              <w:bottom w:val="nil"/>
              <w:right w:val="nil"/>
            </w:tcBorders>
            <w:shd w:val="clear" w:color="auto" w:fill="FFFFFF"/>
          </w:tcPr>
          <w:p w14:paraId="4BB3252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3.2</w:t>
            </w:r>
          </w:p>
        </w:tc>
        <w:tc>
          <w:tcPr>
            <w:tcW w:w="1468" w:type="dxa"/>
            <w:tcBorders>
              <w:top w:val="nil"/>
              <w:left w:val="nil"/>
              <w:bottom w:val="nil"/>
              <w:right w:val="nil"/>
            </w:tcBorders>
            <w:shd w:val="clear" w:color="auto" w:fill="FFFFFF"/>
          </w:tcPr>
          <w:p w14:paraId="32A447E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3.2</w:t>
            </w:r>
          </w:p>
        </w:tc>
        <w:tc>
          <w:tcPr>
            <w:tcW w:w="1468" w:type="dxa"/>
            <w:tcBorders>
              <w:top w:val="nil"/>
              <w:left w:val="nil"/>
              <w:bottom w:val="nil"/>
              <w:right w:val="nil"/>
            </w:tcBorders>
            <w:shd w:val="clear" w:color="auto" w:fill="FFFFFF"/>
          </w:tcPr>
          <w:p w14:paraId="6367CF8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36.4</w:t>
            </w:r>
          </w:p>
        </w:tc>
      </w:tr>
      <w:tr w:rsidR="00CF0768" w:rsidRPr="00ED2AE5" w14:paraId="179C1EA1" w14:textId="77777777" w:rsidTr="00C44D6E">
        <w:trPr>
          <w:cantSplit/>
        </w:trPr>
        <w:tc>
          <w:tcPr>
            <w:tcW w:w="841" w:type="dxa"/>
            <w:vMerge/>
            <w:tcBorders>
              <w:left w:val="nil"/>
              <w:right w:val="nil"/>
            </w:tcBorders>
            <w:shd w:val="clear" w:color="auto" w:fill="FFFFFF"/>
          </w:tcPr>
          <w:p w14:paraId="1DC269C1"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447" w:type="dxa"/>
            <w:tcBorders>
              <w:top w:val="nil"/>
              <w:left w:val="nil"/>
              <w:bottom w:val="nil"/>
              <w:right w:val="nil"/>
            </w:tcBorders>
            <w:shd w:val="clear" w:color="auto" w:fill="FFFFFF"/>
          </w:tcPr>
          <w:p w14:paraId="465FC663"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Clinical (e.g., doctor, nurse, therapist)</w:t>
            </w:r>
          </w:p>
        </w:tc>
        <w:tc>
          <w:tcPr>
            <w:tcW w:w="1407" w:type="dxa"/>
            <w:tcBorders>
              <w:top w:val="nil"/>
              <w:left w:val="nil"/>
              <w:bottom w:val="nil"/>
              <w:right w:val="nil"/>
            </w:tcBorders>
            <w:shd w:val="clear" w:color="auto" w:fill="FFFFFF"/>
          </w:tcPr>
          <w:p w14:paraId="634AA36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w:t>
            </w:r>
          </w:p>
        </w:tc>
        <w:tc>
          <w:tcPr>
            <w:tcW w:w="1116" w:type="dxa"/>
            <w:tcBorders>
              <w:top w:val="nil"/>
              <w:left w:val="nil"/>
              <w:bottom w:val="nil"/>
              <w:right w:val="nil"/>
            </w:tcBorders>
            <w:shd w:val="clear" w:color="auto" w:fill="FFFFFF"/>
          </w:tcPr>
          <w:p w14:paraId="416C4FC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7.8</w:t>
            </w:r>
          </w:p>
        </w:tc>
        <w:tc>
          <w:tcPr>
            <w:tcW w:w="1468" w:type="dxa"/>
            <w:tcBorders>
              <w:top w:val="nil"/>
              <w:left w:val="nil"/>
              <w:bottom w:val="nil"/>
              <w:right w:val="nil"/>
            </w:tcBorders>
            <w:shd w:val="clear" w:color="auto" w:fill="FFFFFF"/>
          </w:tcPr>
          <w:p w14:paraId="733E8F6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7.8</w:t>
            </w:r>
          </w:p>
        </w:tc>
        <w:tc>
          <w:tcPr>
            <w:tcW w:w="1468" w:type="dxa"/>
            <w:tcBorders>
              <w:top w:val="nil"/>
              <w:left w:val="nil"/>
              <w:bottom w:val="nil"/>
              <w:right w:val="nil"/>
            </w:tcBorders>
            <w:shd w:val="clear" w:color="auto" w:fill="FFFFFF"/>
          </w:tcPr>
          <w:p w14:paraId="4210BFD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44.2</w:t>
            </w:r>
          </w:p>
        </w:tc>
      </w:tr>
      <w:tr w:rsidR="00CF0768" w:rsidRPr="00ED2AE5" w14:paraId="7498B5BB" w14:textId="77777777" w:rsidTr="00C44D6E">
        <w:trPr>
          <w:cantSplit/>
        </w:trPr>
        <w:tc>
          <w:tcPr>
            <w:tcW w:w="841" w:type="dxa"/>
            <w:vMerge/>
            <w:tcBorders>
              <w:left w:val="nil"/>
              <w:right w:val="nil"/>
            </w:tcBorders>
            <w:shd w:val="clear" w:color="auto" w:fill="FFFFFF"/>
          </w:tcPr>
          <w:p w14:paraId="5B4FCE91"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447" w:type="dxa"/>
            <w:tcBorders>
              <w:top w:val="nil"/>
              <w:left w:val="nil"/>
              <w:bottom w:val="nil"/>
              <w:right w:val="nil"/>
            </w:tcBorders>
            <w:shd w:val="clear" w:color="auto" w:fill="FFFFFF"/>
          </w:tcPr>
          <w:p w14:paraId="1FB486D7"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Management / Leadership</w:t>
            </w:r>
          </w:p>
        </w:tc>
        <w:tc>
          <w:tcPr>
            <w:tcW w:w="1407" w:type="dxa"/>
            <w:tcBorders>
              <w:top w:val="nil"/>
              <w:left w:val="nil"/>
              <w:bottom w:val="nil"/>
              <w:right w:val="nil"/>
            </w:tcBorders>
            <w:shd w:val="clear" w:color="auto" w:fill="FFFFFF"/>
          </w:tcPr>
          <w:p w14:paraId="6BA5AAB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86</w:t>
            </w:r>
          </w:p>
        </w:tc>
        <w:tc>
          <w:tcPr>
            <w:tcW w:w="1116" w:type="dxa"/>
            <w:tcBorders>
              <w:top w:val="nil"/>
              <w:left w:val="nil"/>
              <w:bottom w:val="nil"/>
              <w:right w:val="nil"/>
            </w:tcBorders>
            <w:shd w:val="clear" w:color="auto" w:fill="FFFFFF"/>
          </w:tcPr>
          <w:p w14:paraId="4D93FD2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55.8</w:t>
            </w:r>
          </w:p>
        </w:tc>
        <w:tc>
          <w:tcPr>
            <w:tcW w:w="1468" w:type="dxa"/>
            <w:tcBorders>
              <w:top w:val="nil"/>
              <w:left w:val="nil"/>
              <w:bottom w:val="nil"/>
              <w:right w:val="nil"/>
            </w:tcBorders>
            <w:shd w:val="clear" w:color="auto" w:fill="FFFFFF"/>
          </w:tcPr>
          <w:p w14:paraId="4164DCE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55.8</w:t>
            </w:r>
          </w:p>
        </w:tc>
        <w:tc>
          <w:tcPr>
            <w:tcW w:w="1468" w:type="dxa"/>
            <w:tcBorders>
              <w:top w:val="nil"/>
              <w:left w:val="nil"/>
              <w:bottom w:val="nil"/>
              <w:right w:val="nil"/>
            </w:tcBorders>
            <w:shd w:val="clear" w:color="auto" w:fill="FFFFFF"/>
          </w:tcPr>
          <w:p w14:paraId="557B41D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5CDF8F04" w14:textId="77777777" w:rsidTr="00C44D6E">
        <w:trPr>
          <w:cantSplit/>
        </w:trPr>
        <w:tc>
          <w:tcPr>
            <w:tcW w:w="841" w:type="dxa"/>
            <w:vMerge/>
            <w:tcBorders>
              <w:left w:val="nil"/>
              <w:right w:val="nil"/>
            </w:tcBorders>
            <w:shd w:val="clear" w:color="auto" w:fill="FFFFFF"/>
          </w:tcPr>
          <w:p w14:paraId="2180B9BA"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447" w:type="dxa"/>
            <w:tcBorders>
              <w:top w:val="nil"/>
              <w:left w:val="nil"/>
              <w:right w:val="nil"/>
            </w:tcBorders>
            <w:shd w:val="clear" w:color="auto" w:fill="FFFFFF"/>
          </w:tcPr>
          <w:p w14:paraId="6261D289"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5DD6B3E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10C162F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65FF603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111B3C28"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077E670C"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1743DBA1" w14:textId="77777777" w:rsidR="00CF0768" w:rsidRPr="00ED2AE5" w:rsidRDefault="00CF0768" w:rsidP="00CF0768">
      <w:pPr>
        <w:autoSpaceDE w:val="0"/>
        <w:autoSpaceDN w:val="0"/>
        <w:adjustRightInd w:val="0"/>
        <w:spacing w:line="240" w:lineRule="auto"/>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305BF518" w14:textId="77777777" w:rsidTr="00C44D6E">
        <w:trPr>
          <w:cantSplit/>
        </w:trPr>
        <w:tc>
          <w:tcPr>
            <w:tcW w:w="8502" w:type="dxa"/>
            <w:gridSpan w:val="6"/>
            <w:tcBorders>
              <w:top w:val="nil"/>
              <w:left w:val="nil"/>
              <w:bottom w:val="nil"/>
              <w:right w:val="nil"/>
            </w:tcBorders>
            <w:shd w:val="clear" w:color="auto" w:fill="FFFFFF"/>
            <w:vAlign w:val="center"/>
          </w:tcPr>
          <w:p w14:paraId="214D5FAB"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 xml:space="preserve">5. I am aware of my Trust's formal </w:t>
            </w:r>
            <w:proofErr w:type="spellStart"/>
            <w:r w:rsidRPr="00ED2AE5">
              <w:rPr>
                <w:rFonts w:ascii="Arial" w:hAnsi="Arial" w:cs="Arial"/>
                <w:i/>
                <w:iCs/>
                <w:color w:val="000000"/>
                <w:kern w:val="0"/>
                <w:szCs w:val="24"/>
                <w:lang w:val="en-US"/>
              </w:rPr>
              <w:t>D&amp;amp;I</w:t>
            </w:r>
            <w:proofErr w:type="spellEnd"/>
            <w:r w:rsidRPr="00ED2AE5">
              <w:rPr>
                <w:rFonts w:ascii="Arial" w:hAnsi="Arial" w:cs="Arial"/>
                <w:i/>
                <w:iCs/>
                <w:color w:val="000000"/>
                <w:kern w:val="0"/>
                <w:szCs w:val="24"/>
                <w:lang w:val="en-US"/>
              </w:rPr>
              <w:t xml:space="preserve"> policy or strategy.</w:t>
            </w:r>
          </w:p>
        </w:tc>
      </w:tr>
      <w:tr w:rsidR="00CF0768" w:rsidRPr="00ED2AE5" w14:paraId="1AA1CC0E" w14:textId="77777777" w:rsidTr="00C44D6E">
        <w:trPr>
          <w:cantSplit/>
        </w:trPr>
        <w:tc>
          <w:tcPr>
            <w:tcW w:w="3043" w:type="dxa"/>
            <w:gridSpan w:val="2"/>
            <w:tcBorders>
              <w:left w:val="nil"/>
              <w:right w:val="nil"/>
            </w:tcBorders>
            <w:shd w:val="clear" w:color="auto" w:fill="FFFFFF"/>
            <w:vAlign w:val="bottom"/>
          </w:tcPr>
          <w:p w14:paraId="52D6689E"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06785982"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520E771D"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0FFC77CB"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638C5B92"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70CBA280" w14:textId="77777777" w:rsidTr="00C44D6E">
        <w:trPr>
          <w:cantSplit/>
        </w:trPr>
        <w:tc>
          <w:tcPr>
            <w:tcW w:w="841" w:type="dxa"/>
            <w:vMerge w:val="restart"/>
            <w:tcBorders>
              <w:left w:val="nil"/>
              <w:right w:val="nil"/>
            </w:tcBorders>
            <w:shd w:val="clear" w:color="auto" w:fill="FFFFFF"/>
          </w:tcPr>
          <w:p w14:paraId="4C1DEAA9"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32C02A5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11260AE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w:t>
            </w:r>
          </w:p>
        </w:tc>
        <w:tc>
          <w:tcPr>
            <w:tcW w:w="1116" w:type="dxa"/>
            <w:tcBorders>
              <w:left w:val="nil"/>
              <w:bottom w:val="nil"/>
              <w:right w:val="nil"/>
            </w:tcBorders>
            <w:shd w:val="clear" w:color="auto" w:fill="FFFFFF"/>
          </w:tcPr>
          <w:p w14:paraId="7B7C0C1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4.5</w:t>
            </w:r>
          </w:p>
        </w:tc>
        <w:tc>
          <w:tcPr>
            <w:tcW w:w="1468" w:type="dxa"/>
            <w:tcBorders>
              <w:left w:val="nil"/>
              <w:bottom w:val="nil"/>
              <w:right w:val="nil"/>
            </w:tcBorders>
            <w:shd w:val="clear" w:color="auto" w:fill="FFFFFF"/>
          </w:tcPr>
          <w:p w14:paraId="60E8AA9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4.5</w:t>
            </w:r>
          </w:p>
        </w:tc>
        <w:tc>
          <w:tcPr>
            <w:tcW w:w="1468" w:type="dxa"/>
            <w:tcBorders>
              <w:left w:val="nil"/>
              <w:bottom w:val="nil"/>
              <w:right w:val="nil"/>
            </w:tcBorders>
            <w:shd w:val="clear" w:color="auto" w:fill="FFFFFF"/>
          </w:tcPr>
          <w:p w14:paraId="58E553C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4.5</w:t>
            </w:r>
          </w:p>
        </w:tc>
      </w:tr>
      <w:tr w:rsidR="00CF0768" w:rsidRPr="00ED2AE5" w14:paraId="20B2CB29" w14:textId="77777777" w:rsidTr="00C44D6E">
        <w:trPr>
          <w:cantSplit/>
        </w:trPr>
        <w:tc>
          <w:tcPr>
            <w:tcW w:w="841" w:type="dxa"/>
            <w:vMerge/>
            <w:tcBorders>
              <w:left w:val="nil"/>
              <w:right w:val="nil"/>
            </w:tcBorders>
            <w:shd w:val="clear" w:color="auto" w:fill="FFFFFF"/>
          </w:tcPr>
          <w:p w14:paraId="4F2604F5"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0098F99C"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07AC778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w:t>
            </w:r>
          </w:p>
        </w:tc>
        <w:tc>
          <w:tcPr>
            <w:tcW w:w="1116" w:type="dxa"/>
            <w:tcBorders>
              <w:top w:val="nil"/>
              <w:left w:val="nil"/>
              <w:bottom w:val="nil"/>
              <w:right w:val="nil"/>
            </w:tcBorders>
            <w:shd w:val="clear" w:color="auto" w:fill="FFFFFF"/>
          </w:tcPr>
          <w:p w14:paraId="7E72C6D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12.3</w:t>
            </w:r>
          </w:p>
        </w:tc>
        <w:tc>
          <w:tcPr>
            <w:tcW w:w="1468" w:type="dxa"/>
            <w:tcBorders>
              <w:top w:val="nil"/>
              <w:left w:val="nil"/>
              <w:bottom w:val="nil"/>
              <w:right w:val="nil"/>
            </w:tcBorders>
            <w:shd w:val="clear" w:color="auto" w:fill="FFFFFF"/>
          </w:tcPr>
          <w:p w14:paraId="144420E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12.3</w:t>
            </w:r>
          </w:p>
        </w:tc>
        <w:tc>
          <w:tcPr>
            <w:tcW w:w="1468" w:type="dxa"/>
            <w:tcBorders>
              <w:top w:val="nil"/>
              <w:left w:val="nil"/>
              <w:bottom w:val="nil"/>
              <w:right w:val="nil"/>
            </w:tcBorders>
            <w:shd w:val="clear" w:color="auto" w:fill="FFFFFF"/>
          </w:tcPr>
          <w:p w14:paraId="14AF35E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16.9</w:t>
            </w:r>
          </w:p>
        </w:tc>
      </w:tr>
      <w:tr w:rsidR="00CF0768" w:rsidRPr="00ED2AE5" w14:paraId="2E874029" w14:textId="77777777" w:rsidTr="00C44D6E">
        <w:trPr>
          <w:cantSplit/>
        </w:trPr>
        <w:tc>
          <w:tcPr>
            <w:tcW w:w="841" w:type="dxa"/>
            <w:vMerge/>
            <w:tcBorders>
              <w:left w:val="nil"/>
              <w:right w:val="nil"/>
            </w:tcBorders>
            <w:shd w:val="clear" w:color="auto" w:fill="FFFFFF"/>
          </w:tcPr>
          <w:p w14:paraId="0628B63F"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62E433E6"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67A7F46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43</w:t>
            </w:r>
          </w:p>
        </w:tc>
        <w:tc>
          <w:tcPr>
            <w:tcW w:w="1116" w:type="dxa"/>
            <w:tcBorders>
              <w:top w:val="nil"/>
              <w:left w:val="nil"/>
              <w:bottom w:val="nil"/>
              <w:right w:val="nil"/>
            </w:tcBorders>
            <w:shd w:val="clear" w:color="auto" w:fill="FFFFFF"/>
          </w:tcPr>
          <w:p w14:paraId="31587BF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27.9</w:t>
            </w:r>
          </w:p>
        </w:tc>
        <w:tc>
          <w:tcPr>
            <w:tcW w:w="1468" w:type="dxa"/>
            <w:tcBorders>
              <w:top w:val="nil"/>
              <w:left w:val="nil"/>
              <w:bottom w:val="nil"/>
              <w:right w:val="nil"/>
            </w:tcBorders>
            <w:shd w:val="clear" w:color="auto" w:fill="FFFFFF"/>
          </w:tcPr>
          <w:p w14:paraId="2A99B84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27.9</w:t>
            </w:r>
          </w:p>
        </w:tc>
        <w:tc>
          <w:tcPr>
            <w:tcW w:w="1468" w:type="dxa"/>
            <w:tcBorders>
              <w:top w:val="nil"/>
              <w:left w:val="nil"/>
              <w:bottom w:val="nil"/>
              <w:right w:val="nil"/>
            </w:tcBorders>
            <w:shd w:val="clear" w:color="auto" w:fill="FFFFFF"/>
          </w:tcPr>
          <w:p w14:paraId="663F896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44.8</w:t>
            </w:r>
          </w:p>
        </w:tc>
      </w:tr>
      <w:tr w:rsidR="00CF0768" w:rsidRPr="00ED2AE5" w14:paraId="523295AE" w14:textId="77777777" w:rsidTr="00C44D6E">
        <w:trPr>
          <w:cantSplit/>
        </w:trPr>
        <w:tc>
          <w:tcPr>
            <w:tcW w:w="841" w:type="dxa"/>
            <w:vMerge/>
            <w:tcBorders>
              <w:left w:val="nil"/>
              <w:right w:val="nil"/>
            </w:tcBorders>
            <w:shd w:val="clear" w:color="auto" w:fill="FFFFFF"/>
          </w:tcPr>
          <w:p w14:paraId="15B53585"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63D2F3E0"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2EE2B9E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62</w:t>
            </w:r>
          </w:p>
        </w:tc>
        <w:tc>
          <w:tcPr>
            <w:tcW w:w="1116" w:type="dxa"/>
            <w:tcBorders>
              <w:top w:val="nil"/>
              <w:left w:val="nil"/>
              <w:bottom w:val="nil"/>
              <w:right w:val="nil"/>
            </w:tcBorders>
            <w:shd w:val="clear" w:color="auto" w:fill="FFFFFF"/>
          </w:tcPr>
          <w:p w14:paraId="4B03CC5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40.3</w:t>
            </w:r>
          </w:p>
        </w:tc>
        <w:tc>
          <w:tcPr>
            <w:tcW w:w="1468" w:type="dxa"/>
            <w:tcBorders>
              <w:top w:val="nil"/>
              <w:left w:val="nil"/>
              <w:bottom w:val="nil"/>
              <w:right w:val="nil"/>
            </w:tcBorders>
            <w:shd w:val="clear" w:color="auto" w:fill="FFFFFF"/>
          </w:tcPr>
          <w:p w14:paraId="6BC2AFC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40.3</w:t>
            </w:r>
          </w:p>
        </w:tc>
        <w:tc>
          <w:tcPr>
            <w:tcW w:w="1468" w:type="dxa"/>
            <w:tcBorders>
              <w:top w:val="nil"/>
              <w:left w:val="nil"/>
              <w:bottom w:val="nil"/>
              <w:right w:val="nil"/>
            </w:tcBorders>
            <w:shd w:val="clear" w:color="auto" w:fill="FFFFFF"/>
          </w:tcPr>
          <w:p w14:paraId="26DEF39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85.1</w:t>
            </w:r>
          </w:p>
        </w:tc>
      </w:tr>
      <w:tr w:rsidR="00CF0768" w:rsidRPr="00ED2AE5" w14:paraId="71693645" w14:textId="77777777" w:rsidTr="00C44D6E">
        <w:trPr>
          <w:cantSplit/>
        </w:trPr>
        <w:tc>
          <w:tcPr>
            <w:tcW w:w="841" w:type="dxa"/>
            <w:vMerge/>
            <w:tcBorders>
              <w:left w:val="nil"/>
              <w:right w:val="nil"/>
            </w:tcBorders>
            <w:shd w:val="clear" w:color="auto" w:fill="FFFFFF"/>
          </w:tcPr>
          <w:p w14:paraId="79A52127"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4EF5D96A"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48A2A84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23</w:t>
            </w:r>
          </w:p>
        </w:tc>
        <w:tc>
          <w:tcPr>
            <w:tcW w:w="1116" w:type="dxa"/>
            <w:tcBorders>
              <w:top w:val="nil"/>
              <w:left w:val="nil"/>
              <w:bottom w:val="nil"/>
              <w:right w:val="nil"/>
            </w:tcBorders>
            <w:shd w:val="clear" w:color="auto" w:fill="FFFFFF"/>
          </w:tcPr>
          <w:p w14:paraId="231E6D6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14.9</w:t>
            </w:r>
          </w:p>
        </w:tc>
        <w:tc>
          <w:tcPr>
            <w:tcW w:w="1468" w:type="dxa"/>
            <w:tcBorders>
              <w:top w:val="nil"/>
              <w:left w:val="nil"/>
              <w:bottom w:val="nil"/>
              <w:right w:val="nil"/>
            </w:tcBorders>
            <w:shd w:val="clear" w:color="auto" w:fill="FFFFFF"/>
          </w:tcPr>
          <w:p w14:paraId="6158F34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14.9</w:t>
            </w:r>
          </w:p>
        </w:tc>
        <w:tc>
          <w:tcPr>
            <w:tcW w:w="1468" w:type="dxa"/>
            <w:tcBorders>
              <w:top w:val="nil"/>
              <w:left w:val="nil"/>
              <w:bottom w:val="nil"/>
              <w:right w:val="nil"/>
            </w:tcBorders>
            <w:shd w:val="clear" w:color="auto" w:fill="FFFFFF"/>
          </w:tcPr>
          <w:p w14:paraId="2C7A786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74086AAA" w14:textId="77777777" w:rsidTr="00C44D6E">
        <w:trPr>
          <w:cantSplit/>
        </w:trPr>
        <w:tc>
          <w:tcPr>
            <w:tcW w:w="841" w:type="dxa"/>
            <w:vMerge/>
            <w:tcBorders>
              <w:left w:val="nil"/>
              <w:right w:val="nil"/>
            </w:tcBorders>
            <w:shd w:val="clear" w:color="auto" w:fill="FFFFFF"/>
          </w:tcPr>
          <w:p w14:paraId="6C53D9C5"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67D63933"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205D434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34E9D36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095FF88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41CD176C"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01F0F333"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13AE8D2C"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569BC6AF" w14:textId="77777777" w:rsidTr="00C44D6E">
        <w:trPr>
          <w:cantSplit/>
        </w:trPr>
        <w:tc>
          <w:tcPr>
            <w:tcW w:w="8502" w:type="dxa"/>
            <w:gridSpan w:val="6"/>
            <w:tcBorders>
              <w:top w:val="nil"/>
              <w:left w:val="nil"/>
              <w:bottom w:val="nil"/>
              <w:right w:val="nil"/>
            </w:tcBorders>
            <w:shd w:val="clear" w:color="auto" w:fill="FFFFFF"/>
            <w:vAlign w:val="center"/>
          </w:tcPr>
          <w:p w14:paraId="2A6A99D2"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6. My Trust has effective staff networks or affinity groups (e.g., for BAME, disabled staff).</w:t>
            </w:r>
          </w:p>
        </w:tc>
      </w:tr>
      <w:tr w:rsidR="00CF0768" w:rsidRPr="00ED2AE5" w14:paraId="009B33CE" w14:textId="77777777" w:rsidTr="00C44D6E">
        <w:trPr>
          <w:cantSplit/>
        </w:trPr>
        <w:tc>
          <w:tcPr>
            <w:tcW w:w="3043" w:type="dxa"/>
            <w:gridSpan w:val="2"/>
            <w:tcBorders>
              <w:left w:val="nil"/>
              <w:right w:val="nil"/>
            </w:tcBorders>
            <w:shd w:val="clear" w:color="auto" w:fill="FFFFFF"/>
            <w:vAlign w:val="bottom"/>
          </w:tcPr>
          <w:p w14:paraId="312206A9"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01664822"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4BE9DF72"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662E00DD"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0DE40B8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430205A5" w14:textId="77777777" w:rsidTr="00C44D6E">
        <w:trPr>
          <w:cantSplit/>
        </w:trPr>
        <w:tc>
          <w:tcPr>
            <w:tcW w:w="841" w:type="dxa"/>
            <w:vMerge w:val="restart"/>
            <w:tcBorders>
              <w:left w:val="nil"/>
              <w:right w:val="nil"/>
            </w:tcBorders>
            <w:shd w:val="clear" w:color="auto" w:fill="FFFFFF"/>
          </w:tcPr>
          <w:p w14:paraId="5D1F1FAE"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0E0F38B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7900B0D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22</w:t>
            </w:r>
          </w:p>
        </w:tc>
        <w:tc>
          <w:tcPr>
            <w:tcW w:w="1116" w:type="dxa"/>
            <w:tcBorders>
              <w:left w:val="nil"/>
              <w:bottom w:val="nil"/>
              <w:right w:val="nil"/>
            </w:tcBorders>
            <w:shd w:val="clear" w:color="auto" w:fill="FFFFFF"/>
          </w:tcPr>
          <w:p w14:paraId="2A8DA79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14.3</w:t>
            </w:r>
          </w:p>
        </w:tc>
        <w:tc>
          <w:tcPr>
            <w:tcW w:w="1468" w:type="dxa"/>
            <w:tcBorders>
              <w:left w:val="nil"/>
              <w:bottom w:val="nil"/>
              <w:right w:val="nil"/>
            </w:tcBorders>
            <w:shd w:val="clear" w:color="auto" w:fill="FFFFFF"/>
          </w:tcPr>
          <w:p w14:paraId="1763F4A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14.3</w:t>
            </w:r>
          </w:p>
        </w:tc>
        <w:tc>
          <w:tcPr>
            <w:tcW w:w="1468" w:type="dxa"/>
            <w:tcBorders>
              <w:left w:val="nil"/>
              <w:bottom w:val="nil"/>
              <w:right w:val="nil"/>
            </w:tcBorders>
            <w:shd w:val="clear" w:color="auto" w:fill="FFFFFF"/>
          </w:tcPr>
          <w:p w14:paraId="70AD4A2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14.3</w:t>
            </w:r>
          </w:p>
        </w:tc>
      </w:tr>
      <w:tr w:rsidR="00CF0768" w:rsidRPr="00ED2AE5" w14:paraId="5A9045D4" w14:textId="77777777" w:rsidTr="00C44D6E">
        <w:trPr>
          <w:cantSplit/>
        </w:trPr>
        <w:tc>
          <w:tcPr>
            <w:tcW w:w="841" w:type="dxa"/>
            <w:vMerge/>
            <w:tcBorders>
              <w:left w:val="nil"/>
              <w:right w:val="nil"/>
            </w:tcBorders>
            <w:shd w:val="clear" w:color="auto" w:fill="FFFFFF"/>
          </w:tcPr>
          <w:p w14:paraId="3F9F5831"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5F07340E"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3264D84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21</w:t>
            </w:r>
          </w:p>
        </w:tc>
        <w:tc>
          <w:tcPr>
            <w:tcW w:w="1116" w:type="dxa"/>
            <w:tcBorders>
              <w:top w:val="nil"/>
              <w:left w:val="nil"/>
              <w:bottom w:val="nil"/>
              <w:right w:val="nil"/>
            </w:tcBorders>
            <w:shd w:val="clear" w:color="auto" w:fill="FFFFFF"/>
          </w:tcPr>
          <w:p w14:paraId="61C9D17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13.6</w:t>
            </w:r>
          </w:p>
        </w:tc>
        <w:tc>
          <w:tcPr>
            <w:tcW w:w="1468" w:type="dxa"/>
            <w:tcBorders>
              <w:top w:val="nil"/>
              <w:left w:val="nil"/>
              <w:bottom w:val="nil"/>
              <w:right w:val="nil"/>
            </w:tcBorders>
            <w:shd w:val="clear" w:color="auto" w:fill="FFFFFF"/>
          </w:tcPr>
          <w:p w14:paraId="1674B7F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13.6</w:t>
            </w:r>
          </w:p>
        </w:tc>
        <w:tc>
          <w:tcPr>
            <w:tcW w:w="1468" w:type="dxa"/>
            <w:tcBorders>
              <w:top w:val="nil"/>
              <w:left w:val="nil"/>
              <w:bottom w:val="nil"/>
              <w:right w:val="nil"/>
            </w:tcBorders>
            <w:shd w:val="clear" w:color="auto" w:fill="FFFFFF"/>
          </w:tcPr>
          <w:p w14:paraId="16C339E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27.9</w:t>
            </w:r>
          </w:p>
        </w:tc>
      </w:tr>
      <w:tr w:rsidR="00CF0768" w:rsidRPr="00ED2AE5" w14:paraId="6391B9AF" w14:textId="77777777" w:rsidTr="00C44D6E">
        <w:trPr>
          <w:cantSplit/>
        </w:trPr>
        <w:tc>
          <w:tcPr>
            <w:tcW w:w="841" w:type="dxa"/>
            <w:vMerge/>
            <w:tcBorders>
              <w:left w:val="nil"/>
              <w:right w:val="nil"/>
            </w:tcBorders>
            <w:shd w:val="clear" w:color="auto" w:fill="FFFFFF"/>
          </w:tcPr>
          <w:p w14:paraId="6BD3AEBA"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32E3182C"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4D231A8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25</w:t>
            </w:r>
          </w:p>
        </w:tc>
        <w:tc>
          <w:tcPr>
            <w:tcW w:w="1116" w:type="dxa"/>
            <w:tcBorders>
              <w:top w:val="nil"/>
              <w:left w:val="nil"/>
              <w:bottom w:val="nil"/>
              <w:right w:val="nil"/>
            </w:tcBorders>
            <w:shd w:val="clear" w:color="auto" w:fill="FFFFFF"/>
          </w:tcPr>
          <w:p w14:paraId="56BDEFB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16.2</w:t>
            </w:r>
          </w:p>
        </w:tc>
        <w:tc>
          <w:tcPr>
            <w:tcW w:w="1468" w:type="dxa"/>
            <w:tcBorders>
              <w:top w:val="nil"/>
              <w:left w:val="nil"/>
              <w:bottom w:val="nil"/>
              <w:right w:val="nil"/>
            </w:tcBorders>
            <w:shd w:val="clear" w:color="auto" w:fill="FFFFFF"/>
          </w:tcPr>
          <w:p w14:paraId="4FA1C8D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16.2</w:t>
            </w:r>
          </w:p>
        </w:tc>
        <w:tc>
          <w:tcPr>
            <w:tcW w:w="1468" w:type="dxa"/>
            <w:tcBorders>
              <w:top w:val="nil"/>
              <w:left w:val="nil"/>
              <w:bottom w:val="nil"/>
              <w:right w:val="nil"/>
            </w:tcBorders>
            <w:shd w:val="clear" w:color="auto" w:fill="FFFFFF"/>
          </w:tcPr>
          <w:p w14:paraId="0CA2FB5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44.2</w:t>
            </w:r>
          </w:p>
        </w:tc>
      </w:tr>
      <w:tr w:rsidR="00CF0768" w:rsidRPr="00ED2AE5" w14:paraId="2379F504" w14:textId="77777777" w:rsidTr="00C44D6E">
        <w:trPr>
          <w:cantSplit/>
        </w:trPr>
        <w:tc>
          <w:tcPr>
            <w:tcW w:w="841" w:type="dxa"/>
            <w:vMerge/>
            <w:tcBorders>
              <w:left w:val="nil"/>
              <w:right w:val="nil"/>
            </w:tcBorders>
            <w:shd w:val="clear" w:color="auto" w:fill="FFFFFF"/>
          </w:tcPr>
          <w:p w14:paraId="688D506E"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10536E58"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6BBCEC6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44</w:t>
            </w:r>
          </w:p>
        </w:tc>
        <w:tc>
          <w:tcPr>
            <w:tcW w:w="1116" w:type="dxa"/>
            <w:tcBorders>
              <w:top w:val="nil"/>
              <w:left w:val="nil"/>
              <w:bottom w:val="nil"/>
              <w:right w:val="nil"/>
            </w:tcBorders>
            <w:shd w:val="clear" w:color="auto" w:fill="FFFFFF"/>
          </w:tcPr>
          <w:p w14:paraId="49C5FB5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28.6</w:t>
            </w:r>
          </w:p>
        </w:tc>
        <w:tc>
          <w:tcPr>
            <w:tcW w:w="1468" w:type="dxa"/>
            <w:tcBorders>
              <w:top w:val="nil"/>
              <w:left w:val="nil"/>
              <w:bottom w:val="nil"/>
              <w:right w:val="nil"/>
            </w:tcBorders>
            <w:shd w:val="clear" w:color="auto" w:fill="FFFFFF"/>
          </w:tcPr>
          <w:p w14:paraId="4B4917C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28.6</w:t>
            </w:r>
          </w:p>
        </w:tc>
        <w:tc>
          <w:tcPr>
            <w:tcW w:w="1468" w:type="dxa"/>
            <w:tcBorders>
              <w:top w:val="nil"/>
              <w:left w:val="nil"/>
              <w:bottom w:val="nil"/>
              <w:right w:val="nil"/>
            </w:tcBorders>
            <w:shd w:val="clear" w:color="auto" w:fill="FFFFFF"/>
          </w:tcPr>
          <w:p w14:paraId="4E22ADF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72.7</w:t>
            </w:r>
          </w:p>
        </w:tc>
      </w:tr>
      <w:tr w:rsidR="00CF0768" w:rsidRPr="00ED2AE5" w14:paraId="506B00A5" w14:textId="77777777" w:rsidTr="00C44D6E">
        <w:trPr>
          <w:cantSplit/>
        </w:trPr>
        <w:tc>
          <w:tcPr>
            <w:tcW w:w="841" w:type="dxa"/>
            <w:vMerge/>
            <w:tcBorders>
              <w:left w:val="nil"/>
              <w:right w:val="nil"/>
            </w:tcBorders>
            <w:shd w:val="clear" w:color="auto" w:fill="FFFFFF"/>
          </w:tcPr>
          <w:p w14:paraId="18B96B14"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1C4DA2D4"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696C5A3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42</w:t>
            </w:r>
          </w:p>
        </w:tc>
        <w:tc>
          <w:tcPr>
            <w:tcW w:w="1116" w:type="dxa"/>
            <w:tcBorders>
              <w:top w:val="nil"/>
              <w:left w:val="nil"/>
              <w:bottom w:val="nil"/>
              <w:right w:val="nil"/>
            </w:tcBorders>
            <w:shd w:val="clear" w:color="auto" w:fill="FFFFFF"/>
          </w:tcPr>
          <w:p w14:paraId="7CCD901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27.3</w:t>
            </w:r>
          </w:p>
        </w:tc>
        <w:tc>
          <w:tcPr>
            <w:tcW w:w="1468" w:type="dxa"/>
            <w:tcBorders>
              <w:top w:val="nil"/>
              <w:left w:val="nil"/>
              <w:bottom w:val="nil"/>
              <w:right w:val="nil"/>
            </w:tcBorders>
            <w:shd w:val="clear" w:color="auto" w:fill="FFFFFF"/>
          </w:tcPr>
          <w:p w14:paraId="751EF28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27.3</w:t>
            </w:r>
          </w:p>
        </w:tc>
        <w:tc>
          <w:tcPr>
            <w:tcW w:w="1468" w:type="dxa"/>
            <w:tcBorders>
              <w:top w:val="nil"/>
              <w:left w:val="nil"/>
              <w:bottom w:val="nil"/>
              <w:right w:val="nil"/>
            </w:tcBorders>
            <w:shd w:val="clear" w:color="auto" w:fill="FFFFFF"/>
          </w:tcPr>
          <w:p w14:paraId="3F4B8CF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38EB5E2A" w14:textId="77777777" w:rsidTr="00C44D6E">
        <w:trPr>
          <w:cantSplit/>
        </w:trPr>
        <w:tc>
          <w:tcPr>
            <w:tcW w:w="841" w:type="dxa"/>
            <w:vMerge/>
            <w:tcBorders>
              <w:left w:val="nil"/>
              <w:right w:val="nil"/>
            </w:tcBorders>
            <w:shd w:val="clear" w:color="auto" w:fill="FFFFFF"/>
          </w:tcPr>
          <w:p w14:paraId="3404A6E3"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3183305A"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10E2B70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6494423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26BCF41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39EC4A4E"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38884434"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5EAD5BA6"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4DB0686F" w14:textId="77777777" w:rsidTr="00C44D6E">
        <w:trPr>
          <w:cantSplit/>
        </w:trPr>
        <w:tc>
          <w:tcPr>
            <w:tcW w:w="8502" w:type="dxa"/>
            <w:gridSpan w:val="6"/>
            <w:tcBorders>
              <w:top w:val="nil"/>
              <w:left w:val="nil"/>
              <w:bottom w:val="nil"/>
              <w:right w:val="nil"/>
            </w:tcBorders>
            <w:shd w:val="clear" w:color="auto" w:fill="FFFFFF"/>
            <w:vAlign w:val="center"/>
          </w:tcPr>
          <w:p w14:paraId="3BA1EA90"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 xml:space="preserve">7. Senior leadership visibly champions and communicates the importance of </w:t>
            </w:r>
            <w:proofErr w:type="spellStart"/>
            <w:r w:rsidRPr="00ED2AE5">
              <w:rPr>
                <w:rFonts w:ascii="Arial" w:hAnsi="Arial" w:cs="Arial"/>
                <w:i/>
                <w:iCs/>
                <w:color w:val="000000"/>
                <w:kern w:val="0"/>
                <w:szCs w:val="24"/>
                <w:lang w:val="en-US"/>
              </w:rPr>
              <w:t>D&amp;amp;I</w:t>
            </w:r>
            <w:proofErr w:type="spellEnd"/>
            <w:r w:rsidRPr="00ED2AE5">
              <w:rPr>
                <w:rFonts w:ascii="Arial" w:hAnsi="Arial" w:cs="Arial"/>
                <w:i/>
                <w:iCs/>
                <w:color w:val="000000"/>
                <w:kern w:val="0"/>
                <w:szCs w:val="24"/>
                <w:lang w:val="en-US"/>
              </w:rPr>
              <w:t>.</w:t>
            </w:r>
          </w:p>
        </w:tc>
      </w:tr>
      <w:tr w:rsidR="00CF0768" w:rsidRPr="00ED2AE5" w14:paraId="70175C24" w14:textId="77777777" w:rsidTr="00C44D6E">
        <w:trPr>
          <w:cantSplit/>
        </w:trPr>
        <w:tc>
          <w:tcPr>
            <w:tcW w:w="3043" w:type="dxa"/>
            <w:gridSpan w:val="2"/>
            <w:tcBorders>
              <w:left w:val="nil"/>
              <w:right w:val="nil"/>
            </w:tcBorders>
            <w:shd w:val="clear" w:color="auto" w:fill="FFFFFF"/>
            <w:vAlign w:val="bottom"/>
          </w:tcPr>
          <w:p w14:paraId="03A3472A"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29EDCBC2"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22AE9F7B"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2028E88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5C6D81BF"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18B2C613" w14:textId="77777777" w:rsidTr="00C44D6E">
        <w:trPr>
          <w:cantSplit/>
        </w:trPr>
        <w:tc>
          <w:tcPr>
            <w:tcW w:w="841" w:type="dxa"/>
            <w:vMerge w:val="restart"/>
            <w:tcBorders>
              <w:left w:val="nil"/>
              <w:right w:val="nil"/>
            </w:tcBorders>
            <w:shd w:val="clear" w:color="auto" w:fill="FFFFFF"/>
          </w:tcPr>
          <w:p w14:paraId="4B36D686"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11D0BFDA"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105CDAA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30</w:t>
            </w:r>
          </w:p>
        </w:tc>
        <w:tc>
          <w:tcPr>
            <w:tcW w:w="1116" w:type="dxa"/>
            <w:tcBorders>
              <w:left w:val="nil"/>
              <w:bottom w:val="nil"/>
              <w:right w:val="nil"/>
            </w:tcBorders>
            <w:shd w:val="clear" w:color="auto" w:fill="FFFFFF"/>
          </w:tcPr>
          <w:p w14:paraId="553BEA1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1468" w:type="dxa"/>
            <w:tcBorders>
              <w:left w:val="nil"/>
              <w:bottom w:val="nil"/>
              <w:right w:val="nil"/>
            </w:tcBorders>
            <w:shd w:val="clear" w:color="auto" w:fill="FFFFFF"/>
          </w:tcPr>
          <w:p w14:paraId="7690568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1468" w:type="dxa"/>
            <w:tcBorders>
              <w:left w:val="nil"/>
              <w:bottom w:val="nil"/>
              <w:right w:val="nil"/>
            </w:tcBorders>
            <w:shd w:val="clear" w:color="auto" w:fill="FFFFFF"/>
          </w:tcPr>
          <w:p w14:paraId="1A53B77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r>
      <w:tr w:rsidR="00CF0768" w:rsidRPr="00ED2AE5" w14:paraId="3C0588C9" w14:textId="77777777" w:rsidTr="00C44D6E">
        <w:trPr>
          <w:cantSplit/>
        </w:trPr>
        <w:tc>
          <w:tcPr>
            <w:tcW w:w="841" w:type="dxa"/>
            <w:vMerge/>
            <w:tcBorders>
              <w:left w:val="nil"/>
              <w:right w:val="nil"/>
            </w:tcBorders>
            <w:shd w:val="clear" w:color="auto" w:fill="FFFFFF"/>
          </w:tcPr>
          <w:p w14:paraId="1D6578F5"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58DE0F5E"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5A00641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17</w:t>
            </w:r>
          </w:p>
        </w:tc>
        <w:tc>
          <w:tcPr>
            <w:tcW w:w="1116" w:type="dxa"/>
            <w:tcBorders>
              <w:top w:val="nil"/>
              <w:left w:val="nil"/>
              <w:bottom w:val="nil"/>
              <w:right w:val="nil"/>
            </w:tcBorders>
            <w:shd w:val="clear" w:color="auto" w:fill="FFFFFF"/>
          </w:tcPr>
          <w:p w14:paraId="5C0D73A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11.0</w:t>
            </w:r>
          </w:p>
        </w:tc>
        <w:tc>
          <w:tcPr>
            <w:tcW w:w="1468" w:type="dxa"/>
            <w:tcBorders>
              <w:top w:val="nil"/>
              <w:left w:val="nil"/>
              <w:bottom w:val="nil"/>
              <w:right w:val="nil"/>
            </w:tcBorders>
            <w:shd w:val="clear" w:color="auto" w:fill="FFFFFF"/>
          </w:tcPr>
          <w:p w14:paraId="0B1A42E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11.0</w:t>
            </w:r>
          </w:p>
        </w:tc>
        <w:tc>
          <w:tcPr>
            <w:tcW w:w="1468" w:type="dxa"/>
            <w:tcBorders>
              <w:top w:val="nil"/>
              <w:left w:val="nil"/>
              <w:bottom w:val="nil"/>
              <w:right w:val="nil"/>
            </w:tcBorders>
            <w:shd w:val="clear" w:color="auto" w:fill="FFFFFF"/>
          </w:tcPr>
          <w:p w14:paraId="0984859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30.5</w:t>
            </w:r>
          </w:p>
        </w:tc>
      </w:tr>
      <w:tr w:rsidR="00CF0768" w:rsidRPr="00ED2AE5" w14:paraId="15979CAE" w14:textId="77777777" w:rsidTr="00C44D6E">
        <w:trPr>
          <w:cantSplit/>
        </w:trPr>
        <w:tc>
          <w:tcPr>
            <w:tcW w:w="841" w:type="dxa"/>
            <w:vMerge/>
            <w:tcBorders>
              <w:left w:val="nil"/>
              <w:right w:val="nil"/>
            </w:tcBorders>
            <w:shd w:val="clear" w:color="auto" w:fill="FFFFFF"/>
          </w:tcPr>
          <w:p w14:paraId="3B5D50D3"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05F28546"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43EF810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w:t>
            </w:r>
          </w:p>
        </w:tc>
        <w:tc>
          <w:tcPr>
            <w:tcW w:w="1116" w:type="dxa"/>
            <w:tcBorders>
              <w:top w:val="nil"/>
              <w:left w:val="nil"/>
              <w:bottom w:val="nil"/>
              <w:right w:val="nil"/>
            </w:tcBorders>
            <w:shd w:val="clear" w:color="auto" w:fill="FFFFFF"/>
          </w:tcPr>
          <w:p w14:paraId="5634F48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12.3</w:t>
            </w:r>
          </w:p>
        </w:tc>
        <w:tc>
          <w:tcPr>
            <w:tcW w:w="1468" w:type="dxa"/>
            <w:tcBorders>
              <w:top w:val="nil"/>
              <w:left w:val="nil"/>
              <w:bottom w:val="nil"/>
              <w:right w:val="nil"/>
            </w:tcBorders>
            <w:shd w:val="clear" w:color="auto" w:fill="FFFFFF"/>
          </w:tcPr>
          <w:p w14:paraId="4894DD5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12.3</w:t>
            </w:r>
          </w:p>
        </w:tc>
        <w:tc>
          <w:tcPr>
            <w:tcW w:w="1468" w:type="dxa"/>
            <w:tcBorders>
              <w:top w:val="nil"/>
              <w:left w:val="nil"/>
              <w:bottom w:val="nil"/>
              <w:right w:val="nil"/>
            </w:tcBorders>
            <w:shd w:val="clear" w:color="auto" w:fill="FFFFFF"/>
          </w:tcPr>
          <w:p w14:paraId="11FC42B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42.9</w:t>
            </w:r>
          </w:p>
        </w:tc>
      </w:tr>
      <w:tr w:rsidR="00CF0768" w:rsidRPr="00ED2AE5" w14:paraId="43FBC473" w14:textId="77777777" w:rsidTr="00C44D6E">
        <w:trPr>
          <w:cantSplit/>
        </w:trPr>
        <w:tc>
          <w:tcPr>
            <w:tcW w:w="841" w:type="dxa"/>
            <w:vMerge/>
            <w:tcBorders>
              <w:left w:val="nil"/>
              <w:right w:val="nil"/>
            </w:tcBorders>
            <w:shd w:val="clear" w:color="auto" w:fill="FFFFFF"/>
          </w:tcPr>
          <w:p w14:paraId="746275E8"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0052360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6CF0526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39</w:t>
            </w:r>
          </w:p>
        </w:tc>
        <w:tc>
          <w:tcPr>
            <w:tcW w:w="1116" w:type="dxa"/>
            <w:tcBorders>
              <w:top w:val="nil"/>
              <w:left w:val="nil"/>
              <w:bottom w:val="nil"/>
              <w:right w:val="nil"/>
            </w:tcBorders>
            <w:shd w:val="clear" w:color="auto" w:fill="FFFFFF"/>
          </w:tcPr>
          <w:p w14:paraId="5A9751A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25.3</w:t>
            </w:r>
          </w:p>
        </w:tc>
        <w:tc>
          <w:tcPr>
            <w:tcW w:w="1468" w:type="dxa"/>
            <w:tcBorders>
              <w:top w:val="nil"/>
              <w:left w:val="nil"/>
              <w:bottom w:val="nil"/>
              <w:right w:val="nil"/>
            </w:tcBorders>
            <w:shd w:val="clear" w:color="auto" w:fill="FFFFFF"/>
          </w:tcPr>
          <w:p w14:paraId="7A23658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25.3</w:t>
            </w:r>
          </w:p>
        </w:tc>
        <w:tc>
          <w:tcPr>
            <w:tcW w:w="1468" w:type="dxa"/>
            <w:tcBorders>
              <w:top w:val="nil"/>
              <w:left w:val="nil"/>
              <w:bottom w:val="nil"/>
              <w:right w:val="nil"/>
            </w:tcBorders>
            <w:shd w:val="clear" w:color="auto" w:fill="FFFFFF"/>
          </w:tcPr>
          <w:p w14:paraId="3AFAD64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68.2</w:t>
            </w:r>
          </w:p>
        </w:tc>
      </w:tr>
      <w:tr w:rsidR="00CF0768" w:rsidRPr="00ED2AE5" w14:paraId="1DC27D49" w14:textId="77777777" w:rsidTr="00C44D6E">
        <w:trPr>
          <w:cantSplit/>
        </w:trPr>
        <w:tc>
          <w:tcPr>
            <w:tcW w:w="841" w:type="dxa"/>
            <w:vMerge/>
            <w:tcBorders>
              <w:left w:val="nil"/>
              <w:right w:val="nil"/>
            </w:tcBorders>
            <w:shd w:val="clear" w:color="auto" w:fill="FFFFFF"/>
          </w:tcPr>
          <w:p w14:paraId="2CAC5B60"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6B3A456B"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3586080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49</w:t>
            </w:r>
          </w:p>
        </w:tc>
        <w:tc>
          <w:tcPr>
            <w:tcW w:w="1116" w:type="dxa"/>
            <w:tcBorders>
              <w:top w:val="nil"/>
              <w:left w:val="nil"/>
              <w:bottom w:val="nil"/>
              <w:right w:val="nil"/>
            </w:tcBorders>
            <w:shd w:val="clear" w:color="auto" w:fill="FFFFFF"/>
          </w:tcPr>
          <w:p w14:paraId="71EE5BB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31.8</w:t>
            </w:r>
          </w:p>
        </w:tc>
        <w:tc>
          <w:tcPr>
            <w:tcW w:w="1468" w:type="dxa"/>
            <w:tcBorders>
              <w:top w:val="nil"/>
              <w:left w:val="nil"/>
              <w:bottom w:val="nil"/>
              <w:right w:val="nil"/>
            </w:tcBorders>
            <w:shd w:val="clear" w:color="auto" w:fill="FFFFFF"/>
          </w:tcPr>
          <w:p w14:paraId="60425D2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31.8</w:t>
            </w:r>
          </w:p>
        </w:tc>
        <w:tc>
          <w:tcPr>
            <w:tcW w:w="1468" w:type="dxa"/>
            <w:tcBorders>
              <w:top w:val="nil"/>
              <w:left w:val="nil"/>
              <w:bottom w:val="nil"/>
              <w:right w:val="nil"/>
            </w:tcBorders>
            <w:shd w:val="clear" w:color="auto" w:fill="FFFFFF"/>
          </w:tcPr>
          <w:p w14:paraId="6CFC151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14CB03A3" w14:textId="77777777" w:rsidTr="00C44D6E">
        <w:trPr>
          <w:cantSplit/>
        </w:trPr>
        <w:tc>
          <w:tcPr>
            <w:tcW w:w="841" w:type="dxa"/>
            <w:vMerge/>
            <w:tcBorders>
              <w:left w:val="nil"/>
              <w:right w:val="nil"/>
            </w:tcBorders>
            <w:shd w:val="clear" w:color="auto" w:fill="FFFFFF"/>
          </w:tcPr>
          <w:p w14:paraId="494D1024"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2C711EE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0ABA638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2B87DD1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1639D96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44553B26"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4B574E18"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6F5BCC4D"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7F6846AE" w14:textId="77777777" w:rsidTr="00C44D6E">
        <w:trPr>
          <w:cantSplit/>
        </w:trPr>
        <w:tc>
          <w:tcPr>
            <w:tcW w:w="8502" w:type="dxa"/>
            <w:gridSpan w:val="6"/>
            <w:tcBorders>
              <w:top w:val="nil"/>
              <w:left w:val="nil"/>
              <w:bottom w:val="nil"/>
              <w:right w:val="nil"/>
            </w:tcBorders>
            <w:shd w:val="clear" w:color="auto" w:fill="FFFFFF"/>
            <w:vAlign w:val="center"/>
          </w:tcPr>
          <w:p w14:paraId="2FB9A128"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8. Staff from underrepresented groups have equal access to career development opportunities.</w:t>
            </w:r>
          </w:p>
        </w:tc>
      </w:tr>
      <w:tr w:rsidR="00CF0768" w:rsidRPr="00ED2AE5" w14:paraId="34D87040" w14:textId="77777777" w:rsidTr="00C44D6E">
        <w:trPr>
          <w:cantSplit/>
        </w:trPr>
        <w:tc>
          <w:tcPr>
            <w:tcW w:w="3043" w:type="dxa"/>
            <w:gridSpan w:val="2"/>
            <w:tcBorders>
              <w:left w:val="nil"/>
              <w:right w:val="nil"/>
            </w:tcBorders>
            <w:shd w:val="clear" w:color="auto" w:fill="FFFFFF"/>
            <w:vAlign w:val="bottom"/>
          </w:tcPr>
          <w:p w14:paraId="5E6C8888"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04BEA4E6"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20C8B6B7"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4F1655EF"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26EB884B"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086B7CCF" w14:textId="77777777" w:rsidTr="00C44D6E">
        <w:trPr>
          <w:cantSplit/>
        </w:trPr>
        <w:tc>
          <w:tcPr>
            <w:tcW w:w="841" w:type="dxa"/>
            <w:vMerge w:val="restart"/>
            <w:tcBorders>
              <w:left w:val="nil"/>
              <w:right w:val="nil"/>
            </w:tcBorders>
            <w:shd w:val="clear" w:color="auto" w:fill="FFFFFF"/>
          </w:tcPr>
          <w:p w14:paraId="6E571A45"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1E97ACCC"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3BCCDEF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23</w:t>
            </w:r>
          </w:p>
        </w:tc>
        <w:tc>
          <w:tcPr>
            <w:tcW w:w="1116" w:type="dxa"/>
            <w:tcBorders>
              <w:left w:val="nil"/>
              <w:bottom w:val="nil"/>
              <w:right w:val="nil"/>
            </w:tcBorders>
            <w:shd w:val="clear" w:color="auto" w:fill="FFFFFF"/>
          </w:tcPr>
          <w:p w14:paraId="3D92367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14.9</w:t>
            </w:r>
          </w:p>
        </w:tc>
        <w:tc>
          <w:tcPr>
            <w:tcW w:w="1468" w:type="dxa"/>
            <w:tcBorders>
              <w:left w:val="nil"/>
              <w:bottom w:val="nil"/>
              <w:right w:val="nil"/>
            </w:tcBorders>
            <w:shd w:val="clear" w:color="auto" w:fill="FFFFFF"/>
          </w:tcPr>
          <w:p w14:paraId="2D406EC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14.9</w:t>
            </w:r>
          </w:p>
        </w:tc>
        <w:tc>
          <w:tcPr>
            <w:tcW w:w="1468" w:type="dxa"/>
            <w:tcBorders>
              <w:left w:val="nil"/>
              <w:bottom w:val="nil"/>
              <w:right w:val="nil"/>
            </w:tcBorders>
            <w:shd w:val="clear" w:color="auto" w:fill="FFFFFF"/>
          </w:tcPr>
          <w:p w14:paraId="1BE7030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14.9</w:t>
            </w:r>
          </w:p>
        </w:tc>
      </w:tr>
      <w:tr w:rsidR="00CF0768" w:rsidRPr="00ED2AE5" w14:paraId="1BEA1467" w14:textId="77777777" w:rsidTr="00C44D6E">
        <w:trPr>
          <w:cantSplit/>
        </w:trPr>
        <w:tc>
          <w:tcPr>
            <w:tcW w:w="841" w:type="dxa"/>
            <w:vMerge/>
            <w:tcBorders>
              <w:left w:val="nil"/>
              <w:right w:val="nil"/>
            </w:tcBorders>
            <w:shd w:val="clear" w:color="auto" w:fill="FFFFFF"/>
          </w:tcPr>
          <w:p w14:paraId="1E9FC833"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72D00C70"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327A229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24</w:t>
            </w:r>
          </w:p>
        </w:tc>
        <w:tc>
          <w:tcPr>
            <w:tcW w:w="1116" w:type="dxa"/>
            <w:tcBorders>
              <w:top w:val="nil"/>
              <w:left w:val="nil"/>
              <w:bottom w:val="nil"/>
              <w:right w:val="nil"/>
            </w:tcBorders>
            <w:shd w:val="clear" w:color="auto" w:fill="FFFFFF"/>
          </w:tcPr>
          <w:p w14:paraId="128CF48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15.6</w:t>
            </w:r>
          </w:p>
        </w:tc>
        <w:tc>
          <w:tcPr>
            <w:tcW w:w="1468" w:type="dxa"/>
            <w:tcBorders>
              <w:top w:val="nil"/>
              <w:left w:val="nil"/>
              <w:bottom w:val="nil"/>
              <w:right w:val="nil"/>
            </w:tcBorders>
            <w:shd w:val="clear" w:color="auto" w:fill="FFFFFF"/>
          </w:tcPr>
          <w:p w14:paraId="448D054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15.6</w:t>
            </w:r>
          </w:p>
        </w:tc>
        <w:tc>
          <w:tcPr>
            <w:tcW w:w="1468" w:type="dxa"/>
            <w:tcBorders>
              <w:top w:val="nil"/>
              <w:left w:val="nil"/>
              <w:bottom w:val="nil"/>
              <w:right w:val="nil"/>
            </w:tcBorders>
            <w:shd w:val="clear" w:color="auto" w:fill="FFFFFF"/>
          </w:tcPr>
          <w:p w14:paraId="71105DC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30.5</w:t>
            </w:r>
          </w:p>
        </w:tc>
      </w:tr>
      <w:tr w:rsidR="00CF0768" w:rsidRPr="00ED2AE5" w14:paraId="79443B77" w14:textId="77777777" w:rsidTr="00C44D6E">
        <w:trPr>
          <w:cantSplit/>
        </w:trPr>
        <w:tc>
          <w:tcPr>
            <w:tcW w:w="841" w:type="dxa"/>
            <w:vMerge/>
            <w:tcBorders>
              <w:left w:val="nil"/>
              <w:right w:val="nil"/>
            </w:tcBorders>
            <w:shd w:val="clear" w:color="auto" w:fill="FFFFFF"/>
          </w:tcPr>
          <w:p w14:paraId="7E1D71FB"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4AAA9DB9"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0E719F7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w:t>
            </w:r>
          </w:p>
        </w:tc>
        <w:tc>
          <w:tcPr>
            <w:tcW w:w="1116" w:type="dxa"/>
            <w:tcBorders>
              <w:top w:val="nil"/>
              <w:left w:val="nil"/>
              <w:bottom w:val="nil"/>
              <w:right w:val="nil"/>
            </w:tcBorders>
            <w:shd w:val="clear" w:color="auto" w:fill="FFFFFF"/>
          </w:tcPr>
          <w:p w14:paraId="3800841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11.7</w:t>
            </w:r>
          </w:p>
        </w:tc>
        <w:tc>
          <w:tcPr>
            <w:tcW w:w="1468" w:type="dxa"/>
            <w:tcBorders>
              <w:top w:val="nil"/>
              <w:left w:val="nil"/>
              <w:bottom w:val="nil"/>
              <w:right w:val="nil"/>
            </w:tcBorders>
            <w:shd w:val="clear" w:color="auto" w:fill="FFFFFF"/>
          </w:tcPr>
          <w:p w14:paraId="06D7F54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11.7</w:t>
            </w:r>
          </w:p>
        </w:tc>
        <w:tc>
          <w:tcPr>
            <w:tcW w:w="1468" w:type="dxa"/>
            <w:tcBorders>
              <w:top w:val="nil"/>
              <w:left w:val="nil"/>
              <w:bottom w:val="nil"/>
              <w:right w:val="nil"/>
            </w:tcBorders>
            <w:shd w:val="clear" w:color="auto" w:fill="FFFFFF"/>
          </w:tcPr>
          <w:p w14:paraId="25E9112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42.2</w:t>
            </w:r>
          </w:p>
        </w:tc>
      </w:tr>
      <w:tr w:rsidR="00CF0768" w:rsidRPr="00ED2AE5" w14:paraId="62E2A1AD" w14:textId="77777777" w:rsidTr="00C44D6E">
        <w:trPr>
          <w:cantSplit/>
        </w:trPr>
        <w:tc>
          <w:tcPr>
            <w:tcW w:w="841" w:type="dxa"/>
            <w:vMerge/>
            <w:tcBorders>
              <w:left w:val="nil"/>
              <w:right w:val="nil"/>
            </w:tcBorders>
            <w:shd w:val="clear" w:color="auto" w:fill="FFFFFF"/>
          </w:tcPr>
          <w:p w14:paraId="49AA41CF"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23AB8C86"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073AC0D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46</w:t>
            </w:r>
          </w:p>
        </w:tc>
        <w:tc>
          <w:tcPr>
            <w:tcW w:w="1116" w:type="dxa"/>
            <w:tcBorders>
              <w:top w:val="nil"/>
              <w:left w:val="nil"/>
              <w:bottom w:val="nil"/>
              <w:right w:val="nil"/>
            </w:tcBorders>
            <w:shd w:val="clear" w:color="auto" w:fill="FFFFFF"/>
          </w:tcPr>
          <w:p w14:paraId="740552A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29.9</w:t>
            </w:r>
          </w:p>
        </w:tc>
        <w:tc>
          <w:tcPr>
            <w:tcW w:w="1468" w:type="dxa"/>
            <w:tcBorders>
              <w:top w:val="nil"/>
              <w:left w:val="nil"/>
              <w:bottom w:val="nil"/>
              <w:right w:val="nil"/>
            </w:tcBorders>
            <w:shd w:val="clear" w:color="auto" w:fill="FFFFFF"/>
          </w:tcPr>
          <w:p w14:paraId="0B41646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29.9</w:t>
            </w:r>
          </w:p>
        </w:tc>
        <w:tc>
          <w:tcPr>
            <w:tcW w:w="1468" w:type="dxa"/>
            <w:tcBorders>
              <w:top w:val="nil"/>
              <w:left w:val="nil"/>
              <w:bottom w:val="nil"/>
              <w:right w:val="nil"/>
            </w:tcBorders>
            <w:shd w:val="clear" w:color="auto" w:fill="FFFFFF"/>
          </w:tcPr>
          <w:p w14:paraId="66B5AE0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72.1</w:t>
            </w:r>
          </w:p>
        </w:tc>
      </w:tr>
      <w:tr w:rsidR="00CF0768" w:rsidRPr="00ED2AE5" w14:paraId="3E2D6DA5" w14:textId="77777777" w:rsidTr="00C44D6E">
        <w:trPr>
          <w:cantSplit/>
        </w:trPr>
        <w:tc>
          <w:tcPr>
            <w:tcW w:w="841" w:type="dxa"/>
            <w:vMerge/>
            <w:tcBorders>
              <w:left w:val="nil"/>
              <w:right w:val="nil"/>
            </w:tcBorders>
            <w:shd w:val="clear" w:color="auto" w:fill="FFFFFF"/>
          </w:tcPr>
          <w:p w14:paraId="2B616734"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52C10B4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52DBB23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43</w:t>
            </w:r>
          </w:p>
        </w:tc>
        <w:tc>
          <w:tcPr>
            <w:tcW w:w="1116" w:type="dxa"/>
            <w:tcBorders>
              <w:top w:val="nil"/>
              <w:left w:val="nil"/>
              <w:bottom w:val="nil"/>
              <w:right w:val="nil"/>
            </w:tcBorders>
            <w:shd w:val="clear" w:color="auto" w:fill="FFFFFF"/>
          </w:tcPr>
          <w:p w14:paraId="51518E2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27.9</w:t>
            </w:r>
          </w:p>
        </w:tc>
        <w:tc>
          <w:tcPr>
            <w:tcW w:w="1468" w:type="dxa"/>
            <w:tcBorders>
              <w:top w:val="nil"/>
              <w:left w:val="nil"/>
              <w:bottom w:val="nil"/>
              <w:right w:val="nil"/>
            </w:tcBorders>
            <w:shd w:val="clear" w:color="auto" w:fill="FFFFFF"/>
          </w:tcPr>
          <w:p w14:paraId="40C7264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27.9</w:t>
            </w:r>
          </w:p>
        </w:tc>
        <w:tc>
          <w:tcPr>
            <w:tcW w:w="1468" w:type="dxa"/>
            <w:tcBorders>
              <w:top w:val="nil"/>
              <w:left w:val="nil"/>
              <w:bottom w:val="nil"/>
              <w:right w:val="nil"/>
            </w:tcBorders>
            <w:shd w:val="clear" w:color="auto" w:fill="FFFFFF"/>
          </w:tcPr>
          <w:p w14:paraId="3314C09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2C071717" w14:textId="77777777" w:rsidTr="00C44D6E">
        <w:trPr>
          <w:cantSplit/>
        </w:trPr>
        <w:tc>
          <w:tcPr>
            <w:tcW w:w="841" w:type="dxa"/>
            <w:vMerge/>
            <w:tcBorders>
              <w:left w:val="nil"/>
              <w:right w:val="nil"/>
            </w:tcBorders>
            <w:shd w:val="clear" w:color="auto" w:fill="FFFFFF"/>
          </w:tcPr>
          <w:p w14:paraId="6FD43864"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3B845248"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5E557B0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105DCAC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793A261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46D31CDD"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270D87CD"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4D1F9106"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045F4A9F" w14:textId="77777777" w:rsidTr="00C44D6E">
        <w:trPr>
          <w:cantSplit/>
        </w:trPr>
        <w:tc>
          <w:tcPr>
            <w:tcW w:w="8502" w:type="dxa"/>
            <w:gridSpan w:val="6"/>
            <w:tcBorders>
              <w:top w:val="nil"/>
              <w:left w:val="nil"/>
              <w:bottom w:val="nil"/>
              <w:right w:val="nil"/>
            </w:tcBorders>
            <w:shd w:val="clear" w:color="auto" w:fill="FFFFFF"/>
            <w:vAlign w:val="center"/>
          </w:tcPr>
          <w:p w14:paraId="4F0B6CF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9. I feel that I can be my authentic self at work without fear of judgement.</w:t>
            </w:r>
          </w:p>
        </w:tc>
      </w:tr>
      <w:tr w:rsidR="00CF0768" w:rsidRPr="00ED2AE5" w14:paraId="60F4FCE4" w14:textId="77777777" w:rsidTr="00C44D6E">
        <w:trPr>
          <w:cantSplit/>
        </w:trPr>
        <w:tc>
          <w:tcPr>
            <w:tcW w:w="3043" w:type="dxa"/>
            <w:gridSpan w:val="2"/>
            <w:tcBorders>
              <w:left w:val="nil"/>
              <w:right w:val="nil"/>
            </w:tcBorders>
            <w:shd w:val="clear" w:color="auto" w:fill="FFFFFF"/>
            <w:vAlign w:val="bottom"/>
          </w:tcPr>
          <w:p w14:paraId="56BE6CE8"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6264F47E"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56047B6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04FF4BBB"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5108FD94"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1AD28683" w14:textId="77777777" w:rsidTr="00C44D6E">
        <w:trPr>
          <w:cantSplit/>
        </w:trPr>
        <w:tc>
          <w:tcPr>
            <w:tcW w:w="841" w:type="dxa"/>
            <w:vMerge w:val="restart"/>
            <w:tcBorders>
              <w:left w:val="nil"/>
              <w:right w:val="nil"/>
            </w:tcBorders>
            <w:shd w:val="clear" w:color="auto" w:fill="FFFFFF"/>
          </w:tcPr>
          <w:p w14:paraId="3196A6C6"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7B88BBA3"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479367E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w:t>
            </w:r>
          </w:p>
        </w:tc>
        <w:tc>
          <w:tcPr>
            <w:tcW w:w="1116" w:type="dxa"/>
            <w:tcBorders>
              <w:left w:val="nil"/>
              <w:bottom w:val="nil"/>
              <w:right w:val="nil"/>
            </w:tcBorders>
            <w:shd w:val="clear" w:color="auto" w:fill="FFFFFF"/>
          </w:tcPr>
          <w:p w14:paraId="7D0512C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468" w:type="dxa"/>
            <w:tcBorders>
              <w:left w:val="nil"/>
              <w:bottom w:val="nil"/>
              <w:right w:val="nil"/>
            </w:tcBorders>
            <w:shd w:val="clear" w:color="auto" w:fill="FFFFFF"/>
          </w:tcPr>
          <w:p w14:paraId="46AD652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468" w:type="dxa"/>
            <w:tcBorders>
              <w:left w:val="nil"/>
              <w:bottom w:val="nil"/>
              <w:right w:val="nil"/>
            </w:tcBorders>
            <w:shd w:val="clear" w:color="auto" w:fill="FFFFFF"/>
          </w:tcPr>
          <w:p w14:paraId="050E90B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r>
      <w:tr w:rsidR="00CF0768" w:rsidRPr="00ED2AE5" w14:paraId="76B1293A" w14:textId="77777777" w:rsidTr="00C44D6E">
        <w:trPr>
          <w:cantSplit/>
        </w:trPr>
        <w:tc>
          <w:tcPr>
            <w:tcW w:w="841" w:type="dxa"/>
            <w:vMerge/>
            <w:tcBorders>
              <w:left w:val="nil"/>
              <w:right w:val="nil"/>
            </w:tcBorders>
            <w:shd w:val="clear" w:color="auto" w:fill="FFFFFF"/>
          </w:tcPr>
          <w:p w14:paraId="197F14C0"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3B4BD654"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676A206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w:t>
            </w:r>
          </w:p>
        </w:tc>
        <w:tc>
          <w:tcPr>
            <w:tcW w:w="1116" w:type="dxa"/>
            <w:tcBorders>
              <w:top w:val="nil"/>
              <w:left w:val="nil"/>
              <w:bottom w:val="nil"/>
              <w:right w:val="nil"/>
            </w:tcBorders>
            <w:shd w:val="clear" w:color="auto" w:fill="FFFFFF"/>
          </w:tcPr>
          <w:p w14:paraId="6D6A82C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9.1</w:t>
            </w:r>
          </w:p>
        </w:tc>
        <w:tc>
          <w:tcPr>
            <w:tcW w:w="1468" w:type="dxa"/>
            <w:tcBorders>
              <w:top w:val="nil"/>
              <w:left w:val="nil"/>
              <w:bottom w:val="nil"/>
              <w:right w:val="nil"/>
            </w:tcBorders>
            <w:shd w:val="clear" w:color="auto" w:fill="FFFFFF"/>
          </w:tcPr>
          <w:p w14:paraId="2A2831A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9.1</w:t>
            </w:r>
          </w:p>
        </w:tc>
        <w:tc>
          <w:tcPr>
            <w:tcW w:w="1468" w:type="dxa"/>
            <w:tcBorders>
              <w:top w:val="nil"/>
              <w:left w:val="nil"/>
              <w:bottom w:val="nil"/>
              <w:right w:val="nil"/>
            </w:tcBorders>
            <w:shd w:val="clear" w:color="auto" w:fill="FFFFFF"/>
          </w:tcPr>
          <w:p w14:paraId="6305F5B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15.6</w:t>
            </w:r>
          </w:p>
        </w:tc>
      </w:tr>
      <w:tr w:rsidR="00CF0768" w:rsidRPr="00ED2AE5" w14:paraId="156C2B33" w14:textId="77777777" w:rsidTr="00C44D6E">
        <w:trPr>
          <w:cantSplit/>
        </w:trPr>
        <w:tc>
          <w:tcPr>
            <w:tcW w:w="841" w:type="dxa"/>
            <w:vMerge/>
            <w:tcBorders>
              <w:left w:val="nil"/>
              <w:right w:val="nil"/>
            </w:tcBorders>
            <w:shd w:val="clear" w:color="auto" w:fill="FFFFFF"/>
          </w:tcPr>
          <w:p w14:paraId="0587808C"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3A5B32AE"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57B4236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28</w:t>
            </w:r>
          </w:p>
        </w:tc>
        <w:tc>
          <w:tcPr>
            <w:tcW w:w="1116" w:type="dxa"/>
            <w:tcBorders>
              <w:top w:val="nil"/>
              <w:left w:val="nil"/>
              <w:bottom w:val="nil"/>
              <w:right w:val="nil"/>
            </w:tcBorders>
            <w:shd w:val="clear" w:color="auto" w:fill="FFFFFF"/>
          </w:tcPr>
          <w:p w14:paraId="34BF6A0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18.2</w:t>
            </w:r>
          </w:p>
        </w:tc>
        <w:tc>
          <w:tcPr>
            <w:tcW w:w="1468" w:type="dxa"/>
            <w:tcBorders>
              <w:top w:val="nil"/>
              <w:left w:val="nil"/>
              <w:bottom w:val="nil"/>
              <w:right w:val="nil"/>
            </w:tcBorders>
            <w:shd w:val="clear" w:color="auto" w:fill="FFFFFF"/>
          </w:tcPr>
          <w:p w14:paraId="2E547F0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18.2</w:t>
            </w:r>
          </w:p>
        </w:tc>
        <w:tc>
          <w:tcPr>
            <w:tcW w:w="1468" w:type="dxa"/>
            <w:tcBorders>
              <w:top w:val="nil"/>
              <w:left w:val="nil"/>
              <w:bottom w:val="nil"/>
              <w:right w:val="nil"/>
            </w:tcBorders>
            <w:shd w:val="clear" w:color="auto" w:fill="FFFFFF"/>
          </w:tcPr>
          <w:p w14:paraId="7A9A884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33.8</w:t>
            </w:r>
          </w:p>
        </w:tc>
      </w:tr>
      <w:tr w:rsidR="00CF0768" w:rsidRPr="00ED2AE5" w14:paraId="589FF894" w14:textId="77777777" w:rsidTr="00C44D6E">
        <w:trPr>
          <w:cantSplit/>
        </w:trPr>
        <w:tc>
          <w:tcPr>
            <w:tcW w:w="841" w:type="dxa"/>
            <w:vMerge/>
            <w:tcBorders>
              <w:left w:val="nil"/>
              <w:right w:val="nil"/>
            </w:tcBorders>
            <w:shd w:val="clear" w:color="auto" w:fill="FFFFFF"/>
          </w:tcPr>
          <w:p w14:paraId="71C1F79A"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3944B200"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1B6D88C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48</w:t>
            </w:r>
          </w:p>
        </w:tc>
        <w:tc>
          <w:tcPr>
            <w:tcW w:w="1116" w:type="dxa"/>
            <w:tcBorders>
              <w:top w:val="nil"/>
              <w:left w:val="nil"/>
              <w:bottom w:val="nil"/>
              <w:right w:val="nil"/>
            </w:tcBorders>
            <w:shd w:val="clear" w:color="auto" w:fill="FFFFFF"/>
          </w:tcPr>
          <w:p w14:paraId="5425583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31.2</w:t>
            </w:r>
          </w:p>
        </w:tc>
        <w:tc>
          <w:tcPr>
            <w:tcW w:w="1468" w:type="dxa"/>
            <w:tcBorders>
              <w:top w:val="nil"/>
              <w:left w:val="nil"/>
              <w:bottom w:val="nil"/>
              <w:right w:val="nil"/>
            </w:tcBorders>
            <w:shd w:val="clear" w:color="auto" w:fill="FFFFFF"/>
          </w:tcPr>
          <w:p w14:paraId="37B7187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31.2</w:t>
            </w:r>
          </w:p>
        </w:tc>
        <w:tc>
          <w:tcPr>
            <w:tcW w:w="1468" w:type="dxa"/>
            <w:tcBorders>
              <w:top w:val="nil"/>
              <w:left w:val="nil"/>
              <w:bottom w:val="nil"/>
              <w:right w:val="nil"/>
            </w:tcBorders>
            <w:shd w:val="clear" w:color="auto" w:fill="FFFFFF"/>
          </w:tcPr>
          <w:p w14:paraId="0632743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64.9</w:t>
            </w:r>
          </w:p>
        </w:tc>
      </w:tr>
      <w:tr w:rsidR="00CF0768" w:rsidRPr="00ED2AE5" w14:paraId="0577DD5E" w14:textId="77777777" w:rsidTr="00C44D6E">
        <w:trPr>
          <w:cantSplit/>
        </w:trPr>
        <w:tc>
          <w:tcPr>
            <w:tcW w:w="841" w:type="dxa"/>
            <w:vMerge/>
            <w:tcBorders>
              <w:left w:val="nil"/>
              <w:right w:val="nil"/>
            </w:tcBorders>
            <w:shd w:val="clear" w:color="auto" w:fill="FFFFFF"/>
          </w:tcPr>
          <w:p w14:paraId="0C1026E0"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62B0226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1A25EBF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54</w:t>
            </w:r>
          </w:p>
        </w:tc>
        <w:tc>
          <w:tcPr>
            <w:tcW w:w="1116" w:type="dxa"/>
            <w:tcBorders>
              <w:top w:val="nil"/>
              <w:left w:val="nil"/>
              <w:bottom w:val="nil"/>
              <w:right w:val="nil"/>
            </w:tcBorders>
            <w:shd w:val="clear" w:color="auto" w:fill="FFFFFF"/>
          </w:tcPr>
          <w:p w14:paraId="3BDA554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35.1</w:t>
            </w:r>
          </w:p>
        </w:tc>
        <w:tc>
          <w:tcPr>
            <w:tcW w:w="1468" w:type="dxa"/>
            <w:tcBorders>
              <w:top w:val="nil"/>
              <w:left w:val="nil"/>
              <w:bottom w:val="nil"/>
              <w:right w:val="nil"/>
            </w:tcBorders>
            <w:shd w:val="clear" w:color="auto" w:fill="FFFFFF"/>
          </w:tcPr>
          <w:p w14:paraId="4207140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35.1</w:t>
            </w:r>
          </w:p>
        </w:tc>
        <w:tc>
          <w:tcPr>
            <w:tcW w:w="1468" w:type="dxa"/>
            <w:tcBorders>
              <w:top w:val="nil"/>
              <w:left w:val="nil"/>
              <w:bottom w:val="nil"/>
              <w:right w:val="nil"/>
            </w:tcBorders>
            <w:shd w:val="clear" w:color="auto" w:fill="FFFFFF"/>
          </w:tcPr>
          <w:p w14:paraId="2498656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6D8574BE" w14:textId="77777777" w:rsidTr="00C44D6E">
        <w:trPr>
          <w:cantSplit/>
        </w:trPr>
        <w:tc>
          <w:tcPr>
            <w:tcW w:w="841" w:type="dxa"/>
            <w:vMerge/>
            <w:tcBorders>
              <w:left w:val="nil"/>
              <w:right w:val="nil"/>
            </w:tcBorders>
            <w:shd w:val="clear" w:color="auto" w:fill="FFFFFF"/>
          </w:tcPr>
          <w:p w14:paraId="62741FA9"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1BEF7F4C"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4DF3457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08BD1C0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59E8458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3EC02CDA"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33DC9D27"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3185ABDF"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7FD34D87" w14:textId="77777777" w:rsidTr="00C44D6E">
        <w:trPr>
          <w:cantSplit/>
        </w:trPr>
        <w:tc>
          <w:tcPr>
            <w:tcW w:w="8502" w:type="dxa"/>
            <w:gridSpan w:val="6"/>
            <w:tcBorders>
              <w:top w:val="nil"/>
              <w:left w:val="nil"/>
              <w:bottom w:val="nil"/>
              <w:right w:val="nil"/>
            </w:tcBorders>
            <w:shd w:val="clear" w:color="auto" w:fill="FFFFFF"/>
            <w:vAlign w:val="center"/>
          </w:tcPr>
          <w:p w14:paraId="701F6785"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10. My opinions are valued and listened to by my colleagues and line manager.</w:t>
            </w:r>
          </w:p>
        </w:tc>
      </w:tr>
      <w:tr w:rsidR="00CF0768" w:rsidRPr="00ED2AE5" w14:paraId="405AD7CC" w14:textId="77777777" w:rsidTr="00C44D6E">
        <w:trPr>
          <w:cantSplit/>
        </w:trPr>
        <w:tc>
          <w:tcPr>
            <w:tcW w:w="3043" w:type="dxa"/>
            <w:gridSpan w:val="2"/>
            <w:tcBorders>
              <w:left w:val="nil"/>
              <w:right w:val="nil"/>
            </w:tcBorders>
            <w:shd w:val="clear" w:color="auto" w:fill="FFFFFF"/>
            <w:vAlign w:val="bottom"/>
          </w:tcPr>
          <w:p w14:paraId="685229C1"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3318B8BD"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56740C84"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3D110656"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512CD7AD"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0AE1FE92" w14:textId="77777777" w:rsidTr="00C44D6E">
        <w:trPr>
          <w:cantSplit/>
        </w:trPr>
        <w:tc>
          <w:tcPr>
            <w:tcW w:w="841" w:type="dxa"/>
            <w:vMerge w:val="restart"/>
            <w:tcBorders>
              <w:left w:val="nil"/>
              <w:right w:val="nil"/>
            </w:tcBorders>
            <w:shd w:val="clear" w:color="auto" w:fill="FFFFFF"/>
          </w:tcPr>
          <w:p w14:paraId="78157FA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6BD0167E"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28FBC95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w:t>
            </w:r>
          </w:p>
        </w:tc>
        <w:tc>
          <w:tcPr>
            <w:tcW w:w="1116" w:type="dxa"/>
            <w:tcBorders>
              <w:left w:val="nil"/>
              <w:bottom w:val="nil"/>
              <w:right w:val="nil"/>
            </w:tcBorders>
            <w:shd w:val="clear" w:color="auto" w:fill="FFFFFF"/>
          </w:tcPr>
          <w:p w14:paraId="5E68329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468" w:type="dxa"/>
            <w:tcBorders>
              <w:left w:val="nil"/>
              <w:bottom w:val="nil"/>
              <w:right w:val="nil"/>
            </w:tcBorders>
            <w:shd w:val="clear" w:color="auto" w:fill="FFFFFF"/>
          </w:tcPr>
          <w:p w14:paraId="5E6AEF0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468" w:type="dxa"/>
            <w:tcBorders>
              <w:left w:val="nil"/>
              <w:bottom w:val="nil"/>
              <w:right w:val="nil"/>
            </w:tcBorders>
            <w:shd w:val="clear" w:color="auto" w:fill="FFFFFF"/>
          </w:tcPr>
          <w:p w14:paraId="4761B82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r>
      <w:tr w:rsidR="00CF0768" w:rsidRPr="00ED2AE5" w14:paraId="54745BE0" w14:textId="77777777" w:rsidTr="00C44D6E">
        <w:trPr>
          <w:cantSplit/>
        </w:trPr>
        <w:tc>
          <w:tcPr>
            <w:tcW w:w="841" w:type="dxa"/>
            <w:vMerge/>
            <w:tcBorders>
              <w:left w:val="nil"/>
              <w:right w:val="nil"/>
            </w:tcBorders>
            <w:shd w:val="clear" w:color="auto" w:fill="FFFFFF"/>
          </w:tcPr>
          <w:p w14:paraId="1AEFD114"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7D349BEB"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664E744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16</w:t>
            </w:r>
          </w:p>
        </w:tc>
        <w:tc>
          <w:tcPr>
            <w:tcW w:w="1116" w:type="dxa"/>
            <w:tcBorders>
              <w:top w:val="nil"/>
              <w:left w:val="nil"/>
              <w:bottom w:val="nil"/>
              <w:right w:val="nil"/>
            </w:tcBorders>
            <w:shd w:val="clear" w:color="auto" w:fill="FFFFFF"/>
          </w:tcPr>
          <w:p w14:paraId="6AD026B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10.4</w:t>
            </w:r>
          </w:p>
        </w:tc>
        <w:tc>
          <w:tcPr>
            <w:tcW w:w="1468" w:type="dxa"/>
            <w:tcBorders>
              <w:top w:val="nil"/>
              <w:left w:val="nil"/>
              <w:bottom w:val="nil"/>
              <w:right w:val="nil"/>
            </w:tcBorders>
            <w:shd w:val="clear" w:color="auto" w:fill="FFFFFF"/>
          </w:tcPr>
          <w:p w14:paraId="4E69AFD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10.4</w:t>
            </w:r>
          </w:p>
        </w:tc>
        <w:tc>
          <w:tcPr>
            <w:tcW w:w="1468" w:type="dxa"/>
            <w:tcBorders>
              <w:top w:val="nil"/>
              <w:left w:val="nil"/>
              <w:bottom w:val="nil"/>
              <w:right w:val="nil"/>
            </w:tcBorders>
            <w:shd w:val="clear" w:color="auto" w:fill="FFFFFF"/>
          </w:tcPr>
          <w:p w14:paraId="478BACE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16.9</w:t>
            </w:r>
          </w:p>
        </w:tc>
      </w:tr>
      <w:tr w:rsidR="00CF0768" w:rsidRPr="00ED2AE5" w14:paraId="7FEF2763" w14:textId="77777777" w:rsidTr="00C44D6E">
        <w:trPr>
          <w:cantSplit/>
        </w:trPr>
        <w:tc>
          <w:tcPr>
            <w:tcW w:w="841" w:type="dxa"/>
            <w:vMerge/>
            <w:tcBorders>
              <w:left w:val="nil"/>
              <w:right w:val="nil"/>
            </w:tcBorders>
            <w:shd w:val="clear" w:color="auto" w:fill="FFFFFF"/>
          </w:tcPr>
          <w:p w14:paraId="0EF5914C"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7DD3B9D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3E8C836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w:t>
            </w:r>
          </w:p>
        </w:tc>
        <w:tc>
          <w:tcPr>
            <w:tcW w:w="1116" w:type="dxa"/>
            <w:tcBorders>
              <w:top w:val="nil"/>
              <w:left w:val="nil"/>
              <w:bottom w:val="nil"/>
              <w:right w:val="nil"/>
            </w:tcBorders>
            <w:shd w:val="clear" w:color="auto" w:fill="FFFFFF"/>
          </w:tcPr>
          <w:p w14:paraId="2F99153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11.7</w:t>
            </w:r>
          </w:p>
        </w:tc>
        <w:tc>
          <w:tcPr>
            <w:tcW w:w="1468" w:type="dxa"/>
            <w:tcBorders>
              <w:top w:val="nil"/>
              <w:left w:val="nil"/>
              <w:bottom w:val="nil"/>
              <w:right w:val="nil"/>
            </w:tcBorders>
            <w:shd w:val="clear" w:color="auto" w:fill="FFFFFF"/>
          </w:tcPr>
          <w:p w14:paraId="1ECF342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11.7</w:t>
            </w:r>
          </w:p>
        </w:tc>
        <w:tc>
          <w:tcPr>
            <w:tcW w:w="1468" w:type="dxa"/>
            <w:tcBorders>
              <w:top w:val="nil"/>
              <w:left w:val="nil"/>
              <w:bottom w:val="nil"/>
              <w:right w:val="nil"/>
            </w:tcBorders>
            <w:shd w:val="clear" w:color="auto" w:fill="FFFFFF"/>
          </w:tcPr>
          <w:p w14:paraId="0E0F670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28.6</w:t>
            </w:r>
          </w:p>
        </w:tc>
      </w:tr>
      <w:tr w:rsidR="00CF0768" w:rsidRPr="00ED2AE5" w14:paraId="16A4F82C" w14:textId="77777777" w:rsidTr="00C44D6E">
        <w:trPr>
          <w:cantSplit/>
        </w:trPr>
        <w:tc>
          <w:tcPr>
            <w:tcW w:w="841" w:type="dxa"/>
            <w:vMerge/>
            <w:tcBorders>
              <w:left w:val="nil"/>
              <w:right w:val="nil"/>
            </w:tcBorders>
            <w:shd w:val="clear" w:color="auto" w:fill="FFFFFF"/>
          </w:tcPr>
          <w:p w14:paraId="14C7109B"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33D4C5BA"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04B24BF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51</w:t>
            </w:r>
          </w:p>
        </w:tc>
        <w:tc>
          <w:tcPr>
            <w:tcW w:w="1116" w:type="dxa"/>
            <w:tcBorders>
              <w:top w:val="nil"/>
              <w:left w:val="nil"/>
              <w:bottom w:val="nil"/>
              <w:right w:val="nil"/>
            </w:tcBorders>
            <w:shd w:val="clear" w:color="auto" w:fill="FFFFFF"/>
          </w:tcPr>
          <w:p w14:paraId="4719CD1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33.1</w:t>
            </w:r>
          </w:p>
        </w:tc>
        <w:tc>
          <w:tcPr>
            <w:tcW w:w="1468" w:type="dxa"/>
            <w:tcBorders>
              <w:top w:val="nil"/>
              <w:left w:val="nil"/>
              <w:bottom w:val="nil"/>
              <w:right w:val="nil"/>
            </w:tcBorders>
            <w:shd w:val="clear" w:color="auto" w:fill="FFFFFF"/>
          </w:tcPr>
          <w:p w14:paraId="43DE2E0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33.1</w:t>
            </w:r>
          </w:p>
        </w:tc>
        <w:tc>
          <w:tcPr>
            <w:tcW w:w="1468" w:type="dxa"/>
            <w:tcBorders>
              <w:top w:val="nil"/>
              <w:left w:val="nil"/>
              <w:bottom w:val="nil"/>
              <w:right w:val="nil"/>
            </w:tcBorders>
            <w:shd w:val="clear" w:color="auto" w:fill="FFFFFF"/>
          </w:tcPr>
          <w:p w14:paraId="3D984BE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61.7</w:t>
            </w:r>
          </w:p>
        </w:tc>
      </w:tr>
      <w:tr w:rsidR="00CF0768" w:rsidRPr="00ED2AE5" w14:paraId="66E07548" w14:textId="77777777" w:rsidTr="00C44D6E">
        <w:trPr>
          <w:cantSplit/>
        </w:trPr>
        <w:tc>
          <w:tcPr>
            <w:tcW w:w="841" w:type="dxa"/>
            <w:vMerge/>
            <w:tcBorders>
              <w:left w:val="nil"/>
              <w:right w:val="nil"/>
            </w:tcBorders>
            <w:shd w:val="clear" w:color="auto" w:fill="FFFFFF"/>
          </w:tcPr>
          <w:p w14:paraId="51D1713F"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6AF25FBE"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6F4FDE6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59</w:t>
            </w:r>
          </w:p>
        </w:tc>
        <w:tc>
          <w:tcPr>
            <w:tcW w:w="1116" w:type="dxa"/>
            <w:tcBorders>
              <w:top w:val="nil"/>
              <w:left w:val="nil"/>
              <w:bottom w:val="nil"/>
              <w:right w:val="nil"/>
            </w:tcBorders>
            <w:shd w:val="clear" w:color="auto" w:fill="FFFFFF"/>
          </w:tcPr>
          <w:p w14:paraId="6614024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38.3</w:t>
            </w:r>
          </w:p>
        </w:tc>
        <w:tc>
          <w:tcPr>
            <w:tcW w:w="1468" w:type="dxa"/>
            <w:tcBorders>
              <w:top w:val="nil"/>
              <w:left w:val="nil"/>
              <w:bottom w:val="nil"/>
              <w:right w:val="nil"/>
            </w:tcBorders>
            <w:shd w:val="clear" w:color="auto" w:fill="FFFFFF"/>
          </w:tcPr>
          <w:p w14:paraId="28A8A7E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38.3</w:t>
            </w:r>
          </w:p>
        </w:tc>
        <w:tc>
          <w:tcPr>
            <w:tcW w:w="1468" w:type="dxa"/>
            <w:tcBorders>
              <w:top w:val="nil"/>
              <w:left w:val="nil"/>
              <w:bottom w:val="nil"/>
              <w:right w:val="nil"/>
            </w:tcBorders>
            <w:shd w:val="clear" w:color="auto" w:fill="FFFFFF"/>
          </w:tcPr>
          <w:p w14:paraId="693D11C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6CEA2EF1" w14:textId="77777777" w:rsidTr="00C44D6E">
        <w:trPr>
          <w:cantSplit/>
        </w:trPr>
        <w:tc>
          <w:tcPr>
            <w:tcW w:w="841" w:type="dxa"/>
            <w:vMerge/>
            <w:tcBorders>
              <w:left w:val="nil"/>
              <w:right w:val="nil"/>
            </w:tcBorders>
            <w:shd w:val="clear" w:color="auto" w:fill="FFFFFF"/>
          </w:tcPr>
          <w:p w14:paraId="4C003182"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3E7826B6"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2271EFD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080A7E7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15A19A8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73B11E74"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6F17B57B"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7B9A191B"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6D00DE49" w14:textId="77777777" w:rsidTr="00C44D6E">
        <w:trPr>
          <w:cantSplit/>
        </w:trPr>
        <w:tc>
          <w:tcPr>
            <w:tcW w:w="8502" w:type="dxa"/>
            <w:gridSpan w:val="6"/>
            <w:tcBorders>
              <w:top w:val="nil"/>
              <w:left w:val="nil"/>
              <w:bottom w:val="nil"/>
              <w:right w:val="nil"/>
            </w:tcBorders>
            <w:shd w:val="clear" w:color="auto" w:fill="FFFFFF"/>
            <w:vAlign w:val="center"/>
          </w:tcPr>
          <w:p w14:paraId="61C21086"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lastRenderedPageBreak/>
              <w:t>11. I feel that my unique background and perspectives are seen as an asset.</w:t>
            </w:r>
          </w:p>
        </w:tc>
      </w:tr>
      <w:tr w:rsidR="00CF0768" w:rsidRPr="00ED2AE5" w14:paraId="3D28F4B9" w14:textId="77777777" w:rsidTr="00C44D6E">
        <w:trPr>
          <w:cantSplit/>
        </w:trPr>
        <w:tc>
          <w:tcPr>
            <w:tcW w:w="3043" w:type="dxa"/>
            <w:gridSpan w:val="2"/>
            <w:tcBorders>
              <w:left w:val="nil"/>
              <w:right w:val="nil"/>
            </w:tcBorders>
            <w:shd w:val="clear" w:color="auto" w:fill="FFFFFF"/>
            <w:vAlign w:val="bottom"/>
          </w:tcPr>
          <w:p w14:paraId="555C8F27"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5AECB5F1"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460CB22C"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701C10BB"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7FBAD276"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67B0BC7F" w14:textId="77777777" w:rsidTr="00C44D6E">
        <w:trPr>
          <w:cantSplit/>
        </w:trPr>
        <w:tc>
          <w:tcPr>
            <w:tcW w:w="841" w:type="dxa"/>
            <w:vMerge w:val="restart"/>
            <w:tcBorders>
              <w:left w:val="nil"/>
              <w:right w:val="nil"/>
            </w:tcBorders>
            <w:shd w:val="clear" w:color="auto" w:fill="FFFFFF"/>
          </w:tcPr>
          <w:p w14:paraId="674140C9"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4D5F4838"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5B62671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w:t>
            </w:r>
          </w:p>
        </w:tc>
        <w:tc>
          <w:tcPr>
            <w:tcW w:w="1116" w:type="dxa"/>
            <w:tcBorders>
              <w:left w:val="nil"/>
              <w:bottom w:val="nil"/>
              <w:right w:val="nil"/>
            </w:tcBorders>
            <w:shd w:val="clear" w:color="auto" w:fill="FFFFFF"/>
          </w:tcPr>
          <w:p w14:paraId="6919693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left w:val="nil"/>
              <w:bottom w:val="nil"/>
              <w:right w:val="nil"/>
            </w:tcBorders>
            <w:shd w:val="clear" w:color="auto" w:fill="FFFFFF"/>
          </w:tcPr>
          <w:p w14:paraId="0EE5717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left w:val="nil"/>
              <w:bottom w:val="nil"/>
              <w:right w:val="nil"/>
            </w:tcBorders>
            <w:shd w:val="clear" w:color="auto" w:fill="FFFFFF"/>
          </w:tcPr>
          <w:p w14:paraId="133EB4F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r>
      <w:tr w:rsidR="00CF0768" w:rsidRPr="00ED2AE5" w14:paraId="717B2333" w14:textId="77777777" w:rsidTr="00C44D6E">
        <w:trPr>
          <w:cantSplit/>
        </w:trPr>
        <w:tc>
          <w:tcPr>
            <w:tcW w:w="841" w:type="dxa"/>
            <w:vMerge/>
            <w:tcBorders>
              <w:left w:val="nil"/>
              <w:right w:val="nil"/>
            </w:tcBorders>
            <w:shd w:val="clear" w:color="auto" w:fill="FFFFFF"/>
          </w:tcPr>
          <w:p w14:paraId="023C3566"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5AD934B0"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59C72B5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13</w:t>
            </w:r>
          </w:p>
        </w:tc>
        <w:tc>
          <w:tcPr>
            <w:tcW w:w="1116" w:type="dxa"/>
            <w:tcBorders>
              <w:top w:val="nil"/>
              <w:left w:val="nil"/>
              <w:bottom w:val="nil"/>
              <w:right w:val="nil"/>
            </w:tcBorders>
            <w:shd w:val="clear" w:color="auto" w:fill="FFFFFF"/>
          </w:tcPr>
          <w:p w14:paraId="48D68C8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8.4</w:t>
            </w:r>
          </w:p>
        </w:tc>
        <w:tc>
          <w:tcPr>
            <w:tcW w:w="1468" w:type="dxa"/>
            <w:tcBorders>
              <w:top w:val="nil"/>
              <w:left w:val="nil"/>
              <w:bottom w:val="nil"/>
              <w:right w:val="nil"/>
            </w:tcBorders>
            <w:shd w:val="clear" w:color="auto" w:fill="FFFFFF"/>
          </w:tcPr>
          <w:p w14:paraId="69DB2FA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8.4</w:t>
            </w:r>
          </w:p>
        </w:tc>
        <w:tc>
          <w:tcPr>
            <w:tcW w:w="1468" w:type="dxa"/>
            <w:tcBorders>
              <w:top w:val="nil"/>
              <w:left w:val="nil"/>
              <w:bottom w:val="nil"/>
              <w:right w:val="nil"/>
            </w:tcBorders>
            <w:shd w:val="clear" w:color="auto" w:fill="FFFFFF"/>
          </w:tcPr>
          <w:p w14:paraId="18BEF9A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15.6</w:t>
            </w:r>
          </w:p>
        </w:tc>
      </w:tr>
      <w:tr w:rsidR="00CF0768" w:rsidRPr="00ED2AE5" w14:paraId="7834F16C" w14:textId="77777777" w:rsidTr="00C44D6E">
        <w:trPr>
          <w:cantSplit/>
        </w:trPr>
        <w:tc>
          <w:tcPr>
            <w:tcW w:w="841" w:type="dxa"/>
            <w:vMerge/>
            <w:tcBorders>
              <w:left w:val="nil"/>
              <w:right w:val="nil"/>
            </w:tcBorders>
            <w:shd w:val="clear" w:color="auto" w:fill="FFFFFF"/>
          </w:tcPr>
          <w:p w14:paraId="1C023E96"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1D27B8EA"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17EDBA3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21</w:t>
            </w:r>
          </w:p>
        </w:tc>
        <w:tc>
          <w:tcPr>
            <w:tcW w:w="1116" w:type="dxa"/>
            <w:tcBorders>
              <w:top w:val="nil"/>
              <w:left w:val="nil"/>
              <w:bottom w:val="nil"/>
              <w:right w:val="nil"/>
            </w:tcBorders>
            <w:shd w:val="clear" w:color="auto" w:fill="FFFFFF"/>
          </w:tcPr>
          <w:p w14:paraId="160E3F6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13.6</w:t>
            </w:r>
          </w:p>
        </w:tc>
        <w:tc>
          <w:tcPr>
            <w:tcW w:w="1468" w:type="dxa"/>
            <w:tcBorders>
              <w:top w:val="nil"/>
              <w:left w:val="nil"/>
              <w:bottom w:val="nil"/>
              <w:right w:val="nil"/>
            </w:tcBorders>
            <w:shd w:val="clear" w:color="auto" w:fill="FFFFFF"/>
          </w:tcPr>
          <w:p w14:paraId="3BA22CD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13.6</w:t>
            </w:r>
          </w:p>
        </w:tc>
        <w:tc>
          <w:tcPr>
            <w:tcW w:w="1468" w:type="dxa"/>
            <w:tcBorders>
              <w:top w:val="nil"/>
              <w:left w:val="nil"/>
              <w:bottom w:val="nil"/>
              <w:right w:val="nil"/>
            </w:tcBorders>
            <w:shd w:val="clear" w:color="auto" w:fill="FFFFFF"/>
          </w:tcPr>
          <w:p w14:paraId="579E8A8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29.2</w:t>
            </w:r>
          </w:p>
        </w:tc>
      </w:tr>
      <w:tr w:rsidR="00CF0768" w:rsidRPr="00ED2AE5" w14:paraId="3FE08323" w14:textId="77777777" w:rsidTr="00C44D6E">
        <w:trPr>
          <w:cantSplit/>
        </w:trPr>
        <w:tc>
          <w:tcPr>
            <w:tcW w:w="841" w:type="dxa"/>
            <w:vMerge/>
            <w:tcBorders>
              <w:left w:val="nil"/>
              <w:right w:val="nil"/>
            </w:tcBorders>
            <w:shd w:val="clear" w:color="auto" w:fill="FFFFFF"/>
          </w:tcPr>
          <w:p w14:paraId="221EA5A9"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0CC60DC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250A51E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52</w:t>
            </w:r>
          </w:p>
        </w:tc>
        <w:tc>
          <w:tcPr>
            <w:tcW w:w="1116" w:type="dxa"/>
            <w:tcBorders>
              <w:top w:val="nil"/>
              <w:left w:val="nil"/>
              <w:bottom w:val="nil"/>
              <w:right w:val="nil"/>
            </w:tcBorders>
            <w:shd w:val="clear" w:color="auto" w:fill="FFFFFF"/>
          </w:tcPr>
          <w:p w14:paraId="17F5960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33.8</w:t>
            </w:r>
          </w:p>
        </w:tc>
        <w:tc>
          <w:tcPr>
            <w:tcW w:w="1468" w:type="dxa"/>
            <w:tcBorders>
              <w:top w:val="nil"/>
              <w:left w:val="nil"/>
              <w:bottom w:val="nil"/>
              <w:right w:val="nil"/>
            </w:tcBorders>
            <w:shd w:val="clear" w:color="auto" w:fill="FFFFFF"/>
          </w:tcPr>
          <w:p w14:paraId="4389C62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33.8</w:t>
            </w:r>
          </w:p>
        </w:tc>
        <w:tc>
          <w:tcPr>
            <w:tcW w:w="1468" w:type="dxa"/>
            <w:tcBorders>
              <w:top w:val="nil"/>
              <w:left w:val="nil"/>
              <w:bottom w:val="nil"/>
              <w:right w:val="nil"/>
            </w:tcBorders>
            <w:shd w:val="clear" w:color="auto" w:fill="FFFFFF"/>
          </w:tcPr>
          <w:p w14:paraId="17840C8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63.0</w:t>
            </w:r>
          </w:p>
        </w:tc>
      </w:tr>
      <w:tr w:rsidR="00CF0768" w:rsidRPr="00ED2AE5" w14:paraId="72F9E0EF" w14:textId="77777777" w:rsidTr="00C44D6E">
        <w:trPr>
          <w:cantSplit/>
        </w:trPr>
        <w:tc>
          <w:tcPr>
            <w:tcW w:w="841" w:type="dxa"/>
            <w:vMerge/>
            <w:tcBorders>
              <w:left w:val="nil"/>
              <w:right w:val="nil"/>
            </w:tcBorders>
            <w:shd w:val="clear" w:color="auto" w:fill="FFFFFF"/>
          </w:tcPr>
          <w:p w14:paraId="23139A20"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420C913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772CECA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57</w:t>
            </w:r>
          </w:p>
        </w:tc>
        <w:tc>
          <w:tcPr>
            <w:tcW w:w="1116" w:type="dxa"/>
            <w:tcBorders>
              <w:top w:val="nil"/>
              <w:left w:val="nil"/>
              <w:bottom w:val="nil"/>
              <w:right w:val="nil"/>
            </w:tcBorders>
            <w:shd w:val="clear" w:color="auto" w:fill="FFFFFF"/>
          </w:tcPr>
          <w:p w14:paraId="117EFF6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37.0</w:t>
            </w:r>
          </w:p>
        </w:tc>
        <w:tc>
          <w:tcPr>
            <w:tcW w:w="1468" w:type="dxa"/>
            <w:tcBorders>
              <w:top w:val="nil"/>
              <w:left w:val="nil"/>
              <w:bottom w:val="nil"/>
              <w:right w:val="nil"/>
            </w:tcBorders>
            <w:shd w:val="clear" w:color="auto" w:fill="FFFFFF"/>
          </w:tcPr>
          <w:p w14:paraId="5018281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37.0</w:t>
            </w:r>
          </w:p>
        </w:tc>
        <w:tc>
          <w:tcPr>
            <w:tcW w:w="1468" w:type="dxa"/>
            <w:tcBorders>
              <w:top w:val="nil"/>
              <w:left w:val="nil"/>
              <w:bottom w:val="nil"/>
              <w:right w:val="nil"/>
            </w:tcBorders>
            <w:shd w:val="clear" w:color="auto" w:fill="FFFFFF"/>
          </w:tcPr>
          <w:p w14:paraId="49C7043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71BEA3A5" w14:textId="77777777" w:rsidTr="00C44D6E">
        <w:trPr>
          <w:cantSplit/>
        </w:trPr>
        <w:tc>
          <w:tcPr>
            <w:tcW w:w="841" w:type="dxa"/>
            <w:vMerge/>
            <w:tcBorders>
              <w:left w:val="nil"/>
              <w:right w:val="nil"/>
            </w:tcBorders>
            <w:shd w:val="clear" w:color="auto" w:fill="FFFFFF"/>
          </w:tcPr>
          <w:p w14:paraId="7737360B"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1C21428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4302ED1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624F863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1FDBEE0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53474F6B"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3998E0BC"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38F26670"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1DC53CEB" w14:textId="77777777" w:rsidTr="00C44D6E">
        <w:trPr>
          <w:cantSplit/>
        </w:trPr>
        <w:tc>
          <w:tcPr>
            <w:tcW w:w="8502" w:type="dxa"/>
            <w:gridSpan w:val="6"/>
            <w:tcBorders>
              <w:top w:val="nil"/>
              <w:left w:val="nil"/>
              <w:bottom w:val="nil"/>
              <w:right w:val="nil"/>
            </w:tcBorders>
            <w:shd w:val="clear" w:color="auto" w:fill="FFFFFF"/>
            <w:vAlign w:val="center"/>
          </w:tcPr>
          <w:p w14:paraId="46509DD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12. I am treated with respect and dignity by everyone in my team.</w:t>
            </w:r>
          </w:p>
        </w:tc>
      </w:tr>
      <w:tr w:rsidR="00CF0768" w:rsidRPr="00ED2AE5" w14:paraId="65491FA0" w14:textId="77777777" w:rsidTr="00C44D6E">
        <w:trPr>
          <w:cantSplit/>
        </w:trPr>
        <w:tc>
          <w:tcPr>
            <w:tcW w:w="3043" w:type="dxa"/>
            <w:gridSpan w:val="2"/>
            <w:tcBorders>
              <w:left w:val="nil"/>
              <w:right w:val="nil"/>
            </w:tcBorders>
            <w:shd w:val="clear" w:color="auto" w:fill="FFFFFF"/>
            <w:vAlign w:val="bottom"/>
          </w:tcPr>
          <w:p w14:paraId="32BED319"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5DB523BF"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0929430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0EFD724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2C160EF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2D5DCF0F" w14:textId="77777777" w:rsidTr="00C44D6E">
        <w:trPr>
          <w:cantSplit/>
        </w:trPr>
        <w:tc>
          <w:tcPr>
            <w:tcW w:w="841" w:type="dxa"/>
            <w:vMerge w:val="restart"/>
            <w:tcBorders>
              <w:left w:val="nil"/>
              <w:right w:val="nil"/>
            </w:tcBorders>
            <w:shd w:val="clear" w:color="auto" w:fill="FFFFFF"/>
          </w:tcPr>
          <w:p w14:paraId="414F2DAB"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1597CC38"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7B8244A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16</w:t>
            </w:r>
          </w:p>
        </w:tc>
        <w:tc>
          <w:tcPr>
            <w:tcW w:w="1116" w:type="dxa"/>
            <w:tcBorders>
              <w:left w:val="nil"/>
              <w:bottom w:val="nil"/>
              <w:right w:val="nil"/>
            </w:tcBorders>
            <w:shd w:val="clear" w:color="auto" w:fill="FFFFFF"/>
          </w:tcPr>
          <w:p w14:paraId="4F9193D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10.4</w:t>
            </w:r>
          </w:p>
        </w:tc>
        <w:tc>
          <w:tcPr>
            <w:tcW w:w="1468" w:type="dxa"/>
            <w:tcBorders>
              <w:left w:val="nil"/>
              <w:bottom w:val="nil"/>
              <w:right w:val="nil"/>
            </w:tcBorders>
            <w:shd w:val="clear" w:color="auto" w:fill="FFFFFF"/>
          </w:tcPr>
          <w:p w14:paraId="1EE2583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10.4</w:t>
            </w:r>
          </w:p>
        </w:tc>
        <w:tc>
          <w:tcPr>
            <w:tcW w:w="1468" w:type="dxa"/>
            <w:tcBorders>
              <w:left w:val="nil"/>
              <w:bottom w:val="nil"/>
              <w:right w:val="nil"/>
            </w:tcBorders>
            <w:shd w:val="clear" w:color="auto" w:fill="FFFFFF"/>
          </w:tcPr>
          <w:p w14:paraId="6C5FAC3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10.4</w:t>
            </w:r>
          </w:p>
        </w:tc>
      </w:tr>
      <w:tr w:rsidR="00CF0768" w:rsidRPr="00ED2AE5" w14:paraId="461D3A0B" w14:textId="77777777" w:rsidTr="00C44D6E">
        <w:trPr>
          <w:cantSplit/>
        </w:trPr>
        <w:tc>
          <w:tcPr>
            <w:tcW w:w="841" w:type="dxa"/>
            <w:vMerge/>
            <w:tcBorders>
              <w:left w:val="nil"/>
              <w:right w:val="nil"/>
            </w:tcBorders>
            <w:shd w:val="clear" w:color="auto" w:fill="FFFFFF"/>
          </w:tcPr>
          <w:p w14:paraId="02DD44A6"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7D9F51BE"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640FE42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w:t>
            </w:r>
          </w:p>
        </w:tc>
        <w:tc>
          <w:tcPr>
            <w:tcW w:w="1116" w:type="dxa"/>
            <w:tcBorders>
              <w:top w:val="nil"/>
              <w:left w:val="nil"/>
              <w:bottom w:val="nil"/>
              <w:right w:val="nil"/>
            </w:tcBorders>
            <w:shd w:val="clear" w:color="auto" w:fill="FFFFFF"/>
          </w:tcPr>
          <w:p w14:paraId="50AFAB5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7.8</w:t>
            </w:r>
          </w:p>
        </w:tc>
        <w:tc>
          <w:tcPr>
            <w:tcW w:w="1468" w:type="dxa"/>
            <w:tcBorders>
              <w:top w:val="nil"/>
              <w:left w:val="nil"/>
              <w:bottom w:val="nil"/>
              <w:right w:val="nil"/>
            </w:tcBorders>
            <w:shd w:val="clear" w:color="auto" w:fill="FFFFFF"/>
          </w:tcPr>
          <w:p w14:paraId="7E4E05C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7.8</w:t>
            </w:r>
          </w:p>
        </w:tc>
        <w:tc>
          <w:tcPr>
            <w:tcW w:w="1468" w:type="dxa"/>
            <w:tcBorders>
              <w:top w:val="nil"/>
              <w:left w:val="nil"/>
              <w:bottom w:val="nil"/>
              <w:right w:val="nil"/>
            </w:tcBorders>
            <w:shd w:val="clear" w:color="auto" w:fill="FFFFFF"/>
          </w:tcPr>
          <w:p w14:paraId="1240417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18.2</w:t>
            </w:r>
          </w:p>
        </w:tc>
      </w:tr>
      <w:tr w:rsidR="00CF0768" w:rsidRPr="00ED2AE5" w14:paraId="7B354CA8" w14:textId="77777777" w:rsidTr="00C44D6E">
        <w:trPr>
          <w:cantSplit/>
        </w:trPr>
        <w:tc>
          <w:tcPr>
            <w:tcW w:w="841" w:type="dxa"/>
            <w:vMerge/>
            <w:tcBorders>
              <w:left w:val="nil"/>
              <w:right w:val="nil"/>
            </w:tcBorders>
            <w:shd w:val="clear" w:color="auto" w:fill="FFFFFF"/>
          </w:tcPr>
          <w:p w14:paraId="6A488578"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7B3545C0"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45C1CBF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w:t>
            </w:r>
          </w:p>
        </w:tc>
        <w:tc>
          <w:tcPr>
            <w:tcW w:w="1116" w:type="dxa"/>
            <w:tcBorders>
              <w:top w:val="nil"/>
              <w:left w:val="nil"/>
              <w:bottom w:val="nil"/>
              <w:right w:val="nil"/>
            </w:tcBorders>
            <w:shd w:val="clear" w:color="auto" w:fill="FFFFFF"/>
          </w:tcPr>
          <w:p w14:paraId="36B9935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9.7</w:t>
            </w:r>
          </w:p>
        </w:tc>
        <w:tc>
          <w:tcPr>
            <w:tcW w:w="1468" w:type="dxa"/>
            <w:tcBorders>
              <w:top w:val="nil"/>
              <w:left w:val="nil"/>
              <w:bottom w:val="nil"/>
              <w:right w:val="nil"/>
            </w:tcBorders>
            <w:shd w:val="clear" w:color="auto" w:fill="FFFFFF"/>
          </w:tcPr>
          <w:p w14:paraId="0855A88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9.7</w:t>
            </w:r>
          </w:p>
        </w:tc>
        <w:tc>
          <w:tcPr>
            <w:tcW w:w="1468" w:type="dxa"/>
            <w:tcBorders>
              <w:top w:val="nil"/>
              <w:left w:val="nil"/>
              <w:bottom w:val="nil"/>
              <w:right w:val="nil"/>
            </w:tcBorders>
            <w:shd w:val="clear" w:color="auto" w:fill="FFFFFF"/>
          </w:tcPr>
          <w:p w14:paraId="592F008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27.9</w:t>
            </w:r>
          </w:p>
        </w:tc>
      </w:tr>
      <w:tr w:rsidR="00CF0768" w:rsidRPr="00ED2AE5" w14:paraId="7CD791E2" w14:textId="77777777" w:rsidTr="00C44D6E">
        <w:trPr>
          <w:cantSplit/>
        </w:trPr>
        <w:tc>
          <w:tcPr>
            <w:tcW w:w="841" w:type="dxa"/>
            <w:vMerge/>
            <w:tcBorders>
              <w:left w:val="nil"/>
              <w:right w:val="nil"/>
            </w:tcBorders>
            <w:shd w:val="clear" w:color="auto" w:fill="FFFFFF"/>
          </w:tcPr>
          <w:p w14:paraId="46CAB9A6"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6A40EF7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582EAF9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48</w:t>
            </w:r>
          </w:p>
        </w:tc>
        <w:tc>
          <w:tcPr>
            <w:tcW w:w="1116" w:type="dxa"/>
            <w:tcBorders>
              <w:top w:val="nil"/>
              <w:left w:val="nil"/>
              <w:bottom w:val="nil"/>
              <w:right w:val="nil"/>
            </w:tcBorders>
            <w:shd w:val="clear" w:color="auto" w:fill="FFFFFF"/>
          </w:tcPr>
          <w:p w14:paraId="1213497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31.2</w:t>
            </w:r>
          </w:p>
        </w:tc>
        <w:tc>
          <w:tcPr>
            <w:tcW w:w="1468" w:type="dxa"/>
            <w:tcBorders>
              <w:top w:val="nil"/>
              <w:left w:val="nil"/>
              <w:bottom w:val="nil"/>
              <w:right w:val="nil"/>
            </w:tcBorders>
            <w:shd w:val="clear" w:color="auto" w:fill="FFFFFF"/>
          </w:tcPr>
          <w:p w14:paraId="08F7102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31.2</w:t>
            </w:r>
          </w:p>
        </w:tc>
        <w:tc>
          <w:tcPr>
            <w:tcW w:w="1468" w:type="dxa"/>
            <w:tcBorders>
              <w:top w:val="nil"/>
              <w:left w:val="nil"/>
              <w:bottom w:val="nil"/>
              <w:right w:val="nil"/>
            </w:tcBorders>
            <w:shd w:val="clear" w:color="auto" w:fill="FFFFFF"/>
          </w:tcPr>
          <w:p w14:paraId="0932CC6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59.1</w:t>
            </w:r>
          </w:p>
        </w:tc>
      </w:tr>
      <w:tr w:rsidR="00CF0768" w:rsidRPr="00ED2AE5" w14:paraId="3D3D4BE4" w14:textId="77777777" w:rsidTr="00C44D6E">
        <w:trPr>
          <w:cantSplit/>
        </w:trPr>
        <w:tc>
          <w:tcPr>
            <w:tcW w:w="841" w:type="dxa"/>
            <w:vMerge/>
            <w:tcBorders>
              <w:left w:val="nil"/>
              <w:right w:val="nil"/>
            </w:tcBorders>
            <w:shd w:val="clear" w:color="auto" w:fill="FFFFFF"/>
          </w:tcPr>
          <w:p w14:paraId="75047379"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46CEEA35"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0AFBD9D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63</w:t>
            </w:r>
          </w:p>
        </w:tc>
        <w:tc>
          <w:tcPr>
            <w:tcW w:w="1116" w:type="dxa"/>
            <w:tcBorders>
              <w:top w:val="nil"/>
              <w:left w:val="nil"/>
              <w:bottom w:val="nil"/>
              <w:right w:val="nil"/>
            </w:tcBorders>
            <w:shd w:val="clear" w:color="auto" w:fill="FFFFFF"/>
          </w:tcPr>
          <w:p w14:paraId="7AE08D6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40.9</w:t>
            </w:r>
          </w:p>
        </w:tc>
        <w:tc>
          <w:tcPr>
            <w:tcW w:w="1468" w:type="dxa"/>
            <w:tcBorders>
              <w:top w:val="nil"/>
              <w:left w:val="nil"/>
              <w:bottom w:val="nil"/>
              <w:right w:val="nil"/>
            </w:tcBorders>
            <w:shd w:val="clear" w:color="auto" w:fill="FFFFFF"/>
          </w:tcPr>
          <w:p w14:paraId="139D9E2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40.9</w:t>
            </w:r>
          </w:p>
        </w:tc>
        <w:tc>
          <w:tcPr>
            <w:tcW w:w="1468" w:type="dxa"/>
            <w:tcBorders>
              <w:top w:val="nil"/>
              <w:left w:val="nil"/>
              <w:bottom w:val="nil"/>
              <w:right w:val="nil"/>
            </w:tcBorders>
            <w:shd w:val="clear" w:color="auto" w:fill="FFFFFF"/>
          </w:tcPr>
          <w:p w14:paraId="20C83F9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7779056C" w14:textId="77777777" w:rsidTr="00C44D6E">
        <w:trPr>
          <w:cantSplit/>
        </w:trPr>
        <w:tc>
          <w:tcPr>
            <w:tcW w:w="841" w:type="dxa"/>
            <w:vMerge/>
            <w:tcBorders>
              <w:left w:val="nil"/>
              <w:right w:val="nil"/>
            </w:tcBorders>
            <w:shd w:val="clear" w:color="auto" w:fill="FFFFFF"/>
          </w:tcPr>
          <w:p w14:paraId="73954C35"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41997A0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37EC14A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76E1DD0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51EA425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2300F9B9"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78D1EA8E"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28204033"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0A2C8C58" w14:textId="77777777" w:rsidTr="00C44D6E">
        <w:trPr>
          <w:cantSplit/>
        </w:trPr>
        <w:tc>
          <w:tcPr>
            <w:tcW w:w="8502" w:type="dxa"/>
            <w:gridSpan w:val="6"/>
            <w:tcBorders>
              <w:top w:val="nil"/>
              <w:left w:val="nil"/>
              <w:bottom w:val="nil"/>
              <w:right w:val="nil"/>
            </w:tcBorders>
            <w:shd w:val="clear" w:color="auto" w:fill="FFFFFF"/>
            <w:vAlign w:val="center"/>
          </w:tcPr>
          <w:p w14:paraId="784BACAE"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13. My sense of inclusion at work directly influences my decision to stay with this NHS Trust.</w:t>
            </w:r>
          </w:p>
        </w:tc>
      </w:tr>
      <w:tr w:rsidR="00CF0768" w:rsidRPr="00ED2AE5" w14:paraId="22726344" w14:textId="77777777" w:rsidTr="00C44D6E">
        <w:trPr>
          <w:cantSplit/>
        </w:trPr>
        <w:tc>
          <w:tcPr>
            <w:tcW w:w="3043" w:type="dxa"/>
            <w:gridSpan w:val="2"/>
            <w:tcBorders>
              <w:left w:val="nil"/>
              <w:right w:val="nil"/>
            </w:tcBorders>
            <w:shd w:val="clear" w:color="auto" w:fill="FFFFFF"/>
            <w:vAlign w:val="bottom"/>
          </w:tcPr>
          <w:p w14:paraId="6A10CC7B"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21817396"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7E3C005B"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5EE68C1B"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4D99DAF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0E81E55D" w14:textId="77777777" w:rsidTr="00C44D6E">
        <w:trPr>
          <w:cantSplit/>
        </w:trPr>
        <w:tc>
          <w:tcPr>
            <w:tcW w:w="841" w:type="dxa"/>
            <w:vMerge w:val="restart"/>
            <w:tcBorders>
              <w:left w:val="nil"/>
              <w:right w:val="nil"/>
            </w:tcBorders>
            <w:shd w:val="clear" w:color="auto" w:fill="FFFFFF"/>
          </w:tcPr>
          <w:p w14:paraId="1956F542"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380B986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2FE18BF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w:t>
            </w:r>
          </w:p>
        </w:tc>
        <w:tc>
          <w:tcPr>
            <w:tcW w:w="1116" w:type="dxa"/>
            <w:tcBorders>
              <w:left w:val="nil"/>
              <w:bottom w:val="nil"/>
              <w:right w:val="nil"/>
            </w:tcBorders>
            <w:shd w:val="clear" w:color="auto" w:fill="FFFFFF"/>
          </w:tcPr>
          <w:p w14:paraId="7AC27A0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left w:val="nil"/>
              <w:bottom w:val="nil"/>
              <w:right w:val="nil"/>
            </w:tcBorders>
            <w:shd w:val="clear" w:color="auto" w:fill="FFFFFF"/>
          </w:tcPr>
          <w:p w14:paraId="11D185A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left w:val="nil"/>
              <w:bottom w:val="nil"/>
              <w:right w:val="nil"/>
            </w:tcBorders>
            <w:shd w:val="clear" w:color="auto" w:fill="FFFFFF"/>
          </w:tcPr>
          <w:p w14:paraId="2E019A1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r>
      <w:tr w:rsidR="00CF0768" w:rsidRPr="00ED2AE5" w14:paraId="2D57B4F4" w14:textId="77777777" w:rsidTr="00C44D6E">
        <w:trPr>
          <w:cantSplit/>
        </w:trPr>
        <w:tc>
          <w:tcPr>
            <w:tcW w:w="841" w:type="dxa"/>
            <w:vMerge/>
            <w:tcBorders>
              <w:left w:val="nil"/>
              <w:right w:val="nil"/>
            </w:tcBorders>
            <w:shd w:val="clear" w:color="auto" w:fill="FFFFFF"/>
          </w:tcPr>
          <w:p w14:paraId="2848D550"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0D2C1E34"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708F76F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16</w:t>
            </w:r>
          </w:p>
        </w:tc>
        <w:tc>
          <w:tcPr>
            <w:tcW w:w="1116" w:type="dxa"/>
            <w:tcBorders>
              <w:top w:val="nil"/>
              <w:left w:val="nil"/>
              <w:bottom w:val="nil"/>
              <w:right w:val="nil"/>
            </w:tcBorders>
            <w:shd w:val="clear" w:color="auto" w:fill="FFFFFF"/>
          </w:tcPr>
          <w:p w14:paraId="4AD31BB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10.4</w:t>
            </w:r>
          </w:p>
        </w:tc>
        <w:tc>
          <w:tcPr>
            <w:tcW w:w="1468" w:type="dxa"/>
            <w:tcBorders>
              <w:top w:val="nil"/>
              <w:left w:val="nil"/>
              <w:bottom w:val="nil"/>
              <w:right w:val="nil"/>
            </w:tcBorders>
            <w:shd w:val="clear" w:color="auto" w:fill="FFFFFF"/>
          </w:tcPr>
          <w:p w14:paraId="1FDC559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10.4</w:t>
            </w:r>
          </w:p>
        </w:tc>
        <w:tc>
          <w:tcPr>
            <w:tcW w:w="1468" w:type="dxa"/>
            <w:tcBorders>
              <w:top w:val="nil"/>
              <w:left w:val="nil"/>
              <w:bottom w:val="nil"/>
              <w:right w:val="nil"/>
            </w:tcBorders>
            <w:shd w:val="clear" w:color="auto" w:fill="FFFFFF"/>
          </w:tcPr>
          <w:p w14:paraId="62CB53B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17.5</w:t>
            </w:r>
          </w:p>
        </w:tc>
      </w:tr>
      <w:tr w:rsidR="00CF0768" w:rsidRPr="00ED2AE5" w14:paraId="2662359F" w14:textId="77777777" w:rsidTr="00C44D6E">
        <w:trPr>
          <w:cantSplit/>
        </w:trPr>
        <w:tc>
          <w:tcPr>
            <w:tcW w:w="841" w:type="dxa"/>
            <w:vMerge/>
            <w:tcBorders>
              <w:left w:val="nil"/>
              <w:right w:val="nil"/>
            </w:tcBorders>
            <w:shd w:val="clear" w:color="auto" w:fill="FFFFFF"/>
          </w:tcPr>
          <w:p w14:paraId="18C5B8D4"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74505BBA"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49DBF00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30</w:t>
            </w:r>
          </w:p>
        </w:tc>
        <w:tc>
          <w:tcPr>
            <w:tcW w:w="1116" w:type="dxa"/>
            <w:tcBorders>
              <w:top w:val="nil"/>
              <w:left w:val="nil"/>
              <w:bottom w:val="nil"/>
              <w:right w:val="nil"/>
            </w:tcBorders>
            <w:shd w:val="clear" w:color="auto" w:fill="FFFFFF"/>
          </w:tcPr>
          <w:p w14:paraId="1594D16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1468" w:type="dxa"/>
            <w:tcBorders>
              <w:top w:val="nil"/>
              <w:left w:val="nil"/>
              <w:bottom w:val="nil"/>
              <w:right w:val="nil"/>
            </w:tcBorders>
            <w:shd w:val="clear" w:color="auto" w:fill="FFFFFF"/>
          </w:tcPr>
          <w:p w14:paraId="09323C7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19.5</w:t>
            </w:r>
          </w:p>
        </w:tc>
        <w:tc>
          <w:tcPr>
            <w:tcW w:w="1468" w:type="dxa"/>
            <w:tcBorders>
              <w:top w:val="nil"/>
              <w:left w:val="nil"/>
              <w:bottom w:val="nil"/>
              <w:right w:val="nil"/>
            </w:tcBorders>
            <w:shd w:val="clear" w:color="auto" w:fill="FFFFFF"/>
          </w:tcPr>
          <w:p w14:paraId="6746E8E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37.0</w:t>
            </w:r>
          </w:p>
        </w:tc>
      </w:tr>
      <w:tr w:rsidR="00CF0768" w:rsidRPr="00ED2AE5" w14:paraId="54734E5C" w14:textId="77777777" w:rsidTr="00C44D6E">
        <w:trPr>
          <w:cantSplit/>
        </w:trPr>
        <w:tc>
          <w:tcPr>
            <w:tcW w:w="841" w:type="dxa"/>
            <w:vMerge/>
            <w:tcBorders>
              <w:left w:val="nil"/>
              <w:right w:val="nil"/>
            </w:tcBorders>
            <w:shd w:val="clear" w:color="auto" w:fill="FFFFFF"/>
          </w:tcPr>
          <w:p w14:paraId="20AFDBB9"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158CFC36"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5CB4595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36</w:t>
            </w:r>
          </w:p>
        </w:tc>
        <w:tc>
          <w:tcPr>
            <w:tcW w:w="1116" w:type="dxa"/>
            <w:tcBorders>
              <w:top w:val="nil"/>
              <w:left w:val="nil"/>
              <w:bottom w:val="nil"/>
              <w:right w:val="nil"/>
            </w:tcBorders>
            <w:shd w:val="clear" w:color="auto" w:fill="FFFFFF"/>
          </w:tcPr>
          <w:p w14:paraId="0DD4418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23.4</w:t>
            </w:r>
          </w:p>
        </w:tc>
        <w:tc>
          <w:tcPr>
            <w:tcW w:w="1468" w:type="dxa"/>
            <w:tcBorders>
              <w:top w:val="nil"/>
              <w:left w:val="nil"/>
              <w:bottom w:val="nil"/>
              <w:right w:val="nil"/>
            </w:tcBorders>
            <w:shd w:val="clear" w:color="auto" w:fill="FFFFFF"/>
          </w:tcPr>
          <w:p w14:paraId="22E20F7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23.4</w:t>
            </w:r>
          </w:p>
        </w:tc>
        <w:tc>
          <w:tcPr>
            <w:tcW w:w="1468" w:type="dxa"/>
            <w:tcBorders>
              <w:top w:val="nil"/>
              <w:left w:val="nil"/>
              <w:bottom w:val="nil"/>
              <w:right w:val="nil"/>
            </w:tcBorders>
            <w:shd w:val="clear" w:color="auto" w:fill="FFFFFF"/>
          </w:tcPr>
          <w:p w14:paraId="5577152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60.4</w:t>
            </w:r>
          </w:p>
        </w:tc>
      </w:tr>
      <w:tr w:rsidR="00CF0768" w:rsidRPr="00ED2AE5" w14:paraId="0337B957" w14:textId="77777777" w:rsidTr="00C44D6E">
        <w:trPr>
          <w:cantSplit/>
        </w:trPr>
        <w:tc>
          <w:tcPr>
            <w:tcW w:w="841" w:type="dxa"/>
            <w:vMerge/>
            <w:tcBorders>
              <w:left w:val="nil"/>
              <w:right w:val="nil"/>
            </w:tcBorders>
            <w:shd w:val="clear" w:color="auto" w:fill="FFFFFF"/>
          </w:tcPr>
          <w:p w14:paraId="66920D6A"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0C198E3A"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4B71FE1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61</w:t>
            </w:r>
          </w:p>
        </w:tc>
        <w:tc>
          <w:tcPr>
            <w:tcW w:w="1116" w:type="dxa"/>
            <w:tcBorders>
              <w:top w:val="nil"/>
              <w:left w:val="nil"/>
              <w:bottom w:val="nil"/>
              <w:right w:val="nil"/>
            </w:tcBorders>
            <w:shd w:val="clear" w:color="auto" w:fill="FFFFFF"/>
          </w:tcPr>
          <w:p w14:paraId="6F2CB87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39.6</w:t>
            </w:r>
          </w:p>
        </w:tc>
        <w:tc>
          <w:tcPr>
            <w:tcW w:w="1468" w:type="dxa"/>
            <w:tcBorders>
              <w:top w:val="nil"/>
              <w:left w:val="nil"/>
              <w:bottom w:val="nil"/>
              <w:right w:val="nil"/>
            </w:tcBorders>
            <w:shd w:val="clear" w:color="auto" w:fill="FFFFFF"/>
          </w:tcPr>
          <w:p w14:paraId="21AD11A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39.6</w:t>
            </w:r>
          </w:p>
        </w:tc>
        <w:tc>
          <w:tcPr>
            <w:tcW w:w="1468" w:type="dxa"/>
            <w:tcBorders>
              <w:top w:val="nil"/>
              <w:left w:val="nil"/>
              <w:bottom w:val="nil"/>
              <w:right w:val="nil"/>
            </w:tcBorders>
            <w:shd w:val="clear" w:color="auto" w:fill="FFFFFF"/>
          </w:tcPr>
          <w:p w14:paraId="078B39D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67BAE8C7" w14:textId="77777777" w:rsidTr="00C44D6E">
        <w:trPr>
          <w:cantSplit/>
        </w:trPr>
        <w:tc>
          <w:tcPr>
            <w:tcW w:w="841" w:type="dxa"/>
            <w:vMerge/>
            <w:tcBorders>
              <w:left w:val="nil"/>
              <w:right w:val="nil"/>
            </w:tcBorders>
            <w:shd w:val="clear" w:color="auto" w:fill="FFFFFF"/>
          </w:tcPr>
          <w:p w14:paraId="0BCE0138"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7911872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307BC54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174BC34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508E70A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03838611"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088119C0"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5BC58D1A"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0717D60F" w14:textId="77777777" w:rsidTr="00C44D6E">
        <w:trPr>
          <w:cantSplit/>
        </w:trPr>
        <w:tc>
          <w:tcPr>
            <w:tcW w:w="8502" w:type="dxa"/>
            <w:gridSpan w:val="6"/>
            <w:tcBorders>
              <w:top w:val="nil"/>
              <w:left w:val="nil"/>
              <w:bottom w:val="nil"/>
              <w:right w:val="nil"/>
            </w:tcBorders>
            <w:shd w:val="clear" w:color="auto" w:fill="FFFFFF"/>
            <w:vAlign w:val="center"/>
          </w:tcPr>
          <w:p w14:paraId="44C2FAA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14. I would recommend this Trust as a good and inclusive place to work.</w:t>
            </w:r>
          </w:p>
        </w:tc>
      </w:tr>
      <w:tr w:rsidR="00CF0768" w:rsidRPr="00ED2AE5" w14:paraId="4E4919D3" w14:textId="77777777" w:rsidTr="00C44D6E">
        <w:trPr>
          <w:cantSplit/>
        </w:trPr>
        <w:tc>
          <w:tcPr>
            <w:tcW w:w="3043" w:type="dxa"/>
            <w:gridSpan w:val="2"/>
            <w:tcBorders>
              <w:left w:val="nil"/>
              <w:right w:val="nil"/>
            </w:tcBorders>
            <w:shd w:val="clear" w:color="auto" w:fill="FFFFFF"/>
            <w:vAlign w:val="bottom"/>
          </w:tcPr>
          <w:p w14:paraId="387B9FB1"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79AA2383"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0F214D1B"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0B97C9AC"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59207C30"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3CF96082" w14:textId="77777777" w:rsidTr="00C44D6E">
        <w:trPr>
          <w:cantSplit/>
        </w:trPr>
        <w:tc>
          <w:tcPr>
            <w:tcW w:w="841" w:type="dxa"/>
            <w:vMerge w:val="restart"/>
            <w:tcBorders>
              <w:left w:val="nil"/>
              <w:right w:val="nil"/>
            </w:tcBorders>
            <w:shd w:val="clear" w:color="auto" w:fill="FFFFFF"/>
          </w:tcPr>
          <w:p w14:paraId="65708C1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29BA4EE7"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6B71CEE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w:t>
            </w:r>
          </w:p>
        </w:tc>
        <w:tc>
          <w:tcPr>
            <w:tcW w:w="1116" w:type="dxa"/>
            <w:tcBorders>
              <w:left w:val="nil"/>
              <w:bottom w:val="nil"/>
              <w:right w:val="nil"/>
            </w:tcBorders>
            <w:shd w:val="clear" w:color="auto" w:fill="FFFFFF"/>
          </w:tcPr>
          <w:p w14:paraId="081A7B3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5.2</w:t>
            </w:r>
          </w:p>
        </w:tc>
        <w:tc>
          <w:tcPr>
            <w:tcW w:w="1468" w:type="dxa"/>
            <w:tcBorders>
              <w:left w:val="nil"/>
              <w:bottom w:val="nil"/>
              <w:right w:val="nil"/>
            </w:tcBorders>
            <w:shd w:val="clear" w:color="auto" w:fill="FFFFFF"/>
          </w:tcPr>
          <w:p w14:paraId="7AF588A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5.2</w:t>
            </w:r>
          </w:p>
        </w:tc>
        <w:tc>
          <w:tcPr>
            <w:tcW w:w="1468" w:type="dxa"/>
            <w:tcBorders>
              <w:left w:val="nil"/>
              <w:bottom w:val="nil"/>
              <w:right w:val="nil"/>
            </w:tcBorders>
            <w:shd w:val="clear" w:color="auto" w:fill="FFFFFF"/>
          </w:tcPr>
          <w:p w14:paraId="3887634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5.2</w:t>
            </w:r>
          </w:p>
        </w:tc>
      </w:tr>
      <w:tr w:rsidR="00CF0768" w:rsidRPr="00ED2AE5" w14:paraId="4E1226B3" w14:textId="77777777" w:rsidTr="00C44D6E">
        <w:trPr>
          <w:cantSplit/>
        </w:trPr>
        <w:tc>
          <w:tcPr>
            <w:tcW w:w="841" w:type="dxa"/>
            <w:vMerge/>
            <w:tcBorders>
              <w:left w:val="nil"/>
              <w:right w:val="nil"/>
            </w:tcBorders>
            <w:shd w:val="clear" w:color="auto" w:fill="FFFFFF"/>
          </w:tcPr>
          <w:p w14:paraId="45F82568"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5BBFD9E0"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6A16511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13</w:t>
            </w:r>
          </w:p>
        </w:tc>
        <w:tc>
          <w:tcPr>
            <w:tcW w:w="1116" w:type="dxa"/>
            <w:tcBorders>
              <w:top w:val="nil"/>
              <w:left w:val="nil"/>
              <w:bottom w:val="nil"/>
              <w:right w:val="nil"/>
            </w:tcBorders>
            <w:shd w:val="clear" w:color="auto" w:fill="FFFFFF"/>
          </w:tcPr>
          <w:p w14:paraId="7531128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8.4</w:t>
            </w:r>
          </w:p>
        </w:tc>
        <w:tc>
          <w:tcPr>
            <w:tcW w:w="1468" w:type="dxa"/>
            <w:tcBorders>
              <w:top w:val="nil"/>
              <w:left w:val="nil"/>
              <w:bottom w:val="nil"/>
              <w:right w:val="nil"/>
            </w:tcBorders>
            <w:shd w:val="clear" w:color="auto" w:fill="FFFFFF"/>
          </w:tcPr>
          <w:p w14:paraId="76A1A47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8.4</w:t>
            </w:r>
          </w:p>
        </w:tc>
        <w:tc>
          <w:tcPr>
            <w:tcW w:w="1468" w:type="dxa"/>
            <w:tcBorders>
              <w:top w:val="nil"/>
              <w:left w:val="nil"/>
              <w:bottom w:val="nil"/>
              <w:right w:val="nil"/>
            </w:tcBorders>
            <w:shd w:val="clear" w:color="auto" w:fill="FFFFFF"/>
          </w:tcPr>
          <w:p w14:paraId="322EF24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13.6</w:t>
            </w:r>
          </w:p>
        </w:tc>
      </w:tr>
      <w:tr w:rsidR="00CF0768" w:rsidRPr="00ED2AE5" w14:paraId="117D259D" w14:textId="77777777" w:rsidTr="00C44D6E">
        <w:trPr>
          <w:cantSplit/>
        </w:trPr>
        <w:tc>
          <w:tcPr>
            <w:tcW w:w="841" w:type="dxa"/>
            <w:vMerge/>
            <w:tcBorders>
              <w:left w:val="nil"/>
              <w:right w:val="nil"/>
            </w:tcBorders>
            <w:shd w:val="clear" w:color="auto" w:fill="FFFFFF"/>
          </w:tcPr>
          <w:p w14:paraId="296379BF"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68424A42"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5227B6D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w:t>
            </w:r>
          </w:p>
        </w:tc>
        <w:tc>
          <w:tcPr>
            <w:tcW w:w="1116" w:type="dxa"/>
            <w:tcBorders>
              <w:top w:val="nil"/>
              <w:left w:val="nil"/>
              <w:bottom w:val="nil"/>
              <w:right w:val="nil"/>
            </w:tcBorders>
            <w:shd w:val="clear" w:color="auto" w:fill="FFFFFF"/>
          </w:tcPr>
          <w:p w14:paraId="589D5EE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11.7</w:t>
            </w:r>
          </w:p>
        </w:tc>
        <w:tc>
          <w:tcPr>
            <w:tcW w:w="1468" w:type="dxa"/>
            <w:tcBorders>
              <w:top w:val="nil"/>
              <w:left w:val="nil"/>
              <w:bottom w:val="nil"/>
              <w:right w:val="nil"/>
            </w:tcBorders>
            <w:shd w:val="clear" w:color="auto" w:fill="FFFFFF"/>
          </w:tcPr>
          <w:p w14:paraId="284E516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11.7</w:t>
            </w:r>
          </w:p>
        </w:tc>
        <w:tc>
          <w:tcPr>
            <w:tcW w:w="1468" w:type="dxa"/>
            <w:tcBorders>
              <w:top w:val="nil"/>
              <w:left w:val="nil"/>
              <w:bottom w:val="nil"/>
              <w:right w:val="nil"/>
            </w:tcBorders>
            <w:shd w:val="clear" w:color="auto" w:fill="FFFFFF"/>
          </w:tcPr>
          <w:p w14:paraId="5F95D0E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25.3</w:t>
            </w:r>
          </w:p>
        </w:tc>
      </w:tr>
      <w:tr w:rsidR="00CF0768" w:rsidRPr="00ED2AE5" w14:paraId="191BA3F6" w14:textId="77777777" w:rsidTr="00C44D6E">
        <w:trPr>
          <w:cantSplit/>
        </w:trPr>
        <w:tc>
          <w:tcPr>
            <w:tcW w:w="841" w:type="dxa"/>
            <w:vMerge/>
            <w:tcBorders>
              <w:left w:val="nil"/>
              <w:right w:val="nil"/>
            </w:tcBorders>
            <w:shd w:val="clear" w:color="auto" w:fill="FFFFFF"/>
          </w:tcPr>
          <w:p w14:paraId="0918A1C6"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1102E314"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36CE27F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50</w:t>
            </w:r>
          </w:p>
        </w:tc>
        <w:tc>
          <w:tcPr>
            <w:tcW w:w="1116" w:type="dxa"/>
            <w:tcBorders>
              <w:top w:val="nil"/>
              <w:left w:val="nil"/>
              <w:bottom w:val="nil"/>
              <w:right w:val="nil"/>
            </w:tcBorders>
            <w:shd w:val="clear" w:color="auto" w:fill="FFFFFF"/>
          </w:tcPr>
          <w:p w14:paraId="1DDF32C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32.5</w:t>
            </w:r>
          </w:p>
        </w:tc>
        <w:tc>
          <w:tcPr>
            <w:tcW w:w="1468" w:type="dxa"/>
            <w:tcBorders>
              <w:top w:val="nil"/>
              <w:left w:val="nil"/>
              <w:bottom w:val="nil"/>
              <w:right w:val="nil"/>
            </w:tcBorders>
            <w:shd w:val="clear" w:color="auto" w:fill="FFFFFF"/>
          </w:tcPr>
          <w:p w14:paraId="16ACABA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32.5</w:t>
            </w:r>
          </w:p>
        </w:tc>
        <w:tc>
          <w:tcPr>
            <w:tcW w:w="1468" w:type="dxa"/>
            <w:tcBorders>
              <w:top w:val="nil"/>
              <w:left w:val="nil"/>
              <w:bottom w:val="nil"/>
              <w:right w:val="nil"/>
            </w:tcBorders>
            <w:shd w:val="clear" w:color="auto" w:fill="FFFFFF"/>
          </w:tcPr>
          <w:p w14:paraId="7942F77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57.8</w:t>
            </w:r>
          </w:p>
        </w:tc>
      </w:tr>
      <w:tr w:rsidR="00CF0768" w:rsidRPr="00ED2AE5" w14:paraId="562F365A" w14:textId="77777777" w:rsidTr="00C44D6E">
        <w:trPr>
          <w:cantSplit/>
        </w:trPr>
        <w:tc>
          <w:tcPr>
            <w:tcW w:w="841" w:type="dxa"/>
            <w:vMerge/>
            <w:tcBorders>
              <w:left w:val="nil"/>
              <w:right w:val="nil"/>
            </w:tcBorders>
            <w:shd w:val="clear" w:color="auto" w:fill="FFFFFF"/>
          </w:tcPr>
          <w:p w14:paraId="546DDC39"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15A657F8"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29896FB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116" w:type="dxa"/>
            <w:tcBorders>
              <w:top w:val="nil"/>
              <w:left w:val="nil"/>
              <w:bottom w:val="nil"/>
              <w:right w:val="nil"/>
            </w:tcBorders>
            <w:shd w:val="clear" w:color="auto" w:fill="FFFFFF"/>
          </w:tcPr>
          <w:p w14:paraId="189019F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42.2</w:t>
            </w:r>
          </w:p>
        </w:tc>
        <w:tc>
          <w:tcPr>
            <w:tcW w:w="1468" w:type="dxa"/>
            <w:tcBorders>
              <w:top w:val="nil"/>
              <w:left w:val="nil"/>
              <w:bottom w:val="nil"/>
              <w:right w:val="nil"/>
            </w:tcBorders>
            <w:shd w:val="clear" w:color="auto" w:fill="FFFFFF"/>
          </w:tcPr>
          <w:p w14:paraId="6B41326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42.2</w:t>
            </w:r>
          </w:p>
        </w:tc>
        <w:tc>
          <w:tcPr>
            <w:tcW w:w="1468" w:type="dxa"/>
            <w:tcBorders>
              <w:top w:val="nil"/>
              <w:left w:val="nil"/>
              <w:bottom w:val="nil"/>
              <w:right w:val="nil"/>
            </w:tcBorders>
            <w:shd w:val="clear" w:color="auto" w:fill="FFFFFF"/>
          </w:tcPr>
          <w:p w14:paraId="3F37AE8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56C6D262" w14:textId="77777777" w:rsidTr="00C44D6E">
        <w:trPr>
          <w:cantSplit/>
        </w:trPr>
        <w:tc>
          <w:tcPr>
            <w:tcW w:w="841" w:type="dxa"/>
            <w:vMerge/>
            <w:tcBorders>
              <w:left w:val="nil"/>
              <w:right w:val="nil"/>
            </w:tcBorders>
            <w:shd w:val="clear" w:color="auto" w:fill="FFFFFF"/>
          </w:tcPr>
          <w:p w14:paraId="6C44F535"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2C7FDC47"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40326A8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692DBBF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1A910DC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49C99E32"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2481DADC"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24B5FAEC"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528CA8E1" w14:textId="77777777" w:rsidTr="00C44D6E">
        <w:trPr>
          <w:cantSplit/>
        </w:trPr>
        <w:tc>
          <w:tcPr>
            <w:tcW w:w="8502" w:type="dxa"/>
            <w:gridSpan w:val="6"/>
            <w:tcBorders>
              <w:top w:val="nil"/>
              <w:left w:val="nil"/>
              <w:bottom w:val="nil"/>
              <w:right w:val="nil"/>
            </w:tcBorders>
            <w:shd w:val="clear" w:color="auto" w:fill="FFFFFF"/>
            <w:vAlign w:val="center"/>
          </w:tcPr>
          <w:p w14:paraId="7467F0C5"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 xml:space="preserve">15. Improvements in </w:t>
            </w:r>
            <w:proofErr w:type="spellStart"/>
            <w:r w:rsidRPr="00ED2AE5">
              <w:rPr>
                <w:rFonts w:ascii="Arial" w:hAnsi="Arial" w:cs="Arial"/>
                <w:i/>
                <w:iCs/>
                <w:color w:val="000000"/>
                <w:kern w:val="0"/>
                <w:szCs w:val="24"/>
                <w:lang w:val="en-US"/>
              </w:rPr>
              <w:t>D&amp;amp;I</w:t>
            </w:r>
            <w:proofErr w:type="spellEnd"/>
            <w:r w:rsidRPr="00ED2AE5">
              <w:rPr>
                <w:rFonts w:ascii="Arial" w:hAnsi="Arial" w:cs="Arial"/>
                <w:i/>
                <w:iCs/>
                <w:color w:val="000000"/>
                <w:kern w:val="0"/>
                <w:szCs w:val="24"/>
                <w:lang w:val="en-US"/>
              </w:rPr>
              <w:t xml:space="preserve"> would significantly increase my intention to stay in my current role.</w:t>
            </w:r>
          </w:p>
        </w:tc>
      </w:tr>
      <w:tr w:rsidR="00CF0768" w:rsidRPr="00ED2AE5" w14:paraId="110F00D4" w14:textId="77777777" w:rsidTr="00C44D6E">
        <w:trPr>
          <w:cantSplit/>
        </w:trPr>
        <w:tc>
          <w:tcPr>
            <w:tcW w:w="3043" w:type="dxa"/>
            <w:gridSpan w:val="2"/>
            <w:tcBorders>
              <w:left w:val="nil"/>
              <w:right w:val="nil"/>
            </w:tcBorders>
            <w:shd w:val="clear" w:color="auto" w:fill="FFFFFF"/>
            <w:vAlign w:val="bottom"/>
          </w:tcPr>
          <w:p w14:paraId="7937AE8E"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6830703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254E3777"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44B29444"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11EECBD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69C2A11E" w14:textId="77777777" w:rsidTr="00C44D6E">
        <w:trPr>
          <w:cantSplit/>
        </w:trPr>
        <w:tc>
          <w:tcPr>
            <w:tcW w:w="841" w:type="dxa"/>
            <w:vMerge w:val="restart"/>
            <w:tcBorders>
              <w:left w:val="nil"/>
              <w:right w:val="nil"/>
            </w:tcBorders>
            <w:shd w:val="clear" w:color="auto" w:fill="FFFFFF"/>
          </w:tcPr>
          <w:p w14:paraId="079F72F3"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0B099505"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09A691E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13</w:t>
            </w:r>
          </w:p>
        </w:tc>
        <w:tc>
          <w:tcPr>
            <w:tcW w:w="1116" w:type="dxa"/>
            <w:tcBorders>
              <w:left w:val="nil"/>
              <w:bottom w:val="nil"/>
              <w:right w:val="nil"/>
            </w:tcBorders>
            <w:shd w:val="clear" w:color="auto" w:fill="FFFFFF"/>
          </w:tcPr>
          <w:p w14:paraId="5637D70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8.4</w:t>
            </w:r>
          </w:p>
        </w:tc>
        <w:tc>
          <w:tcPr>
            <w:tcW w:w="1468" w:type="dxa"/>
            <w:tcBorders>
              <w:left w:val="nil"/>
              <w:bottom w:val="nil"/>
              <w:right w:val="nil"/>
            </w:tcBorders>
            <w:shd w:val="clear" w:color="auto" w:fill="FFFFFF"/>
          </w:tcPr>
          <w:p w14:paraId="37421E4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8.4</w:t>
            </w:r>
          </w:p>
        </w:tc>
        <w:tc>
          <w:tcPr>
            <w:tcW w:w="1468" w:type="dxa"/>
            <w:tcBorders>
              <w:left w:val="nil"/>
              <w:bottom w:val="nil"/>
              <w:right w:val="nil"/>
            </w:tcBorders>
            <w:shd w:val="clear" w:color="auto" w:fill="FFFFFF"/>
          </w:tcPr>
          <w:p w14:paraId="7E8FB29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8.4</w:t>
            </w:r>
          </w:p>
        </w:tc>
      </w:tr>
      <w:tr w:rsidR="00CF0768" w:rsidRPr="00ED2AE5" w14:paraId="35D3B931" w14:textId="77777777" w:rsidTr="00C44D6E">
        <w:trPr>
          <w:cantSplit/>
        </w:trPr>
        <w:tc>
          <w:tcPr>
            <w:tcW w:w="841" w:type="dxa"/>
            <w:vMerge/>
            <w:tcBorders>
              <w:left w:val="nil"/>
              <w:right w:val="nil"/>
            </w:tcBorders>
            <w:shd w:val="clear" w:color="auto" w:fill="FFFFFF"/>
          </w:tcPr>
          <w:p w14:paraId="6AABF581"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61F64E7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412E48E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w:t>
            </w:r>
          </w:p>
        </w:tc>
        <w:tc>
          <w:tcPr>
            <w:tcW w:w="1116" w:type="dxa"/>
            <w:tcBorders>
              <w:top w:val="nil"/>
              <w:left w:val="nil"/>
              <w:bottom w:val="nil"/>
              <w:right w:val="nil"/>
            </w:tcBorders>
            <w:shd w:val="clear" w:color="auto" w:fill="FFFFFF"/>
          </w:tcPr>
          <w:p w14:paraId="27AFE64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9.7</w:t>
            </w:r>
          </w:p>
        </w:tc>
        <w:tc>
          <w:tcPr>
            <w:tcW w:w="1468" w:type="dxa"/>
            <w:tcBorders>
              <w:top w:val="nil"/>
              <w:left w:val="nil"/>
              <w:bottom w:val="nil"/>
              <w:right w:val="nil"/>
            </w:tcBorders>
            <w:shd w:val="clear" w:color="auto" w:fill="FFFFFF"/>
          </w:tcPr>
          <w:p w14:paraId="22218D7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9.7</w:t>
            </w:r>
          </w:p>
        </w:tc>
        <w:tc>
          <w:tcPr>
            <w:tcW w:w="1468" w:type="dxa"/>
            <w:tcBorders>
              <w:top w:val="nil"/>
              <w:left w:val="nil"/>
              <w:bottom w:val="nil"/>
              <w:right w:val="nil"/>
            </w:tcBorders>
            <w:shd w:val="clear" w:color="auto" w:fill="FFFFFF"/>
          </w:tcPr>
          <w:p w14:paraId="7C3C714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18.2</w:t>
            </w:r>
          </w:p>
        </w:tc>
      </w:tr>
      <w:tr w:rsidR="00CF0768" w:rsidRPr="00ED2AE5" w14:paraId="7453E256" w14:textId="77777777" w:rsidTr="00C44D6E">
        <w:trPr>
          <w:cantSplit/>
        </w:trPr>
        <w:tc>
          <w:tcPr>
            <w:tcW w:w="841" w:type="dxa"/>
            <w:vMerge/>
            <w:tcBorders>
              <w:left w:val="nil"/>
              <w:right w:val="nil"/>
            </w:tcBorders>
            <w:shd w:val="clear" w:color="auto" w:fill="FFFFFF"/>
          </w:tcPr>
          <w:p w14:paraId="16747062"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0C08227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2F1DFD6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23</w:t>
            </w:r>
          </w:p>
        </w:tc>
        <w:tc>
          <w:tcPr>
            <w:tcW w:w="1116" w:type="dxa"/>
            <w:tcBorders>
              <w:top w:val="nil"/>
              <w:left w:val="nil"/>
              <w:bottom w:val="nil"/>
              <w:right w:val="nil"/>
            </w:tcBorders>
            <w:shd w:val="clear" w:color="auto" w:fill="FFFFFF"/>
          </w:tcPr>
          <w:p w14:paraId="2C90172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14.9</w:t>
            </w:r>
          </w:p>
        </w:tc>
        <w:tc>
          <w:tcPr>
            <w:tcW w:w="1468" w:type="dxa"/>
            <w:tcBorders>
              <w:top w:val="nil"/>
              <w:left w:val="nil"/>
              <w:bottom w:val="nil"/>
              <w:right w:val="nil"/>
            </w:tcBorders>
            <w:shd w:val="clear" w:color="auto" w:fill="FFFFFF"/>
          </w:tcPr>
          <w:p w14:paraId="2ED5748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14.9</w:t>
            </w:r>
          </w:p>
        </w:tc>
        <w:tc>
          <w:tcPr>
            <w:tcW w:w="1468" w:type="dxa"/>
            <w:tcBorders>
              <w:top w:val="nil"/>
              <w:left w:val="nil"/>
              <w:bottom w:val="nil"/>
              <w:right w:val="nil"/>
            </w:tcBorders>
            <w:shd w:val="clear" w:color="auto" w:fill="FFFFFF"/>
          </w:tcPr>
          <w:p w14:paraId="4DE564A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33.1</w:t>
            </w:r>
          </w:p>
        </w:tc>
      </w:tr>
      <w:tr w:rsidR="00CF0768" w:rsidRPr="00ED2AE5" w14:paraId="6306B7BE" w14:textId="77777777" w:rsidTr="00C44D6E">
        <w:trPr>
          <w:cantSplit/>
        </w:trPr>
        <w:tc>
          <w:tcPr>
            <w:tcW w:w="841" w:type="dxa"/>
            <w:vMerge/>
            <w:tcBorders>
              <w:left w:val="nil"/>
              <w:right w:val="nil"/>
            </w:tcBorders>
            <w:shd w:val="clear" w:color="auto" w:fill="FFFFFF"/>
          </w:tcPr>
          <w:p w14:paraId="511F04DD"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2E0A6349"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5F8FA88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50</w:t>
            </w:r>
          </w:p>
        </w:tc>
        <w:tc>
          <w:tcPr>
            <w:tcW w:w="1116" w:type="dxa"/>
            <w:tcBorders>
              <w:top w:val="nil"/>
              <w:left w:val="nil"/>
              <w:bottom w:val="nil"/>
              <w:right w:val="nil"/>
            </w:tcBorders>
            <w:shd w:val="clear" w:color="auto" w:fill="FFFFFF"/>
          </w:tcPr>
          <w:p w14:paraId="254242E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32.5</w:t>
            </w:r>
          </w:p>
        </w:tc>
        <w:tc>
          <w:tcPr>
            <w:tcW w:w="1468" w:type="dxa"/>
            <w:tcBorders>
              <w:top w:val="nil"/>
              <w:left w:val="nil"/>
              <w:bottom w:val="nil"/>
              <w:right w:val="nil"/>
            </w:tcBorders>
            <w:shd w:val="clear" w:color="auto" w:fill="FFFFFF"/>
          </w:tcPr>
          <w:p w14:paraId="7A0D604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32.5</w:t>
            </w:r>
          </w:p>
        </w:tc>
        <w:tc>
          <w:tcPr>
            <w:tcW w:w="1468" w:type="dxa"/>
            <w:tcBorders>
              <w:top w:val="nil"/>
              <w:left w:val="nil"/>
              <w:bottom w:val="nil"/>
              <w:right w:val="nil"/>
            </w:tcBorders>
            <w:shd w:val="clear" w:color="auto" w:fill="FFFFFF"/>
          </w:tcPr>
          <w:p w14:paraId="6E342F4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65.6</w:t>
            </w:r>
          </w:p>
        </w:tc>
      </w:tr>
      <w:tr w:rsidR="00CF0768" w:rsidRPr="00ED2AE5" w14:paraId="4C2762B5" w14:textId="77777777" w:rsidTr="00C44D6E">
        <w:trPr>
          <w:cantSplit/>
        </w:trPr>
        <w:tc>
          <w:tcPr>
            <w:tcW w:w="841" w:type="dxa"/>
            <w:vMerge/>
            <w:tcBorders>
              <w:left w:val="nil"/>
              <w:right w:val="nil"/>
            </w:tcBorders>
            <w:shd w:val="clear" w:color="auto" w:fill="FFFFFF"/>
          </w:tcPr>
          <w:p w14:paraId="13C3E518"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5D3880D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5BB4927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53</w:t>
            </w:r>
          </w:p>
        </w:tc>
        <w:tc>
          <w:tcPr>
            <w:tcW w:w="1116" w:type="dxa"/>
            <w:tcBorders>
              <w:top w:val="nil"/>
              <w:left w:val="nil"/>
              <w:bottom w:val="nil"/>
              <w:right w:val="nil"/>
            </w:tcBorders>
            <w:shd w:val="clear" w:color="auto" w:fill="FFFFFF"/>
          </w:tcPr>
          <w:p w14:paraId="396507C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34.4</w:t>
            </w:r>
          </w:p>
        </w:tc>
        <w:tc>
          <w:tcPr>
            <w:tcW w:w="1468" w:type="dxa"/>
            <w:tcBorders>
              <w:top w:val="nil"/>
              <w:left w:val="nil"/>
              <w:bottom w:val="nil"/>
              <w:right w:val="nil"/>
            </w:tcBorders>
            <w:shd w:val="clear" w:color="auto" w:fill="FFFFFF"/>
          </w:tcPr>
          <w:p w14:paraId="73E8178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34.4</w:t>
            </w:r>
          </w:p>
        </w:tc>
        <w:tc>
          <w:tcPr>
            <w:tcW w:w="1468" w:type="dxa"/>
            <w:tcBorders>
              <w:top w:val="nil"/>
              <w:left w:val="nil"/>
              <w:bottom w:val="nil"/>
              <w:right w:val="nil"/>
            </w:tcBorders>
            <w:shd w:val="clear" w:color="auto" w:fill="FFFFFF"/>
          </w:tcPr>
          <w:p w14:paraId="29DADB9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4326E08C" w14:textId="77777777" w:rsidTr="00C44D6E">
        <w:trPr>
          <w:cantSplit/>
        </w:trPr>
        <w:tc>
          <w:tcPr>
            <w:tcW w:w="841" w:type="dxa"/>
            <w:vMerge/>
            <w:tcBorders>
              <w:left w:val="nil"/>
              <w:right w:val="nil"/>
            </w:tcBorders>
            <w:shd w:val="clear" w:color="auto" w:fill="FFFFFF"/>
          </w:tcPr>
          <w:p w14:paraId="1E02A9B3"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6734F9B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765DACF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02C1496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4C2923B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614C31FF"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45813DB1"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0A28792F"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022DB36F" w14:textId="77777777" w:rsidTr="00C44D6E">
        <w:trPr>
          <w:cantSplit/>
        </w:trPr>
        <w:tc>
          <w:tcPr>
            <w:tcW w:w="8502" w:type="dxa"/>
            <w:gridSpan w:val="6"/>
            <w:tcBorders>
              <w:top w:val="nil"/>
              <w:left w:val="nil"/>
              <w:bottom w:val="nil"/>
              <w:right w:val="nil"/>
            </w:tcBorders>
            <w:shd w:val="clear" w:color="auto" w:fill="FFFFFF"/>
            <w:vAlign w:val="center"/>
          </w:tcPr>
          <w:p w14:paraId="4DBDB74C"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 xml:space="preserve">16. Managers in my area demonstrate inclusive </w:t>
            </w:r>
            <w:proofErr w:type="spellStart"/>
            <w:r w:rsidRPr="00ED2AE5">
              <w:rPr>
                <w:rFonts w:ascii="Arial" w:hAnsi="Arial" w:cs="Arial"/>
                <w:i/>
                <w:iCs/>
                <w:color w:val="000000"/>
                <w:kern w:val="0"/>
                <w:szCs w:val="24"/>
                <w:lang w:val="en-US"/>
              </w:rPr>
              <w:t>behaviours</w:t>
            </w:r>
            <w:proofErr w:type="spellEnd"/>
            <w:r w:rsidRPr="00ED2AE5">
              <w:rPr>
                <w:rFonts w:ascii="Arial" w:hAnsi="Arial" w:cs="Arial"/>
                <w:i/>
                <w:iCs/>
                <w:color w:val="000000"/>
                <w:kern w:val="0"/>
                <w:szCs w:val="24"/>
                <w:lang w:val="en-US"/>
              </w:rPr>
              <w:t xml:space="preserve"> in their day-to-day interactions.</w:t>
            </w:r>
          </w:p>
        </w:tc>
      </w:tr>
      <w:tr w:rsidR="00CF0768" w:rsidRPr="00ED2AE5" w14:paraId="3DFC5F61" w14:textId="77777777" w:rsidTr="00C44D6E">
        <w:trPr>
          <w:cantSplit/>
        </w:trPr>
        <w:tc>
          <w:tcPr>
            <w:tcW w:w="3043" w:type="dxa"/>
            <w:gridSpan w:val="2"/>
            <w:tcBorders>
              <w:left w:val="nil"/>
              <w:right w:val="nil"/>
            </w:tcBorders>
            <w:shd w:val="clear" w:color="auto" w:fill="FFFFFF"/>
            <w:vAlign w:val="bottom"/>
          </w:tcPr>
          <w:p w14:paraId="2E494E1E"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4D468F7F"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26FBC744"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2418442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51FBA52C"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7818BD24" w14:textId="77777777" w:rsidTr="00C44D6E">
        <w:trPr>
          <w:cantSplit/>
        </w:trPr>
        <w:tc>
          <w:tcPr>
            <w:tcW w:w="841" w:type="dxa"/>
            <w:vMerge w:val="restart"/>
            <w:tcBorders>
              <w:left w:val="nil"/>
              <w:right w:val="nil"/>
            </w:tcBorders>
            <w:shd w:val="clear" w:color="auto" w:fill="FFFFFF"/>
          </w:tcPr>
          <w:p w14:paraId="15E3D047"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5FB9E492"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7982986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w:t>
            </w:r>
          </w:p>
        </w:tc>
        <w:tc>
          <w:tcPr>
            <w:tcW w:w="1116" w:type="dxa"/>
            <w:tcBorders>
              <w:left w:val="nil"/>
              <w:bottom w:val="nil"/>
              <w:right w:val="nil"/>
            </w:tcBorders>
            <w:shd w:val="clear" w:color="auto" w:fill="FFFFFF"/>
          </w:tcPr>
          <w:p w14:paraId="221D2EF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4.5</w:t>
            </w:r>
          </w:p>
        </w:tc>
        <w:tc>
          <w:tcPr>
            <w:tcW w:w="1468" w:type="dxa"/>
            <w:tcBorders>
              <w:left w:val="nil"/>
              <w:bottom w:val="nil"/>
              <w:right w:val="nil"/>
            </w:tcBorders>
            <w:shd w:val="clear" w:color="auto" w:fill="FFFFFF"/>
          </w:tcPr>
          <w:p w14:paraId="54A060B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4.5</w:t>
            </w:r>
          </w:p>
        </w:tc>
        <w:tc>
          <w:tcPr>
            <w:tcW w:w="1468" w:type="dxa"/>
            <w:tcBorders>
              <w:left w:val="nil"/>
              <w:bottom w:val="nil"/>
              <w:right w:val="nil"/>
            </w:tcBorders>
            <w:shd w:val="clear" w:color="auto" w:fill="FFFFFF"/>
          </w:tcPr>
          <w:p w14:paraId="27AB779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4.5</w:t>
            </w:r>
          </w:p>
        </w:tc>
      </w:tr>
      <w:tr w:rsidR="00CF0768" w:rsidRPr="00ED2AE5" w14:paraId="4B3F00A4" w14:textId="77777777" w:rsidTr="00C44D6E">
        <w:trPr>
          <w:cantSplit/>
        </w:trPr>
        <w:tc>
          <w:tcPr>
            <w:tcW w:w="841" w:type="dxa"/>
            <w:vMerge/>
            <w:tcBorders>
              <w:left w:val="nil"/>
              <w:right w:val="nil"/>
            </w:tcBorders>
            <w:shd w:val="clear" w:color="auto" w:fill="FFFFFF"/>
          </w:tcPr>
          <w:p w14:paraId="681CF8A0"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3A7AF734"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1A6A610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w:t>
            </w:r>
          </w:p>
        </w:tc>
        <w:tc>
          <w:tcPr>
            <w:tcW w:w="1116" w:type="dxa"/>
            <w:tcBorders>
              <w:top w:val="nil"/>
              <w:left w:val="nil"/>
              <w:bottom w:val="nil"/>
              <w:right w:val="nil"/>
            </w:tcBorders>
            <w:shd w:val="clear" w:color="auto" w:fill="FFFFFF"/>
          </w:tcPr>
          <w:p w14:paraId="7E18386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11.7</w:t>
            </w:r>
          </w:p>
        </w:tc>
        <w:tc>
          <w:tcPr>
            <w:tcW w:w="1468" w:type="dxa"/>
            <w:tcBorders>
              <w:top w:val="nil"/>
              <w:left w:val="nil"/>
              <w:bottom w:val="nil"/>
              <w:right w:val="nil"/>
            </w:tcBorders>
            <w:shd w:val="clear" w:color="auto" w:fill="FFFFFF"/>
          </w:tcPr>
          <w:p w14:paraId="0238CDD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11.7</w:t>
            </w:r>
          </w:p>
        </w:tc>
        <w:tc>
          <w:tcPr>
            <w:tcW w:w="1468" w:type="dxa"/>
            <w:tcBorders>
              <w:top w:val="nil"/>
              <w:left w:val="nil"/>
              <w:bottom w:val="nil"/>
              <w:right w:val="nil"/>
            </w:tcBorders>
            <w:shd w:val="clear" w:color="auto" w:fill="FFFFFF"/>
          </w:tcPr>
          <w:p w14:paraId="583D85B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16.2</w:t>
            </w:r>
          </w:p>
        </w:tc>
      </w:tr>
      <w:tr w:rsidR="00CF0768" w:rsidRPr="00ED2AE5" w14:paraId="6698F030" w14:textId="77777777" w:rsidTr="00C44D6E">
        <w:trPr>
          <w:cantSplit/>
        </w:trPr>
        <w:tc>
          <w:tcPr>
            <w:tcW w:w="841" w:type="dxa"/>
            <w:vMerge/>
            <w:tcBorders>
              <w:left w:val="nil"/>
              <w:right w:val="nil"/>
            </w:tcBorders>
            <w:shd w:val="clear" w:color="auto" w:fill="FFFFFF"/>
          </w:tcPr>
          <w:p w14:paraId="4B08718A"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1DF88C6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633034D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22</w:t>
            </w:r>
          </w:p>
        </w:tc>
        <w:tc>
          <w:tcPr>
            <w:tcW w:w="1116" w:type="dxa"/>
            <w:tcBorders>
              <w:top w:val="nil"/>
              <w:left w:val="nil"/>
              <w:bottom w:val="nil"/>
              <w:right w:val="nil"/>
            </w:tcBorders>
            <w:shd w:val="clear" w:color="auto" w:fill="FFFFFF"/>
          </w:tcPr>
          <w:p w14:paraId="4B6931D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14.3</w:t>
            </w:r>
          </w:p>
        </w:tc>
        <w:tc>
          <w:tcPr>
            <w:tcW w:w="1468" w:type="dxa"/>
            <w:tcBorders>
              <w:top w:val="nil"/>
              <w:left w:val="nil"/>
              <w:bottom w:val="nil"/>
              <w:right w:val="nil"/>
            </w:tcBorders>
            <w:shd w:val="clear" w:color="auto" w:fill="FFFFFF"/>
          </w:tcPr>
          <w:p w14:paraId="1DA9F55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14.3</w:t>
            </w:r>
          </w:p>
        </w:tc>
        <w:tc>
          <w:tcPr>
            <w:tcW w:w="1468" w:type="dxa"/>
            <w:tcBorders>
              <w:top w:val="nil"/>
              <w:left w:val="nil"/>
              <w:bottom w:val="nil"/>
              <w:right w:val="nil"/>
            </w:tcBorders>
            <w:shd w:val="clear" w:color="auto" w:fill="FFFFFF"/>
          </w:tcPr>
          <w:p w14:paraId="1C3634E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30.5</w:t>
            </w:r>
          </w:p>
        </w:tc>
      </w:tr>
      <w:tr w:rsidR="00CF0768" w:rsidRPr="00ED2AE5" w14:paraId="175A0331" w14:textId="77777777" w:rsidTr="00C44D6E">
        <w:trPr>
          <w:cantSplit/>
        </w:trPr>
        <w:tc>
          <w:tcPr>
            <w:tcW w:w="841" w:type="dxa"/>
            <w:vMerge/>
            <w:tcBorders>
              <w:left w:val="nil"/>
              <w:right w:val="nil"/>
            </w:tcBorders>
            <w:shd w:val="clear" w:color="auto" w:fill="FFFFFF"/>
          </w:tcPr>
          <w:p w14:paraId="144352F5"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75D23B98"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1D45381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54</w:t>
            </w:r>
          </w:p>
        </w:tc>
        <w:tc>
          <w:tcPr>
            <w:tcW w:w="1116" w:type="dxa"/>
            <w:tcBorders>
              <w:top w:val="nil"/>
              <w:left w:val="nil"/>
              <w:bottom w:val="nil"/>
              <w:right w:val="nil"/>
            </w:tcBorders>
            <w:shd w:val="clear" w:color="auto" w:fill="FFFFFF"/>
          </w:tcPr>
          <w:p w14:paraId="0384DC2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35.1</w:t>
            </w:r>
          </w:p>
        </w:tc>
        <w:tc>
          <w:tcPr>
            <w:tcW w:w="1468" w:type="dxa"/>
            <w:tcBorders>
              <w:top w:val="nil"/>
              <w:left w:val="nil"/>
              <w:bottom w:val="nil"/>
              <w:right w:val="nil"/>
            </w:tcBorders>
            <w:shd w:val="clear" w:color="auto" w:fill="FFFFFF"/>
          </w:tcPr>
          <w:p w14:paraId="1AFDFD2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35.1</w:t>
            </w:r>
          </w:p>
        </w:tc>
        <w:tc>
          <w:tcPr>
            <w:tcW w:w="1468" w:type="dxa"/>
            <w:tcBorders>
              <w:top w:val="nil"/>
              <w:left w:val="nil"/>
              <w:bottom w:val="nil"/>
              <w:right w:val="nil"/>
            </w:tcBorders>
            <w:shd w:val="clear" w:color="auto" w:fill="FFFFFF"/>
          </w:tcPr>
          <w:p w14:paraId="1CE4FA1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65.6</w:t>
            </w:r>
          </w:p>
        </w:tc>
      </w:tr>
      <w:tr w:rsidR="00CF0768" w:rsidRPr="00ED2AE5" w14:paraId="0EC11B3A" w14:textId="77777777" w:rsidTr="00C44D6E">
        <w:trPr>
          <w:cantSplit/>
        </w:trPr>
        <w:tc>
          <w:tcPr>
            <w:tcW w:w="841" w:type="dxa"/>
            <w:vMerge/>
            <w:tcBorders>
              <w:left w:val="nil"/>
              <w:right w:val="nil"/>
            </w:tcBorders>
            <w:shd w:val="clear" w:color="auto" w:fill="FFFFFF"/>
          </w:tcPr>
          <w:p w14:paraId="73393E4C"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7617DF18"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0CD694B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53</w:t>
            </w:r>
          </w:p>
        </w:tc>
        <w:tc>
          <w:tcPr>
            <w:tcW w:w="1116" w:type="dxa"/>
            <w:tcBorders>
              <w:top w:val="nil"/>
              <w:left w:val="nil"/>
              <w:bottom w:val="nil"/>
              <w:right w:val="nil"/>
            </w:tcBorders>
            <w:shd w:val="clear" w:color="auto" w:fill="FFFFFF"/>
          </w:tcPr>
          <w:p w14:paraId="1F148AE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34.4</w:t>
            </w:r>
          </w:p>
        </w:tc>
        <w:tc>
          <w:tcPr>
            <w:tcW w:w="1468" w:type="dxa"/>
            <w:tcBorders>
              <w:top w:val="nil"/>
              <w:left w:val="nil"/>
              <w:bottom w:val="nil"/>
              <w:right w:val="nil"/>
            </w:tcBorders>
            <w:shd w:val="clear" w:color="auto" w:fill="FFFFFF"/>
          </w:tcPr>
          <w:p w14:paraId="72215F8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34.4</w:t>
            </w:r>
          </w:p>
        </w:tc>
        <w:tc>
          <w:tcPr>
            <w:tcW w:w="1468" w:type="dxa"/>
            <w:tcBorders>
              <w:top w:val="nil"/>
              <w:left w:val="nil"/>
              <w:bottom w:val="nil"/>
              <w:right w:val="nil"/>
            </w:tcBorders>
            <w:shd w:val="clear" w:color="auto" w:fill="FFFFFF"/>
          </w:tcPr>
          <w:p w14:paraId="055AFDA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6F97A801" w14:textId="77777777" w:rsidTr="00C44D6E">
        <w:trPr>
          <w:cantSplit/>
        </w:trPr>
        <w:tc>
          <w:tcPr>
            <w:tcW w:w="841" w:type="dxa"/>
            <w:vMerge/>
            <w:tcBorders>
              <w:left w:val="nil"/>
              <w:right w:val="nil"/>
            </w:tcBorders>
            <w:shd w:val="clear" w:color="auto" w:fill="FFFFFF"/>
          </w:tcPr>
          <w:p w14:paraId="213E3EB6"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6BF8A042"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3C29038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0C784B8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7DF711F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0A796EAD"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2815214E"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4DAB793D"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10B7F88C" w14:textId="77777777" w:rsidTr="00C44D6E">
        <w:trPr>
          <w:cantSplit/>
        </w:trPr>
        <w:tc>
          <w:tcPr>
            <w:tcW w:w="8502" w:type="dxa"/>
            <w:gridSpan w:val="6"/>
            <w:tcBorders>
              <w:top w:val="nil"/>
              <w:left w:val="nil"/>
              <w:bottom w:val="nil"/>
              <w:right w:val="nil"/>
            </w:tcBorders>
            <w:shd w:val="clear" w:color="auto" w:fill="FFFFFF"/>
            <w:vAlign w:val="center"/>
          </w:tcPr>
          <w:p w14:paraId="4656F313"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 xml:space="preserve">17. </w:t>
            </w:r>
            <w:proofErr w:type="spellStart"/>
            <w:r w:rsidRPr="00ED2AE5">
              <w:rPr>
                <w:rFonts w:ascii="Arial" w:hAnsi="Arial" w:cs="Arial"/>
                <w:i/>
                <w:iCs/>
                <w:color w:val="000000"/>
                <w:kern w:val="0"/>
                <w:szCs w:val="24"/>
                <w:lang w:val="en-US"/>
              </w:rPr>
              <w:t>Formalising</w:t>
            </w:r>
            <w:proofErr w:type="spellEnd"/>
            <w:r w:rsidRPr="00ED2AE5">
              <w:rPr>
                <w:rFonts w:ascii="Arial" w:hAnsi="Arial" w:cs="Arial"/>
                <w:i/>
                <w:iCs/>
                <w:color w:val="000000"/>
                <w:kern w:val="0"/>
                <w:szCs w:val="24"/>
                <w:lang w:val="en-US"/>
              </w:rPr>
              <w:t xml:space="preserve"> and actively promoting a wider range of flexible working arrangements (e.g., term-time hours, job-shares, compressed hours) as a default option.</w:t>
            </w:r>
          </w:p>
        </w:tc>
      </w:tr>
      <w:tr w:rsidR="00CF0768" w:rsidRPr="00ED2AE5" w14:paraId="30B4634B" w14:textId="77777777" w:rsidTr="00C44D6E">
        <w:trPr>
          <w:cantSplit/>
        </w:trPr>
        <w:tc>
          <w:tcPr>
            <w:tcW w:w="3043" w:type="dxa"/>
            <w:gridSpan w:val="2"/>
            <w:tcBorders>
              <w:left w:val="nil"/>
              <w:right w:val="nil"/>
            </w:tcBorders>
            <w:shd w:val="clear" w:color="auto" w:fill="FFFFFF"/>
            <w:vAlign w:val="bottom"/>
          </w:tcPr>
          <w:p w14:paraId="7CC6C1C3"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70044ACD"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6FB68924"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48B80EDB"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581ECD3C"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6C5C49A1" w14:textId="77777777" w:rsidTr="00C44D6E">
        <w:trPr>
          <w:cantSplit/>
        </w:trPr>
        <w:tc>
          <w:tcPr>
            <w:tcW w:w="841" w:type="dxa"/>
            <w:vMerge w:val="restart"/>
            <w:tcBorders>
              <w:left w:val="nil"/>
              <w:right w:val="nil"/>
            </w:tcBorders>
            <w:shd w:val="clear" w:color="auto" w:fill="FFFFFF"/>
          </w:tcPr>
          <w:p w14:paraId="13520EB0"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4E0A32A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7845294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w:t>
            </w:r>
          </w:p>
        </w:tc>
        <w:tc>
          <w:tcPr>
            <w:tcW w:w="1116" w:type="dxa"/>
            <w:tcBorders>
              <w:left w:val="nil"/>
              <w:bottom w:val="nil"/>
              <w:right w:val="nil"/>
            </w:tcBorders>
            <w:shd w:val="clear" w:color="auto" w:fill="FFFFFF"/>
          </w:tcPr>
          <w:p w14:paraId="104D33A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9.1</w:t>
            </w:r>
          </w:p>
        </w:tc>
        <w:tc>
          <w:tcPr>
            <w:tcW w:w="1468" w:type="dxa"/>
            <w:tcBorders>
              <w:left w:val="nil"/>
              <w:bottom w:val="nil"/>
              <w:right w:val="nil"/>
            </w:tcBorders>
            <w:shd w:val="clear" w:color="auto" w:fill="FFFFFF"/>
          </w:tcPr>
          <w:p w14:paraId="7CC3639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9.1</w:t>
            </w:r>
          </w:p>
        </w:tc>
        <w:tc>
          <w:tcPr>
            <w:tcW w:w="1468" w:type="dxa"/>
            <w:tcBorders>
              <w:left w:val="nil"/>
              <w:bottom w:val="nil"/>
              <w:right w:val="nil"/>
            </w:tcBorders>
            <w:shd w:val="clear" w:color="auto" w:fill="FFFFFF"/>
          </w:tcPr>
          <w:p w14:paraId="6ED13E9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9.1</w:t>
            </w:r>
          </w:p>
        </w:tc>
      </w:tr>
      <w:tr w:rsidR="00CF0768" w:rsidRPr="00ED2AE5" w14:paraId="0E31D342" w14:textId="77777777" w:rsidTr="00C44D6E">
        <w:trPr>
          <w:cantSplit/>
        </w:trPr>
        <w:tc>
          <w:tcPr>
            <w:tcW w:w="841" w:type="dxa"/>
            <w:vMerge/>
            <w:tcBorders>
              <w:left w:val="nil"/>
              <w:right w:val="nil"/>
            </w:tcBorders>
            <w:shd w:val="clear" w:color="auto" w:fill="FFFFFF"/>
          </w:tcPr>
          <w:p w14:paraId="2B8186AC"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23183E97"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7425F2F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w:t>
            </w:r>
          </w:p>
        </w:tc>
        <w:tc>
          <w:tcPr>
            <w:tcW w:w="1116" w:type="dxa"/>
            <w:tcBorders>
              <w:top w:val="nil"/>
              <w:left w:val="nil"/>
              <w:bottom w:val="nil"/>
              <w:right w:val="nil"/>
            </w:tcBorders>
            <w:shd w:val="clear" w:color="auto" w:fill="FFFFFF"/>
          </w:tcPr>
          <w:p w14:paraId="6EE7760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9.7</w:t>
            </w:r>
          </w:p>
        </w:tc>
        <w:tc>
          <w:tcPr>
            <w:tcW w:w="1468" w:type="dxa"/>
            <w:tcBorders>
              <w:top w:val="nil"/>
              <w:left w:val="nil"/>
              <w:bottom w:val="nil"/>
              <w:right w:val="nil"/>
            </w:tcBorders>
            <w:shd w:val="clear" w:color="auto" w:fill="FFFFFF"/>
          </w:tcPr>
          <w:p w14:paraId="40A6D0B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9.7</w:t>
            </w:r>
          </w:p>
        </w:tc>
        <w:tc>
          <w:tcPr>
            <w:tcW w:w="1468" w:type="dxa"/>
            <w:tcBorders>
              <w:top w:val="nil"/>
              <w:left w:val="nil"/>
              <w:bottom w:val="nil"/>
              <w:right w:val="nil"/>
            </w:tcBorders>
            <w:shd w:val="clear" w:color="auto" w:fill="FFFFFF"/>
          </w:tcPr>
          <w:p w14:paraId="5AA1D9E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18.8</w:t>
            </w:r>
          </w:p>
        </w:tc>
      </w:tr>
      <w:tr w:rsidR="00CF0768" w:rsidRPr="00ED2AE5" w14:paraId="7C94D449" w14:textId="77777777" w:rsidTr="00C44D6E">
        <w:trPr>
          <w:cantSplit/>
        </w:trPr>
        <w:tc>
          <w:tcPr>
            <w:tcW w:w="841" w:type="dxa"/>
            <w:vMerge/>
            <w:tcBorders>
              <w:left w:val="nil"/>
              <w:right w:val="nil"/>
            </w:tcBorders>
            <w:shd w:val="clear" w:color="auto" w:fill="FFFFFF"/>
          </w:tcPr>
          <w:p w14:paraId="28823803"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26AB84F0"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1D17A75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28</w:t>
            </w:r>
          </w:p>
        </w:tc>
        <w:tc>
          <w:tcPr>
            <w:tcW w:w="1116" w:type="dxa"/>
            <w:tcBorders>
              <w:top w:val="nil"/>
              <w:left w:val="nil"/>
              <w:bottom w:val="nil"/>
              <w:right w:val="nil"/>
            </w:tcBorders>
            <w:shd w:val="clear" w:color="auto" w:fill="FFFFFF"/>
          </w:tcPr>
          <w:p w14:paraId="2F7C226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18.2</w:t>
            </w:r>
          </w:p>
        </w:tc>
        <w:tc>
          <w:tcPr>
            <w:tcW w:w="1468" w:type="dxa"/>
            <w:tcBorders>
              <w:top w:val="nil"/>
              <w:left w:val="nil"/>
              <w:bottom w:val="nil"/>
              <w:right w:val="nil"/>
            </w:tcBorders>
            <w:shd w:val="clear" w:color="auto" w:fill="FFFFFF"/>
          </w:tcPr>
          <w:p w14:paraId="48419DA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18.2</w:t>
            </w:r>
          </w:p>
        </w:tc>
        <w:tc>
          <w:tcPr>
            <w:tcW w:w="1468" w:type="dxa"/>
            <w:tcBorders>
              <w:top w:val="nil"/>
              <w:left w:val="nil"/>
              <w:bottom w:val="nil"/>
              <w:right w:val="nil"/>
            </w:tcBorders>
            <w:shd w:val="clear" w:color="auto" w:fill="FFFFFF"/>
          </w:tcPr>
          <w:p w14:paraId="184A7C7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37.0</w:t>
            </w:r>
          </w:p>
        </w:tc>
      </w:tr>
      <w:tr w:rsidR="00CF0768" w:rsidRPr="00ED2AE5" w14:paraId="23FE4FF7" w14:textId="77777777" w:rsidTr="00C44D6E">
        <w:trPr>
          <w:cantSplit/>
        </w:trPr>
        <w:tc>
          <w:tcPr>
            <w:tcW w:w="841" w:type="dxa"/>
            <w:vMerge/>
            <w:tcBorders>
              <w:left w:val="nil"/>
              <w:right w:val="nil"/>
            </w:tcBorders>
            <w:shd w:val="clear" w:color="auto" w:fill="FFFFFF"/>
          </w:tcPr>
          <w:p w14:paraId="74A10188"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5FC4B8C3"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18F1028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55</w:t>
            </w:r>
          </w:p>
        </w:tc>
        <w:tc>
          <w:tcPr>
            <w:tcW w:w="1116" w:type="dxa"/>
            <w:tcBorders>
              <w:top w:val="nil"/>
              <w:left w:val="nil"/>
              <w:bottom w:val="nil"/>
              <w:right w:val="nil"/>
            </w:tcBorders>
            <w:shd w:val="clear" w:color="auto" w:fill="FFFFFF"/>
          </w:tcPr>
          <w:p w14:paraId="70F9FDC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35.7</w:t>
            </w:r>
          </w:p>
        </w:tc>
        <w:tc>
          <w:tcPr>
            <w:tcW w:w="1468" w:type="dxa"/>
            <w:tcBorders>
              <w:top w:val="nil"/>
              <w:left w:val="nil"/>
              <w:bottom w:val="nil"/>
              <w:right w:val="nil"/>
            </w:tcBorders>
            <w:shd w:val="clear" w:color="auto" w:fill="FFFFFF"/>
          </w:tcPr>
          <w:p w14:paraId="4188CEB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35.7</w:t>
            </w:r>
          </w:p>
        </w:tc>
        <w:tc>
          <w:tcPr>
            <w:tcW w:w="1468" w:type="dxa"/>
            <w:tcBorders>
              <w:top w:val="nil"/>
              <w:left w:val="nil"/>
              <w:bottom w:val="nil"/>
              <w:right w:val="nil"/>
            </w:tcBorders>
            <w:shd w:val="clear" w:color="auto" w:fill="FFFFFF"/>
          </w:tcPr>
          <w:p w14:paraId="386F618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72.7</w:t>
            </w:r>
          </w:p>
        </w:tc>
      </w:tr>
      <w:tr w:rsidR="00CF0768" w:rsidRPr="00ED2AE5" w14:paraId="61A03130" w14:textId="77777777" w:rsidTr="00C44D6E">
        <w:trPr>
          <w:cantSplit/>
        </w:trPr>
        <w:tc>
          <w:tcPr>
            <w:tcW w:w="841" w:type="dxa"/>
            <w:vMerge/>
            <w:tcBorders>
              <w:left w:val="nil"/>
              <w:right w:val="nil"/>
            </w:tcBorders>
            <w:shd w:val="clear" w:color="auto" w:fill="FFFFFF"/>
          </w:tcPr>
          <w:p w14:paraId="6E4E863A"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5580548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3738C49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42</w:t>
            </w:r>
          </w:p>
        </w:tc>
        <w:tc>
          <w:tcPr>
            <w:tcW w:w="1116" w:type="dxa"/>
            <w:tcBorders>
              <w:top w:val="nil"/>
              <w:left w:val="nil"/>
              <w:bottom w:val="nil"/>
              <w:right w:val="nil"/>
            </w:tcBorders>
            <w:shd w:val="clear" w:color="auto" w:fill="FFFFFF"/>
          </w:tcPr>
          <w:p w14:paraId="17DAE27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27.3</w:t>
            </w:r>
          </w:p>
        </w:tc>
        <w:tc>
          <w:tcPr>
            <w:tcW w:w="1468" w:type="dxa"/>
            <w:tcBorders>
              <w:top w:val="nil"/>
              <w:left w:val="nil"/>
              <w:bottom w:val="nil"/>
              <w:right w:val="nil"/>
            </w:tcBorders>
            <w:shd w:val="clear" w:color="auto" w:fill="FFFFFF"/>
          </w:tcPr>
          <w:p w14:paraId="432EFAF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27.3</w:t>
            </w:r>
          </w:p>
        </w:tc>
        <w:tc>
          <w:tcPr>
            <w:tcW w:w="1468" w:type="dxa"/>
            <w:tcBorders>
              <w:top w:val="nil"/>
              <w:left w:val="nil"/>
              <w:bottom w:val="nil"/>
              <w:right w:val="nil"/>
            </w:tcBorders>
            <w:shd w:val="clear" w:color="auto" w:fill="FFFFFF"/>
          </w:tcPr>
          <w:p w14:paraId="7C5EF31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7B85E73D" w14:textId="77777777" w:rsidTr="00C44D6E">
        <w:trPr>
          <w:cantSplit/>
        </w:trPr>
        <w:tc>
          <w:tcPr>
            <w:tcW w:w="841" w:type="dxa"/>
            <w:vMerge/>
            <w:tcBorders>
              <w:left w:val="nil"/>
              <w:right w:val="nil"/>
            </w:tcBorders>
            <w:shd w:val="clear" w:color="auto" w:fill="FFFFFF"/>
          </w:tcPr>
          <w:p w14:paraId="598BE011"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661FE003"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6FE1CC3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4465821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053BF00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67748101"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5B05143B"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6CE60C0C"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6D4E8D98" w14:textId="77777777" w:rsidTr="00C44D6E">
        <w:trPr>
          <w:cantSplit/>
        </w:trPr>
        <w:tc>
          <w:tcPr>
            <w:tcW w:w="8502" w:type="dxa"/>
            <w:gridSpan w:val="6"/>
            <w:tcBorders>
              <w:top w:val="nil"/>
              <w:left w:val="nil"/>
              <w:bottom w:val="nil"/>
              <w:right w:val="nil"/>
            </w:tcBorders>
            <w:shd w:val="clear" w:color="auto" w:fill="FFFFFF"/>
            <w:vAlign w:val="center"/>
          </w:tcPr>
          <w:p w14:paraId="506928C9"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18. Creating clear, transparent maps for career progression for all staff groups, with defined skills and competencies required for promotion.</w:t>
            </w:r>
          </w:p>
        </w:tc>
      </w:tr>
      <w:tr w:rsidR="00CF0768" w:rsidRPr="00ED2AE5" w14:paraId="22904831" w14:textId="77777777" w:rsidTr="00C44D6E">
        <w:trPr>
          <w:cantSplit/>
        </w:trPr>
        <w:tc>
          <w:tcPr>
            <w:tcW w:w="3043" w:type="dxa"/>
            <w:gridSpan w:val="2"/>
            <w:tcBorders>
              <w:left w:val="nil"/>
              <w:right w:val="nil"/>
            </w:tcBorders>
            <w:shd w:val="clear" w:color="auto" w:fill="FFFFFF"/>
            <w:vAlign w:val="bottom"/>
          </w:tcPr>
          <w:p w14:paraId="799AF39B"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48807705"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0362E272"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0395EAE9"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2961A8AA"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18AFF4E0" w14:textId="77777777" w:rsidTr="00C44D6E">
        <w:trPr>
          <w:cantSplit/>
        </w:trPr>
        <w:tc>
          <w:tcPr>
            <w:tcW w:w="841" w:type="dxa"/>
            <w:vMerge w:val="restart"/>
            <w:tcBorders>
              <w:left w:val="nil"/>
              <w:right w:val="nil"/>
            </w:tcBorders>
            <w:shd w:val="clear" w:color="auto" w:fill="FFFFFF"/>
          </w:tcPr>
          <w:p w14:paraId="142E4FC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4FB64B52"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1F74691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w:t>
            </w:r>
          </w:p>
        </w:tc>
        <w:tc>
          <w:tcPr>
            <w:tcW w:w="1116" w:type="dxa"/>
            <w:tcBorders>
              <w:left w:val="nil"/>
              <w:bottom w:val="nil"/>
              <w:right w:val="nil"/>
            </w:tcBorders>
            <w:shd w:val="clear" w:color="auto" w:fill="FFFFFF"/>
          </w:tcPr>
          <w:p w14:paraId="4FEFC10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left w:val="nil"/>
              <w:bottom w:val="nil"/>
              <w:right w:val="nil"/>
            </w:tcBorders>
            <w:shd w:val="clear" w:color="auto" w:fill="FFFFFF"/>
          </w:tcPr>
          <w:p w14:paraId="3BCD6CE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left w:val="nil"/>
              <w:bottom w:val="nil"/>
              <w:right w:val="nil"/>
            </w:tcBorders>
            <w:shd w:val="clear" w:color="auto" w:fill="FFFFFF"/>
          </w:tcPr>
          <w:p w14:paraId="52D6E22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r>
      <w:tr w:rsidR="00CF0768" w:rsidRPr="00ED2AE5" w14:paraId="54D5C8E8" w14:textId="77777777" w:rsidTr="00C44D6E">
        <w:trPr>
          <w:cantSplit/>
        </w:trPr>
        <w:tc>
          <w:tcPr>
            <w:tcW w:w="841" w:type="dxa"/>
            <w:vMerge/>
            <w:tcBorders>
              <w:left w:val="nil"/>
              <w:right w:val="nil"/>
            </w:tcBorders>
            <w:shd w:val="clear" w:color="auto" w:fill="FFFFFF"/>
          </w:tcPr>
          <w:p w14:paraId="3151FA03"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30F1074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29B00B0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w:t>
            </w:r>
          </w:p>
        </w:tc>
        <w:tc>
          <w:tcPr>
            <w:tcW w:w="1116" w:type="dxa"/>
            <w:tcBorders>
              <w:top w:val="nil"/>
              <w:left w:val="nil"/>
              <w:bottom w:val="nil"/>
              <w:right w:val="nil"/>
            </w:tcBorders>
            <w:shd w:val="clear" w:color="auto" w:fill="FFFFFF"/>
          </w:tcPr>
          <w:p w14:paraId="61A2D64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top w:val="nil"/>
              <w:left w:val="nil"/>
              <w:bottom w:val="nil"/>
              <w:right w:val="nil"/>
            </w:tcBorders>
            <w:shd w:val="clear" w:color="auto" w:fill="FFFFFF"/>
          </w:tcPr>
          <w:p w14:paraId="3F03C62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top w:val="nil"/>
              <w:left w:val="nil"/>
              <w:bottom w:val="nil"/>
              <w:right w:val="nil"/>
            </w:tcBorders>
            <w:shd w:val="clear" w:color="auto" w:fill="FFFFFF"/>
          </w:tcPr>
          <w:p w14:paraId="0ED6786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14.3</w:t>
            </w:r>
          </w:p>
        </w:tc>
      </w:tr>
      <w:tr w:rsidR="00CF0768" w:rsidRPr="00ED2AE5" w14:paraId="381B5DC2" w14:textId="77777777" w:rsidTr="00C44D6E">
        <w:trPr>
          <w:cantSplit/>
        </w:trPr>
        <w:tc>
          <w:tcPr>
            <w:tcW w:w="841" w:type="dxa"/>
            <w:vMerge/>
            <w:tcBorders>
              <w:left w:val="nil"/>
              <w:right w:val="nil"/>
            </w:tcBorders>
            <w:shd w:val="clear" w:color="auto" w:fill="FFFFFF"/>
          </w:tcPr>
          <w:p w14:paraId="28893CAE"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33E9B53B"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27DA5FF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24</w:t>
            </w:r>
          </w:p>
        </w:tc>
        <w:tc>
          <w:tcPr>
            <w:tcW w:w="1116" w:type="dxa"/>
            <w:tcBorders>
              <w:top w:val="nil"/>
              <w:left w:val="nil"/>
              <w:bottom w:val="nil"/>
              <w:right w:val="nil"/>
            </w:tcBorders>
            <w:shd w:val="clear" w:color="auto" w:fill="FFFFFF"/>
          </w:tcPr>
          <w:p w14:paraId="7FA158A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15.6</w:t>
            </w:r>
          </w:p>
        </w:tc>
        <w:tc>
          <w:tcPr>
            <w:tcW w:w="1468" w:type="dxa"/>
            <w:tcBorders>
              <w:top w:val="nil"/>
              <w:left w:val="nil"/>
              <w:bottom w:val="nil"/>
              <w:right w:val="nil"/>
            </w:tcBorders>
            <w:shd w:val="clear" w:color="auto" w:fill="FFFFFF"/>
          </w:tcPr>
          <w:p w14:paraId="6BD3068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15.6</w:t>
            </w:r>
          </w:p>
        </w:tc>
        <w:tc>
          <w:tcPr>
            <w:tcW w:w="1468" w:type="dxa"/>
            <w:tcBorders>
              <w:top w:val="nil"/>
              <w:left w:val="nil"/>
              <w:bottom w:val="nil"/>
              <w:right w:val="nil"/>
            </w:tcBorders>
            <w:shd w:val="clear" w:color="auto" w:fill="FFFFFF"/>
          </w:tcPr>
          <w:p w14:paraId="19ADB59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29.9</w:t>
            </w:r>
          </w:p>
        </w:tc>
      </w:tr>
      <w:tr w:rsidR="00CF0768" w:rsidRPr="00ED2AE5" w14:paraId="0A4E3AC7" w14:textId="77777777" w:rsidTr="00C44D6E">
        <w:trPr>
          <w:cantSplit/>
        </w:trPr>
        <w:tc>
          <w:tcPr>
            <w:tcW w:w="841" w:type="dxa"/>
            <w:vMerge/>
            <w:tcBorders>
              <w:left w:val="nil"/>
              <w:right w:val="nil"/>
            </w:tcBorders>
            <w:shd w:val="clear" w:color="auto" w:fill="FFFFFF"/>
          </w:tcPr>
          <w:p w14:paraId="0CE8AC67"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552AA57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601B7D7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53</w:t>
            </w:r>
          </w:p>
        </w:tc>
        <w:tc>
          <w:tcPr>
            <w:tcW w:w="1116" w:type="dxa"/>
            <w:tcBorders>
              <w:top w:val="nil"/>
              <w:left w:val="nil"/>
              <w:bottom w:val="nil"/>
              <w:right w:val="nil"/>
            </w:tcBorders>
            <w:shd w:val="clear" w:color="auto" w:fill="FFFFFF"/>
          </w:tcPr>
          <w:p w14:paraId="19A9C60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34.4</w:t>
            </w:r>
          </w:p>
        </w:tc>
        <w:tc>
          <w:tcPr>
            <w:tcW w:w="1468" w:type="dxa"/>
            <w:tcBorders>
              <w:top w:val="nil"/>
              <w:left w:val="nil"/>
              <w:bottom w:val="nil"/>
              <w:right w:val="nil"/>
            </w:tcBorders>
            <w:shd w:val="clear" w:color="auto" w:fill="FFFFFF"/>
          </w:tcPr>
          <w:p w14:paraId="211FCFE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34.4</w:t>
            </w:r>
          </w:p>
        </w:tc>
        <w:tc>
          <w:tcPr>
            <w:tcW w:w="1468" w:type="dxa"/>
            <w:tcBorders>
              <w:top w:val="nil"/>
              <w:left w:val="nil"/>
              <w:bottom w:val="nil"/>
              <w:right w:val="nil"/>
            </w:tcBorders>
            <w:shd w:val="clear" w:color="auto" w:fill="FFFFFF"/>
          </w:tcPr>
          <w:p w14:paraId="5C78332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64.3</w:t>
            </w:r>
          </w:p>
        </w:tc>
      </w:tr>
      <w:tr w:rsidR="00CF0768" w:rsidRPr="00ED2AE5" w14:paraId="1D44907C" w14:textId="77777777" w:rsidTr="00C44D6E">
        <w:trPr>
          <w:cantSplit/>
        </w:trPr>
        <w:tc>
          <w:tcPr>
            <w:tcW w:w="841" w:type="dxa"/>
            <w:vMerge/>
            <w:tcBorders>
              <w:left w:val="nil"/>
              <w:right w:val="nil"/>
            </w:tcBorders>
            <w:shd w:val="clear" w:color="auto" w:fill="FFFFFF"/>
          </w:tcPr>
          <w:p w14:paraId="7631AA33"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6A5B526C"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4C75E8A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55</w:t>
            </w:r>
          </w:p>
        </w:tc>
        <w:tc>
          <w:tcPr>
            <w:tcW w:w="1116" w:type="dxa"/>
            <w:tcBorders>
              <w:top w:val="nil"/>
              <w:left w:val="nil"/>
              <w:bottom w:val="nil"/>
              <w:right w:val="nil"/>
            </w:tcBorders>
            <w:shd w:val="clear" w:color="auto" w:fill="FFFFFF"/>
          </w:tcPr>
          <w:p w14:paraId="626B2C5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35.7</w:t>
            </w:r>
          </w:p>
        </w:tc>
        <w:tc>
          <w:tcPr>
            <w:tcW w:w="1468" w:type="dxa"/>
            <w:tcBorders>
              <w:top w:val="nil"/>
              <w:left w:val="nil"/>
              <w:bottom w:val="nil"/>
              <w:right w:val="nil"/>
            </w:tcBorders>
            <w:shd w:val="clear" w:color="auto" w:fill="FFFFFF"/>
          </w:tcPr>
          <w:p w14:paraId="44906E4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35.7</w:t>
            </w:r>
          </w:p>
        </w:tc>
        <w:tc>
          <w:tcPr>
            <w:tcW w:w="1468" w:type="dxa"/>
            <w:tcBorders>
              <w:top w:val="nil"/>
              <w:left w:val="nil"/>
              <w:bottom w:val="nil"/>
              <w:right w:val="nil"/>
            </w:tcBorders>
            <w:shd w:val="clear" w:color="auto" w:fill="FFFFFF"/>
          </w:tcPr>
          <w:p w14:paraId="73E46D5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3789C9A0" w14:textId="77777777" w:rsidTr="00C44D6E">
        <w:trPr>
          <w:cantSplit/>
        </w:trPr>
        <w:tc>
          <w:tcPr>
            <w:tcW w:w="841" w:type="dxa"/>
            <w:vMerge/>
            <w:tcBorders>
              <w:left w:val="nil"/>
              <w:right w:val="nil"/>
            </w:tcBorders>
            <w:shd w:val="clear" w:color="auto" w:fill="FFFFFF"/>
          </w:tcPr>
          <w:p w14:paraId="6A6796B9"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230E2175"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70264EB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08A6615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71F18D3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5AC44B4E"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3C08D43E"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39C3358D"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03A7B3A7" w14:textId="77777777" w:rsidTr="00C44D6E">
        <w:trPr>
          <w:cantSplit/>
        </w:trPr>
        <w:tc>
          <w:tcPr>
            <w:tcW w:w="8502" w:type="dxa"/>
            <w:gridSpan w:val="6"/>
            <w:tcBorders>
              <w:top w:val="nil"/>
              <w:left w:val="nil"/>
              <w:bottom w:val="nil"/>
              <w:right w:val="nil"/>
            </w:tcBorders>
            <w:shd w:val="clear" w:color="auto" w:fill="FFFFFF"/>
            <w:vAlign w:val="center"/>
          </w:tcPr>
          <w:p w14:paraId="10EA32B3"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 xml:space="preserve">19. Providing confidential support (e.g., through </w:t>
            </w:r>
            <w:proofErr w:type="spellStart"/>
            <w:r w:rsidRPr="00ED2AE5">
              <w:rPr>
                <w:rFonts w:ascii="Arial" w:hAnsi="Arial" w:cs="Arial"/>
                <w:i/>
                <w:iCs/>
                <w:color w:val="000000"/>
                <w:kern w:val="0"/>
                <w:szCs w:val="24"/>
                <w:lang w:val="en-US"/>
              </w:rPr>
              <w:t>D&amp;amp;I</w:t>
            </w:r>
            <w:proofErr w:type="spellEnd"/>
            <w:r w:rsidRPr="00ED2AE5">
              <w:rPr>
                <w:rFonts w:ascii="Arial" w:hAnsi="Arial" w:cs="Arial"/>
                <w:i/>
                <w:iCs/>
                <w:color w:val="000000"/>
                <w:kern w:val="0"/>
                <w:szCs w:val="24"/>
                <w:lang w:val="en-US"/>
              </w:rPr>
              <w:t xml:space="preserve"> champions or HR) for staff facing inclusion challenges would encourage retention.</w:t>
            </w:r>
          </w:p>
        </w:tc>
      </w:tr>
      <w:tr w:rsidR="00CF0768" w:rsidRPr="00ED2AE5" w14:paraId="770B7B33" w14:textId="77777777" w:rsidTr="00C44D6E">
        <w:trPr>
          <w:cantSplit/>
        </w:trPr>
        <w:tc>
          <w:tcPr>
            <w:tcW w:w="3043" w:type="dxa"/>
            <w:gridSpan w:val="2"/>
            <w:tcBorders>
              <w:left w:val="nil"/>
              <w:right w:val="nil"/>
            </w:tcBorders>
            <w:shd w:val="clear" w:color="auto" w:fill="FFFFFF"/>
            <w:vAlign w:val="bottom"/>
          </w:tcPr>
          <w:p w14:paraId="53A3D11A"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4E99BE91"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7B309EA2"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1342A484"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7EAE1293"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6D693F04" w14:textId="77777777" w:rsidTr="00C44D6E">
        <w:trPr>
          <w:cantSplit/>
        </w:trPr>
        <w:tc>
          <w:tcPr>
            <w:tcW w:w="841" w:type="dxa"/>
            <w:vMerge w:val="restart"/>
            <w:tcBorders>
              <w:left w:val="nil"/>
              <w:right w:val="nil"/>
            </w:tcBorders>
            <w:shd w:val="clear" w:color="auto" w:fill="FFFFFF"/>
          </w:tcPr>
          <w:p w14:paraId="0E823FA7"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35D0A157"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1FCA5EE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w:t>
            </w:r>
          </w:p>
        </w:tc>
        <w:tc>
          <w:tcPr>
            <w:tcW w:w="1116" w:type="dxa"/>
            <w:tcBorders>
              <w:left w:val="nil"/>
              <w:bottom w:val="nil"/>
              <w:right w:val="nil"/>
            </w:tcBorders>
            <w:shd w:val="clear" w:color="auto" w:fill="FFFFFF"/>
          </w:tcPr>
          <w:p w14:paraId="31A669C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468" w:type="dxa"/>
            <w:tcBorders>
              <w:left w:val="nil"/>
              <w:bottom w:val="nil"/>
              <w:right w:val="nil"/>
            </w:tcBorders>
            <w:shd w:val="clear" w:color="auto" w:fill="FFFFFF"/>
          </w:tcPr>
          <w:p w14:paraId="5835C0A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c>
          <w:tcPr>
            <w:tcW w:w="1468" w:type="dxa"/>
            <w:tcBorders>
              <w:left w:val="nil"/>
              <w:bottom w:val="nil"/>
              <w:right w:val="nil"/>
            </w:tcBorders>
            <w:shd w:val="clear" w:color="auto" w:fill="FFFFFF"/>
          </w:tcPr>
          <w:p w14:paraId="212D999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6.5</w:t>
            </w:r>
          </w:p>
        </w:tc>
      </w:tr>
      <w:tr w:rsidR="00CF0768" w:rsidRPr="00ED2AE5" w14:paraId="22FD2850" w14:textId="77777777" w:rsidTr="00C44D6E">
        <w:trPr>
          <w:cantSplit/>
        </w:trPr>
        <w:tc>
          <w:tcPr>
            <w:tcW w:w="841" w:type="dxa"/>
            <w:vMerge/>
            <w:tcBorders>
              <w:left w:val="nil"/>
              <w:right w:val="nil"/>
            </w:tcBorders>
            <w:shd w:val="clear" w:color="auto" w:fill="FFFFFF"/>
          </w:tcPr>
          <w:p w14:paraId="79A37981"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0F795037"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3C06F55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w:t>
            </w:r>
          </w:p>
        </w:tc>
        <w:tc>
          <w:tcPr>
            <w:tcW w:w="1116" w:type="dxa"/>
            <w:tcBorders>
              <w:top w:val="nil"/>
              <w:left w:val="nil"/>
              <w:bottom w:val="nil"/>
              <w:right w:val="nil"/>
            </w:tcBorders>
            <w:shd w:val="clear" w:color="auto" w:fill="FFFFFF"/>
          </w:tcPr>
          <w:p w14:paraId="71FE0C2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top w:val="nil"/>
              <w:left w:val="nil"/>
              <w:bottom w:val="nil"/>
              <w:right w:val="nil"/>
            </w:tcBorders>
            <w:shd w:val="clear" w:color="auto" w:fill="FFFFFF"/>
          </w:tcPr>
          <w:p w14:paraId="3A24107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top w:val="nil"/>
              <w:left w:val="nil"/>
              <w:bottom w:val="nil"/>
              <w:right w:val="nil"/>
            </w:tcBorders>
            <w:shd w:val="clear" w:color="auto" w:fill="FFFFFF"/>
          </w:tcPr>
          <w:p w14:paraId="1497EA1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13.6</w:t>
            </w:r>
          </w:p>
        </w:tc>
      </w:tr>
      <w:tr w:rsidR="00CF0768" w:rsidRPr="00ED2AE5" w14:paraId="370358A9" w14:textId="77777777" w:rsidTr="00C44D6E">
        <w:trPr>
          <w:cantSplit/>
        </w:trPr>
        <w:tc>
          <w:tcPr>
            <w:tcW w:w="841" w:type="dxa"/>
            <w:vMerge/>
            <w:tcBorders>
              <w:left w:val="nil"/>
              <w:right w:val="nil"/>
            </w:tcBorders>
            <w:shd w:val="clear" w:color="auto" w:fill="FFFFFF"/>
          </w:tcPr>
          <w:p w14:paraId="65004D5E"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57A4F3DA"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6E2BD0D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26</w:t>
            </w:r>
          </w:p>
        </w:tc>
        <w:tc>
          <w:tcPr>
            <w:tcW w:w="1116" w:type="dxa"/>
            <w:tcBorders>
              <w:top w:val="nil"/>
              <w:left w:val="nil"/>
              <w:bottom w:val="nil"/>
              <w:right w:val="nil"/>
            </w:tcBorders>
            <w:shd w:val="clear" w:color="auto" w:fill="FFFFFF"/>
          </w:tcPr>
          <w:p w14:paraId="21F73EAB"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16.9</w:t>
            </w:r>
          </w:p>
        </w:tc>
        <w:tc>
          <w:tcPr>
            <w:tcW w:w="1468" w:type="dxa"/>
            <w:tcBorders>
              <w:top w:val="nil"/>
              <w:left w:val="nil"/>
              <w:bottom w:val="nil"/>
              <w:right w:val="nil"/>
            </w:tcBorders>
            <w:shd w:val="clear" w:color="auto" w:fill="FFFFFF"/>
          </w:tcPr>
          <w:p w14:paraId="252BDDF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16.9</w:t>
            </w:r>
          </w:p>
        </w:tc>
        <w:tc>
          <w:tcPr>
            <w:tcW w:w="1468" w:type="dxa"/>
            <w:tcBorders>
              <w:top w:val="nil"/>
              <w:left w:val="nil"/>
              <w:bottom w:val="nil"/>
              <w:right w:val="nil"/>
            </w:tcBorders>
            <w:shd w:val="clear" w:color="auto" w:fill="FFFFFF"/>
          </w:tcPr>
          <w:p w14:paraId="1EEE4CC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30.5</w:t>
            </w:r>
          </w:p>
        </w:tc>
      </w:tr>
      <w:tr w:rsidR="00CF0768" w:rsidRPr="00ED2AE5" w14:paraId="1AD9BFF6" w14:textId="77777777" w:rsidTr="00C44D6E">
        <w:trPr>
          <w:cantSplit/>
        </w:trPr>
        <w:tc>
          <w:tcPr>
            <w:tcW w:w="841" w:type="dxa"/>
            <w:vMerge/>
            <w:tcBorders>
              <w:left w:val="nil"/>
              <w:right w:val="nil"/>
            </w:tcBorders>
            <w:shd w:val="clear" w:color="auto" w:fill="FFFFFF"/>
          </w:tcPr>
          <w:p w14:paraId="166D2F5A"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75BE4F02"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20E9EC3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51</w:t>
            </w:r>
          </w:p>
        </w:tc>
        <w:tc>
          <w:tcPr>
            <w:tcW w:w="1116" w:type="dxa"/>
            <w:tcBorders>
              <w:top w:val="nil"/>
              <w:left w:val="nil"/>
              <w:bottom w:val="nil"/>
              <w:right w:val="nil"/>
            </w:tcBorders>
            <w:shd w:val="clear" w:color="auto" w:fill="FFFFFF"/>
          </w:tcPr>
          <w:p w14:paraId="4918212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33.1</w:t>
            </w:r>
          </w:p>
        </w:tc>
        <w:tc>
          <w:tcPr>
            <w:tcW w:w="1468" w:type="dxa"/>
            <w:tcBorders>
              <w:top w:val="nil"/>
              <w:left w:val="nil"/>
              <w:bottom w:val="nil"/>
              <w:right w:val="nil"/>
            </w:tcBorders>
            <w:shd w:val="clear" w:color="auto" w:fill="FFFFFF"/>
          </w:tcPr>
          <w:p w14:paraId="3DBC6B7F"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33.1</w:t>
            </w:r>
          </w:p>
        </w:tc>
        <w:tc>
          <w:tcPr>
            <w:tcW w:w="1468" w:type="dxa"/>
            <w:tcBorders>
              <w:top w:val="nil"/>
              <w:left w:val="nil"/>
              <w:bottom w:val="nil"/>
              <w:right w:val="nil"/>
            </w:tcBorders>
            <w:shd w:val="clear" w:color="auto" w:fill="FFFFFF"/>
          </w:tcPr>
          <w:p w14:paraId="0074C5E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63.6</w:t>
            </w:r>
          </w:p>
        </w:tc>
      </w:tr>
      <w:tr w:rsidR="00CF0768" w:rsidRPr="00ED2AE5" w14:paraId="7F9F8342" w14:textId="77777777" w:rsidTr="00C44D6E">
        <w:trPr>
          <w:cantSplit/>
        </w:trPr>
        <w:tc>
          <w:tcPr>
            <w:tcW w:w="841" w:type="dxa"/>
            <w:vMerge/>
            <w:tcBorders>
              <w:left w:val="nil"/>
              <w:right w:val="nil"/>
            </w:tcBorders>
            <w:shd w:val="clear" w:color="auto" w:fill="FFFFFF"/>
          </w:tcPr>
          <w:p w14:paraId="2EA5EFF3"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2EF3095E"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3CBB334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56</w:t>
            </w:r>
          </w:p>
        </w:tc>
        <w:tc>
          <w:tcPr>
            <w:tcW w:w="1116" w:type="dxa"/>
            <w:tcBorders>
              <w:top w:val="nil"/>
              <w:left w:val="nil"/>
              <w:bottom w:val="nil"/>
              <w:right w:val="nil"/>
            </w:tcBorders>
            <w:shd w:val="clear" w:color="auto" w:fill="FFFFFF"/>
          </w:tcPr>
          <w:p w14:paraId="74ABF27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36.4</w:t>
            </w:r>
          </w:p>
        </w:tc>
        <w:tc>
          <w:tcPr>
            <w:tcW w:w="1468" w:type="dxa"/>
            <w:tcBorders>
              <w:top w:val="nil"/>
              <w:left w:val="nil"/>
              <w:bottom w:val="nil"/>
              <w:right w:val="nil"/>
            </w:tcBorders>
            <w:shd w:val="clear" w:color="auto" w:fill="FFFFFF"/>
          </w:tcPr>
          <w:p w14:paraId="0382A20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36.4</w:t>
            </w:r>
          </w:p>
        </w:tc>
        <w:tc>
          <w:tcPr>
            <w:tcW w:w="1468" w:type="dxa"/>
            <w:tcBorders>
              <w:top w:val="nil"/>
              <w:left w:val="nil"/>
              <w:bottom w:val="nil"/>
              <w:right w:val="nil"/>
            </w:tcBorders>
            <w:shd w:val="clear" w:color="auto" w:fill="FFFFFF"/>
          </w:tcPr>
          <w:p w14:paraId="458E4FF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559385FB" w14:textId="77777777" w:rsidTr="00C44D6E">
        <w:trPr>
          <w:cantSplit/>
        </w:trPr>
        <w:tc>
          <w:tcPr>
            <w:tcW w:w="841" w:type="dxa"/>
            <w:vMerge/>
            <w:tcBorders>
              <w:left w:val="nil"/>
              <w:right w:val="nil"/>
            </w:tcBorders>
            <w:shd w:val="clear" w:color="auto" w:fill="FFFFFF"/>
          </w:tcPr>
          <w:p w14:paraId="257B7FD4"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0DE39D71"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701BBF1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737E69F5"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53B3DA6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35CEB21B"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1787D5AA"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511C8850"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
        <w:gridCol w:w="2203"/>
        <w:gridCol w:w="1407"/>
        <w:gridCol w:w="1116"/>
        <w:gridCol w:w="1469"/>
        <w:gridCol w:w="1469"/>
      </w:tblGrid>
      <w:tr w:rsidR="00CF0768" w:rsidRPr="00ED2AE5" w14:paraId="5D4BD89F" w14:textId="77777777" w:rsidTr="00C44D6E">
        <w:trPr>
          <w:cantSplit/>
        </w:trPr>
        <w:tc>
          <w:tcPr>
            <w:tcW w:w="8502" w:type="dxa"/>
            <w:gridSpan w:val="6"/>
            <w:tcBorders>
              <w:top w:val="nil"/>
              <w:left w:val="nil"/>
              <w:bottom w:val="nil"/>
              <w:right w:val="nil"/>
            </w:tcBorders>
            <w:shd w:val="clear" w:color="auto" w:fill="FFFFFF"/>
            <w:vAlign w:val="center"/>
          </w:tcPr>
          <w:p w14:paraId="4EA64FA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i/>
                <w:iCs/>
                <w:color w:val="000000"/>
                <w:kern w:val="0"/>
                <w:szCs w:val="24"/>
                <w:lang w:val="en-US"/>
              </w:rPr>
              <w:t>20. Ensuring workloads and rosters accommodate diverse needs (e.g., religious holidays, disability adjustments) would support my long-term commitment.</w:t>
            </w:r>
          </w:p>
        </w:tc>
      </w:tr>
      <w:tr w:rsidR="00CF0768" w:rsidRPr="00ED2AE5" w14:paraId="3B33EE21" w14:textId="77777777" w:rsidTr="00C44D6E">
        <w:trPr>
          <w:cantSplit/>
        </w:trPr>
        <w:tc>
          <w:tcPr>
            <w:tcW w:w="3043" w:type="dxa"/>
            <w:gridSpan w:val="2"/>
            <w:tcBorders>
              <w:left w:val="nil"/>
              <w:right w:val="nil"/>
            </w:tcBorders>
            <w:shd w:val="clear" w:color="auto" w:fill="FFFFFF"/>
            <w:vAlign w:val="bottom"/>
          </w:tcPr>
          <w:p w14:paraId="41C222C1"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c>
          <w:tcPr>
            <w:tcW w:w="1407" w:type="dxa"/>
            <w:tcBorders>
              <w:left w:val="nil"/>
              <w:right w:val="nil"/>
            </w:tcBorders>
            <w:shd w:val="clear" w:color="auto" w:fill="FFFFFF"/>
            <w:vAlign w:val="bottom"/>
          </w:tcPr>
          <w:p w14:paraId="4FBC1B88"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Frequency</w:t>
            </w:r>
          </w:p>
        </w:tc>
        <w:tc>
          <w:tcPr>
            <w:tcW w:w="1116" w:type="dxa"/>
            <w:tcBorders>
              <w:left w:val="nil"/>
              <w:right w:val="nil"/>
            </w:tcBorders>
            <w:shd w:val="clear" w:color="auto" w:fill="FFFFFF"/>
            <w:vAlign w:val="bottom"/>
          </w:tcPr>
          <w:p w14:paraId="7E790CF0"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Percent</w:t>
            </w:r>
          </w:p>
        </w:tc>
        <w:tc>
          <w:tcPr>
            <w:tcW w:w="1468" w:type="dxa"/>
            <w:tcBorders>
              <w:left w:val="nil"/>
              <w:right w:val="nil"/>
            </w:tcBorders>
            <w:shd w:val="clear" w:color="auto" w:fill="FFFFFF"/>
            <w:vAlign w:val="bottom"/>
          </w:tcPr>
          <w:p w14:paraId="04F25FE8"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Valid Percent</w:t>
            </w:r>
          </w:p>
        </w:tc>
        <w:tc>
          <w:tcPr>
            <w:tcW w:w="1468" w:type="dxa"/>
            <w:tcBorders>
              <w:left w:val="nil"/>
              <w:right w:val="nil"/>
            </w:tcBorders>
            <w:shd w:val="clear" w:color="auto" w:fill="FFFFFF"/>
            <w:vAlign w:val="bottom"/>
          </w:tcPr>
          <w:p w14:paraId="6155FF67" w14:textId="77777777" w:rsidR="00CF0768" w:rsidRPr="00ED2AE5" w:rsidRDefault="00CF0768" w:rsidP="00C44D6E">
            <w:pPr>
              <w:autoSpaceDE w:val="0"/>
              <w:autoSpaceDN w:val="0"/>
              <w:adjustRightInd w:val="0"/>
              <w:spacing w:line="320" w:lineRule="atLeast"/>
              <w:ind w:left="60" w:right="60"/>
              <w:jc w:val="center"/>
              <w:rPr>
                <w:rFonts w:ascii="Arial" w:hAnsi="Arial" w:cs="Arial"/>
                <w:color w:val="000000"/>
                <w:kern w:val="0"/>
                <w:szCs w:val="24"/>
                <w:lang w:val="en-US"/>
              </w:rPr>
            </w:pPr>
            <w:r w:rsidRPr="00ED2AE5">
              <w:rPr>
                <w:rFonts w:ascii="Arial" w:hAnsi="Arial" w:cs="Arial"/>
                <w:color w:val="000000"/>
                <w:kern w:val="0"/>
                <w:szCs w:val="24"/>
                <w:lang w:val="en-US"/>
              </w:rPr>
              <w:t>Cumulative Percent</w:t>
            </w:r>
          </w:p>
        </w:tc>
      </w:tr>
      <w:tr w:rsidR="00CF0768" w:rsidRPr="00ED2AE5" w14:paraId="45EF201A" w14:textId="77777777" w:rsidTr="00C44D6E">
        <w:trPr>
          <w:cantSplit/>
        </w:trPr>
        <w:tc>
          <w:tcPr>
            <w:tcW w:w="841" w:type="dxa"/>
            <w:vMerge w:val="restart"/>
            <w:tcBorders>
              <w:left w:val="nil"/>
              <w:right w:val="nil"/>
            </w:tcBorders>
            <w:shd w:val="clear" w:color="auto" w:fill="FFFFFF"/>
          </w:tcPr>
          <w:p w14:paraId="52434E6A"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Valid</w:t>
            </w:r>
          </w:p>
        </w:tc>
        <w:tc>
          <w:tcPr>
            <w:tcW w:w="2202" w:type="dxa"/>
            <w:tcBorders>
              <w:left w:val="nil"/>
              <w:bottom w:val="nil"/>
              <w:right w:val="nil"/>
            </w:tcBorders>
            <w:shd w:val="clear" w:color="auto" w:fill="FFFFFF"/>
          </w:tcPr>
          <w:p w14:paraId="7B241DF5"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Disagree</w:t>
            </w:r>
          </w:p>
        </w:tc>
        <w:tc>
          <w:tcPr>
            <w:tcW w:w="1407" w:type="dxa"/>
            <w:tcBorders>
              <w:left w:val="nil"/>
              <w:bottom w:val="nil"/>
              <w:right w:val="nil"/>
            </w:tcBorders>
            <w:shd w:val="clear" w:color="auto" w:fill="FFFFFF"/>
          </w:tcPr>
          <w:p w14:paraId="339E3DF6"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w:t>
            </w:r>
          </w:p>
        </w:tc>
        <w:tc>
          <w:tcPr>
            <w:tcW w:w="1116" w:type="dxa"/>
            <w:tcBorders>
              <w:left w:val="nil"/>
              <w:bottom w:val="nil"/>
              <w:right w:val="nil"/>
            </w:tcBorders>
            <w:shd w:val="clear" w:color="auto" w:fill="FFFFFF"/>
          </w:tcPr>
          <w:p w14:paraId="58BBC6E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5.2</w:t>
            </w:r>
          </w:p>
        </w:tc>
        <w:tc>
          <w:tcPr>
            <w:tcW w:w="1468" w:type="dxa"/>
            <w:tcBorders>
              <w:left w:val="nil"/>
              <w:bottom w:val="nil"/>
              <w:right w:val="nil"/>
            </w:tcBorders>
            <w:shd w:val="clear" w:color="auto" w:fill="FFFFFF"/>
          </w:tcPr>
          <w:p w14:paraId="36C98EA4"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5.2</w:t>
            </w:r>
          </w:p>
        </w:tc>
        <w:tc>
          <w:tcPr>
            <w:tcW w:w="1468" w:type="dxa"/>
            <w:tcBorders>
              <w:left w:val="nil"/>
              <w:bottom w:val="nil"/>
              <w:right w:val="nil"/>
            </w:tcBorders>
            <w:shd w:val="clear" w:color="auto" w:fill="FFFFFF"/>
          </w:tcPr>
          <w:p w14:paraId="6D71E87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5.2</w:t>
            </w:r>
          </w:p>
        </w:tc>
      </w:tr>
      <w:tr w:rsidR="00CF0768" w:rsidRPr="00ED2AE5" w14:paraId="4CB539D3" w14:textId="77777777" w:rsidTr="00C44D6E">
        <w:trPr>
          <w:cantSplit/>
        </w:trPr>
        <w:tc>
          <w:tcPr>
            <w:tcW w:w="841" w:type="dxa"/>
            <w:vMerge/>
            <w:tcBorders>
              <w:left w:val="nil"/>
              <w:right w:val="nil"/>
            </w:tcBorders>
            <w:shd w:val="clear" w:color="auto" w:fill="FFFFFF"/>
          </w:tcPr>
          <w:p w14:paraId="01AF5240"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3DF31BB2"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Disagree</w:t>
            </w:r>
          </w:p>
        </w:tc>
        <w:tc>
          <w:tcPr>
            <w:tcW w:w="1407" w:type="dxa"/>
            <w:tcBorders>
              <w:top w:val="nil"/>
              <w:left w:val="nil"/>
              <w:bottom w:val="nil"/>
              <w:right w:val="nil"/>
            </w:tcBorders>
            <w:shd w:val="clear" w:color="auto" w:fill="FFFFFF"/>
          </w:tcPr>
          <w:p w14:paraId="327A493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11</w:t>
            </w:r>
          </w:p>
        </w:tc>
        <w:tc>
          <w:tcPr>
            <w:tcW w:w="1116" w:type="dxa"/>
            <w:tcBorders>
              <w:top w:val="nil"/>
              <w:left w:val="nil"/>
              <w:bottom w:val="nil"/>
              <w:right w:val="nil"/>
            </w:tcBorders>
            <w:shd w:val="clear" w:color="auto" w:fill="FFFFFF"/>
          </w:tcPr>
          <w:p w14:paraId="1857B3C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top w:val="nil"/>
              <w:left w:val="nil"/>
              <w:bottom w:val="nil"/>
              <w:right w:val="nil"/>
            </w:tcBorders>
            <w:shd w:val="clear" w:color="auto" w:fill="FFFFFF"/>
          </w:tcPr>
          <w:p w14:paraId="77978E62"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7.1</w:t>
            </w:r>
          </w:p>
        </w:tc>
        <w:tc>
          <w:tcPr>
            <w:tcW w:w="1468" w:type="dxa"/>
            <w:tcBorders>
              <w:top w:val="nil"/>
              <w:left w:val="nil"/>
              <w:bottom w:val="nil"/>
              <w:right w:val="nil"/>
            </w:tcBorders>
            <w:shd w:val="clear" w:color="auto" w:fill="FFFFFF"/>
          </w:tcPr>
          <w:p w14:paraId="0C3E4A4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12.3</w:t>
            </w:r>
          </w:p>
        </w:tc>
      </w:tr>
      <w:tr w:rsidR="00CF0768" w:rsidRPr="00ED2AE5" w14:paraId="638E03C5" w14:textId="77777777" w:rsidTr="00C44D6E">
        <w:trPr>
          <w:cantSplit/>
        </w:trPr>
        <w:tc>
          <w:tcPr>
            <w:tcW w:w="841" w:type="dxa"/>
            <w:vMerge/>
            <w:tcBorders>
              <w:left w:val="nil"/>
              <w:right w:val="nil"/>
            </w:tcBorders>
            <w:shd w:val="clear" w:color="auto" w:fill="FFFFFF"/>
          </w:tcPr>
          <w:p w14:paraId="5F7822ED"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1EE0BEAF"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Neutral</w:t>
            </w:r>
          </w:p>
        </w:tc>
        <w:tc>
          <w:tcPr>
            <w:tcW w:w="1407" w:type="dxa"/>
            <w:tcBorders>
              <w:top w:val="nil"/>
              <w:left w:val="nil"/>
              <w:bottom w:val="nil"/>
              <w:right w:val="nil"/>
            </w:tcBorders>
            <w:shd w:val="clear" w:color="auto" w:fill="FFFFFF"/>
          </w:tcPr>
          <w:p w14:paraId="2EFFF83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19</w:t>
            </w:r>
          </w:p>
        </w:tc>
        <w:tc>
          <w:tcPr>
            <w:tcW w:w="1116" w:type="dxa"/>
            <w:tcBorders>
              <w:top w:val="nil"/>
              <w:left w:val="nil"/>
              <w:bottom w:val="nil"/>
              <w:right w:val="nil"/>
            </w:tcBorders>
            <w:shd w:val="clear" w:color="auto" w:fill="FFFFFF"/>
          </w:tcPr>
          <w:p w14:paraId="2CE2627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12.3</w:t>
            </w:r>
          </w:p>
        </w:tc>
        <w:tc>
          <w:tcPr>
            <w:tcW w:w="1468" w:type="dxa"/>
            <w:tcBorders>
              <w:top w:val="nil"/>
              <w:left w:val="nil"/>
              <w:bottom w:val="nil"/>
              <w:right w:val="nil"/>
            </w:tcBorders>
            <w:shd w:val="clear" w:color="auto" w:fill="FFFFFF"/>
          </w:tcPr>
          <w:p w14:paraId="03E8858A"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12.3</w:t>
            </w:r>
          </w:p>
        </w:tc>
        <w:tc>
          <w:tcPr>
            <w:tcW w:w="1468" w:type="dxa"/>
            <w:tcBorders>
              <w:top w:val="nil"/>
              <w:left w:val="nil"/>
              <w:bottom w:val="nil"/>
              <w:right w:val="nil"/>
            </w:tcBorders>
            <w:shd w:val="clear" w:color="auto" w:fill="FFFFFF"/>
          </w:tcPr>
          <w:p w14:paraId="0A57C0D9"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24.7</w:t>
            </w:r>
          </w:p>
        </w:tc>
      </w:tr>
      <w:tr w:rsidR="00CF0768" w:rsidRPr="00ED2AE5" w14:paraId="7F14461E" w14:textId="77777777" w:rsidTr="00C44D6E">
        <w:trPr>
          <w:cantSplit/>
        </w:trPr>
        <w:tc>
          <w:tcPr>
            <w:tcW w:w="841" w:type="dxa"/>
            <w:vMerge/>
            <w:tcBorders>
              <w:left w:val="nil"/>
              <w:right w:val="nil"/>
            </w:tcBorders>
            <w:shd w:val="clear" w:color="auto" w:fill="FFFFFF"/>
          </w:tcPr>
          <w:p w14:paraId="5A338C95"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06A51F2D"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Agree</w:t>
            </w:r>
          </w:p>
        </w:tc>
        <w:tc>
          <w:tcPr>
            <w:tcW w:w="1407" w:type="dxa"/>
            <w:tcBorders>
              <w:top w:val="nil"/>
              <w:left w:val="nil"/>
              <w:bottom w:val="nil"/>
              <w:right w:val="nil"/>
            </w:tcBorders>
            <w:shd w:val="clear" w:color="auto" w:fill="FFFFFF"/>
          </w:tcPr>
          <w:p w14:paraId="07A9BC2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32</w:t>
            </w:r>
          </w:p>
        </w:tc>
        <w:tc>
          <w:tcPr>
            <w:tcW w:w="1116" w:type="dxa"/>
            <w:tcBorders>
              <w:top w:val="nil"/>
              <w:left w:val="nil"/>
              <w:bottom w:val="nil"/>
              <w:right w:val="nil"/>
            </w:tcBorders>
            <w:shd w:val="clear" w:color="auto" w:fill="FFFFFF"/>
          </w:tcPr>
          <w:p w14:paraId="15A487A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20.8</w:t>
            </w:r>
          </w:p>
        </w:tc>
        <w:tc>
          <w:tcPr>
            <w:tcW w:w="1468" w:type="dxa"/>
            <w:tcBorders>
              <w:top w:val="nil"/>
              <w:left w:val="nil"/>
              <w:bottom w:val="nil"/>
              <w:right w:val="nil"/>
            </w:tcBorders>
            <w:shd w:val="clear" w:color="auto" w:fill="FFFFFF"/>
          </w:tcPr>
          <w:p w14:paraId="63F4D6D3"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20.8</w:t>
            </w:r>
          </w:p>
        </w:tc>
        <w:tc>
          <w:tcPr>
            <w:tcW w:w="1468" w:type="dxa"/>
            <w:tcBorders>
              <w:top w:val="nil"/>
              <w:left w:val="nil"/>
              <w:bottom w:val="nil"/>
              <w:right w:val="nil"/>
            </w:tcBorders>
            <w:shd w:val="clear" w:color="auto" w:fill="FFFFFF"/>
          </w:tcPr>
          <w:p w14:paraId="42E24F98"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45.5</w:t>
            </w:r>
          </w:p>
        </w:tc>
      </w:tr>
      <w:tr w:rsidR="00CF0768" w:rsidRPr="00ED2AE5" w14:paraId="30190C60" w14:textId="77777777" w:rsidTr="00C44D6E">
        <w:trPr>
          <w:cantSplit/>
        </w:trPr>
        <w:tc>
          <w:tcPr>
            <w:tcW w:w="841" w:type="dxa"/>
            <w:vMerge/>
            <w:tcBorders>
              <w:left w:val="nil"/>
              <w:right w:val="nil"/>
            </w:tcBorders>
            <w:shd w:val="clear" w:color="auto" w:fill="FFFFFF"/>
          </w:tcPr>
          <w:p w14:paraId="47D2ED2D"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bottom w:val="nil"/>
              <w:right w:val="nil"/>
            </w:tcBorders>
            <w:shd w:val="clear" w:color="auto" w:fill="FFFFFF"/>
          </w:tcPr>
          <w:p w14:paraId="01E1AFFE"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Strongly Agree</w:t>
            </w:r>
          </w:p>
        </w:tc>
        <w:tc>
          <w:tcPr>
            <w:tcW w:w="1407" w:type="dxa"/>
            <w:tcBorders>
              <w:top w:val="nil"/>
              <w:left w:val="nil"/>
              <w:bottom w:val="nil"/>
              <w:right w:val="nil"/>
            </w:tcBorders>
            <w:shd w:val="clear" w:color="auto" w:fill="FFFFFF"/>
          </w:tcPr>
          <w:p w14:paraId="4A29522E"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84</w:t>
            </w:r>
          </w:p>
        </w:tc>
        <w:tc>
          <w:tcPr>
            <w:tcW w:w="1116" w:type="dxa"/>
            <w:tcBorders>
              <w:top w:val="nil"/>
              <w:left w:val="nil"/>
              <w:bottom w:val="nil"/>
              <w:right w:val="nil"/>
            </w:tcBorders>
            <w:shd w:val="clear" w:color="auto" w:fill="FFFFFF"/>
          </w:tcPr>
          <w:p w14:paraId="2E427D5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54.5</w:t>
            </w:r>
          </w:p>
        </w:tc>
        <w:tc>
          <w:tcPr>
            <w:tcW w:w="1468" w:type="dxa"/>
            <w:tcBorders>
              <w:top w:val="nil"/>
              <w:left w:val="nil"/>
              <w:bottom w:val="nil"/>
              <w:right w:val="nil"/>
            </w:tcBorders>
            <w:shd w:val="clear" w:color="auto" w:fill="FFFFFF"/>
          </w:tcPr>
          <w:p w14:paraId="47CE454C"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54.5</w:t>
            </w:r>
          </w:p>
        </w:tc>
        <w:tc>
          <w:tcPr>
            <w:tcW w:w="1468" w:type="dxa"/>
            <w:tcBorders>
              <w:top w:val="nil"/>
              <w:left w:val="nil"/>
              <w:bottom w:val="nil"/>
              <w:right w:val="nil"/>
            </w:tcBorders>
            <w:shd w:val="clear" w:color="auto" w:fill="FFFFFF"/>
          </w:tcPr>
          <w:p w14:paraId="4F454947"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r>
      <w:tr w:rsidR="00CF0768" w:rsidRPr="00ED2AE5" w14:paraId="64C332C5" w14:textId="77777777" w:rsidTr="00C44D6E">
        <w:trPr>
          <w:cantSplit/>
        </w:trPr>
        <w:tc>
          <w:tcPr>
            <w:tcW w:w="841" w:type="dxa"/>
            <w:vMerge/>
            <w:tcBorders>
              <w:left w:val="nil"/>
              <w:right w:val="nil"/>
            </w:tcBorders>
            <w:shd w:val="clear" w:color="auto" w:fill="FFFFFF"/>
          </w:tcPr>
          <w:p w14:paraId="4BFC81B6" w14:textId="77777777" w:rsidR="00CF0768" w:rsidRPr="00ED2AE5" w:rsidRDefault="00CF0768" w:rsidP="00C44D6E">
            <w:pPr>
              <w:autoSpaceDE w:val="0"/>
              <w:autoSpaceDN w:val="0"/>
              <w:adjustRightInd w:val="0"/>
              <w:spacing w:line="240" w:lineRule="auto"/>
              <w:jc w:val="left"/>
              <w:rPr>
                <w:rFonts w:ascii="Arial" w:hAnsi="Arial" w:cs="Arial"/>
                <w:color w:val="000000"/>
                <w:kern w:val="0"/>
                <w:szCs w:val="24"/>
                <w:lang w:val="en-US"/>
              </w:rPr>
            </w:pPr>
          </w:p>
        </w:tc>
        <w:tc>
          <w:tcPr>
            <w:tcW w:w="2202" w:type="dxa"/>
            <w:tcBorders>
              <w:top w:val="nil"/>
              <w:left w:val="nil"/>
              <w:right w:val="nil"/>
            </w:tcBorders>
            <w:shd w:val="clear" w:color="auto" w:fill="FFFFFF"/>
          </w:tcPr>
          <w:p w14:paraId="3108FDDB" w14:textId="77777777" w:rsidR="00CF0768" w:rsidRPr="00ED2AE5" w:rsidRDefault="00CF0768" w:rsidP="00C44D6E">
            <w:pPr>
              <w:autoSpaceDE w:val="0"/>
              <w:autoSpaceDN w:val="0"/>
              <w:adjustRightInd w:val="0"/>
              <w:spacing w:line="320" w:lineRule="atLeast"/>
              <w:ind w:left="60" w:right="60"/>
              <w:jc w:val="left"/>
              <w:rPr>
                <w:rFonts w:ascii="Arial" w:hAnsi="Arial" w:cs="Arial"/>
                <w:color w:val="000000"/>
                <w:kern w:val="0"/>
                <w:szCs w:val="24"/>
                <w:lang w:val="en-US"/>
              </w:rPr>
            </w:pPr>
            <w:r w:rsidRPr="00ED2AE5">
              <w:rPr>
                <w:rFonts w:ascii="Arial" w:hAnsi="Arial" w:cs="Arial"/>
                <w:color w:val="000000"/>
                <w:kern w:val="0"/>
                <w:szCs w:val="24"/>
                <w:lang w:val="en-US"/>
              </w:rPr>
              <w:t>Total</w:t>
            </w:r>
          </w:p>
        </w:tc>
        <w:tc>
          <w:tcPr>
            <w:tcW w:w="1407" w:type="dxa"/>
            <w:tcBorders>
              <w:top w:val="nil"/>
              <w:left w:val="nil"/>
              <w:right w:val="nil"/>
            </w:tcBorders>
            <w:shd w:val="clear" w:color="auto" w:fill="FFFFFF"/>
          </w:tcPr>
          <w:p w14:paraId="40FF9320"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154</w:t>
            </w:r>
          </w:p>
        </w:tc>
        <w:tc>
          <w:tcPr>
            <w:tcW w:w="1116" w:type="dxa"/>
            <w:tcBorders>
              <w:top w:val="nil"/>
              <w:left w:val="nil"/>
              <w:right w:val="nil"/>
            </w:tcBorders>
            <w:shd w:val="clear" w:color="auto" w:fill="FFFFFF"/>
          </w:tcPr>
          <w:p w14:paraId="27BC00ED"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tcPr>
          <w:p w14:paraId="727C56D1" w14:textId="77777777" w:rsidR="00CF0768" w:rsidRPr="00ED2AE5" w:rsidRDefault="00CF0768" w:rsidP="00C44D6E">
            <w:pPr>
              <w:autoSpaceDE w:val="0"/>
              <w:autoSpaceDN w:val="0"/>
              <w:adjustRightInd w:val="0"/>
              <w:spacing w:line="320" w:lineRule="atLeast"/>
              <w:ind w:left="60" w:right="60"/>
              <w:jc w:val="right"/>
              <w:rPr>
                <w:rFonts w:ascii="Arial" w:hAnsi="Arial" w:cs="Arial"/>
                <w:color w:val="000000"/>
                <w:kern w:val="0"/>
                <w:szCs w:val="24"/>
                <w:lang w:val="en-US"/>
              </w:rPr>
            </w:pPr>
            <w:r w:rsidRPr="00ED2AE5">
              <w:rPr>
                <w:rFonts w:ascii="Arial" w:hAnsi="Arial" w:cs="Arial"/>
                <w:color w:val="000000"/>
                <w:kern w:val="0"/>
                <w:szCs w:val="24"/>
                <w:lang w:val="en-US"/>
              </w:rPr>
              <w:t>100.0</w:t>
            </w:r>
          </w:p>
        </w:tc>
        <w:tc>
          <w:tcPr>
            <w:tcW w:w="1468" w:type="dxa"/>
            <w:tcBorders>
              <w:top w:val="nil"/>
              <w:left w:val="nil"/>
              <w:right w:val="nil"/>
            </w:tcBorders>
            <w:shd w:val="clear" w:color="auto" w:fill="FFFFFF"/>
            <w:vAlign w:val="center"/>
          </w:tcPr>
          <w:p w14:paraId="271B7E26" w14:textId="77777777" w:rsidR="00CF0768" w:rsidRPr="00ED2AE5" w:rsidRDefault="00CF0768" w:rsidP="00C44D6E">
            <w:pPr>
              <w:autoSpaceDE w:val="0"/>
              <w:autoSpaceDN w:val="0"/>
              <w:adjustRightInd w:val="0"/>
              <w:spacing w:line="240" w:lineRule="auto"/>
              <w:jc w:val="left"/>
              <w:rPr>
                <w:rFonts w:cs="Times New Roman"/>
                <w:kern w:val="0"/>
                <w:szCs w:val="24"/>
                <w:lang w:val="en-US"/>
              </w:rPr>
            </w:pPr>
          </w:p>
        </w:tc>
      </w:tr>
    </w:tbl>
    <w:p w14:paraId="2F7FADE6" w14:textId="77777777" w:rsidR="00CF0768" w:rsidRPr="00ED2AE5" w:rsidRDefault="00CF0768" w:rsidP="00CF0768">
      <w:pPr>
        <w:autoSpaceDE w:val="0"/>
        <w:autoSpaceDN w:val="0"/>
        <w:adjustRightInd w:val="0"/>
        <w:spacing w:line="400" w:lineRule="atLeast"/>
        <w:jc w:val="left"/>
        <w:rPr>
          <w:rFonts w:cs="Times New Roman"/>
          <w:kern w:val="0"/>
          <w:szCs w:val="24"/>
          <w:lang w:val="en-US"/>
        </w:rPr>
      </w:pPr>
    </w:p>
    <w:p w14:paraId="69EF7165" w14:textId="20FCEABD" w:rsidR="000D2293" w:rsidRDefault="000D2293">
      <w:pPr>
        <w:spacing w:line="240" w:lineRule="auto"/>
        <w:jc w:val="left"/>
      </w:pPr>
      <w:r>
        <w:br w:type="page"/>
      </w:r>
    </w:p>
    <w:p w14:paraId="21C61148" w14:textId="379EE475" w:rsidR="00CF0768" w:rsidRDefault="000D2293" w:rsidP="000D2293">
      <w:pPr>
        <w:pStyle w:val="Heading1"/>
      </w:pPr>
      <w:bookmarkStart w:id="70" w:name="_Toc216408914"/>
      <w:r>
        <w:lastRenderedPageBreak/>
        <w:t>Appendix D Ethics Form</w:t>
      </w:r>
      <w:bookmarkEnd w:id="70"/>
    </w:p>
    <w:p w14:paraId="66D68CDF" w14:textId="23D92050" w:rsidR="000D2293" w:rsidRDefault="000D2293" w:rsidP="000D2293">
      <w:pPr>
        <w:rPr>
          <w:noProof/>
        </w:rPr>
      </w:pPr>
    </w:p>
    <w:bookmarkStart w:id="71" w:name="_MON_1827020440"/>
    <w:bookmarkEnd w:id="71"/>
    <w:p w14:paraId="5BB96597" w14:textId="525119D3" w:rsidR="00D54A4F" w:rsidRDefault="007B629C" w:rsidP="000D2293">
      <w:r>
        <w:rPr>
          <w:noProof/>
        </w:rPr>
      </w:r>
      <w:r w:rsidR="007B629C">
        <w:rPr>
          <w:noProof/>
        </w:rPr>
        <w:object w:dxaOrig="1543" w:dyaOrig="995" w14:anchorId="48D90C87">
          <v:shape id="_x0000_i1026" type="#_x0000_t75" style="width:77pt;height:49.65pt" o:ole="">
            <v:imagedata r:id="rId27" o:title=""/>
          </v:shape>
          <o:OLEObject Type="Embed" ProgID="Word.Document.12" ShapeID="_x0000_i1026" DrawAspect="Icon" ObjectID="_1827042407" r:id="rId28">
            <o:FieldCodes>\s</o:FieldCodes>
          </o:OLEObject>
        </w:object>
      </w:r>
    </w:p>
    <w:p w14:paraId="0C58A46C" w14:textId="3FA884DF" w:rsidR="00BE2BBF" w:rsidRDefault="00BE2BBF" w:rsidP="000D2293"/>
    <w:p w14:paraId="3EFE3D59" w14:textId="77777777" w:rsidR="00BE2BBF" w:rsidRDefault="00BE2BBF" w:rsidP="000D2293"/>
    <w:p w14:paraId="29551C08" w14:textId="77777777" w:rsidR="00BE2BBF" w:rsidRPr="000D2293" w:rsidRDefault="00BE2BBF" w:rsidP="000D2293"/>
    <w:sectPr w:rsidR="00BE2BBF" w:rsidRPr="000D2293">
      <w:headerReference w:type="default" r:id="rId29"/>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6EA67" w14:textId="77777777" w:rsidR="00CF6400" w:rsidRDefault="00CF6400" w:rsidP="009C7ADA">
      <w:pPr>
        <w:spacing w:line="240" w:lineRule="auto"/>
      </w:pPr>
      <w:r>
        <w:separator/>
      </w:r>
    </w:p>
  </w:endnote>
  <w:endnote w:type="continuationSeparator" w:id="0">
    <w:p w14:paraId="6A62CD8A" w14:textId="77777777" w:rsidR="00CF6400" w:rsidRDefault="00CF6400" w:rsidP="009C7A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8773666"/>
      <w:docPartObj>
        <w:docPartGallery w:val="Page Numbers (Bottom of Page)"/>
        <w:docPartUnique/>
      </w:docPartObj>
    </w:sdtPr>
    <w:sdtEndPr>
      <w:rPr>
        <w:rStyle w:val="PageNumber"/>
      </w:rPr>
    </w:sdtEndPr>
    <w:sdtContent>
      <w:p w14:paraId="392E2333" w14:textId="0CC75A8B" w:rsidR="000D2293" w:rsidRDefault="000D2293" w:rsidP="00E756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7546EA" w14:textId="77777777" w:rsidR="000D2293" w:rsidRDefault="000D2293" w:rsidP="000D22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6282830"/>
      <w:docPartObj>
        <w:docPartGallery w:val="Page Numbers (Bottom of Page)"/>
        <w:docPartUnique/>
      </w:docPartObj>
    </w:sdtPr>
    <w:sdtEndPr>
      <w:rPr>
        <w:rStyle w:val="PageNumber"/>
      </w:rPr>
    </w:sdtEndPr>
    <w:sdtContent>
      <w:p w14:paraId="15D0C944" w14:textId="2FE1ED0A" w:rsidR="000D2293" w:rsidRDefault="000D2293" w:rsidP="00E756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3D96D9" w14:textId="77777777" w:rsidR="000D2293" w:rsidRDefault="000D2293" w:rsidP="000D22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54862B" w14:textId="77777777" w:rsidR="00CF6400" w:rsidRDefault="00CF6400" w:rsidP="009C7ADA">
      <w:pPr>
        <w:spacing w:line="240" w:lineRule="auto"/>
      </w:pPr>
      <w:r>
        <w:separator/>
      </w:r>
    </w:p>
  </w:footnote>
  <w:footnote w:type="continuationSeparator" w:id="0">
    <w:p w14:paraId="3118C8E2" w14:textId="77777777" w:rsidR="00CF6400" w:rsidRDefault="00CF6400" w:rsidP="009C7AD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44FFE3" w14:textId="4AEFACDF" w:rsidR="000D2293" w:rsidRDefault="000D2293">
    <w:pPr>
      <w:pStyle w:val="Header"/>
    </w:pPr>
    <w:r w:rsidRPr="004C3A0B">
      <w:rPr>
        <w:noProof/>
        <w:lang w:eastAsia="en-GB"/>
      </w:rPr>
      <w:drawing>
        <wp:anchor distT="0" distB="0" distL="114300" distR="114300" simplePos="0" relativeHeight="251659264" behindDoc="0" locked="0" layoutInCell="1" allowOverlap="1" wp14:anchorId="67C7D262" wp14:editId="7453B646">
          <wp:simplePos x="0" y="0"/>
          <wp:positionH relativeFrom="margin">
            <wp:posOffset>-236643</wp:posOffset>
          </wp:positionH>
          <wp:positionV relativeFrom="page">
            <wp:posOffset>301625</wp:posOffset>
          </wp:positionV>
          <wp:extent cx="1286510" cy="431165"/>
          <wp:effectExtent l="0" t="0" r="0" b="635"/>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86510" cy="43116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E48E6"/>
    <w:multiLevelType w:val="hybridMultilevel"/>
    <w:tmpl w:val="E3945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332D54"/>
    <w:multiLevelType w:val="hybridMultilevel"/>
    <w:tmpl w:val="49EA1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2D1C79"/>
    <w:multiLevelType w:val="hybridMultilevel"/>
    <w:tmpl w:val="E6142E0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705B59"/>
    <w:multiLevelType w:val="hybridMultilevel"/>
    <w:tmpl w:val="83A27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2A6A04"/>
    <w:multiLevelType w:val="multilevel"/>
    <w:tmpl w:val="FFFFFFFF"/>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47403466">
    <w:abstractNumId w:val="11"/>
  </w:num>
  <w:num w:numId="2" w16cid:durableId="380522820">
    <w:abstractNumId w:val="7"/>
  </w:num>
  <w:num w:numId="3" w16cid:durableId="1830898271">
    <w:abstractNumId w:val="0"/>
  </w:num>
  <w:num w:numId="4" w16cid:durableId="1989628875">
    <w:abstractNumId w:val="9"/>
  </w:num>
  <w:num w:numId="5" w16cid:durableId="1243175906">
    <w:abstractNumId w:val="16"/>
  </w:num>
  <w:num w:numId="6" w16cid:durableId="1393846431">
    <w:abstractNumId w:val="3"/>
  </w:num>
  <w:num w:numId="7" w16cid:durableId="1004361071">
    <w:abstractNumId w:val="8"/>
  </w:num>
  <w:num w:numId="8" w16cid:durableId="1864438154">
    <w:abstractNumId w:val="15"/>
  </w:num>
  <w:num w:numId="9" w16cid:durableId="475993559">
    <w:abstractNumId w:val="10"/>
  </w:num>
  <w:num w:numId="10" w16cid:durableId="2049989034">
    <w:abstractNumId w:val="2"/>
  </w:num>
  <w:num w:numId="11" w16cid:durableId="1176072672">
    <w:abstractNumId w:val="4"/>
  </w:num>
  <w:num w:numId="12" w16cid:durableId="1802766552">
    <w:abstractNumId w:val="1"/>
  </w:num>
  <w:num w:numId="13" w16cid:durableId="1323041702">
    <w:abstractNumId w:val="12"/>
  </w:num>
  <w:num w:numId="14" w16cid:durableId="1668242075">
    <w:abstractNumId w:val="6"/>
  </w:num>
  <w:num w:numId="15" w16cid:durableId="1937402860">
    <w:abstractNumId w:val="5"/>
  </w:num>
  <w:num w:numId="16" w16cid:durableId="1954902224">
    <w:abstractNumId w:val="13"/>
  </w:num>
  <w:num w:numId="17" w16cid:durableId="302665771">
    <w:abstractNumId w:val="14"/>
  </w:num>
  <w:num w:numId="18" w16cid:durableId="156409676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3E9"/>
    <w:rsid w:val="00003744"/>
    <w:rsid w:val="000100EC"/>
    <w:rsid w:val="000236E5"/>
    <w:rsid w:val="00026F92"/>
    <w:rsid w:val="000301D0"/>
    <w:rsid w:val="00033A7F"/>
    <w:rsid w:val="00036A5E"/>
    <w:rsid w:val="000474BF"/>
    <w:rsid w:val="000502CA"/>
    <w:rsid w:val="00064CD1"/>
    <w:rsid w:val="00066782"/>
    <w:rsid w:val="000868C9"/>
    <w:rsid w:val="000910F1"/>
    <w:rsid w:val="00093665"/>
    <w:rsid w:val="000A33FE"/>
    <w:rsid w:val="000A47A1"/>
    <w:rsid w:val="000A5E18"/>
    <w:rsid w:val="000B194C"/>
    <w:rsid w:val="000D2293"/>
    <w:rsid w:val="000D52AB"/>
    <w:rsid w:val="000F342B"/>
    <w:rsid w:val="00102347"/>
    <w:rsid w:val="001033D6"/>
    <w:rsid w:val="00105C2C"/>
    <w:rsid w:val="00105E74"/>
    <w:rsid w:val="00112376"/>
    <w:rsid w:val="00123098"/>
    <w:rsid w:val="001245A2"/>
    <w:rsid w:val="00131165"/>
    <w:rsid w:val="001350FF"/>
    <w:rsid w:val="0014337C"/>
    <w:rsid w:val="0015739A"/>
    <w:rsid w:val="001652F1"/>
    <w:rsid w:val="00177084"/>
    <w:rsid w:val="0018765A"/>
    <w:rsid w:val="001943E1"/>
    <w:rsid w:val="001A30FD"/>
    <w:rsid w:val="001D3B64"/>
    <w:rsid w:val="001E217A"/>
    <w:rsid w:val="001F09AE"/>
    <w:rsid w:val="001F5F56"/>
    <w:rsid w:val="00213D51"/>
    <w:rsid w:val="002173E9"/>
    <w:rsid w:val="00220378"/>
    <w:rsid w:val="002204A2"/>
    <w:rsid w:val="00226C7D"/>
    <w:rsid w:val="00246A67"/>
    <w:rsid w:val="00261005"/>
    <w:rsid w:val="00267F56"/>
    <w:rsid w:val="00271E8F"/>
    <w:rsid w:val="002A302D"/>
    <w:rsid w:val="002B6578"/>
    <w:rsid w:val="002C0F88"/>
    <w:rsid w:val="002D4B02"/>
    <w:rsid w:val="002D5359"/>
    <w:rsid w:val="002E1F3F"/>
    <w:rsid w:val="00305318"/>
    <w:rsid w:val="00327144"/>
    <w:rsid w:val="00366F61"/>
    <w:rsid w:val="00383C71"/>
    <w:rsid w:val="00393CA8"/>
    <w:rsid w:val="003A7001"/>
    <w:rsid w:val="003B66D8"/>
    <w:rsid w:val="003E1CF6"/>
    <w:rsid w:val="003E5C0D"/>
    <w:rsid w:val="003F4573"/>
    <w:rsid w:val="0040461A"/>
    <w:rsid w:val="00410959"/>
    <w:rsid w:val="00415A29"/>
    <w:rsid w:val="00424AD7"/>
    <w:rsid w:val="00430A6D"/>
    <w:rsid w:val="0043126B"/>
    <w:rsid w:val="00436B87"/>
    <w:rsid w:val="004423F7"/>
    <w:rsid w:val="00446038"/>
    <w:rsid w:val="004620EF"/>
    <w:rsid w:val="0048040B"/>
    <w:rsid w:val="00487C64"/>
    <w:rsid w:val="00490728"/>
    <w:rsid w:val="004B5345"/>
    <w:rsid w:val="004C023B"/>
    <w:rsid w:val="004C230A"/>
    <w:rsid w:val="004D4AF2"/>
    <w:rsid w:val="004E1ECD"/>
    <w:rsid w:val="004E6330"/>
    <w:rsid w:val="004E7972"/>
    <w:rsid w:val="00503827"/>
    <w:rsid w:val="00511D98"/>
    <w:rsid w:val="00524FCD"/>
    <w:rsid w:val="00527DF0"/>
    <w:rsid w:val="0054430E"/>
    <w:rsid w:val="00552B85"/>
    <w:rsid w:val="00583DDD"/>
    <w:rsid w:val="00585227"/>
    <w:rsid w:val="00593F95"/>
    <w:rsid w:val="005B2A3D"/>
    <w:rsid w:val="005B5D40"/>
    <w:rsid w:val="005B72AF"/>
    <w:rsid w:val="005D58E9"/>
    <w:rsid w:val="005E42C2"/>
    <w:rsid w:val="005E71F3"/>
    <w:rsid w:val="00605636"/>
    <w:rsid w:val="00621BE9"/>
    <w:rsid w:val="006222AB"/>
    <w:rsid w:val="0062453E"/>
    <w:rsid w:val="00631669"/>
    <w:rsid w:val="0063386D"/>
    <w:rsid w:val="00642985"/>
    <w:rsid w:val="006643D7"/>
    <w:rsid w:val="0067280D"/>
    <w:rsid w:val="00672C6F"/>
    <w:rsid w:val="00677640"/>
    <w:rsid w:val="00677C1B"/>
    <w:rsid w:val="00683CA9"/>
    <w:rsid w:val="006A53E6"/>
    <w:rsid w:val="006A7441"/>
    <w:rsid w:val="006D5A3B"/>
    <w:rsid w:val="006D71C7"/>
    <w:rsid w:val="006E577B"/>
    <w:rsid w:val="006F0B5A"/>
    <w:rsid w:val="007001BE"/>
    <w:rsid w:val="00716970"/>
    <w:rsid w:val="00724B82"/>
    <w:rsid w:val="00747FBF"/>
    <w:rsid w:val="00752474"/>
    <w:rsid w:val="00752584"/>
    <w:rsid w:val="00762C6A"/>
    <w:rsid w:val="007645A5"/>
    <w:rsid w:val="0076522B"/>
    <w:rsid w:val="00797CC3"/>
    <w:rsid w:val="007A5411"/>
    <w:rsid w:val="007B629C"/>
    <w:rsid w:val="007C712E"/>
    <w:rsid w:val="007D161E"/>
    <w:rsid w:val="007F01E9"/>
    <w:rsid w:val="007F3A16"/>
    <w:rsid w:val="007F5E24"/>
    <w:rsid w:val="00804109"/>
    <w:rsid w:val="00806066"/>
    <w:rsid w:val="0081590A"/>
    <w:rsid w:val="008166FF"/>
    <w:rsid w:val="0083014E"/>
    <w:rsid w:val="00831671"/>
    <w:rsid w:val="0083217E"/>
    <w:rsid w:val="00836AC8"/>
    <w:rsid w:val="00837792"/>
    <w:rsid w:val="00850270"/>
    <w:rsid w:val="00861969"/>
    <w:rsid w:val="00863167"/>
    <w:rsid w:val="0086419D"/>
    <w:rsid w:val="00870017"/>
    <w:rsid w:val="0087060A"/>
    <w:rsid w:val="0087307C"/>
    <w:rsid w:val="00875148"/>
    <w:rsid w:val="008758C7"/>
    <w:rsid w:val="00877185"/>
    <w:rsid w:val="00883087"/>
    <w:rsid w:val="0088552B"/>
    <w:rsid w:val="0089202D"/>
    <w:rsid w:val="00893967"/>
    <w:rsid w:val="008A5D3F"/>
    <w:rsid w:val="008B4A1F"/>
    <w:rsid w:val="008B78A6"/>
    <w:rsid w:val="008C7253"/>
    <w:rsid w:val="008D567A"/>
    <w:rsid w:val="008F1C4B"/>
    <w:rsid w:val="008F41ED"/>
    <w:rsid w:val="00907C37"/>
    <w:rsid w:val="009143E9"/>
    <w:rsid w:val="00924EBE"/>
    <w:rsid w:val="00925B42"/>
    <w:rsid w:val="00925F9E"/>
    <w:rsid w:val="009355BB"/>
    <w:rsid w:val="00942BF4"/>
    <w:rsid w:val="00944B84"/>
    <w:rsid w:val="009512C7"/>
    <w:rsid w:val="009849E4"/>
    <w:rsid w:val="00993124"/>
    <w:rsid w:val="00995DBC"/>
    <w:rsid w:val="00997CAF"/>
    <w:rsid w:val="009A2A29"/>
    <w:rsid w:val="009A597A"/>
    <w:rsid w:val="009B204B"/>
    <w:rsid w:val="009B6D3D"/>
    <w:rsid w:val="009C0527"/>
    <w:rsid w:val="009C7ADA"/>
    <w:rsid w:val="009F2C25"/>
    <w:rsid w:val="009F57F8"/>
    <w:rsid w:val="00A015E3"/>
    <w:rsid w:val="00A47D1C"/>
    <w:rsid w:val="00A52357"/>
    <w:rsid w:val="00A541E9"/>
    <w:rsid w:val="00A618B4"/>
    <w:rsid w:val="00A70E51"/>
    <w:rsid w:val="00A73726"/>
    <w:rsid w:val="00A75503"/>
    <w:rsid w:val="00A81BDE"/>
    <w:rsid w:val="00A8637D"/>
    <w:rsid w:val="00A979C4"/>
    <w:rsid w:val="00AA55B4"/>
    <w:rsid w:val="00AA7BDC"/>
    <w:rsid w:val="00AC750B"/>
    <w:rsid w:val="00AD3C36"/>
    <w:rsid w:val="00AF0B2E"/>
    <w:rsid w:val="00AF14D2"/>
    <w:rsid w:val="00AF36AE"/>
    <w:rsid w:val="00AF5C91"/>
    <w:rsid w:val="00B05FA7"/>
    <w:rsid w:val="00B36507"/>
    <w:rsid w:val="00B3662F"/>
    <w:rsid w:val="00B3737B"/>
    <w:rsid w:val="00B42DD2"/>
    <w:rsid w:val="00B460A7"/>
    <w:rsid w:val="00B50459"/>
    <w:rsid w:val="00B51D57"/>
    <w:rsid w:val="00B5488A"/>
    <w:rsid w:val="00B56029"/>
    <w:rsid w:val="00B72A76"/>
    <w:rsid w:val="00B942ED"/>
    <w:rsid w:val="00BA3198"/>
    <w:rsid w:val="00BA36B1"/>
    <w:rsid w:val="00BB7DE2"/>
    <w:rsid w:val="00BC056A"/>
    <w:rsid w:val="00BD25F6"/>
    <w:rsid w:val="00BE2BBF"/>
    <w:rsid w:val="00BE6CFE"/>
    <w:rsid w:val="00C007A0"/>
    <w:rsid w:val="00C213CB"/>
    <w:rsid w:val="00C46C7A"/>
    <w:rsid w:val="00C46E2C"/>
    <w:rsid w:val="00C518BC"/>
    <w:rsid w:val="00C8388B"/>
    <w:rsid w:val="00C842CD"/>
    <w:rsid w:val="00C86728"/>
    <w:rsid w:val="00CA5B29"/>
    <w:rsid w:val="00CB0CC0"/>
    <w:rsid w:val="00CB23AF"/>
    <w:rsid w:val="00CC3EC5"/>
    <w:rsid w:val="00CD5B24"/>
    <w:rsid w:val="00CE052F"/>
    <w:rsid w:val="00CF0768"/>
    <w:rsid w:val="00CF3736"/>
    <w:rsid w:val="00CF6400"/>
    <w:rsid w:val="00D00B0C"/>
    <w:rsid w:val="00D11035"/>
    <w:rsid w:val="00D1622E"/>
    <w:rsid w:val="00D37076"/>
    <w:rsid w:val="00D54647"/>
    <w:rsid w:val="00D54A4F"/>
    <w:rsid w:val="00D65F87"/>
    <w:rsid w:val="00D71887"/>
    <w:rsid w:val="00D90AAC"/>
    <w:rsid w:val="00D91448"/>
    <w:rsid w:val="00DB12E4"/>
    <w:rsid w:val="00DB1D91"/>
    <w:rsid w:val="00DC051F"/>
    <w:rsid w:val="00DD3000"/>
    <w:rsid w:val="00DD4363"/>
    <w:rsid w:val="00DE388E"/>
    <w:rsid w:val="00DF15A6"/>
    <w:rsid w:val="00E01A91"/>
    <w:rsid w:val="00E2133D"/>
    <w:rsid w:val="00E26033"/>
    <w:rsid w:val="00E35600"/>
    <w:rsid w:val="00E47926"/>
    <w:rsid w:val="00E60FD4"/>
    <w:rsid w:val="00E72267"/>
    <w:rsid w:val="00E76966"/>
    <w:rsid w:val="00E817A4"/>
    <w:rsid w:val="00E871A8"/>
    <w:rsid w:val="00E902A6"/>
    <w:rsid w:val="00E912C6"/>
    <w:rsid w:val="00EA0178"/>
    <w:rsid w:val="00EA4C24"/>
    <w:rsid w:val="00EA6C9A"/>
    <w:rsid w:val="00EB478B"/>
    <w:rsid w:val="00ED775A"/>
    <w:rsid w:val="00EE1657"/>
    <w:rsid w:val="00EE3B2B"/>
    <w:rsid w:val="00F033A7"/>
    <w:rsid w:val="00F20A3C"/>
    <w:rsid w:val="00F35E76"/>
    <w:rsid w:val="00F409B1"/>
    <w:rsid w:val="00F73708"/>
    <w:rsid w:val="00F75B68"/>
    <w:rsid w:val="00F84E6A"/>
    <w:rsid w:val="00F861BA"/>
    <w:rsid w:val="00F86DA7"/>
    <w:rsid w:val="00F90C23"/>
    <w:rsid w:val="00F933A2"/>
    <w:rsid w:val="00FC32C8"/>
    <w:rsid w:val="00FD3987"/>
    <w:rsid w:val="00FE6108"/>
    <w:rsid w:val="00FF0935"/>
    <w:rsid w:val="00FF192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CE52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A4F"/>
    <w:pPr>
      <w:spacing w:line="360" w:lineRule="auto"/>
      <w:jc w:val="both"/>
    </w:pPr>
    <w:rPr>
      <w:rFonts w:ascii="Times New Roman" w:hAnsi="Times New Roman" w:cs="Vrinda"/>
      <w:color w:val="000000" w:themeColor="text1"/>
    </w:rPr>
  </w:style>
  <w:style w:type="paragraph" w:styleId="Heading1">
    <w:name w:val="heading 1"/>
    <w:basedOn w:val="Normal"/>
    <w:next w:val="Normal"/>
    <w:link w:val="Heading1Char"/>
    <w:uiPriority w:val="9"/>
    <w:qFormat/>
    <w:rsid w:val="000F342B"/>
    <w:pPr>
      <w:jc w:val="center"/>
      <w:outlineLvl w:val="0"/>
    </w:pPr>
    <w:rPr>
      <w:b/>
      <w:color w:val="002779"/>
      <w:sz w:val="32"/>
    </w:rPr>
  </w:style>
  <w:style w:type="paragraph" w:styleId="Heading2">
    <w:name w:val="heading 2"/>
    <w:basedOn w:val="Normal"/>
    <w:next w:val="Normal"/>
    <w:link w:val="Heading2Char"/>
    <w:uiPriority w:val="9"/>
    <w:unhideWhenUsed/>
    <w:qFormat/>
    <w:rsid w:val="00861969"/>
    <w:pPr>
      <w:keepNext/>
      <w:keepLines/>
      <w:spacing w:before="4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A70E51"/>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unhideWhenUsed/>
    <w:qFormat/>
    <w:rsid w:val="003F4573"/>
    <w:pPr>
      <w:keepNext/>
      <w:keepLines/>
      <w:spacing w:before="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D2293"/>
    <w:pPr>
      <w:keepNext/>
      <w:keepLines/>
      <w:spacing w:before="80" w:after="40" w:line="240" w:lineRule="auto"/>
      <w:jc w:val="left"/>
      <w:outlineLvl w:val="4"/>
    </w:pPr>
    <w:rPr>
      <w:rFonts w:eastAsiaTheme="majorEastAsia" w:cstheme="majorBidi"/>
      <w:color w:val="2F5496" w:themeColor="accent1" w:themeShade="BF"/>
      <w:kern w:val="0"/>
      <w:sz w:val="20"/>
      <w:szCs w:val="20"/>
      <w:lang w:bidi="ar-SA"/>
      <w14:ligatures w14:val="none"/>
    </w:rPr>
  </w:style>
  <w:style w:type="paragraph" w:styleId="Heading6">
    <w:name w:val="heading 6"/>
    <w:basedOn w:val="Normal"/>
    <w:next w:val="Normal"/>
    <w:link w:val="Heading6Char"/>
    <w:uiPriority w:val="9"/>
    <w:semiHidden/>
    <w:unhideWhenUsed/>
    <w:qFormat/>
    <w:rsid w:val="000D2293"/>
    <w:pPr>
      <w:keepNext/>
      <w:keepLines/>
      <w:spacing w:before="40" w:line="240" w:lineRule="auto"/>
      <w:jc w:val="left"/>
      <w:outlineLvl w:val="5"/>
    </w:pPr>
    <w:rPr>
      <w:rFonts w:eastAsiaTheme="majorEastAsia" w:cstheme="majorBidi"/>
      <w:i/>
      <w:iCs/>
      <w:color w:val="595959" w:themeColor="text1" w:themeTint="A6"/>
      <w:kern w:val="0"/>
      <w:sz w:val="20"/>
      <w:szCs w:val="20"/>
      <w:lang w:bidi="ar-SA"/>
      <w14:ligatures w14:val="none"/>
    </w:rPr>
  </w:style>
  <w:style w:type="paragraph" w:styleId="Heading7">
    <w:name w:val="heading 7"/>
    <w:basedOn w:val="Normal"/>
    <w:next w:val="Normal"/>
    <w:link w:val="Heading7Char"/>
    <w:uiPriority w:val="9"/>
    <w:semiHidden/>
    <w:unhideWhenUsed/>
    <w:qFormat/>
    <w:rsid w:val="000D2293"/>
    <w:pPr>
      <w:keepNext/>
      <w:keepLines/>
      <w:spacing w:before="40" w:line="240" w:lineRule="auto"/>
      <w:jc w:val="left"/>
      <w:outlineLvl w:val="6"/>
    </w:pPr>
    <w:rPr>
      <w:rFonts w:eastAsiaTheme="majorEastAsia" w:cstheme="majorBidi"/>
      <w:color w:val="595959" w:themeColor="text1" w:themeTint="A6"/>
      <w:kern w:val="0"/>
      <w:sz w:val="20"/>
      <w:szCs w:val="20"/>
      <w:lang w:bidi="ar-SA"/>
      <w14:ligatures w14:val="none"/>
    </w:rPr>
  </w:style>
  <w:style w:type="paragraph" w:styleId="Heading8">
    <w:name w:val="heading 8"/>
    <w:basedOn w:val="Normal"/>
    <w:next w:val="Normal"/>
    <w:link w:val="Heading8Char"/>
    <w:uiPriority w:val="9"/>
    <w:semiHidden/>
    <w:unhideWhenUsed/>
    <w:qFormat/>
    <w:rsid w:val="000D2293"/>
    <w:pPr>
      <w:keepNext/>
      <w:keepLines/>
      <w:spacing w:line="240" w:lineRule="auto"/>
      <w:jc w:val="left"/>
      <w:outlineLvl w:val="7"/>
    </w:pPr>
    <w:rPr>
      <w:rFonts w:eastAsiaTheme="majorEastAsia" w:cstheme="majorBidi"/>
      <w:i/>
      <w:iCs/>
      <w:color w:val="272727" w:themeColor="text1" w:themeTint="D8"/>
      <w:kern w:val="0"/>
      <w:sz w:val="20"/>
      <w:szCs w:val="20"/>
      <w:lang w:bidi="ar-SA"/>
      <w14:ligatures w14:val="none"/>
    </w:rPr>
  </w:style>
  <w:style w:type="paragraph" w:styleId="Heading9">
    <w:name w:val="heading 9"/>
    <w:basedOn w:val="Normal"/>
    <w:next w:val="Normal"/>
    <w:link w:val="Heading9Char"/>
    <w:uiPriority w:val="9"/>
    <w:semiHidden/>
    <w:unhideWhenUsed/>
    <w:qFormat/>
    <w:rsid w:val="000D2293"/>
    <w:pPr>
      <w:keepNext/>
      <w:keepLines/>
      <w:spacing w:line="240" w:lineRule="auto"/>
      <w:jc w:val="left"/>
      <w:outlineLvl w:val="8"/>
    </w:pPr>
    <w:rPr>
      <w:rFonts w:eastAsiaTheme="majorEastAsia" w:cstheme="majorBidi"/>
      <w:color w:val="272727" w:themeColor="text1" w:themeTint="D8"/>
      <w:kern w:val="0"/>
      <w:sz w:val="20"/>
      <w:szCs w:val="20"/>
      <w:lang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131165"/>
    <w:pPr>
      <w:contextualSpacing/>
      <w:jc w:val="center"/>
    </w:pPr>
    <w:rPr>
      <w:rFonts w:eastAsiaTheme="majorEastAsia" w:cstheme="majorBidi"/>
      <w:b/>
      <w:spacing w:val="-10"/>
      <w:kern w:val="28"/>
      <w:sz w:val="40"/>
      <w:szCs w:val="71"/>
    </w:rPr>
  </w:style>
  <w:style w:type="character" w:customStyle="1" w:styleId="TitleChar">
    <w:name w:val="Title Char"/>
    <w:basedOn w:val="DefaultParagraphFont"/>
    <w:link w:val="Title"/>
    <w:uiPriority w:val="10"/>
    <w:rsid w:val="00131165"/>
    <w:rPr>
      <w:rFonts w:ascii="Times New Roman" w:eastAsiaTheme="majorEastAsia" w:hAnsi="Times New Roman" w:cstheme="majorBidi"/>
      <w:b/>
      <w:color w:val="000000" w:themeColor="text1"/>
      <w:spacing w:val="-10"/>
      <w:kern w:val="28"/>
      <w:sz w:val="40"/>
      <w:szCs w:val="71"/>
    </w:rPr>
  </w:style>
  <w:style w:type="character" w:customStyle="1" w:styleId="Heading1Char">
    <w:name w:val="Heading 1 Char"/>
    <w:basedOn w:val="DefaultParagraphFont"/>
    <w:link w:val="Heading1"/>
    <w:uiPriority w:val="9"/>
    <w:rsid w:val="000F342B"/>
    <w:rPr>
      <w:rFonts w:ascii="Times New Roman" w:hAnsi="Times New Roman" w:cs="Vrinda"/>
      <w:b/>
      <w:color w:val="002779"/>
      <w:sz w:val="32"/>
      <w:lang w:val="en-GB"/>
    </w:rPr>
  </w:style>
  <w:style w:type="character" w:customStyle="1" w:styleId="Heading3Char">
    <w:name w:val="Heading 3 Char"/>
    <w:basedOn w:val="DefaultParagraphFont"/>
    <w:link w:val="Heading3"/>
    <w:uiPriority w:val="9"/>
    <w:rsid w:val="00A70E51"/>
    <w:rPr>
      <w:rFonts w:ascii="Times New Roman" w:eastAsiaTheme="majorEastAsia" w:hAnsi="Times New Roman" w:cstheme="majorBidi"/>
      <w:b/>
      <w:color w:val="000000" w:themeColor="text1"/>
      <w:lang w:val="en-GB"/>
    </w:rPr>
  </w:style>
  <w:style w:type="character" w:customStyle="1" w:styleId="Heading2Char">
    <w:name w:val="Heading 2 Char"/>
    <w:basedOn w:val="DefaultParagraphFont"/>
    <w:link w:val="Heading2"/>
    <w:uiPriority w:val="9"/>
    <w:rsid w:val="00861969"/>
    <w:rPr>
      <w:rFonts w:ascii="Times New Roman" w:eastAsiaTheme="majorEastAsia" w:hAnsi="Times New Roman" w:cstheme="majorBidi"/>
      <w:b/>
      <w:color w:val="000000" w:themeColor="text1"/>
      <w:sz w:val="28"/>
      <w:szCs w:val="33"/>
      <w:lang w:val="en-GB"/>
    </w:rPr>
  </w:style>
  <w:style w:type="paragraph" w:styleId="TOC1">
    <w:name w:val="toc 1"/>
    <w:basedOn w:val="Normal"/>
    <w:next w:val="Normal"/>
    <w:autoRedefine/>
    <w:uiPriority w:val="39"/>
    <w:unhideWhenUsed/>
    <w:rsid w:val="00131165"/>
    <w:pPr>
      <w:tabs>
        <w:tab w:val="right" w:leader="dot" w:pos="9016"/>
      </w:tabs>
      <w:spacing w:before="120"/>
      <w:jc w:val="left"/>
    </w:pPr>
    <w:rPr>
      <w:rFonts w:cs="Times New Roman"/>
      <w:b/>
      <w:bCs/>
      <w:i/>
      <w:iCs/>
      <w:noProof/>
      <w:szCs w:val="24"/>
    </w:rPr>
  </w:style>
  <w:style w:type="paragraph" w:styleId="TOC2">
    <w:name w:val="toc 2"/>
    <w:basedOn w:val="Normal"/>
    <w:next w:val="Normal"/>
    <w:autoRedefine/>
    <w:uiPriority w:val="39"/>
    <w:unhideWhenUsed/>
    <w:rsid w:val="00EA6C9A"/>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EA6C9A"/>
    <w:pPr>
      <w:ind w:left="480"/>
      <w:jc w:val="left"/>
    </w:pPr>
    <w:rPr>
      <w:rFonts w:asciiTheme="minorHAnsi" w:hAnsiTheme="minorHAnsi"/>
      <w:sz w:val="20"/>
      <w:szCs w:val="20"/>
    </w:rPr>
  </w:style>
  <w:style w:type="paragraph" w:styleId="Caption">
    <w:name w:val="caption"/>
    <w:basedOn w:val="Normal"/>
    <w:next w:val="Normal"/>
    <w:uiPriority w:val="35"/>
    <w:unhideWhenUsed/>
    <w:qFormat/>
    <w:rsid w:val="009C7ADA"/>
    <w:pPr>
      <w:spacing w:after="200" w:line="240" w:lineRule="auto"/>
      <w:jc w:val="center"/>
    </w:pPr>
    <w:rPr>
      <w:i/>
      <w:iCs/>
      <w:szCs w:val="22"/>
    </w:rPr>
  </w:style>
  <w:style w:type="paragraph" w:styleId="Subtitle">
    <w:name w:val="Subtitle"/>
    <w:basedOn w:val="Normal"/>
    <w:next w:val="Normal"/>
    <w:link w:val="SubtitleChar"/>
    <w:uiPriority w:val="11"/>
    <w:qFormat/>
    <w:rsid w:val="006A7441"/>
    <w:pPr>
      <w:numPr>
        <w:ilvl w:val="1"/>
      </w:numPr>
      <w:pBdr>
        <w:top w:val="single" w:sz="4" w:space="1" w:color="auto"/>
        <w:left w:val="single" w:sz="4" w:space="4" w:color="auto"/>
        <w:bottom w:val="single" w:sz="4" w:space="1" w:color="auto"/>
        <w:right w:val="single" w:sz="4" w:space="4" w:color="auto"/>
      </w:pBdr>
      <w:spacing w:after="40"/>
      <w:ind w:left="737" w:right="737"/>
      <w:jc w:val="center"/>
    </w:pPr>
    <w:rPr>
      <w:rFonts w:eastAsiaTheme="minorEastAsia" w:cstheme="minorBidi"/>
      <w:spacing w:val="15"/>
      <w:szCs w:val="28"/>
    </w:rPr>
  </w:style>
  <w:style w:type="character" w:customStyle="1" w:styleId="SubtitleChar">
    <w:name w:val="Subtitle Char"/>
    <w:basedOn w:val="DefaultParagraphFont"/>
    <w:link w:val="Subtitle"/>
    <w:uiPriority w:val="11"/>
    <w:rsid w:val="006A7441"/>
    <w:rPr>
      <w:rFonts w:ascii="Times New Roman" w:eastAsiaTheme="minorEastAsia" w:hAnsi="Times New Roman"/>
      <w:color w:val="000000" w:themeColor="text1"/>
      <w:spacing w:val="15"/>
      <w:szCs w:val="28"/>
      <w:lang w:val="en-GB"/>
    </w:rPr>
  </w:style>
  <w:style w:type="character" w:customStyle="1" w:styleId="Heading4Char">
    <w:name w:val="Heading 4 Char"/>
    <w:basedOn w:val="DefaultParagraphFont"/>
    <w:link w:val="Heading4"/>
    <w:uiPriority w:val="9"/>
    <w:rsid w:val="003F4573"/>
    <w:rPr>
      <w:rFonts w:ascii="Times New Roman" w:eastAsiaTheme="majorEastAsia" w:hAnsi="Times New Roman" w:cstheme="majorBidi"/>
      <w:i/>
      <w:iCs/>
      <w:color w:val="2F5496" w:themeColor="accent1" w:themeShade="BF"/>
      <w:lang w:val="en-GB"/>
    </w:rPr>
  </w:style>
  <w:style w:type="paragraph" w:styleId="NormalWeb">
    <w:name w:val="Normal (Web)"/>
    <w:aliases w:val="APA style"/>
    <w:basedOn w:val="Normal"/>
    <w:uiPriority w:val="99"/>
    <w:unhideWhenUsed/>
    <w:rsid w:val="00EA0178"/>
    <w:pPr>
      <w:spacing w:before="100" w:beforeAutospacing="1" w:after="100" w:afterAutospacing="1" w:line="240" w:lineRule="auto"/>
      <w:ind w:left="720" w:hanging="720"/>
    </w:pPr>
    <w:rPr>
      <w:rFonts w:eastAsia="Times New Roman" w:cs="Times New Roman"/>
      <w:color w:val="auto"/>
      <w:sz w:val="22"/>
      <w:szCs w:val="24"/>
      <w:lang w:val="en-US" w:bidi="ar-SA"/>
    </w:rPr>
  </w:style>
  <w:style w:type="paragraph" w:styleId="ListParagraph">
    <w:name w:val="List Paragraph"/>
    <w:basedOn w:val="Normal"/>
    <w:uiPriority w:val="34"/>
    <w:qFormat/>
    <w:rsid w:val="002173E9"/>
    <w:pPr>
      <w:ind w:left="720"/>
      <w:contextualSpacing/>
    </w:pPr>
  </w:style>
  <w:style w:type="character" w:customStyle="1" w:styleId="apple-converted-space">
    <w:name w:val="apple-converted-space"/>
    <w:basedOn w:val="DefaultParagraphFont"/>
    <w:rsid w:val="000A33FE"/>
  </w:style>
  <w:style w:type="paragraph" w:styleId="Header">
    <w:name w:val="header"/>
    <w:basedOn w:val="Normal"/>
    <w:link w:val="HeaderChar"/>
    <w:uiPriority w:val="99"/>
    <w:unhideWhenUsed/>
    <w:rsid w:val="009C7ADA"/>
    <w:pPr>
      <w:tabs>
        <w:tab w:val="center" w:pos="4513"/>
        <w:tab w:val="right" w:pos="9026"/>
      </w:tabs>
      <w:spacing w:line="240" w:lineRule="auto"/>
    </w:pPr>
  </w:style>
  <w:style w:type="character" w:customStyle="1" w:styleId="HeaderChar">
    <w:name w:val="Header Char"/>
    <w:basedOn w:val="DefaultParagraphFont"/>
    <w:link w:val="Header"/>
    <w:uiPriority w:val="99"/>
    <w:rsid w:val="009C7ADA"/>
    <w:rPr>
      <w:rFonts w:ascii="Times New Roman" w:hAnsi="Times New Roman" w:cs="Vrinda"/>
      <w:color w:val="000000" w:themeColor="text1"/>
      <w:lang w:val="en-GB"/>
    </w:rPr>
  </w:style>
  <w:style w:type="paragraph" w:styleId="Footer">
    <w:name w:val="footer"/>
    <w:basedOn w:val="Normal"/>
    <w:link w:val="FooterChar"/>
    <w:uiPriority w:val="99"/>
    <w:unhideWhenUsed/>
    <w:rsid w:val="009C7ADA"/>
    <w:pPr>
      <w:tabs>
        <w:tab w:val="center" w:pos="4513"/>
        <w:tab w:val="right" w:pos="9026"/>
      </w:tabs>
      <w:spacing w:line="240" w:lineRule="auto"/>
    </w:pPr>
  </w:style>
  <w:style w:type="character" w:customStyle="1" w:styleId="FooterChar">
    <w:name w:val="Footer Char"/>
    <w:basedOn w:val="DefaultParagraphFont"/>
    <w:link w:val="Footer"/>
    <w:uiPriority w:val="99"/>
    <w:rsid w:val="009C7ADA"/>
    <w:rPr>
      <w:rFonts w:ascii="Times New Roman" w:hAnsi="Times New Roman" w:cs="Vrinda"/>
      <w:color w:val="000000" w:themeColor="text1"/>
      <w:lang w:val="en-GB"/>
    </w:rPr>
  </w:style>
  <w:style w:type="paragraph" w:styleId="TOCHeading">
    <w:name w:val="TOC Heading"/>
    <w:basedOn w:val="Heading1"/>
    <w:next w:val="Normal"/>
    <w:uiPriority w:val="39"/>
    <w:unhideWhenUsed/>
    <w:qFormat/>
    <w:rsid w:val="00877185"/>
    <w:pPr>
      <w:keepNext/>
      <w:keepLines/>
      <w:spacing w:before="480" w:line="276" w:lineRule="auto"/>
      <w:jc w:val="left"/>
      <w:outlineLvl w:val="9"/>
    </w:pPr>
    <w:rPr>
      <w:rFonts w:eastAsiaTheme="majorEastAsia" w:cstheme="majorBidi"/>
      <w:bCs/>
      <w:color w:val="0070C0"/>
      <w:kern w:val="0"/>
      <w:sz w:val="28"/>
      <w:szCs w:val="28"/>
      <w:lang w:val="en-US" w:bidi="ar-SA"/>
    </w:rPr>
  </w:style>
  <w:style w:type="character" w:styleId="Hyperlink">
    <w:name w:val="Hyperlink"/>
    <w:basedOn w:val="DefaultParagraphFont"/>
    <w:uiPriority w:val="99"/>
    <w:unhideWhenUsed/>
    <w:rsid w:val="009C7ADA"/>
    <w:rPr>
      <w:color w:val="0563C1" w:themeColor="hyperlink"/>
      <w:u w:val="single"/>
    </w:rPr>
  </w:style>
  <w:style w:type="paragraph" w:styleId="TOC4">
    <w:name w:val="toc 4"/>
    <w:basedOn w:val="Normal"/>
    <w:next w:val="Normal"/>
    <w:autoRedefine/>
    <w:uiPriority w:val="39"/>
    <w:semiHidden/>
    <w:unhideWhenUsed/>
    <w:rsid w:val="009C7ADA"/>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9C7ADA"/>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9C7ADA"/>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9C7ADA"/>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9C7ADA"/>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9C7ADA"/>
    <w:pPr>
      <w:ind w:left="1920"/>
      <w:jc w:val="left"/>
    </w:pPr>
    <w:rPr>
      <w:rFonts w:asciiTheme="minorHAnsi" w:hAnsiTheme="minorHAnsi"/>
      <w:sz w:val="20"/>
      <w:szCs w:val="20"/>
    </w:rPr>
  </w:style>
  <w:style w:type="paragraph" w:customStyle="1" w:styleId="Title0">
    <w:name w:val="Title()"/>
    <w:basedOn w:val="Normal"/>
    <w:link w:val="TitleChar0"/>
    <w:qFormat/>
    <w:rsid w:val="00CF0768"/>
    <w:pPr>
      <w:spacing w:after="160"/>
      <w:jc w:val="center"/>
    </w:pPr>
    <w:rPr>
      <w:rFonts w:cstheme="minorBidi"/>
      <w:b/>
      <w:color w:val="auto"/>
      <w:sz w:val="40"/>
      <w:szCs w:val="22"/>
      <w:lang w:bidi="ar-SA"/>
    </w:rPr>
  </w:style>
  <w:style w:type="character" w:customStyle="1" w:styleId="TitleChar0">
    <w:name w:val="Title() Char"/>
    <w:basedOn w:val="DefaultParagraphFont"/>
    <w:link w:val="Title0"/>
    <w:rsid w:val="00CF0768"/>
    <w:rPr>
      <w:rFonts w:ascii="Times New Roman" w:hAnsi="Times New Roman"/>
      <w:b/>
      <w:sz w:val="40"/>
      <w:szCs w:val="22"/>
      <w:lang w:val="en-GB" w:bidi="ar-SA"/>
    </w:rPr>
  </w:style>
  <w:style w:type="paragraph" w:styleId="NoSpacing">
    <w:name w:val="No Spacing"/>
    <w:uiPriority w:val="1"/>
    <w:qFormat/>
    <w:rsid w:val="00CF0768"/>
    <w:pPr>
      <w:spacing w:line="360" w:lineRule="auto"/>
      <w:jc w:val="center"/>
    </w:pPr>
    <w:rPr>
      <w:rFonts w:ascii="Times New Roman" w:hAnsi="Times New Roman"/>
      <w:b/>
      <w:sz w:val="32"/>
      <w:szCs w:val="22"/>
      <w:lang w:bidi="ar-SA"/>
    </w:rPr>
  </w:style>
  <w:style w:type="paragraph" w:styleId="TableofFigures">
    <w:name w:val="table of figures"/>
    <w:basedOn w:val="Normal"/>
    <w:next w:val="Normal"/>
    <w:uiPriority w:val="99"/>
    <w:unhideWhenUsed/>
    <w:rsid w:val="000D2293"/>
  </w:style>
  <w:style w:type="character" w:customStyle="1" w:styleId="Heading5Char">
    <w:name w:val="Heading 5 Char"/>
    <w:basedOn w:val="DefaultParagraphFont"/>
    <w:link w:val="Heading5"/>
    <w:uiPriority w:val="9"/>
    <w:semiHidden/>
    <w:rsid w:val="000D2293"/>
    <w:rPr>
      <w:rFonts w:ascii="Times New Roman" w:eastAsiaTheme="majorEastAsia" w:hAnsi="Times New Roman" w:cstheme="majorBidi"/>
      <w:color w:val="2F5496" w:themeColor="accent1" w:themeShade="BF"/>
      <w:kern w:val="0"/>
      <w:sz w:val="20"/>
      <w:szCs w:val="20"/>
      <w:lang w:val="en-GB" w:bidi="ar-SA"/>
      <w14:ligatures w14:val="none"/>
    </w:rPr>
  </w:style>
  <w:style w:type="character" w:customStyle="1" w:styleId="Heading6Char">
    <w:name w:val="Heading 6 Char"/>
    <w:basedOn w:val="DefaultParagraphFont"/>
    <w:link w:val="Heading6"/>
    <w:uiPriority w:val="9"/>
    <w:semiHidden/>
    <w:rsid w:val="000D2293"/>
    <w:rPr>
      <w:rFonts w:ascii="Times New Roman" w:eastAsiaTheme="majorEastAsia" w:hAnsi="Times New Roman" w:cstheme="majorBidi"/>
      <w:i/>
      <w:iCs/>
      <w:color w:val="595959" w:themeColor="text1" w:themeTint="A6"/>
      <w:kern w:val="0"/>
      <w:sz w:val="20"/>
      <w:szCs w:val="20"/>
      <w:lang w:val="en-GB" w:bidi="ar-SA"/>
      <w14:ligatures w14:val="none"/>
    </w:rPr>
  </w:style>
  <w:style w:type="character" w:customStyle="1" w:styleId="Heading7Char">
    <w:name w:val="Heading 7 Char"/>
    <w:basedOn w:val="DefaultParagraphFont"/>
    <w:link w:val="Heading7"/>
    <w:uiPriority w:val="9"/>
    <w:semiHidden/>
    <w:rsid w:val="000D2293"/>
    <w:rPr>
      <w:rFonts w:ascii="Times New Roman" w:eastAsiaTheme="majorEastAsia" w:hAnsi="Times New Roman" w:cstheme="majorBidi"/>
      <w:color w:val="595959" w:themeColor="text1" w:themeTint="A6"/>
      <w:kern w:val="0"/>
      <w:sz w:val="20"/>
      <w:szCs w:val="20"/>
      <w:lang w:val="en-GB" w:bidi="ar-SA"/>
      <w14:ligatures w14:val="none"/>
    </w:rPr>
  </w:style>
  <w:style w:type="character" w:customStyle="1" w:styleId="Heading8Char">
    <w:name w:val="Heading 8 Char"/>
    <w:basedOn w:val="DefaultParagraphFont"/>
    <w:link w:val="Heading8"/>
    <w:uiPriority w:val="9"/>
    <w:semiHidden/>
    <w:rsid w:val="000D2293"/>
    <w:rPr>
      <w:rFonts w:ascii="Times New Roman" w:eastAsiaTheme="majorEastAsia" w:hAnsi="Times New Roman" w:cstheme="majorBidi"/>
      <w:i/>
      <w:iCs/>
      <w:color w:val="272727" w:themeColor="text1" w:themeTint="D8"/>
      <w:kern w:val="0"/>
      <w:sz w:val="20"/>
      <w:szCs w:val="20"/>
      <w:lang w:val="en-GB" w:bidi="ar-SA"/>
      <w14:ligatures w14:val="none"/>
    </w:rPr>
  </w:style>
  <w:style w:type="character" w:customStyle="1" w:styleId="Heading9Char">
    <w:name w:val="Heading 9 Char"/>
    <w:basedOn w:val="DefaultParagraphFont"/>
    <w:link w:val="Heading9"/>
    <w:uiPriority w:val="9"/>
    <w:semiHidden/>
    <w:rsid w:val="000D2293"/>
    <w:rPr>
      <w:rFonts w:ascii="Times New Roman" w:eastAsiaTheme="majorEastAsia" w:hAnsi="Times New Roman" w:cstheme="majorBidi"/>
      <w:color w:val="272727" w:themeColor="text1" w:themeTint="D8"/>
      <w:kern w:val="0"/>
      <w:sz w:val="20"/>
      <w:szCs w:val="20"/>
      <w:lang w:val="en-GB" w:bidi="ar-SA"/>
      <w14:ligatures w14:val="none"/>
    </w:rPr>
  </w:style>
  <w:style w:type="paragraph" w:styleId="Quote">
    <w:name w:val="Quote"/>
    <w:basedOn w:val="Normal"/>
    <w:next w:val="Normal"/>
    <w:link w:val="QuoteChar"/>
    <w:uiPriority w:val="29"/>
    <w:qFormat/>
    <w:rsid w:val="000D2293"/>
    <w:pPr>
      <w:spacing w:before="160" w:after="160" w:line="240" w:lineRule="auto"/>
      <w:jc w:val="center"/>
    </w:pPr>
    <w:rPr>
      <w:rFonts w:eastAsia="Times New Roman" w:cs="Times New Roman"/>
      <w:i/>
      <w:iCs/>
      <w:color w:val="404040" w:themeColor="text1" w:themeTint="BF"/>
      <w:kern w:val="0"/>
      <w:sz w:val="20"/>
      <w:szCs w:val="20"/>
      <w:lang w:bidi="ar-SA"/>
      <w14:ligatures w14:val="none"/>
    </w:rPr>
  </w:style>
  <w:style w:type="character" w:customStyle="1" w:styleId="QuoteChar">
    <w:name w:val="Quote Char"/>
    <w:basedOn w:val="DefaultParagraphFont"/>
    <w:link w:val="Quote"/>
    <w:uiPriority w:val="29"/>
    <w:rsid w:val="000D2293"/>
    <w:rPr>
      <w:rFonts w:ascii="Times New Roman" w:eastAsia="Times New Roman" w:hAnsi="Times New Roman" w:cs="Times New Roman"/>
      <w:i/>
      <w:iCs/>
      <w:color w:val="404040" w:themeColor="text1" w:themeTint="BF"/>
      <w:kern w:val="0"/>
      <w:sz w:val="20"/>
      <w:szCs w:val="20"/>
      <w:lang w:val="en-GB" w:bidi="ar-SA"/>
      <w14:ligatures w14:val="none"/>
    </w:rPr>
  </w:style>
  <w:style w:type="character" w:styleId="IntenseEmphasis">
    <w:name w:val="Intense Emphasis"/>
    <w:basedOn w:val="DefaultParagraphFont"/>
    <w:uiPriority w:val="21"/>
    <w:qFormat/>
    <w:rsid w:val="000D2293"/>
    <w:rPr>
      <w:i/>
      <w:iCs/>
      <w:color w:val="2F5496" w:themeColor="accent1" w:themeShade="BF"/>
    </w:rPr>
  </w:style>
  <w:style w:type="paragraph" w:styleId="IntenseQuote">
    <w:name w:val="Intense Quote"/>
    <w:basedOn w:val="Normal"/>
    <w:next w:val="Normal"/>
    <w:link w:val="IntenseQuoteChar"/>
    <w:uiPriority w:val="30"/>
    <w:qFormat/>
    <w:rsid w:val="000D2293"/>
    <w:pPr>
      <w:pBdr>
        <w:top w:val="single" w:sz="4" w:space="10" w:color="2F5496" w:themeColor="accent1" w:themeShade="BF"/>
        <w:bottom w:val="single" w:sz="4" w:space="10" w:color="2F5496" w:themeColor="accent1" w:themeShade="BF"/>
      </w:pBdr>
      <w:spacing w:before="360" w:after="360" w:line="240" w:lineRule="auto"/>
      <w:ind w:left="864" w:right="864"/>
      <w:jc w:val="center"/>
    </w:pPr>
    <w:rPr>
      <w:rFonts w:eastAsia="Times New Roman" w:cs="Times New Roman"/>
      <w:i/>
      <w:iCs/>
      <w:color w:val="2F5496" w:themeColor="accent1" w:themeShade="BF"/>
      <w:kern w:val="0"/>
      <w:sz w:val="20"/>
      <w:szCs w:val="20"/>
      <w:lang w:bidi="ar-SA"/>
      <w14:ligatures w14:val="none"/>
    </w:rPr>
  </w:style>
  <w:style w:type="character" w:customStyle="1" w:styleId="IntenseQuoteChar">
    <w:name w:val="Intense Quote Char"/>
    <w:basedOn w:val="DefaultParagraphFont"/>
    <w:link w:val="IntenseQuote"/>
    <w:uiPriority w:val="30"/>
    <w:rsid w:val="000D2293"/>
    <w:rPr>
      <w:rFonts w:ascii="Times New Roman" w:eastAsia="Times New Roman" w:hAnsi="Times New Roman" w:cs="Times New Roman"/>
      <w:i/>
      <w:iCs/>
      <w:color w:val="2F5496" w:themeColor="accent1" w:themeShade="BF"/>
      <w:kern w:val="0"/>
      <w:sz w:val="20"/>
      <w:szCs w:val="20"/>
      <w:lang w:val="en-GB" w:bidi="ar-SA"/>
      <w14:ligatures w14:val="none"/>
    </w:rPr>
  </w:style>
  <w:style w:type="character" w:styleId="IntenseReference">
    <w:name w:val="Intense Reference"/>
    <w:basedOn w:val="DefaultParagraphFont"/>
    <w:uiPriority w:val="32"/>
    <w:qFormat/>
    <w:rsid w:val="000D2293"/>
    <w:rPr>
      <w:b/>
      <w:bCs/>
      <w:smallCaps/>
      <w:color w:val="2F5496" w:themeColor="accent1" w:themeShade="BF"/>
      <w:spacing w:val="5"/>
    </w:rPr>
  </w:style>
  <w:style w:type="table" w:styleId="TableGrid">
    <w:name w:val="Table Grid"/>
    <w:basedOn w:val="TableNormal"/>
    <w:uiPriority w:val="39"/>
    <w:rsid w:val="000D2293"/>
    <w:rPr>
      <w:rFonts w:ascii="Times New Roman" w:eastAsia="Times New Roman" w:hAnsi="Times New Roman" w:cs="Times New Roman"/>
      <w:kern w:val="0"/>
      <w:sz w:val="20"/>
      <w:szCs w:val="20"/>
      <w:lang w:eastAsia="en-GB"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D2293"/>
    <w:rPr>
      <w:color w:val="605E5C"/>
      <w:shd w:val="clear" w:color="auto" w:fill="E1DFDD"/>
    </w:rPr>
  </w:style>
  <w:style w:type="character" w:styleId="FollowedHyperlink">
    <w:name w:val="FollowedHyperlink"/>
    <w:basedOn w:val="DefaultParagraphFont"/>
    <w:uiPriority w:val="99"/>
    <w:semiHidden/>
    <w:unhideWhenUsed/>
    <w:rsid w:val="000D2293"/>
    <w:rPr>
      <w:color w:val="954F72" w:themeColor="followedHyperlink"/>
      <w:u w:val="single"/>
    </w:rPr>
  </w:style>
  <w:style w:type="character" w:styleId="CommentReference">
    <w:name w:val="annotation reference"/>
    <w:basedOn w:val="DefaultParagraphFont"/>
    <w:uiPriority w:val="99"/>
    <w:semiHidden/>
    <w:unhideWhenUsed/>
    <w:rsid w:val="000D2293"/>
    <w:rPr>
      <w:sz w:val="16"/>
      <w:szCs w:val="16"/>
    </w:rPr>
  </w:style>
  <w:style w:type="paragraph" w:styleId="CommentText">
    <w:name w:val="annotation text"/>
    <w:basedOn w:val="Normal"/>
    <w:link w:val="CommentTextChar"/>
    <w:uiPriority w:val="99"/>
    <w:unhideWhenUsed/>
    <w:rsid w:val="000D2293"/>
    <w:pPr>
      <w:spacing w:line="240" w:lineRule="auto"/>
      <w:jc w:val="left"/>
    </w:pPr>
    <w:rPr>
      <w:rFonts w:eastAsia="Times New Roman" w:cs="Times New Roman"/>
      <w:color w:val="auto"/>
      <w:kern w:val="0"/>
      <w:sz w:val="20"/>
      <w:szCs w:val="20"/>
      <w:lang w:bidi="ar-SA"/>
      <w14:ligatures w14:val="none"/>
    </w:rPr>
  </w:style>
  <w:style w:type="character" w:customStyle="1" w:styleId="CommentTextChar">
    <w:name w:val="Comment Text Char"/>
    <w:basedOn w:val="DefaultParagraphFont"/>
    <w:link w:val="CommentText"/>
    <w:uiPriority w:val="99"/>
    <w:rsid w:val="000D2293"/>
    <w:rPr>
      <w:rFonts w:ascii="Times New Roman" w:eastAsia="Times New Roman" w:hAnsi="Times New Roman" w:cs="Times New Roman"/>
      <w:kern w:val="0"/>
      <w:sz w:val="20"/>
      <w:szCs w:val="20"/>
      <w:lang w:val="en-GB" w:bidi="ar-SA"/>
      <w14:ligatures w14:val="none"/>
    </w:rPr>
  </w:style>
  <w:style w:type="paragraph" w:styleId="CommentSubject">
    <w:name w:val="annotation subject"/>
    <w:basedOn w:val="CommentText"/>
    <w:next w:val="CommentText"/>
    <w:link w:val="CommentSubjectChar"/>
    <w:uiPriority w:val="99"/>
    <w:semiHidden/>
    <w:unhideWhenUsed/>
    <w:rsid w:val="000D2293"/>
    <w:rPr>
      <w:b/>
      <w:bCs/>
    </w:rPr>
  </w:style>
  <w:style w:type="character" w:customStyle="1" w:styleId="CommentSubjectChar">
    <w:name w:val="Comment Subject Char"/>
    <w:basedOn w:val="CommentTextChar"/>
    <w:link w:val="CommentSubject"/>
    <w:uiPriority w:val="99"/>
    <w:semiHidden/>
    <w:rsid w:val="000D2293"/>
    <w:rPr>
      <w:rFonts w:ascii="Times New Roman" w:eastAsia="Times New Roman" w:hAnsi="Times New Roman" w:cs="Times New Roman"/>
      <w:b/>
      <w:bCs/>
      <w:kern w:val="0"/>
      <w:sz w:val="20"/>
      <w:szCs w:val="20"/>
      <w:lang w:val="en-GB" w:bidi="ar-SA"/>
      <w14:ligatures w14:val="none"/>
    </w:rPr>
  </w:style>
  <w:style w:type="character" w:styleId="Strong">
    <w:name w:val="Strong"/>
    <w:basedOn w:val="DefaultParagraphFont"/>
    <w:uiPriority w:val="22"/>
    <w:qFormat/>
    <w:rsid w:val="000D2293"/>
    <w:rPr>
      <w:b/>
      <w:bCs/>
    </w:rPr>
  </w:style>
  <w:style w:type="character" w:styleId="PageNumber">
    <w:name w:val="page number"/>
    <w:basedOn w:val="DefaultParagraphFont"/>
    <w:uiPriority w:val="99"/>
    <w:semiHidden/>
    <w:unhideWhenUsed/>
    <w:rsid w:val="000D22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7183752">
      <w:bodyDiv w:val="1"/>
      <w:marLeft w:val="0"/>
      <w:marRight w:val="0"/>
      <w:marTop w:val="0"/>
      <w:marBottom w:val="0"/>
      <w:divBdr>
        <w:top w:val="none" w:sz="0" w:space="0" w:color="auto"/>
        <w:left w:val="none" w:sz="0" w:space="0" w:color="auto"/>
        <w:bottom w:val="none" w:sz="0" w:space="0" w:color="auto"/>
        <w:right w:val="none" w:sz="0" w:space="0" w:color="auto"/>
      </w:divBdr>
    </w:div>
    <w:div w:id="2017415619">
      <w:bodyDiv w:val="1"/>
      <w:marLeft w:val="0"/>
      <w:marRight w:val="0"/>
      <w:marTop w:val="0"/>
      <w:marBottom w:val="0"/>
      <w:divBdr>
        <w:top w:val="none" w:sz="0" w:space="0" w:color="auto"/>
        <w:left w:val="none" w:sz="0" w:space="0" w:color="auto"/>
        <w:bottom w:val="none" w:sz="0" w:space="0" w:color="auto"/>
        <w:right w:val="none" w:sz="0" w:space="0" w:color="auto"/>
      </w:divBdr>
      <w:divsChild>
        <w:div w:id="89065192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package" Target="embeddings/Microsoft_Excel_Worksheet.xlsx"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emf"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24" Type="http://schemas.openxmlformats.org/officeDocument/2006/relationships/image" Target="media/image17.png"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package" Target="embeddings/Microsoft_Word_Document.docx"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19.emf" /><Relationship Id="rId30"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20.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B90D7-7638-314C-8342-B60C9D9FA1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89</Pages>
  <Words>21573</Words>
  <Characters>122972</Characters>
  <Application>Microsoft Office Word</Application>
  <DocSecurity>0</DocSecurity>
  <Lines>1024</Lines>
  <Paragraphs>288</Paragraphs>
  <ScaleCrop>false</ScaleCrop>
  <Company/>
  <LinksUpToDate>false</LinksUpToDate>
  <CharactersWithSpaces>144257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2025-12-12T11:00:00Z</dcterms:created>
  <dcterms:modified xsi:type="dcterms:W3CDTF">2025-12-12T11:00:00Z</dcterms:modified>
</cp:coreProperties>
</file>