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34300" w14:textId="24145CF3" w:rsidR="00C12B8C" w:rsidRDefault="008D3379" w:rsidP="008D3379">
      <w:pPr>
        <w:jc w:val="center"/>
        <w:rPr>
          <w:sz w:val="56"/>
          <w:szCs w:val="56"/>
        </w:rPr>
      </w:pPr>
      <w:r>
        <w:rPr>
          <w:sz w:val="56"/>
          <w:szCs w:val="56"/>
        </w:rPr>
        <w:t xml:space="preserve">The English Legal System is based on Common Law principles </w:t>
      </w:r>
    </w:p>
    <w:p w14:paraId="3C3E8F4C" w14:textId="470C3937" w:rsidR="008D3379" w:rsidRDefault="008D3379" w:rsidP="008D3379">
      <w:pPr>
        <w:jc w:val="center"/>
        <w:rPr>
          <w:sz w:val="56"/>
          <w:szCs w:val="56"/>
        </w:rPr>
      </w:pPr>
    </w:p>
    <w:p w14:paraId="3AFBCE52" w14:textId="6926E35F" w:rsidR="008D3379" w:rsidRDefault="008D3379" w:rsidP="008D3379">
      <w:pPr>
        <w:jc w:val="center"/>
        <w:rPr>
          <w:sz w:val="56"/>
          <w:szCs w:val="56"/>
        </w:rPr>
      </w:pPr>
    </w:p>
    <w:p w14:paraId="13EDAD93" w14:textId="20288FC2" w:rsidR="008D3379" w:rsidRDefault="008D3379" w:rsidP="008D3379">
      <w:pPr>
        <w:jc w:val="center"/>
        <w:rPr>
          <w:sz w:val="56"/>
          <w:szCs w:val="56"/>
        </w:rPr>
      </w:pPr>
    </w:p>
    <w:p w14:paraId="4F1FD786" w14:textId="139C058D" w:rsidR="008D3379" w:rsidRDefault="008D3379" w:rsidP="008D3379">
      <w:pPr>
        <w:jc w:val="center"/>
        <w:rPr>
          <w:sz w:val="56"/>
          <w:szCs w:val="56"/>
        </w:rPr>
      </w:pPr>
    </w:p>
    <w:p w14:paraId="638DABD7" w14:textId="10306CE7" w:rsidR="008D3379" w:rsidRDefault="008D3379" w:rsidP="008D3379">
      <w:pPr>
        <w:jc w:val="center"/>
        <w:rPr>
          <w:sz w:val="56"/>
          <w:szCs w:val="56"/>
        </w:rPr>
      </w:pPr>
      <w:r>
        <w:rPr>
          <w:sz w:val="56"/>
          <w:szCs w:val="56"/>
        </w:rPr>
        <w:t>University of Wales Trinity Saint David</w:t>
      </w:r>
    </w:p>
    <w:p w14:paraId="2CCE8E12" w14:textId="74E8964A" w:rsidR="008D3379" w:rsidRDefault="008D3379" w:rsidP="008D3379">
      <w:pPr>
        <w:jc w:val="center"/>
        <w:rPr>
          <w:sz w:val="56"/>
          <w:szCs w:val="56"/>
        </w:rPr>
      </w:pPr>
      <w:r>
        <w:rPr>
          <w:sz w:val="56"/>
          <w:szCs w:val="56"/>
        </w:rPr>
        <w:t xml:space="preserve">Blue Light Academy </w:t>
      </w:r>
    </w:p>
    <w:p w14:paraId="19DA91CA" w14:textId="48D7CAF7" w:rsidR="008D3379" w:rsidRDefault="008D3379" w:rsidP="008D3379">
      <w:pPr>
        <w:jc w:val="center"/>
        <w:rPr>
          <w:sz w:val="56"/>
          <w:szCs w:val="56"/>
        </w:rPr>
      </w:pPr>
      <w:r>
        <w:rPr>
          <w:sz w:val="56"/>
          <w:szCs w:val="56"/>
        </w:rPr>
        <w:t>2200579</w:t>
      </w:r>
    </w:p>
    <w:p w14:paraId="1992517B" w14:textId="1D4C96CE" w:rsidR="008D3379" w:rsidRDefault="008D3379" w:rsidP="008D3379">
      <w:pPr>
        <w:jc w:val="center"/>
        <w:rPr>
          <w:sz w:val="56"/>
          <w:szCs w:val="56"/>
        </w:rPr>
      </w:pPr>
    </w:p>
    <w:p w14:paraId="1E421C61" w14:textId="694769E9" w:rsidR="008D3379" w:rsidRDefault="008D3379" w:rsidP="008D3379">
      <w:pPr>
        <w:jc w:val="center"/>
        <w:rPr>
          <w:sz w:val="56"/>
          <w:szCs w:val="56"/>
        </w:rPr>
      </w:pPr>
    </w:p>
    <w:p w14:paraId="73B70415" w14:textId="4F247DCF" w:rsidR="008D3379" w:rsidRDefault="008D3379" w:rsidP="008D3379">
      <w:pPr>
        <w:jc w:val="center"/>
        <w:rPr>
          <w:sz w:val="56"/>
          <w:szCs w:val="56"/>
        </w:rPr>
      </w:pPr>
    </w:p>
    <w:p w14:paraId="45FB427E" w14:textId="5332C2E0" w:rsidR="008D3379" w:rsidRDefault="008D3379" w:rsidP="008D3379">
      <w:pPr>
        <w:jc w:val="center"/>
        <w:rPr>
          <w:sz w:val="56"/>
          <w:szCs w:val="56"/>
        </w:rPr>
      </w:pPr>
    </w:p>
    <w:p w14:paraId="5D6AE2D1" w14:textId="688C44CA" w:rsidR="008D3379" w:rsidRDefault="008D3379" w:rsidP="008D3379">
      <w:pPr>
        <w:jc w:val="center"/>
        <w:rPr>
          <w:sz w:val="56"/>
          <w:szCs w:val="56"/>
        </w:rPr>
      </w:pPr>
    </w:p>
    <w:p w14:paraId="6837E38E" w14:textId="4321A730" w:rsidR="008D3379" w:rsidRDefault="008D3379" w:rsidP="008D3379">
      <w:pPr>
        <w:jc w:val="center"/>
        <w:rPr>
          <w:sz w:val="56"/>
          <w:szCs w:val="56"/>
        </w:rPr>
      </w:pPr>
    </w:p>
    <w:p w14:paraId="7D17A5CA" w14:textId="0F402FEB" w:rsidR="008D3379" w:rsidRDefault="008D3379" w:rsidP="008D3379">
      <w:pPr>
        <w:jc w:val="center"/>
        <w:rPr>
          <w:sz w:val="56"/>
          <w:szCs w:val="56"/>
        </w:rPr>
      </w:pPr>
    </w:p>
    <w:p w14:paraId="2C7B15D3" w14:textId="09011620" w:rsidR="008D3379" w:rsidRDefault="008D3379" w:rsidP="008D3379">
      <w:pPr>
        <w:jc w:val="center"/>
        <w:rPr>
          <w:sz w:val="56"/>
          <w:szCs w:val="56"/>
        </w:rPr>
      </w:pPr>
    </w:p>
    <w:p w14:paraId="09BA6E45" w14:textId="5024F9B9" w:rsidR="008D3379" w:rsidRDefault="008D3379" w:rsidP="008D3379">
      <w:pPr>
        <w:jc w:val="center"/>
        <w:rPr>
          <w:sz w:val="56"/>
          <w:szCs w:val="56"/>
        </w:rPr>
      </w:pPr>
    </w:p>
    <w:p w14:paraId="358D11F0" w14:textId="7FF5F4F5" w:rsidR="008D3379" w:rsidRDefault="008D3379" w:rsidP="008D3379">
      <w:pPr>
        <w:jc w:val="center"/>
        <w:rPr>
          <w:sz w:val="56"/>
          <w:szCs w:val="56"/>
        </w:rPr>
      </w:pPr>
    </w:p>
    <w:p w14:paraId="19C353DE" w14:textId="75751EAC" w:rsidR="008D3379" w:rsidRDefault="008D3379" w:rsidP="008D3379">
      <w:pPr>
        <w:jc w:val="center"/>
        <w:rPr>
          <w:sz w:val="56"/>
          <w:szCs w:val="56"/>
        </w:rPr>
      </w:pPr>
    </w:p>
    <w:p w14:paraId="2926A113" w14:textId="226048C1" w:rsidR="008D3379" w:rsidRDefault="008D3379" w:rsidP="008D3379">
      <w:pPr>
        <w:rPr>
          <w:b/>
          <w:bCs/>
          <w:sz w:val="28"/>
          <w:szCs w:val="28"/>
          <w:u w:val="single"/>
        </w:rPr>
      </w:pPr>
      <w:r w:rsidRPr="008D3379">
        <w:rPr>
          <w:b/>
          <w:bCs/>
          <w:sz w:val="28"/>
          <w:szCs w:val="28"/>
          <w:u w:val="single"/>
        </w:rPr>
        <w:lastRenderedPageBreak/>
        <w:t>What Is Common Law?</w:t>
      </w:r>
    </w:p>
    <w:p w14:paraId="62D3D9B8" w14:textId="77777777" w:rsidR="008D3379" w:rsidRPr="008D3379" w:rsidRDefault="008D3379" w:rsidP="008D3379">
      <w:pPr>
        <w:rPr>
          <w:b/>
          <w:bCs/>
          <w:sz w:val="28"/>
          <w:szCs w:val="28"/>
          <w:u w:val="single"/>
        </w:rPr>
      </w:pPr>
    </w:p>
    <w:p w14:paraId="47E87CC9" w14:textId="43175E3F" w:rsidR="008D3379" w:rsidRPr="00F00518" w:rsidRDefault="008D3379" w:rsidP="008D3379">
      <w:pPr>
        <w:rPr>
          <w:rFonts w:ascii="Arial" w:hAnsi="Arial" w:cs="Arial"/>
        </w:rPr>
      </w:pPr>
      <w:r w:rsidRPr="00F00518">
        <w:rPr>
          <w:rFonts w:ascii="Arial" w:hAnsi="Arial" w:cs="Arial"/>
        </w:rPr>
        <w:t xml:space="preserve">Common Law is the law that has been developed from previous decisions of courts and In England and Wales common law is considered </w:t>
      </w:r>
      <w:r w:rsidR="00076C91" w:rsidRPr="00F00518">
        <w:rPr>
          <w:rFonts w:ascii="Arial" w:hAnsi="Arial" w:cs="Arial"/>
        </w:rPr>
        <w:t>just as much</w:t>
      </w:r>
      <w:r w:rsidRPr="00F00518">
        <w:rPr>
          <w:rFonts w:ascii="Arial" w:hAnsi="Arial" w:cs="Arial"/>
        </w:rPr>
        <w:t xml:space="preserve"> as Statutory Law which is passed by parliament (Gillespie, 2013). Therefore, The English Legal System is essentially a common law-based system (Gillespie, 2013). However, unlike Statutory Law, Common Law is more open for interpretation and misuse (Wood, 2021) and relies on case law for the development of the principles of Common Law (Partington, 2021). Common law is very present today and some examples of common law include murder, manslaughter, perverting the course of justice and escape lawful custody (Wood 2021). </w:t>
      </w:r>
      <w:r w:rsidR="00076C91" w:rsidRPr="00F00518">
        <w:rPr>
          <w:rFonts w:ascii="Arial" w:hAnsi="Arial" w:cs="Arial"/>
        </w:rPr>
        <w:t xml:space="preserve">Common Law has </w:t>
      </w:r>
      <w:r w:rsidR="00436049">
        <w:rPr>
          <w:rFonts w:ascii="Arial" w:hAnsi="Arial" w:cs="Arial"/>
        </w:rPr>
        <w:t>many st</w:t>
      </w:r>
      <w:r w:rsidR="00436049" w:rsidRPr="00F00518">
        <w:rPr>
          <w:rFonts w:ascii="Arial" w:hAnsi="Arial" w:cs="Arial"/>
        </w:rPr>
        <w:t>rengths,</w:t>
      </w:r>
      <w:r w:rsidR="00436049">
        <w:rPr>
          <w:rFonts w:ascii="Arial" w:hAnsi="Arial" w:cs="Arial"/>
        </w:rPr>
        <w:t xml:space="preserve"> one being </w:t>
      </w:r>
      <w:r w:rsidR="00436049" w:rsidRPr="00F00518">
        <w:rPr>
          <w:rFonts w:ascii="Arial" w:hAnsi="Arial" w:cs="Arial"/>
        </w:rPr>
        <w:t>it</w:t>
      </w:r>
      <w:r w:rsidR="00436049">
        <w:rPr>
          <w:rFonts w:ascii="Arial" w:hAnsi="Arial" w:cs="Arial"/>
        </w:rPr>
        <w:t xml:space="preserve"> </w:t>
      </w:r>
      <w:r w:rsidR="00F00518" w:rsidRPr="00F00518">
        <w:rPr>
          <w:rFonts w:ascii="Arial" w:hAnsi="Arial" w:cs="Arial"/>
        </w:rPr>
        <w:t>could</w:t>
      </w:r>
      <w:r w:rsidR="00076C91" w:rsidRPr="00F00518">
        <w:rPr>
          <w:rFonts w:ascii="Arial" w:hAnsi="Arial" w:cs="Arial"/>
        </w:rPr>
        <w:t xml:space="preserve"> develop and adapt to the environment in which it is applied (Del-Bove and Francoz-Terminal ,2015)</w:t>
      </w:r>
      <w:r w:rsidR="00F00518">
        <w:rPr>
          <w:rFonts w:ascii="Arial" w:hAnsi="Arial" w:cs="Arial"/>
        </w:rPr>
        <w:t xml:space="preserve">. Essentially, Common law is the juridical interpretation of rules which becomes a part of the law during a trail. The judge will provide a description of how that law applies and then provides precedent which means that their decision guides future decisions (Common Law vs Civil </w:t>
      </w:r>
      <w:r w:rsidR="00A72A12">
        <w:rPr>
          <w:rFonts w:ascii="Arial" w:hAnsi="Arial" w:cs="Arial"/>
        </w:rPr>
        <w:t>Law</w:t>
      </w:r>
      <w:r w:rsidR="00F00518">
        <w:rPr>
          <w:rFonts w:ascii="Arial" w:hAnsi="Arial" w:cs="Arial"/>
        </w:rPr>
        <w:t xml:space="preserve"> 2021).  It was from the development of the Common Law that Equity became apparent to essentially correct any deficiencies in the Common Law (Ward and Akhtar, 2011)</w:t>
      </w:r>
      <w:r w:rsidR="00684D4E">
        <w:rPr>
          <w:rFonts w:ascii="Arial" w:hAnsi="Arial" w:cs="Arial"/>
        </w:rPr>
        <w:t xml:space="preserve">. Common law has been modified by equity (Simpson, 1973). Equity became a parallel system to the common- law courts, Equity introduced a new range of innovative resolutions (Gillespie, 2013). </w:t>
      </w:r>
      <w:r w:rsidR="006E7A71">
        <w:rPr>
          <w:rFonts w:ascii="Arial" w:hAnsi="Arial" w:cs="Arial"/>
        </w:rPr>
        <w:t>However,</w:t>
      </w:r>
      <w:r w:rsidR="00684D4E">
        <w:rPr>
          <w:rFonts w:ascii="Arial" w:hAnsi="Arial" w:cs="Arial"/>
        </w:rPr>
        <w:t xml:space="preserve"> it has been found that the Common law of England is not seen as common at all, due to it being the creation of kings and their judiciary and not actually the creation of common people or the community (Potter, 2015)</w:t>
      </w:r>
      <w:r w:rsidR="006E7A71">
        <w:rPr>
          <w:rFonts w:ascii="Arial" w:hAnsi="Arial" w:cs="Arial"/>
        </w:rPr>
        <w:t>.</w:t>
      </w:r>
    </w:p>
    <w:p w14:paraId="37761069" w14:textId="4760562C" w:rsidR="00076C91" w:rsidRDefault="00076C91" w:rsidP="008D3379"/>
    <w:p w14:paraId="55D6C181" w14:textId="2ACA64CE" w:rsidR="00076C91" w:rsidRDefault="00076C91" w:rsidP="008D3379"/>
    <w:p w14:paraId="3189FEBD" w14:textId="15FE7294" w:rsidR="00076C91" w:rsidRDefault="00076C91" w:rsidP="008D3379"/>
    <w:p w14:paraId="5D7E4A0B" w14:textId="50EB5D44" w:rsidR="00076C91" w:rsidRDefault="00076C91" w:rsidP="008D3379"/>
    <w:p w14:paraId="7065C84D" w14:textId="0BC22092" w:rsidR="00076C91" w:rsidRDefault="00076C91" w:rsidP="008D3379"/>
    <w:p w14:paraId="3168386A" w14:textId="6F5B181A" w:rsidR="00076C91" w:rsidRPr="00076C91" w:rsidRDefault="00076C91" w:rsidP="008D3379">
      <w:pPr>
        <w:rPr>
          <w:b/>
          <w:bCs/>
          <w:sz w:val="28"/>
          <w:szCs w:val="28"/>
          <w:u w:val="single"/>
        </w:rPr>
      </w:pPr>
      <w:r w:rsidRPr="00076C91">
        <w:rPr>
          <w:b/>
          <w:bCs/>
          <w:sz w:val="28"/>
          <w:szCs w:val="28"/>
          <w:u w:val="single"/>
        </w:rPr>
        <w:t xml:space="preserve">What is Civil Law? </w:t>
      </w:r>
    </w:p>
    <w:p w14:paraId="79391756" w14:textId="14B88693" w:rsidR="008D3379" w:rsidRDefault="008D3379" w:rsidP="008D3379"/>
    <w:p w14:paraId="2739EB48" w14:textId="6158C7AC" w:rsidR="00076C91" w:rsidRDefault="00076C91" w:rsidP="008D3379">
      <w:r w:rsidRPr="00F00518">
        <w:rPr>
          <w:rFonts w:ascii="Arial" w:hAnsi="Arial" w:cs="Arial"/>
        </w:rPr>
        <w:t>Civil Law is essentially anything that is not criminal or to do with crime (Gillespie, 2013)</w:t>
      </w:r>
      <w:r w:rsidR="00F00518">
        <w:rPr>
          <w:rFonts w:ascii="Arial" w:hAnsi="Arial" w:cs="Arial"/>
        </w:rPr>
        <w:t xml:space="preserve">. Similarly, Civil Law is to do with the rights between individuals or </w:t>
      </w:r>
      <w:r w:rsidR="00FD135F">
        <w:rPr>
          <w:rFonts w:ascii="Arial" w:hAnsi="Arial" w:cs="Arial"/>
        </w:rPr>
        <w:t xml:space="preserve">organisations, it usually involves </w:t>
      </w:r>
      <w:r w:rsidR="00A72A12">
        <w:rPr>
          <w:rFonts w:ascii="Arial" w:hAnsi="Arial" w:cs="Arial"/>
        </w:rPr>
        <w:t>compensation,</w:t>
      </w:r>
      <w:r w:rsidR="00FD135F">
        <w:rPr>
          <w:rFonts w:ascii="Arial" w:hAnsi="Arial" w:cs="Arial"/>
        </w:rPr>
        <w:t xml:space="preserve"> or an agreement or judgement related with finances </w:t>
      </w:r>
      <w:r w:rsidR="00F00518">
        <w:rPr>
          <w:rFonts w:ascii="Arial" w:hAnsi="Arial" w:cs="Arial"/>
        </w:rPr>
        <w:t xml:space="preserve">(Allbon and Kaur ,2020). Civil </w:t>
      </w:r>
      <w:r w:rsidR="00A72A12">
        <w:rPr>
          <w:rFonts w:ascii="Arial" w:hAnsi="Arial" w:cs="Arial"/>
        </w:rPr>
        <w:t xml:space="preserve">Law </w:t>
      </w:r>
      <w:r w:rsidR="00F00518">
        <w:rPr>
          <w:rFonts w:ascii="Arial" w:hAnsi="Arial" w:cs="Arial"/>
        </w:rPr>
        <w:t>relies on statutory law and legislations (Common Law vs Civil</w:t>
      </w:r>
      <w:r w:rsidR="00A72A12">
        <w:rPr>
          <w:rFonts w:ascii="Arial" w:hAnsi="Arial" w:cs="Arial"/>
        </w:rPr>
        <w:t xml:space="preserve"> Law</w:t>
      </w:r>
      <w:r w:rsidR="00F00518">
        <w:rPr>
          <w:rFonts w:ascii="Arial" w:hAnsi="Arial" w:cs="Arial"/>
        </w:rPr>
        <w:t xml:space="preserve"> ,2021)</w:t>
      </w:r>
      <w:r w:rsidR="00A72A12">
        <w:rPr>
          <w:rFonts w:ascii="Arial" w:hAnsi="Arial" w:cs="Arial"/>
        </w:rPr>
        <w:t xml:space="preserve">. </w:t>
      </w:r>
      <w:r w:rsidR="00684D4E">
        <w:rPr>
          <w:rFonts w:ascii="Arial" w:hAnsi="Arial" w:cs="Arial"/>
        </w:rPr>
        <w:t xml:space="preserve">This means anything that is written as a rule already. </w:t>
      </w:r>
      <w:r w:rsidR="00A72A12">
        <w:rPr>
          <w:rFonts w:ascii="Arial" w:hAnsi="Arial" w:cs="Arial"/>
        </w:rPr>
        <w:t>Civil law arose from the Roman Law and was developed in continental Europe and around the World (Tetley, 1999)</w:t>
      </w:r>
      <w:r w:rsidR="00F03B61">
        <w:rPr>
          <w:rFonts w:ascii="Arial" w:hAnsi="Arial" w:cs="Arial"/>
        </w:rPr>
        <w:t xml:space="preserve">. The problems that civil law apply to are not abstract legal problems which only lawyers and civil courts understand. In fact, these problems occur </w:t>
      </w:r>
      <w:r w:rsidR="00436049">
        <w:rPr>
          <w:rFonts w:ascii="Arial" w:hAnsi="Arial" w:cs="Arial"/>
        </w:rPr>
        <w:t>in</w:t>
      </w:r>
      <w:r w:rsidR="00F03B61">
        <w:rPr>
          <w:rFonts w:ascii="Arial" w:hAnsi="Arial" w:cs="Arial"/>
        </w:rPr>
        <w:t xml:space="preserve"> everyday life (Pleasance et al, 2006</w:t>
      </w:r>
      <w:r w:rsidR="00436049">
        <w:rPr>
          <w:rFonts w:ascii="Arial" w:hAnsi="Arial" w:cs="Arial"/>
        </w:rPr>
        <w:t xml:space="preserve">). Therefore, the civil law focus on the various interactions between ordinary members of society (Wilson et al, 2020). </w:t>
      </w:r>
      <w:r w:rsidR="00684D4E">
        <w:rPr>
          <w:rFonts w:ascii="Arial" w:hAnsi="Arial" w:cs="Arial"/>
        </w:rPr>
        <w:t xml:space="preserve">An Example of Civil Law could be the case of a car accident where one individual sues the driver of the car for compensation (Allbon and Kaur, 2020), therefore based upon this information it is clear to see that civil law has more of a focus on the problems that may occur with individuals and society rather than the criminal issues that may be faced in court. </w:t>
      </w:r>
    </w:p>
    <w:p w14:paraId="587827DE" w14:textId="149E60DE" w:rsidR="00076C91" w:rsidRDefault="00076C91" w:rsidP="008D3379"/>
    <w:p w14:paraId="1AF6E9BC" w14:textId="0D7196E9" w:rsidR="00076C91" w:rsidRDefault="00076C91" w:rsidP="008D3379"/>
    <w:p w14:paraId="59B7124E" w14:textId="5F4613E0" w:rsidR="00076C91" w:rsidRDefault="00076C91" w:rsidP="008D3379"/>
    <w:p w14:paraId="1E75548A" w14:textId="7EBBE671" w:rsidR="00076C91" w:rsidRPr="00076C91" w:rsidRDefault="00076C91" w:rsidP="008D3379">
      <w:pPr>
        <w:rPr>
          <w:b/>
          <w:bCs/>
          <w:sz w:val="28"/>
          <w:szCs w:val="28"/>
          <w:u w:val="single"/>
        </w:rPr>
      </w:pPr>
      <w:r w:rsidRPr="00076C91">
        <w:rPr>
          <w:b/>
          <w:bCs/>
          <w:sz w:val="28"/>
          <w:szCs w:val="28"/>
          <w:u w:val="single"/>
        </w:rPr>
        <w:lastRenderedPageBreak/>
        <w:t>Contrast of both systems</w:t>
      </w:r>
    </w:p>
    <w:p w14:paraId="3BE84B39" w14:textId="54322C60" w:rsidR="00076C91" w:rsidRPr="00436049" w:rsidRDefault="00436049" w:rsidP="008D3379">
      <w:pPr>
        <w:rPr>
          <w:rFonts w:ascii="Arial" w:hAnsi="Arial" w:cs="Arial"/>
        </w:rPr>
      </w:pPr>
      <w:r w:rsidRPr="00436049">
        <w:rPr>
          <w:rFonts w:ascii="Arial" w:hAnsi="Arial" w:cs="Arial"/>
        </w:rPr>
        <w:t>There are many similarities and differences between both systems.</w:t>
      </w:r>
      <w:r>
        <w:rPr>
          <w:rFonts w:ascii="Arial" w:hAnsi="Arial" w:cs="Arial"/>
        </w:rPr>
        <w:t xml:space="preserve"> Firstly, Common Law is much more detailed in its prescriptions than civil law (Tetley, 1999) However most nations follow one of the two laws, Common Law or Civil Law (Law, 2020). Both systems have the same outcomes of reaching a just decision (Canivet, 2003) however common law is usually uncodified, which means that there is little involvement of legal rules and statues, in contrast to Civil Law, which is codified, which includes legal codes that involve all matters that need to be brought before a court and determining the appropriate punishment for each offence (Law, 2020). Another difference between both systems is that common law relies on judicial interpretation however Civil Law puts less wait on judicial interpretation (Common Law vs Civil Law,2021). Similarly, </w:t>
      </w:r>
      <w:r w:rsidR="00684D4E">
        <w:rPr>
          <w:rFonts w:ascii="Arial" w:hAnsi="Arial" w:cs="Arial"/>
        </w:rPr>
        <w:t>it</w:t>
      </w:r>
      <w:r>
        <w:rPr>
          <w:rFonts w:ascii="Arial" w:hAnsi="Arial" w:cs="Arial"/>
        </w:rPr>
        <w:t xml:space="preserve"> has been found that Jurists believe, with little justification that Common Law and the process can produce better law than legislation (Gordley, 2000). </w:t>
      </w:r>
      <w:r w:rsidR="00684D4E">
        <w:rPr>
          <w:rFonts w:ascii="Arial" w:hAnsi="Arial" w:cs="Arial"/>
        </w:rPr>
        <w:t xml:space="preserve">This suggests that Common Law and the opportunity of interpretation has a much more beneficial impact than Civil Law which Is set in statue and has no room for interpretation. Civil law is most used in France, Germany, Spain, Italy and Japan whereas Common Law is predominantly used in United Kingdom and United States (Tetley, 1999). This suggests that the English legal system is predominantly based on Common Law. </w:t>
      </w:r>
    </w:p>
    <w:p w14:paraId="1D4D1A5A" w14:textId="31F8B009" w:rsidR="00076C91" w:rsidRDefault="00076C91" w:rsidP="008D3379"/>
    <w:p w14:paraId="2B24BBF9" w14:textId="3F845C59" w:rsidR="00076C91" w:rsidRDefault="00076C91" w:rsidP="008D3379">
      <w:pPr>
        <w:rPr>
          <w:b/>
          <w:bCs/>
          <w:sz w:val="28"/>
          <w:szCs w:val="28"/>
          <w:u w:val="single"/>
        </w:rPr>
      </w:pPr>
      <w:r w:rsidRPr="00076C91">
        <w:rPr>
          <w:b/>
          <w:bCs/>
          <w:sz w:val="28"/>
          <w:szCs w:val="28"/>
          <w:u w:val="single"/>
        </w:rPr>
        <w:t>History of The Common Law</w:t>
      </w:r>
    </w:p>
    <w:p w14:paraId="53D7A0AA" w14:textId="0F61459D" w:rsidR="00F00518" w:rsidRDefault="00F00518" w:rsidP="008D3379">
      <w:pPr>
        <w:rPr>
          <w:b/>
          <w:bCs/>
          <w:sz w:val="28"/>
          <w:szCs w:val="28"/>
          <w:u w:val="single"/>
        </w:rPr>
      </w:pPr>
    </w:p>
    <w:p w14:paraId="11BF78DD" w14:textId="2DFC91C4" w:rsidR="00F00518" w:rsidRPr="00F00518" w:rsidRDefault="00F00518" w:rsidP="008D3379">
      <w:pPr>
        <w:rPr>
          <w:rFonts w:ascii="Arial" w:hAnsi="Arial" w:cs="Arial"/>
        </w:rPr>
      </w:pPr>
      <w:r w:rsidRPr="00F00518">
        <w:rPr>
          <w:rFonts w:ascii="Arial" w:hAnsi="Arial" w:cs="Arial"/>
        </w:rPr>
        <w:t xml:space="preserve">In the Eleventh Century during the Norman Invasion of Britain, Common Law </w:t>
      </w:r>
      <w:r>
        <w:rPr>
          <w:rFonts w:ascii="Arial" w:hAnsi="Arial" w:cs="Arial"/>
        </w:rPr>
        <w:t xml:space="preserve">evolved in England. </w:t>
      </w:r>
      <w:r w:rsidRPr="00F00518">
        <w:rPr>
          <w:rFonts w:ascii="Arial" w:hAnsi="Arial" w:cs="Arial"/>
        </w:rPr>
        <w:t xml:space="preserve"> Local courts made decisions that were then passed to other courts via word of mouth (Wood, 2021)</w:t>
      </w:r>
      <w:r>
        <w:rPr>
          <w:rFonts w:ascii="Arial" w:hAnsi="Arial" w:cs="Arial"/>
        </w:rPr>
        <w:t>. The courts are thought as historically vital law makers due to judges being present before there was even a parliament (Huxley and Binns and Martin, 2014). Common Law was later adopted in many countries of the British Commonwealth these include USA, Australia and New Zealand (</w:t>
      </w:r>
      <w:r w:rsidRPr="00F00518">
        <w:rPr>
          <w:rFonts w:ascii="Arial" w:hAnsi="Arial" w:cs="Arial"/>
        </w:rPr>
        <w:t>Pejovic</w:t>
      </w:r>
      <w:r>
        <w:rPr>
          <w:rFonts w:ascii="Arial" w:hAnsi="Arial" w:cs="Arial"/>
        </w:rPr>
        <w:t>, 2001). Eventually Common Law took over other Laws, as it became easier to see how judges were applying the law and the decisions that were made (Gillespie, 2013). The development of Common Law came from the idea that a right only existed if there was a reason or procedure for enforcing it. (Ward and Akhtar, 2011)</w:t>
      </w:r>
      <w:r w:rsidR="00436049">
        <w:rPr>
          <w:rFonts w:ascii="Arial" w:hAnsi="Arial" w:cs="Arial"/>
        </w:rPr>
        <w:t>. The common law was created to distinguish between law that was decided by the Royal Courts in London and then was applied throughout the kingdom (Gillespie, 2013)</w:t>
      </w:r>
      <w:r w:rsidR="00684D4E">
        <w:rPr>
          <w:rFonts w:ascii="Arial" w:hAnsi="Arial" w:cs="Arial"/>
        </w:rPr>
        <w:t xml:space="preserve">. It was the by-product of an administrative triumph, the way in which the government of England become centralised and specialised during the centuries Conquest (Milson, 2014). </w:t>
      </w:r>
    </w:p>
    <w:p w14:paraId="0E02F436" w14:textId="0A1FC4EA" w:rsidR="008D3379" w:rsidRDefault="008D3379" w:rsidP="008D3379"/>
    <w:p w14:paraId="6202022B" w14:textId="77777777" w:rsidR="00076C91" w:rsidRDefault="00076C91" w:rsidP="008D3379"/>
    <w:p w14:paraId="3F83612C" w14:textId="77777777" w:rsidR="00076C91" w:rsidRDefault="00076C91" w:rsidP="008D3379"/>
    <w:p w14:paraId="0EB2C9BF" w14:textId="77777777" w:rsidR="00076C91" w:rsidRDefault="00076C91" w:rsidP="008D3379"/>
    <w:p w14:paraId="7FD1F69B" w14:textId="5FB51D89" w:rsidR="00076C91" w:rsidRDefault="00076C91" w:rsidP="008D3379">
      <w:pPr>
        <w:rPr>
          <w:b/>
          <w:bCs/>
          <w:sz w:val="28"/>
          <w:szCs w:val="28"/>
          <w:u w:val="single"/>
        </w:rPr>
      </w:pPr>
      <w:r w:rsidRPr="00076C91">
        <w:rPr>
          <w:b/>
          <w:bCs/>
          <w:sz w:val="28"/>
          <w:szCs w:val="28"/>
          <w:u w:val="single"/>
        </w:rPr>
        <w:t xml:space="preserve">Common Law in Practice </w:t>
      </w:r>
    </w:p>
    <w:p w14:paraId="423AFE04" w14:textId="6C2FB2D9" w:rsidR="00684D4E" w:rsidRPr="00684D4E" w:rsidRDefault="00684D4E" w:rsidP="008D3379">
      <w:pPr>
        <w:rPr>
          <w:rFonts w:ascii="Arial" w:hAnsi="Arial" w:cs="Arial"/>
          <w:b/>
          <w:bCs/>
          <w:sz w:val="28"/>
          <w:szCs w:val="28"/>
          <w:u w:val="single"/>
        </w:rPr>
      </w:pPr>
    </w:p>
    <w:p w14:paraId="406A66F5" w14:textId="2E6956D1" w:rsidR="006E7A71" w:rsidRDefault="00684D4E" w:rsidP="008D3379">
      <w:pPr>
        <w:rPr>
          <w:rFonts w:ascii="Arial" w:hAnsi="Arial" w:cs="Arial"/>
        </w:rPr>
      </w:pPr>
      <w:r w:rsidRPr="00684D4E">
        <w:rPr>
          <w:rFonts w:ascii="Arial" w:hAnsi="Arial" w:cs="Arial"/>
        </w:rPr>
        <w:t>One specific case that has had a great impact on the common law tradition is the Donoghue vs Stevenson (1932) case, this case created the principle of negligence which has been widely used in cases ever since with a similar outcome (Hutchinson, 2014). This case ensured that from there on all manufacturers owe a duty of care to the ultimate consumers to ensure that their products are safe (Reid, 2014).</w:t>
      </w:r>
      <w:r>
        <w:rPr>
          <w:rFonts w:ascii="Arial" w:hAnsi="Arial" w:cs="Arial"/>
        </w:rPr>
        <w:t xml:space="preserve">  Similarly, In the UK today no new common law offences are created but the courts </w:t>
      </w:r>
      <w:r>
        <w:rPr>
          <w:rFonts w:ascii="Arial" w:hAnsi="Arial" w:cs="Arial"/>
        </w:rPr>
        <w:lastRenderedPageBreak/>
        <w:t xml:space="preserve">continue to interpret existing laws when setting precedents (Wood, 2021) This is something that clearly shows that Common Law is still used in today’s law and courts and that it is had a good impact on decisions in court. Another example of Common Law in practice is the Dudley &amp; Stephens case which has been suggested as the most perfect example in Common Law due it is asking the question ‘What constitutes volitional behaviour?’ (Minchin, 2020). The court held that the men had committed </w:t>
      </w:r>
      <w:r w:rsidR="00971A52">
        <w:rPr>
          <w:rFonts w:ascii="Arial" w:hAnsi="Arial" w:cs="Arial"/>
        </w:rPr>
        <w:t>murder,</w:t>
      </w:r>
      <w:r>
        <w:rPr>
          <w:rFonts w:ascii="Arial" w:hAnsi="Arial" w:cs="Arial"/>
        </w:rPr>
        <w:t xml:space="preserve"> but this case established the principle of necessity and that it should be available in circumstances where someone or somethings life is taken to save another’s (</w:t>
      </w:r>
      <w:r w:rsidR="00971A52">
        <w:rPr>
          <w:rFonts w:ascii="Arial" w:hAnsi="Arial" w:cs="Arial"/>
        </w:rPr>
        <w:t>Hojeckd,</w:t>
      </w:r>
      <w:r>
        <w:rPr>
          <w:rFonts w:ascii="Arial" w:hAnsi="Arial" w:cs="Arial"/>
        </w:rPr>
        <w:t xml:space="preserve"> 2003). </w:t>
      </w:r>
      <w:r w:rsidR="00971A52">
        <w:rPr>
          <w:rFonts w:ascii="Arial" w:hAnsi="Arial" w:cs="Arial"/>
        </w:rPr>
        <w:t xml:space="preserve">Another case that is found to use the concept of the English common law is in the USA supreme court in 1803, where it was found that it had established the principle of judicial review and uses the idea of common law in the case of Marbury v Madison (1803). </w:t>
      </w:r>
      <w:r w:rsidR="006E7A71">
        <w:rPr>
          <w:rFonts w:ascii="Arial" w:hAnsi="Arial" w:cs="Arial"/>
        </w:rPr>
        <w:t>As we can see by these examples, common law has been used in a wide variety of cases and time periods. Not only is it still used today but it is also one of the most used methods to determine case sentences to this day.</w:t>
      </w:r>
    </w:p>
    <w:p w14:paraId="1A346DBD" w14:textId="6862AF05" w:rsidR="006E7A71" w:rsidRDefault="006E7A71" w:rsidP="008D3379">
      <w:pPr>
        <w:rPr>
          <w:rFonts w:ascii="Arial" w:hAnsi="Arial" w:cs="Arial"/>
        </w:rPr>
      </w:pPr>
    </w:p>
    <w:p w14:paraId="12D6B11A" w14:textId="680E7D2E" w:rsidR="006E7A71" w:rsidRDefault="006E7A71" w:rsidP="008D3379">
      <w:pPr>
        <w:rPr>
          <w:rFonts w:cstheme="minorHAnsi"/>
          <w:b/>
          <w:bCs/>
          <w:sz w:val="28"/>
          <w:szCs w:val="28"/>
          <w:u w:val="single"/>
        </w:rPr>
      </w:pPr>
      <w:r>
        <w:rPr>
          <w:rFonts w:cstheme="minorHAnsi"/>
          <w:b/>
          <w:bCs/>
          <w:sz w:val="28"/>
          <w:szCs w:val="28"/>
          <w:u w:val="single"/>
        </w:rPr>
        <w:t>Conclusion:</w:t>
      </w:r>
    </w:p>
    <w:p w14:paraId="0EE53F61" w14:textId="77777777" w:rsidR="006E7A71" w:rsidRPr="006E7A71" w:rsidRDefault="006E7A71" w:rsidP="008D3379">
      <w:pPr>
        <w:rPr>
          <w:rFonts w:ascii="Arial" w:hAnsi="Arial" w:cs="Arial"/>
        </w:rPr>
      </w:pPr>
    </w:p>
    <w:p w14:paraId="13113521" w14:textId="73E3BD30" w:rsidR="006E7A71" w:rsidRDefault="006E7A71" w:rsidP="008D3379">
      <w:pPr>
        <w:rPr>
          <w:rFonts w:ascii="Arial" w:hAnsi="Arial" w:cs="Arial"/>
        </w:rPr>
      </w:pPr>
      <w:r>
        <w:rPr>
          <w:rFonts w:ascii="Arial" w:hAnsi="Arial" w:cs="Arial"/>
        </w:rPr>
        <w:t>To conclude this essay, we have discussed the history and origins of both civil and common law and have also discussed the importance of having both laws in our time. Both laws have different ways to approach cases, but both have the same outcome of ensuring a fair and justifiable approach to each case. We have also discussed the meaning and reasoning of why we need both laws</w:t>
      </w:r>
      <w:r w:rsidR="00C866A2">
        <w:rPr>
          <w:rFonts w:ascii="Arial" w:hAnsi="Arial" w:cs="Arial"/>
        </w:rPr>
        <w:t xml:space="preserve"> and what it requires to ensure they are used</w:t>
      </w:r>
      <w:r>
        <w:rPr>
          <w:rFonts w:ascii="Arial" w:hAnsi="Arial" w:cs="Arial"/>
        </w:rPr>
        <w:t xml:space="preserve">. We have also discussed common law being used in previous cases and how some of the principles have been established from these cases. We have also contrasted both systems and have highlighted each of their strengths and weaknesses </w:t>
      </w:r>
      <w:r w:rsidR="00C866A2">
        <w:rPr>
          <w:rFonts w:ascii="Arial" w:hAnsi="Arial" w:cs="Arial"/>
        </w:rPr>
        <w:t>and</w:t>
      </w:r>
      <w:r>
        <w:rPr>
          <w:rFonts w:ascii="Arial" w:hAnsi="Arial" w:cs="Arial"/>
        </w:rPr>
        <w:t xml:space="preserve"> the similarities in </w:t>
      </w:r>
      <w:r w:rsidR="00C866A2">
        <w:rPr>
          <w:rFonts w:ascii="Arial" w:hAnsi="Arial" w:cs="Arial"/>
        </w:rPr>
        <w:t>both laws</w:t>
      </w:r>
      <w:r>
        <w:rPr>
          <w:rFonts w:ascii="Arial" w:hAnsi="Arial" w:cs="Arial"/>
        </w:rPr>
        <w:t xml:space="preserve">. </w:t>
      </w:r>
      <w:r w:rsidR="00C866A2">
        <w:rPr>
          <w:rFonts w:ascii="Arial" w:hAnsi="Arial" w:cs="Arial"/>
        </w:rPr>
        <w:t>We have also discussed the roots of civil law and how it has grown into Europe since the roman period and how common law was developed in Europe and how it is now used across the world.</w:t>
      </w:r>
    </w:p>
    <w:p w14:paraId="478C4AAF" w14:textId="6C1A08AB" w:rsidR="006E7A71" w:rsidRDefault="006E7A71" w:rsidP="008D3379">
      <w:pPr>
        <w:rPr>
          <w:rFonts w:ascii="Arial" w:hAnsi="Arial" w:cs="Arial"/>
        </w:rPr>
      </w:pPr>
    </w:p>
    <w:p w14:paraId="3DCB73F2" w14:textId="412BCD13" w:rsidR="006E7A71" w:rsidRDefault="006E7A71" w:rsidP="008D3379">
      <w:pPr>
        <w:rPr>
          <w:rFonts w:ascii="Arial" w:hAnsi="Arial" w:cs="Arial"/>
        </w:rPr>
      </w:pPr>
    </w:p>
    <w:p w14:paraId="48673AA7" w14:textId="3B41EFF6" w:rsidR="006E7A71" w:rsidRDefault="006E7A71" w:rsidP="008D3379">
      <w:pPr>
        <w:rPr>
          <w:rFonts w:ascii="Arial" w:hAnsi="Arial" w:cs="Arial"/>
        </w:rPr>
      </w:pPr>
    </w:p>
    <w:p w14:paraId="6B9F7B4B" w14:textId="6049DEA9" w:rsidR="006E7A71" w:rsidRDefault="006E7A71" w:rsidP="008D3379">
      <w:pPr>
        <w:rPr>
          <w:rFonts w:ascii="Arial" w:hAnsi="Arial" w:cs="Arial"/>
        </w:rPr>
      </w:pPr>
    </w:p>
    <w:p w14:paraId="0CEFE153" w14:textId="69A3DE27" w:rsidR="006E7A71" w:rsidRDefault="006E7A71" w:rsidP="008D3379">
      <w:pPr>
        <w:rPr>
          <w:rFonts w:ascii="Arial" w:hAnsi="Arial" w:cs="Arial"/>
        </w:rPr>
      </w:pPr>
    </w:p>
    <w:p w14:paraId="4E8E766D" w14:textId="4A6221E4" w:rsidR="006E7A71" w:rsidRDefault="006E7A71" w:rsidP="008D3379">
      <w:pPr>
        <w:rPr>
          <w:rFonts w:ascii="Arial" w:hAnsi="Arial" w:cs="Arial"/>
        </w:rPr>
      </w:pPr>
    </w:p>
    <w:p w14:paraId="31BB100E" w14:textId="7063B5F6" w:rsidR="006E7A71" w:rsidRDefault="006E7A71" w:rsidP="008D3379">
      <w:pPr>
        <w:rPr>
          <w:rFonts w:ascii="Arial" w:hAnsi="Arial" w:cs="Arial"/>
        </w:rPr>
      </w:pPr>
    </w:p>
    <w:p w14:paraId="3C488625" w14:textId="454F02F2" w:rsidR="006E7A71" w:rsidRDefault="006E7A71" w:rsidP="008D3379">
      <w:pPr>
        <w:rPr>
          <w:rFonts w:ascii="Arial" w:hAnsi="Arial" w:cs="Arial"/>
        </w:rPr>
      </w:pPr>
    </w:p>
    <w:p w14:paraId="0330DF06" w14:textId="04E8AC3F" w:rsidR="006E7A71" w:rsidRDefault="006E7A71" w:rsidP="008D3379">
      <w:pPr>
        <w:rPr>
          <w:rFonts w:ascii="Arial" w:hAnsi="Arial" w:cs="Arial"/>
        </w:rPr>
      </w:pPr>
    </w:p>
    <w:p w14:paraId="6D248FCE" w14:textId="2EADB508" w:rsidR="006E7A71" w:rsidRDefault="006E7A71" w:rsidP="008D3379">
      <w:pPr>
        <w:rPr>
          <w:rFonts w:ascii="Arial" w:hAnsi="Arial" w:cs="Arial"/>
        </w:rPr>
      </w:pPr>
    </w:p>
    <w:p w14:paraId="5906D17E" w14:textId="759FA397" w:rsidR="006E7A71" w:rsidRDefault="006E7A71" w:rsidP="008D3379">
      <w:pPr>
        <w:rPr>
          <w:rFonts w:ascii="Arial" w:hAnsi="Arial" w:cs="Arial"/>
        </w:rPr>
      </w:pPr>
    </w:p>
    <w:p w14:paraId="0853C960" w14:textId="1161228C" w:rsidR="006E7A71" w:rsidRDefault="006E7A71" w:rsidP="008D3379">
      <w:pPr>
        <w:rPr>
          <w:rFonts w:ascii="Arial" w:hAnsi="Arial" w:cs="Arial"/>
        </w:rPr>
      </w:pPr>
    </w:p>
    <w:p w14:paraId="567710F3" w14:textId="30D22E0B" w:rsidR="006E7A71" w:rsidRDefault="006E7A71" w:rsidP="008D3379">
      <w:pPr>
        <w:rPr>
          <w:rFonts w:ascii="Arial" w:hAnsi="Arial" w:cs="Arial"/>
        </w:rPr>
      </w:pPr>
    </w:p>
    <w:p w14:paraId="0A3D27D4" w14:textId="672D9C99" w:rsidR="006E7A71" w:rsidRDefault="006E7A71" w:rsidP="008D3379">
      <w:pPr>
        <w:rPr>
          <w:rFonts w:ascii="Arial" w:hAnsi="Arial" w:cs="Arial"/>
        </w:rPr>
      </w:pPr>
    </w:p>
    <w:p w14:paraId="5BDD7658" w14:textId="5A11E2DC" w:rsidR="006E7A71" w:rsidRDefault="006E7A71" w:rsidP="008D3379">
      <w:pPr>
        <w:rPr>
          <w:rFonts w:ascii="Arial" w:hAnsi="Arial" w:cs="Arial"/>
        </w:rPr>
      </w:pPr>
    </w:p>
    <w:p w14:paraId="7B390A67" w14:textId="5651149E" w:rsidR="006E7A71" w:rsidRDefault="006E7A71" w:rsidP="008D3379">
      <w:pPr>
        <w:rPr>
          <w:rFonts w:ascii="Arial" w:hAnsi="Arial" w:cs="Arial"/>
        </w:rPr>
      </w:pPr>
    </w:p>
    <w:p w14:paraId="7F90CD55" w14:textId="71223135" w:rsidR="006E7A71" w:rsidRDefault="006E7A71" w:rsidP="008D3379">
      <w:pPr>
        <w:rPr>
          <w:rFonts w:ascii="Arial" w:hAnsi="Arial" w:cs="Arial"/>
        </w:rPr>
      </w:pPr>
    </w:p>
    <w:p w14:paraId="47C6BDDB" w14:textId="2E6E6149" w:rsidR="006E7A71" w:rsidRDefault="006E7A71" w:rsidP="008D3379">
      <w:pPr>
        <w:rPr>
          <w:rFonts w:ascii="Arial" w:hAnsi="Arial" w:cs="Arial"/>
        </w:rPr>
      </w:pPr>
    </w:p>
    <w:p w14:paraId="5B97087B" w14:textId="4C2D4427" w:rsidR="006E7A71" w:rsidRDefault="006E7A71" w:rsidP="008D3379">
      <w:pPr>
        <w:rPr>
          <w:rFonts w:ascii="Arial" w:hAnsi="Arial" w:cs="Arial"/>
        </w:rPr>
      </w:pPr>
    </w:p>
    <w:p w14:paraId="7F9C7477" w14:textId="302CF371" w:rsidR="006E7A71" w:rsidRDefault="006E7A71" w:rsidP="008D3379">
      <w:pPr>
        <w:rPr>
          <w:rFonts w:ascii="Arial" w:hAnsi="Arial" w:cs="Arial"/>
        </w:rPr>
      </w:pPr>
    </w:p>
    <w:p w14:paraId="4783F36B" w14:textId="2C1E20A5" w:rsidR="006E7A71" w:rsidRDefault="006E7A71" w:rsidP="008D3379">
      <w:pPr>
        <w:rPr>
          <w:rFonts w:ascii="Arial" w:hAnsi="Arial" w:cs="Arial"/>
        </w:rPr>
      </w:pPr>
    </w:p>
    <w:p w14:paraId="1AD72C71" w14:textId="4BD09E00" w:rsidR="006E7A71" w:rsidRDefault="006E7A71" w:rsidP="008D3379">
      <w:pPr>
        <w:rPr>
          <w:rFonts w:ascii="Arial" w:hAnsi="Arial" w:cs="Arial"/>
        </w:rPr>
      </w:pPr>
    </w:p>
    <w:p w14:paraId="1D4A539F" w14:textId="4776CAA3" w:rsidR="006E7A71" w:rsidRDefault="006E7A71" w:rsidP="008D3379">
      <w:pPr>
        <w:rPr>
          <w:rFonts w:ascii="Arial" w:hAnsi="Arial" w:cs="Arial"/>
        </w:rPr>
      </w:pPr>
    </w:p>
    <w:p w14:paraId="33489AD2" w14:textId="03682855" w:rsidR="006E7A71" w:rsidRDefault="006E7A71" w:rsidP="008D3379">
      <w:pPr>
        <w:rPr>
          <w:rFonts w:ascii="Arial" w:hAnsi="Arial" w:cs="Arial"/>
        </w:rPr>
      </w:pPr>
    </w:p>
    <w:p w14:paraId="4DE007A4" w14:textId="2691F25A" w:rsidR="006E7A71" w:rsidRDefault="006E7A71" w:rsidP="008D3379">
      <w:pPr>
        <w:rPr>
          <w:rFonts w:ascii="Arial" w:hAnsi="Arial" w:cs="Arial"/>
        </w:rPr>
      </w:pPr>
    </w:p>
    <w:p w14:paraId="480B1D05" w14:textId="6D6516BD" w:rsidR="006E7A71" w:rsidRDefault="006E7A71" w:rsidP="008D3379">
      <w:pPr>
        <w:rPr>
          <w:rFonts w:ascii="Arial" w:hAnsi="Arial" w:cs="Arial"/>
        </w:rPr>
      </w:pPr>
    </w:p>
    <w:p w14:paraId="5A264D44" w14:textId="0A6F063E" w:rsidR="006E7A71" w:rsidRDefault="006E7A71" w:rsidP="008D3379">
      <w:pPr>
        <w:rPr>
          <w:rFonts w:ascii="Arial" w:hAnsi="Arial" w:cs="Arial"/>
        </w:rPr>
      </w:pPr>
    </w:p>
    <w:p w14:paraId="604F3883" w14:textId="5A37D813" w:rsidR="006E7A71" w:rsidRDefault="006E7A71" w:rsidP="008D3379">
      <w:pPr>
        <w:rPr>
          <w:rFonts w:ascii="Arial" w:hAnsi="Arial" w:cs="Arial"/>
        </w:rPr>
      </w:pPr>
    </w:p>
    <w:p w14:paraId="2B692C9E" w14:textId="7CE16975" w:rsidR="006E7A71" w:rsidRDefault="006E7A71" w:rsidP="008D3379">
      <w:pPr>
        <w:rPr>
          <w:rFonts w:ascii="Arial" w:hAnsi="Arial" w:cs="Arial"/>
        </w:rPr>
      </w:pPr>
    </w:p>
    <w:p w14:paraId="0DDD6DDC" w14:textId="77777777" w:rsidR="006E7A71" w:rsidRPr="00684D4E" w:rsidRDefault="006E7A71" w:rsidP="008D3379">
      <w:pPr>
        <w:rPr>
          <w:rFonts w:ascii="Arial" w:hAnsi="Arial" w:cs="Arial"/>
        </w:rPr>
      </w:pPr>
    </w:p>
    <w:p w14:paraId="4F99D873" w14:textId="5C11A092" w:rsidR="008D3379" w:rsidRDefault="008D3379" w:rsidP="008D3379"/>
    <w:p w14:paraId="2B49F75A" w14:textId="4FA30A44" w:rsidR="008D3379" w:rsidRDefault="008D3379" w:rsidP="008D3379"/>
    <w:p w14:paraId="3CCDB2FD" w14:textId="3A58570C" w:rsidR="008D3379" w:rsidRDefault="008D3379" w:rsidP="008D3379"/>
    <w:p w14:paraId="5B594EB4" w14:textId="0DFD028B" w:rsidR="008D3379" w:rsidRDefault="008D3379" w:rsidP="008D3379">
      <w:pPr>
        <w:rPr>
          <w:b/>
          <w:bCs/>
          <w:u w:val="single"/>
        </w:rPr>
      </w:pPr>
      <w:r w:rsidRPr="008D3379">
        <w:rPr>
          <w:b/>
          <w:bCs/>
          <w:u w:val="single"/>
        </w:rPr>
        <w:t xml:space="preserve">Reference List </w:t>
      </w:r>
    </w:p>
    <w:p w14:paraId="3E57541B" w14:textId="37425FD5" w:rsidR="008D3379" w:rsidRDefault="008D3379" w:rsidP="008D3379"/>
    <w:p w14:paraId="086347EC" w14:textId="60CD1BA9" w:rsidR="008D3379" w:rsidRPr="00C866A2" w:rsidRDefault="008D3379" w:rsidP="008D3379">
      <w:pPr>
        <w:rPr>
          <w:rFonts w:ascii="Arial" w:hAnsi="Arial" w:cs="Arial"/>
          <w:color w:val="222222"/>
          <w:shd w:val="clear" w:color="auto" w:fill="FFFFFF"/>
        </w:rPr>
      </w:pPr>
      <w:r w:rsidRPr="00C866A2">
        <w:rPr>
          <w:rFonts w:ascii="Arial" w:hAnsi="Arial" w:cs="Arial"/>
          <w:color w:val="222222"/>
          <w:shd w:val="clear" w:color="auto" w:fill="FFFFFF"/>
        </w:rPr>
        <w:t>Gillespie, A., 2013.</w:t>
      </w:r>
      <w:r w:rsidRPr="00C866A2">
        <w:rPr>
          <w:rStyle w:val="apple-converted-space"/>
          <w:rFonts w:ascii="Arial" w:hAnsi="Arial" w:cs="Arial"/>
          <w:color w:val="222222"/>
          <w:shd w:val="clear" w:color="auto" w:fill="FFFFFF"/>
        </w:rPr>
        <w:t> </w:t>
      </w:r>
      <w:r w:rsidRPr="00C866A2">
        <w:rPr>
          <w:rFonts w:ascii="Arial" w:hAnsi="Arial" w:cs="Arial"/>
          <w:i/>
          <w:iCs/>
          <w:color w:val="222222"/>
        </w:rPr>
        <w:t>The English legal system</w:t>
      </w:r>
      <w:r w:rsidRPr="00C866A2">
        <w:rPr>
          <w:rFonts w:ascii="Arial" w:hAnsi="Arial" w:cs="Arial"/>
          <w:color w:val="222222"/>
          <w:shd w:val="clear" w:color="auto" w:fill="FFFFFF"/>
        </w:rPr>
        <w:t>. Oxford University Press.</w:t>
      </w:r>
    </w:p>
    <w:p w14:paraId="1A5C4651" w14:textId="77777777" w:rsidR="008D3379" w:rsidRPr="00C866A2" w:rsidRDefault="008D3379" w:rsidP="008D3379">
      <w:pPr>
        <w:shd w:val="clear" w:color="auto" w:fill="FFFFFF"/>
        <w:rPr>
          <w:rFonts w:ascii="Arial" w:eastAsia="Times New Roman" w:hAnsi="Arial" w:cs="Arial"/>
          <w:color w:val="3A3A3A"/>
          <w:sz w:val="23"/>
          <w:szCs w:val="23"/>
          <w:lang w:eastAsia="en-GB"/>
        </w:rPr>
      </w:pPr>
    </w:p>
    <w:p w14:paraId="2F922C01" w14:textId="61025250" w:rsidR="008D3379" w:rsidRPr="00C866A2" w:rsidRDefault="008D3379" w:rsidP="008D3379">
      <w:pPr>
        <w:shd w:val="clear" w:color="auto" w:fill="FFFFFF"/>
        <w:rPr>
          <w:rFonts w:ascii="Arial" w:eastAsia="Times New Roman" w:hAnsi="Arial" w:cs="Arial"/>
          <w:color w:val="3A3A3A"/>
          <w:lang w:eastAsia="en-GB"/>
        </w:rPr>
      </w:pPr>
      <w:r w:rsidRPr="00C866A2">
        <w:rPr>
          <w:rFonts w:ascii="Arial" w:eastAsia="Times New Roman" w:hAnsi="Arial" w:cs="Arial"/>
          <w:color w:val="3A3A3A"/>
          <w:lang w:eastAsia="en-GB"/>
        </w:rPr>
        <w:t>Wood, D. (2021) </w:t>
      </w:r>
      <w:r w:rsidRPr="00C866A2">
        <w:rPr>
          <w:rFonts w:ascii="Arial" w:eastAsia="Times New Roman" w:hAnsi="Arial" w:cs="Arial"/>
          <w:i/>
          <w:iCs/>
          <w:color w:val="3A3A3A"/>
          <w:lang w:eastAsia="en-GB"/>
        </w:rPr>
        <w:t>Blackstone’s handbook for policing students</w:t>
      </w:r>
      <w:r w:rsidRPr="00C866A2">
        <w:rPr>
          <w:rFonts w:ascii="Arial" w:eastAsia="Times New Roman" w:hAnsi="Arial" w:cs="Arial"/>
          <w:color w:val="3A3A3A"/>
          <w:lang w:eastAsia="en-GB"/>
        </w:rPr>
        <w:t>. Sixteenth edition. Edited by D. Wood. Oxford: Oxford University Press.</w:t>
      </w:r>
    </w:p>
    <w:p w14:paraId="1BCCAD8B" w14:textId="77777777" w:rsidR="008D3379" w:rsidRPr="00C866A2" w:rsidRDefault="008D3379" w:rsidP="008D3379">
      <w:pPr>
        <w:shd w:val="clear" w:color="auto" w:fill="FFFFFF"/>
        <w:rPr>
          <w:rFonts w:ascii="Arial" w:eastAsia="Times New Roman" w:hAnsi="Arial" w:cs="Arial"/>
          <w:color w:val="3A3A3A"/>
          <w:sz w:val="36"/>
          <w:szCs w:val="36"/>
          <w:lang w:eastAsia="en-GB"/>
        </w:rPr>
      </w:pPr>
    </w:p>
    <w:p w14:paraId="15FF1A44" w14:textId="252BAC79" w:rsidR="008D3379" w:rsidRPr="00C866A2" w:rsidRDefault="008D3379" w:rsidP="008D3379">
      <w:pPr>
        <w:shd w:val="clear" w:color="auto" w:fill="FFFFFF"/>
        <w:rPr>
          <w:rFonts w:ascii="Arial" w:hAnsi="Arial" w:cs="Arial"/>
          <w:color w:val="222222"/>
          <w:shd w:val="clear" w:color="auto" w:fill="FFFFFF"/>
        </w:rPr>
      </w:pPr>
      <w:r w:rsidRPr="00C866A2">
        <w:rPr>
          <w:rFonts w:ascii="Arial" w:hAnsi="Arial" w:cs="Arial"/>
          <w:color w:val="222222"/>
          <w:shd w:val="clear" w:color="auto" w:fill="FFFFFF"/>
        </w:rPr>
        <w:t>Partington, M., 2021.</w:t>
      </w:r>
      <w:r w:rsidRPr="00C866A2">
        <w:rPr>
          <w:rStyle w:val="apple-converted-space"/>
          <w:rFonts w:ascii="Arial" w:hAnsi="Arial" w:cs="Arial"/>
          <w:color w:val="222222"/>
          <w:shd w:val="clear" w:color="auto" w:fill="FFFFFF"/>
        </w:rPr>
        <w:t> </w:t>
      </w:r>
      <w:r w:rsidRPr="00C866A2">
        <w:rPr>
          <w:rFonts w:ascii="Arial" w:hAnsi="Arial" w:cs="Arial"/>
          <w:i/>
          <w:iCs/>
          <w:color w:val="222222"/>
        </w:rPr>
        <w:t>Introduction to the English legal system</w:t>
      </w:r>
      <w:r w:rsidRPr="00C866A2">
        <w:rPr>
          <w:rFonts w:ascii="Arial" w:hAnsi="Arial" w:cs="Arial"/>
          <w:color w:val="222222"/>
          <w:shd w:val="clear" w:color="auto" w:fill="FFFFFF"/>
        </w:rPr>
        <w:t>. Oxford University Press.</w:t>
      </w:r>
    </w:p>
    <w:p w14:paraId="1784528F" w14:textId="4A5FFF0E" w:rsidR="00076C91" w:rsidRPr="00C866A2" w:rsidRDefault="00076C91" w:rsidP="008D3379">
      <w:pPr>
        <w:shd w:val="clear" w:color="auto" w:fill="FFFFFF"/>
        <w:rPr>
          <w:rFonts w:ascii="Arial" w:hAnsi="Arial" w:cs="Arial"/>
          <w:color w:val="222222"/>
          <w:shd w:val="clear" w:color="auto" w:fill="FFFFFF"/>
        </w:rPr>
      </w:pPr>
    </w:p>
    <w:p w14:paraId="5FC8A462" w14:textId="66C56447" w:rsidR="00076C91" w:rsidRPr="00C866A2" w:rsidRDefault="00076C91" w:rsidP="008D3379">
      <w:pPr>
        <w:shd w:val="clear" w:color="auto" w:fill="FFFFFF"/>
        <w:rPr>
          <w:rFonts w:ascii="Arial" w:hAnsi="Arial" w:cs="Arial"/>
          <w:color w:val="3A3A3A"/>
          <w:shd w:val="clear" w:color="auto" w:fill="FFFFFF"/>
        </w:rPr>
      </w:pPr>
      <w:r w:rsidRPr="00C866A2">
        <w:rPr>
          <w:rFonts w:ascii="Arial" w:hAnsi="Arial" w:cs="Arial"/>
          <w:color w:val="3A3A3A"/>
          <w:shd w:val="clear" w:color="auto" w:fill="FFFFFF"/>
        </w:rPr>
        <w:t>Del-Bove, M.C. and Francoz-Terminal, L. (2015) ‘How Common is the Common Law? Some Differences and Similarities in British and American Superior Court Decisions’,</w:t>
      </w:r>
      <w:r w:rsidRPr="00C866A2">
        <w:rPr>
          <w:rStyle w:val="apple-converted-space"/>
          <w:rFonts w:ascii="Arial" w:hAnsi="Arial" w:cs="Arial"/>
          <w:color w:val="3A3A3A"/>
          <w:shd w:val="clear" w:color="auto" w:fill="FFFFFF"/>
        </w:rPr>
        <w:t> </w:t>
      </w:r>
      <w:proofErr w:type="spellStart"/>
      <w:r w:rsidRPr="00C866A2">
        <w:rPr>
          <w:rFonts w:ascii="Arial" w:hAnsi="Arial" w:cs="Arial"/>
          <w:i/>
          <w:iCs/>
          <w:color w:val="3A3A3A"/>
        </w:rPr>
        <w:t>Revista</w:t>
      </w:r>
      <w:proofErr w:type="spellEnd"/>
      <w:r w:rsidRPr="00C866A2">
        <w:rPr>
          <w:rFonts w:ascii="Arial" w:hAnsi="Arial" w:cs="Arial"/>
          <w:i/>
          <w:iCs/>
          <w:color w:val="3A3A3A"/>
        </w:rPr>
        <w:t xml:space="preserve"> </w:t>
      </w:r>
      <w:proofErr w:type="spellStart"/>
      <w:r w:rsidRPr="00C866A2">
        <w:rPr>
          <w:rFonts w:ascii="Arial" w:hAnsi="Arial" w:cs="Arial"/>
          <w:i/>
          <w:iCs/>
          <w:color w:val="3A3A3A"/>
        </w:rPr>
        <w:t>Alicantina</w:t>
      </w:r>
      <w:proofErr w:type="spellEnd"/>
      <w:r w:rsidRPr="00C866A2">
        <w:rPr>
          <w:rFonts w:ascii="Arial" w:hAnsi="Arial" w:cs="Arial"/>
          <w:i/>
          <w:iCs/>
          <w:color w:val="3A3A3A"/>
        </w:rPr>
        <w:t xml:space="preserve"> de </w:t>
      </w:r>
      <w:proofErr w:type="spellStart"/>
      <w:r w:rsidRPr="00C866A2">
        <w:rPr>
          <w:rFonts w:ascii="Arial" w:hAnsi="Arial" w:cs="Arial"/>
          <w:i/>
          <w:iCs/>
          <w:color w:val="3A3A3A"/>
        </w:rPr>
        <w:t>Estudios</w:t>
      </w:r>
      <w:proofErr w:type="spellEnd"/>
      <w:r w:rsidRPr="00C866A2">
        <w:rPr>
          <w:rFonts w:ascii="Arial" w:hAnsi="Arial" w:cs="Arial"/>
          <w:i/>
          <w:iCs/>
          <w:color w:val="3A3A3A"/>
        </w:rPr>
        <w:t xml:space="preserve"> </w:t>
      </w:r>
      <w:proofErr w:type="spellStart"/>
      <w:r w:rsidRPr="00C866A2">
        <w:rPr>
          <w:rFonts w:ascii="Arial" w:hAnsi="Arial" w:cs="Arial"/>
          <w:i/>
          <w:iCs/>
          <w:color w:val="3A3A3A"/>
        </w:rPr>
        <w:t>Ingleses</w:t>
      </w:r>
      <w:proofErr w:type="spellEnd"/>
      <w:r w:rsidRPr="00C866A2">
        <w:rPr>
          <w:rFonts w:ascii="Arial" w:hAnsi="Arial" w:cs="Arial"/>
          <w:color w:val="3A3A3A"/>
          <w:shd w:val="clear" w:color="auto" w:fill="FFFFFF"/>
        </w:rPr>
        <w:t xml:space="preserve">, (28), p. 59–. Available at: </w:t>
      </w:r>
      <w:hyperlink r:id="rId4" w:history="1">
        <w:r w:rsidR="00F00518" w:rsidRPr="00C866A2">
          <w:rPr>
            <w:rStyle w:val="Hyperlink"/>
            <w:rFonts w:ascii="Arial" w:hAnsi="Arial" w:cs="Arial"/>
            <w:shd w:val="clear" w:color="auto" w:fill="FFFFFF"/>
          </w:rPr>
          <w:t>https://doi.org/10.14198/raei.2015.28.04</w:t>
        </w:r>
      </w:hyperlink>
    </w:p>
    <w:p w14:paraId="200179FE" w14:textId="77777777" w:rsidR="00F00518" w:rsidRPr="00C866A2" w:rsidRDefault="00F00518" w:rsidP="008D3379">
      <w:pPr>
        <w:shd w:val="clear" w:color="auto" w:fill="FFFFFF"/>
        <w:rPr>
          <w:rFonts w:ascii="Arial" w:hAnsi="Arial" w:cs="Arial"/>
          <w:color w:val="222222"/>
          <w:sz w:val="20"/>
          <w:szCs w:val="20"/>
          <w:shd w:val="clear" w:color="auto" w:fill="FFFFFF"/>
        </w:rPr>
      </w:pPr>
    </w:p>
    <w:p w14:paraId="36792C4C" w14:textId="2C3C4A77" w:rsidR="00F00518" w:rsidRPr="00C866A2" w:rsidRDefault="00F00518" w:rsidP="008D3379">
      <w:pPr>
        <w:shd w:val="clear" w:color="auto" w:fill="FFFFFF"/>
        <w:rPr>
          <w:rFonts w:ascii="Arial" w:eastAsia="Times New Roman" w:hAnsi="Arial" w:cs="Arial"/>
          <w:color w:val="3A3A3A"/>
          <w:sz w:val="40"/>
          <w:szCs w:val="40"/>
          <w:lang w:eastAsia="en-GB"/>
        </w:rPr>
      </w:pPr>
      <w:r w:rsidRPr="00C866A2">
        <w:rPr>
          <w:rFonts w:ascii="Arial" w:hAnsi="Arial" w:cs="Arial"/>
          <w:color w:val="222222"/>
          <w:shd w:val="clear" w:color="auto" w:fill="FFFFFF"/>
        </w:rPr>
        <w:t>Huxley-Binns, R. and Martin, J., 2014.</w:t>
      </w:r>
      <w:r w:rsidRPr="00C866A2">
        <w:rPr>
          <w:rStyle w:val="apple-converted-space"/>
          <w:rFonts w:ascii="Arial" w:hAnsi="Arial" w:cs="Arial"/>
          <w:color w:val="222222"/>
          <w:shd w:val="clear" w:color="auto" w:fill="FFFFFF"/>
        </w:rPr>
        <w:t> </w:t>
      </w:r>
      <w:r w:rsidRPr="00C866A2">
        <w:rPr>
          <w:rFonts w:ascii="Arial" w:hAnsi="Arial" w:cs="Arial"/>
          <w:i/>
          <w:iCs/>
          <w:color w:val="222222"/>
        </w:rPr>
        <w:t>Unlocking the English legal system</w:t>
      </w:r>
      <w:r w:rsidRPr="00C866A2">
        <w:rPr>
          <w:rFonts w:ascii="Arial" w:hAnsi="Arial" w:cs="Arial"/>
          <w:color w:val="222222"/>
          <w:shd w:val="clear" w:color="auto" w:fill="FFFFFF"/>
        </w:rPr>
        <w:t>. Routledge</w:t>
      </w:r>
    </w:p>
    <w:p w14:paraId="6DCE2068" w14:textId="77777777" w:rsidR="008D3379" w:rsidRPr="00C866A2" w:rsidRDefault="008D3379" w:rsidP="008D3379">
      <w:pPr>
        <w:shd w:val="clear" w:color="auto" w:fill="FFFFFF"/>
        <w:rPr>
          <w:rFonts w:ascii="Arial" w:eastAsia="Times New Roman" w:hAnsi="Arial" w:cs="Arial"/>
          <w:color w:val="3A3A3A"/>
          <w:lang w:eastAsia="en-GB"/>
        </w:rPr>
      </w:pPr>
    </w:p>
    <w:p w14:paraId="15AEF563" w14:textId="74089454" w:rsidR="008D3379" w:rsidRPr="00C866A2" w:rsidRDefault="008D3379" w:rsidP="008D3379">
      <w:pPr>
        <w:rPr>
          <w:rFonts w:ascii="Arial" w:eastAsia="Times New Roman" w:hAnsi="Arial" w:cs="Arial"/>
          <w:sz w:val="28"/>
          <w:szCs w:val="28"/>
          <w:lang w:eastAsia="en-GB"/>
        </w:rPr>
      </w:pPr>
      <w:r w:rsidRPr="00C866A2">
        <w:rPr>
          <w:rFonts w:ascii="Arial" w:eastAsia="Times New Roman" w:hAnsi="Arial" w:cs="Arial"/>
          <w:sz w:val="28"/>
          <w:szCs w:val="28"/>
          <w:lang w:eastAsia="en-GB"/>
        </w:rPr>
        <w:t> </w:t>
      </w:r>
    </w:p>
    <w:p w14:paraId="06C20D10" w14:textId="77777777" w:rsidR="008D3379" w:rsidRPr="00C866A2" w:rsidRDefault="008D3379" w:rsidP="008D3379">
      <w:pPr>
        <w:rPr>
          <w:rFonts w:ascii="Arial" w:hAnsi="Arial" w:cs="Arial"/>
        </w:rPr>
      </w:pPr>
      <w:r w:rsidRPr="00C866A2">
        <w:rPr>
          <w:rFonts w:ascii="Arial" w:hAnsi="Arial" w:cs="Arial"/>
        </w:rPr>
        <w:t xml:space="preserve">Pejovic, C., 2001. Civil law and common law: Two different paths leading to the same goal. </w:t>
      </w:r>
      <w:proofErr w:type="spellStart"/>
      <w:r w:rsidRPr="00C866A2">
        <w:rPr>
          <w:rFonts w:ascii="Arial" w:hAnsi="Arial" w:cs="Arial"/>
        </w:rPr>
        <w:t>Poredbeno</w:t>
      </w:r>
      <w:proofErr w:type="spellEnd"/>
      <w:r w:rsidRPr="00C866A2">
        <w:rPr>
          <w:rFonts w:ascii="Arial" w:hAnsi="Arial" w:cs="Arial"/>
        </w:rPr>
        <w:t xml:space="preserve"> </w:t>
      </w:r>
      <w:proofErr w:type="spellStart"/>
      <w:r w:rsidRPr="00C866A2">
        <w:rPr>
          <w:rFonts w:ascii="Arial" w:hAnsi="Arial" w:cs="Arial"/>
        </w:rPr>
        <w:t>Pomorsko</w:t>
      </w:r>
      <w:proofErr w:type="spellEnd"/>
      <w:r w:rsidRPr="00C866A2">
        <w:rPr>
          <w:rFonts w:ascii="Arial" w:hAnsi="Arial" w:cs="Arial"/>
        </w:rPr>
        <w:t xml:space="preserve"> </w:t>
      </w:r>
      <w:proofErr w:type="spellStart"/>
      <w:r w:rsidRPr="00C866A2">
        <w:rPr>
          <w:rFonts w:ascii="Arial" w:hAnsi="Arial" w:cs="Arial"/>
        </w:rPr>
        <w:t>Pravo</w:t>
      </w:r>
      <w:proofErr w:type="spellEnd"/>
      <w:r w:rsidRPr="00C866A2">
        <w:rPr>
          <w:rFonts w:ascii="Arial" w:hAnsi="Arial" w:cs="Arial"/>
        </w:rPr>
        <w:t>, 155, p.7.</w:t>
      </w:r>
    </w:p>
    <w:p w14:paraId="6F25975B" w14:textId="1485D945" w:rsidR="008D3379" w:rsidRPr="00C866A2" w:rsidRDefault="008D3379" w:rsidP="008D3379">
      <w:pPr>
        <w:rPr>
          <w:rFonts w:ascii="Arial" w:hAnsi="Arial" w:cs="Arial"/>
        </w:rPr>
      </w:pPr>
      <w:r w:rsidRPr="00C866A2">
        <w:rPr>
          <w:rFonts w:ascii="Arial" w:hAnsi="Arial" w:cs="Arial"/>
        </w:rPr>
        <w:t>Vancouver</w:t>
      </w:r>
    </w:p>
    <w:p w14:paraId="6DECF8F1" w14:textId="37171D54" w:rsidR="00F00518" w:rsidRPr="00C866A2" w:rsidRDefault="00F00518" w:rsidP="008D3379">
      <w:pPr>
        <w:rPr>
          <w:rFonts w:ascii="Arial" w:hAnsi="Arial" w:cs="Arial"/>
        </w:rPr>
      </w:pPr>
    </w:p>
    <w:p w14:paraId="0CCCE906" w14:textId="26FDD6D1" w:rsidR="00F00518" w:rsidRPr="00C866A2" w:rsidRDefault="00F00518" w:rsidP="008D3379">
      <w:pPr>
        <w:rPr>
          <w:rFonts w:ascii="Arial" w:hAnsi="Arial" w:cs="Arial"/>
          <w:color w:val="3A3A3A"/>
          <w:shd w:val="clear" w:color="auto" w:fill="FFFFFF"/>
        </w:rPr>
      </w:pPr>
      <w:r w:rsidRPr="00C866A2">
        <w:rPr>
          <w:rFonts w:ascii="Arial" w:hAnsi="Arial" w:cs="Arial"/>
          <w:color w:val="3A3A3A"/>
          <w:shd w:val="clear" w:color="auto" w:fill="FFFFFF"/>
        </w:rPr>
        <w:t xml:space="preserve">Allbon, E. and Kaur </w:t>
      </w:r>
      <w:proofErr w:type="spellStart"/>
      <w:r w:rsidRPr="00C866A2">
        <w:rPr>
          <w:rFonts w:ascii="Arial" w:hAnsi="Arial" w:cs="Arial"/>
          <w:color w:val="3A3A3A"/>
          <w:shd w:val="clear" w:color="auto" w:fill="FFFFFF"/>
        </w:rPr>
        <w:t>Dua</w:t>
      </w:r>
      <w:proofErr w:type="spellEnd"/>
      <w:r w:rsidRPr="00C866A2">
        <w:rPr>
          <w:rFonts w:ascii="Arial" w:hAnsi="Arial" w:cs="Arial"/>
          <w:color w:val="3A3A3A"/>
          <w:shd w:val="clear" w:color="auto" w:fill="FFFFFF"/>
        </w:rPr>
        <w:t>, S. (2020)</w:t>
      </w:r>
      <w:r w:rsidRPr="00C866A2">
        <w:rPr>
          <w:rStyle w:val="apple-converted-space"/>
          <w:rFonts w:ascii="Arial" w:hAnsi="Arial" w:cs="Arial"/>
          <w:color w:val="3A3A3A"/>
          <w:shd w:val="clear" w:color="auto" w:fill="FFFFFF"/>
        </w:rPr>
        <w:t> </w:t>
      </w:r>
      <w:r w:rsidRPr="00C866A2">
        <w:rPr>
          <w:rFonts w:ascii="Arial" w:hAnsi="Arial" w:cs="Arial"/>
          <w:i/>
          <w:iCs/>
          <w:color w:val="3A3A3A"/>
        </w:rPr>
        <w:t xml:space="preserve">Elliott and </w:t>
      </w:r>
      <w:proofErr w:type="spellStart"/>
      <w:r w:rsidRPr="00C866A2">
        <w:rPr>
          <w:rFonts w:ascii="Arial" w:hAnsi="Arial" w:cs="Arial"/>
          <w:i/>
          <w:iCs/>
          <w:color w:val="3A3A3A"/>
        </w:rPr>
        <w:t>Quinnʹs</w:t>
      </w:r>
      <w:proofErr w:type="spellEnd"/>
      <w:r w:rsidRPr="00C866A2">
        <w:rPr>
          <w:rFonts w:ascii="Arial" w:hAnsi="Arial" w:cs="Arial"/>
          <w:i/>
          <w:iCs/>
          <w:color w:val="3A3A3A"/>
        </w:rPr>
        <w:t xml:space="preserve"> English legal system</w:t>
      </w:r>
      <w:r w:rsidRPr="00C866A2">
        <w:rPr>
          <w:rFonts w:ascii="Arial" w:hAnsi="Arial" w:cs="Arial"/>
          <w:color w:val="3A3A3A"/>
          <w:shd w:val="clear" w:color="auto" w:fill="FFFFFF"/>
        </w:rPr>
        <w:t>. Twenty-first edition. Harlow, England: Pearson, c.</w:t>
      </w:r>
    </w:p>
    <w:p w14:paraId="7326E39E" w14:textId="35F7207B" w:rsidR="00F00518" w:rsidRPr="00C866A2" w:rsidRDefault="00F00518" w:rsidP="008D3379">
      <w:pPr>
        <w:rPr>
          <w:rFonts w:ascii="Arial" w:hAnsi="Arial" w:cs="Arial"/>
          <w:color w:val="3A3A3A"/>
          <w:shd w:val="clear" w:color="auto" w:fill="FFFFFF"/>
        </w:rPr>
      </w:pPr>
    </w:p>
    <w:p w14:paraId="64A5E0BA" w14:textId="1F7D35F7" w:rsidR="00F00518" w:rsidRPr="00C866A2" w:rsidRDefault="00F00518" w:rsidP="008D3379">
      <w:pPr>
        <w:rPr>
          <w:rFonts w:ascii="Arial" w:hAnsi="Arial" w:cs="Arial"/>
          <w:color w:val="3A3A3A"/>
          <w:shd w:val="clear" w:color="auto" w:fill="FFFFFF"/>
        </w:rPr>
      </w:pPr>
      <w:r w:rsidRPr="00C866A2">
        <w:rPr>
          <w:rFonts w:ascii="Arial" w:hAnsi="Arial" w:cs="Arial"/>
          <w:i/>
          <w:iCs/>
          <w:color w:val="3A3A3A"/>
        </w:rPr>
        <w:t>Common law vs civil law</w:t>
      </w:r>
      <w:r w:rsidRPr="00C866A2">
        <w:rPr>
          <w:rStyle w:val="apple-converted-space"/>
          <w:rFonts w:ascii="Arial" w:hAnsi="Arial" w:cs="Arial"/>
          <w:color w:val="3A3A3A"/>
          <w:shd w:val="clear" w:color="auto" w:fill="FFFFFF"/>
        </w:rPr>
        <w:t> </w:t>
      </w:r>
      <w:r w:rsidRPr="00C866A2">
        <w:rPr>
          <w:rFonts w:ascii="Arial" w:hAnsi="Arial" w:cs="Arial"/>
          <w:color w:val="3A3A3A"/>
          <w:shd w:val="clear" w:color="auto" w:fill="FFFFFF"/>
        </w:rPr>
        <w:t>(2021). Place of publication not identified: Business Professor.</w:t>
      </w:r>
    </w:p>
    <w:p w14:paraId="218C0ED6" w14:textId="1521F3DF" w:rsidR="00F00518" w:rsidRPr="00C866A2" w:rsidRDefault="00F00518" w:rsidP="008D3379">
      <w:pPr>
        <w:rPr>
          <w:rFonts w:ascii="Arial" w:hAnsi="Arial" w:cs="Arial"/>
          <w:color w:val="3A3A3A"/>
          <w:shd w:val="clear" w:color="auto" w:fill="FFFFFF"/>
        </w:rPr>
      </w:pPr>
    </w:p>
    <w:p w14:paraId="52957A77" w14:textId="4425211F" w:rsidR="00F00518" w:rsidRPr="00C866A2" w:rsidRDefault="00F00518" w:rsidP="008D3379">
      <w:pPr>
        <w:rPr>
          <w:rFonts w:ascii="Arial" w:hAnsi="Arial" w:cs="Arial"/>
          <w:color w:val="222222"/>
          <w:shd w:val="clear" w:color="auto" w:fill="FFFFFF"/>
        </w:rPr>
      </w:pPr>
      <w:r w:rsidRPr="00C866A2">
        <w:rPr>
          <w:rFonts w:ascii="Arial" w:hAnsi="Arial" w:cs="Arial"/>
          <w:color w:val="222222"/>
          <w:shd w:val="clear" w:color="auto" w:fill="FFFFFF"/>
        </w:rPr>
        <w:t>Ward, R. and Akhtar, A., 2011.</w:t>
      </w:r>
      <w:r w:rsidRPr="00C866A2">
        <w:rPr>
          <w:rStyle w:val="apple-converted-space"/>
          <w:rFonts w:ascii="Arial" w:hAnsi="Arial" w:cs="Arial"/>
          <w:color w:val="222222"/>
          <w:shd w:val="clear" w:color="auto" w:fill="FFFFFF"/>
        </w:rPr>
        <w:t> </w:t>
      </w:r>
      <w:r w:rsidRPr="00C866A2">
        <w:rPr>
          <w:rFonts w:ascii="Arial" w:hAnsi="Arial" w:cs="Arial"/>
          <w:i/>
          <w:iCs/>
          <w:color w:val="222222"/>
        </w:rPr>
        <w:t>Walker &amp; Walker's English legal system</w:t>
      </w:r>
      <w:r w:rsidRPr="00C866A2">
        <w:rPr>
          <w:rFonts w:ascii="Arial" w:hAnsi="Arial" w:cs="Arial"/>
          <w:color w:val="222222"/>
          <w:shd w:val="clear" w:color="auto" w:fill="FFFFFF"/>
        </w:rPr>
        <w:t>. Oxford University Press</w:t>
      </w:r>
    </w:p>
    <w:p w14:paraId="5F746F36" w14:textId="10DB595D" w:rsidR="00A72A12" w:rsidRPr="00C866A2" w:rsidRDefault="00A72A12" w:rsidP="008D3379">
      <w:pPr>
        <w:rPr>
          <w:rFonts w:ascii="Arial" w:hAnsi="Arial" w:cs="Arial"/>
          <w:color w:val="222222"/>
          <w:shd w:val="clear" w:color="auto" w:fill="FFFFFF"/>
        </w:rPr>
      </w:pPr>
    </w:p>
    <w:p w14:paraId="4A000A18" w14:textId="0D600353" w:rsidR="00A72A12" w:rsidRPr="00C866A2" w:rsidRDefault="00A72A12" w:rsidP="008D3379">
      <w:pPr>
        <w:rPr>
          <w:rFonts w:ascii="Arial" w:hAnsi="Arial" w:cs="Arial"/>
          <w:color w:val="222222"/>
          <w:shd w:val="clear" w:color="auto" w:fill="FFFFFF"/>
        </w:rPr>
      </w:pPr>
      <w:r w:rsidRPr="00C866A2">
        <w:rPr>
          <w:rFonts w:ascii="Arial" w:hAnsi="Arial" w:cs="Arial"/>
          <w:color w:val="222222"/>
          <w:shd w:val="clear" w:color="auto" w:fill="FFFFFF"/>
        </w:rPr>
        <w:t>Tetley, W., 1999. Mixed jurisdictions: Common law v. civil law (codified and uncodified).</w:t>
      </w:r>
      <w:r w:rsidRPr="00C866A2">
        <w:rPr>
          <w:rStyle w:val="apple-converted-space"/>
          <w:rFonts w:ascii="Arial" w:hAnsi="Arial" w:cs="Arial"/>
          <w:color w:val="222222"/>
          <w:shd w:val="clear" w:color="auto" w:fill="FFFFFF"/>
        </w:rPr>
        <w:t> </w:t>
      </w:r>
      <w:r w:rsidRPr="00C866A2">
        <w:rPr>
          <w:rFonts w:ascii="Arial" w:hAnsi="Arial" w:cs="Arial"/>
          <w:i/>
          <w:iCs/>
          <w:color w:val="222222"/>
        </w:rPr>
        <w:t>La. L. Rev.</w:t>
      </w:r>
      <w:r w:rsidRPr="00C866A2">
        <w:rPr>
          <w:rFonts w:ascii="Arial" w:hAnsi="Arial" w:cs="Arial"/>
          <w:color w:val="222222"/>
          <w:shd w:val="clear" w:color="auto" w:fill="FFFFFF"/>
        </w:rPr>
        <w:t>,</w:t>
      </w:r>
      <w:r w:rsidRPr="00C866A2">
        <w:rPr>
          <w:rStyle w:val="apple-converted-space"/>
          <w:rFonts w:ascii="Arial" w:hAnsi="Arial" w:cs="Arial"/>
          <w:color w:val="222222"/>
          <w:shd w:val="clear" w:color="auto" w:fill="FFFFFF"/>
        </w:rPr>
        <w:t> </w:t>
      </w:r>
      <w:r w:rsidRPr="00C866A2">
        <w:rPr>
          <w:rFonts w:ascii="Arial" w:hAnsi="Arial" w:cs="Arial"/>
          <w:i/>
          <w:iCs/>
          <w:color w:val="222222"/>
        </w:rPr>
        <w:t>60</w:t>
      </w:r>
      <w:r w:rsidRPr="00C866A2">
        <w:rPr>
          <w:rFonts w:ascii="Arial" w:hAnsi="Arial" w:cs="Arial"/>
          <w:color w:val="222222"/>
          <w:shd w:val="clear" w:color="auto" w:fill="FFFFFF"/>
        </w:rPr>
        <w:t>, p.677.</w:t>
      </w:r>
    </w:p>
    <w:p w14:paraId="03BC19DF" w14:textId="77777777" w:rsidR="00436049" w:rsidRPr="00C866A2" w:rsidRDefault="00436049" w:rsidP="008D3379">
      <w:pPr>
        <w:rPr>
          <w:rFonts w:ascii="Arial" w:hAnsi="Arial" w:cs="Arial"/>
          <w:color w:val="222222"/>
          <w:sz w:val="28"/>
          <w:szCs w:val="28"/>
          <w:shd w:val="clear" w:color="auto" w:fill="FFFFFF"/>
        </w:rPr>
      </w:pPr>
    </w:p>
    <w:p w14:paraId="376C44D2" w14:textId="6239447F" w:rsidR="00F03B61" w:rsidRPr="00C866A2" w:rsidRDefault="00F03B61" w:rsidP="008D3379">
      <w:pPr>
        <w:rPr>
          <w:rFonts w:ascii="Arial" w:hAnsi="Arial" w:cs="Arial"/>
          <w:color w:val="222222"/>
          <w:shd w:val="clear" w:color="auto" w:fill="FFFFFF"/>
        </w:rPr>
      </w:pPr>
      <w:r w:rsidRPr="00C866A2">
        <w:rPr>
          <w:rFonts w:ascii="Arial" w:hAnsi="Arial" w:cs="Arial"/>
          <w:color w:val="222222"/>
          <w:shd w:val="clear" w:color="auto" w:fill="FFFFFF"/>
        </w:rPr>
        <w:t>Pleasence, P., Balmer, N. and Buck, A., 2006.</w:t>
      </w:r>
      <w:r w:rsidRPr="00C866A2">
        <w:rPr>
          <w:rStyle w:val="apple-converted-space"/>
          <w:rFonts w:ascii="Arial" w:hAnsi="Arial" w:cs="Arial"/>
          <w:color w:val="222222"/>
          <w:shd w:val="clear" w:color="auto" w:fill="FFFFFF"/>
        </w:rPr>
        <w:t> </w:t>
      </w:r>
      <w:r w:rsidRPr="00C866A2">
        <w:rPr>
          <w:rFonts w:ascii="Arial" w:hAnsi="Arial" w:cs="Arial"/>
          <w:i/>
          <w:iCs/>
          <w:color w:val="222222"/>
        </w:rPr>
        <w:t>Causes of action: civil law and social justice</w:t>
      </w:r>
      <w:r w:rsidRPr="00C866A2">
        <w:rPr>
          <w:rFonts w:ascii="Arial" w:hAnsi="Arial" w:cs="Arial"/>
          <w:color w:val="222222"/>
          <w:shd w:val="clear" w:color="auto" w:fill="FFFFFF"/>
        </w:rPr>
        <w:t>. The Stationery Office.</w:t>
      </w:r>
    </w:p>
    <w:p w14:paraId="21B8FC81" w14:textId="77777777" w:rsidR="00436049" w:rsidRPr="00C866A2" w:rsidRDefault="00436049" w:rsidP="008D3379">
      <w:pPr>
        <w:rPr>
          <w:rFonts w:ascii="Arial" w:hAnsi="Arial" w:cs="Arial"/>
          <w:color w:val="222222"/>
          <w:sz w:val="20"/>
          <w:szCs w:val="20"/>
          <w:shd w:val="clear" w:color="auto" w:fill="FFFFFF"/>
        </w:rPr>
      </w:pPr>
    </w:p>
    <w:p w14:paraId="29C8DEFA" w14:textId="35E2E98C" w:rsidR="00436049" w:rsidRPr="00C866A2" w:rsidRDefault="00436049" w:rsidP="008D3379">
      <w:pPr>
        <w:rPr>
          <w:rFonts w:ascii="Arial" w:hAnsi="Arial" w:cs="Arial"/>
          <w:color w:val="222222"/>
          <w:shd w:val="clear" w:color="auto" w:fill="FFFFFF"/>
        </w:rPr>
      </w:pPr>
      <w:r w:rsidRPr="00C866A2">
        <w:rPr>
          <w:rFonts w:ascii="Arial" w:hAnsi="Arial" w:cs="Arial"/>
          <w:color w:val="222222"/>
          <w:shd w:val="clear" w:color="auto" w:fill="FFFFFF"/>
        </w:rPr>
        <w:t>Wilson, S., Rutherford, H., Storey, T., Wortley, N. and Kotecha, B., 2020.</w:t>
      </w:r>
      <w:r w:rsidRPr="00C866A2">
        <w:rPr>
          <w:rStyle w:val="apple-converted-space"/>
          <w:rFonts w:ascii="Arial" w:hAnsi="Arial" w:cs="Arial"/>
          <w:color w:val="222222"/>
          <w:shd w:val="clear" w:color="auto" w:fill="FFFFFF"/>
        </w:rPr>
        <w:t> </w:t>
      </w:r>
      <w:r w:rsidRPr="00C866A2">
        <w:rPr>
          <w:rFonts w:ascii="Arial" w:hAnsi="Arial" w:cs="Arial"/>
          <w:i/>
          <w:iCs/>
          <w:color w:val="222222"/>
        </w:rPr>
        <w:t>English legal system</w:t>
      </w:r>
      <w:r w:rsidRPr="00C866A2">
        <w:rPr>
          <w:rFonts w:ascii="Arial" w:hAnsi="Arial" w:cs="Arial"/>
          <w:color w:val="222222"/>
          <w:shd w:val="clear" w:color="auto" w:fill="FFFFFF"/>
        </w:rPr>
        <w:t>. Oxford University Press.</w:t>
      </w:r>
    </w:p>
    <w:p w14:paraId="5D2679B2" w14:textId="281799B3" w:rsidR="00436049" w:rsidRPr="00C866A2" w:rsidRDefault="00436049" w:rsidP="008D3379">
      <w:pPr>
        <w:rPr>
          <w:rFonts w:ascii="Arial" w:hAnsi="Arial" w:cs="Arial"/>
          <w:color w:val="222222"/>
          <w:sz w:val="36"/>
          <w:szCs w:val="36"/>
          <w:shd w:val="clear" w:color="auto" w:fill="FFFFFF"/>
        </w:rPr>
      </w:pPr>
    </w:p>
    <w:p w14:paraId="2C70416B" w14:textId="3E668847" w:rsidR="00436049" w:rsidRPr="00C866A2" w:rsidRDefault="00436049" w:rsidP="008D3379">
      <w:pPr>
        <w:rPr>
          <w:rFonts w:ascii="Arial" w:hAnsi="Arial" w:cs="Arial"/>
          <w:color w:val="222222"/>
          <w:sz w:val="36"/>
          <w:szCs w:val="36"/>
          <w:shd w:val="clear" w:color="auto" w:fill="FFFFFF"/>
        </w:rPr>
      </w:pPr>
      <w:r w:rsidRPr="00C866A2">
        <w:rPr>
          <w:rFonts w:ascii="Arial" w:hAnsi="Arial" w:cs="Arial"/>
          <w:color w:val="222222"/>
          <w:shd w:val="clear" w:color="auto" w:fill="FFFFFF"/>
        </w:rPr>
        <w:t>Law, C., 2020. The common law and civil law traditions.</w:t>
      </w:r>
      <w:r w:rsidRPr="00C866A2">
        <w:rPr>
          <w:rStyle w:val="apple-converted-space"/>
          <w:rFonts w:ascii="Arial" w:hAnsi="Arial" w:cs="Arial"/>
          <w:color w:val="222222"/>
          <w:shd w:val="clear" w:color="auto" w:fill="FFFFFF"/>
        </w:rPr>
        <w:t> </w:t>
      </w:r>
      <w:r w:rsidRPr="00C866A2">
        <w:rPr>
          <w:rFonts w:ascii="Arial" w:hAnsi="Arial" w:cs="Arial"/>
          <w:i/>
          <w:iCs/>
          <w:color w:val="222222"/>
        </w:rPr>
        <w:t xml:space="preserve">Berkeley Law. Retrieved </w:t>
      </w:r>
      <w:r w:rsidR="00684D4E" w:rsidRPr="00C866A2">
        <w:rPr>
          <w:rFonts w:ascii="Arial" w:hAnsi="Arial" w:cs="Arial"/>
          <w:i/>
          <w:iCs/>
          <w:color w:val="222222"/>
        </w:rPr>
        <w:t>October</w:t>
      </w:r>
      <w:r w:rsidRPr="00C866A2">
        <w:rPr>
          <w:rStyle w:val="apple-converted-space"/>
          <w:rFonts w:ascii="Arial" w:hAnsi="Arial" w:cs="Arial"/>
          <w:color w:val="222222"/>
          <w:shd w:val="clear" w:color="auto" w:fill="FFFFFF"/>
        </w:rPr>
        <w:t> </w:t>
      </w:r>
      <w:r w:rsidRPr="00C866A2">
        <w:rPr>
          <w:rFonts w:ascii="Arial" w:hAnsi="Arial" w:cs="Arial"/>
          <w:i/>
          <w:iCs/>
          <w:color w:val="222222"/>
        </w:rPr>
        <w:t>24</w:t>
      </w:r>
      <w:r w:rsidRPr="00C866A2">
        <w:rPr>
          <w:rFonts w:ascii="Arial" w:hAnsi="Arial" w:cs="Arial"/>
          <w:color w:val="222222"/>
          <w:shd w:val="clear" w:color="auto" w:fill="FFFFFF"/>
        </w:rPr>
        <w:t>, p.2021.</w:t>
      </w:r>
    </w:p>
    <w:p w14:paraId="3E94997B" w14:textId="6E81450A" w:rsidR="00436049" w:rsidRPr="00C866A2" w:rsidRDefault="00436049" w:rsidP="008D3379">
      <w:pPr>
        <w:rPr>
          <w:rFonts w:ascii="Arial" w:hAnsi="Arial" w:cs="Arial"/>
          <w:color w:val="222222"/>
          <w:sz w:val="36"/>
          <w:szCs w:val="36"/>
          <w:shd w:val="clear" w:color="auto" w:fill="FFFFFF"/>
        </w:rPr>
      </w:pPr>
    </w:p>
    <w:p w14:paraId="70429208" w14:textId="505E64F4" w:rsidR="00436049" w:rsidRPr="00C866A2" w:rsidRDefault="00436049" w:rsidP="008D3379">
      <w:pPr>
        <w:rPr>
          <w:rFonts w:ascii="Arial" w:hAnsi="Arial" w:cs="Arial"/>
          <w:color w:val="222222"/>
          <w:shd w:val="clear" w:color="auto" w:fill="FFFFFF"/>
        </w:rPr>
      </w:pPr>
      <w:r w:rsidRPr="00C866A2">
        <w:rPr>
          <w:rFonts w:ascii="Arial" w:hAnsi="Arial" w:cs="Arial"/>
          <w:color w:val="222222"/>
          <w:shd w:val="clear" w:color="auto" w:fill="FFFFFF"/>
        </w:rPr>
        <w:t>Canivet, G., 2002. The interrelationship between common law and civil law.</w:t>
      </w:r>
      <w:r w:rsidRPr="00C866A2">
        <w:rPr>
          <w:rStyle w:val="apple-converted-space"/>
          <w:rFonts w:ascii="Arial" w:hAnsi="Arial" w:cs="Arial"/>
          <w:color w:val="222222"/>
          <w:shd w:val="clear" w:color="auto" w:fill="FFFFFF"/>
        </w:rPr>
        <w:t> </w:t>
      </w:r>
      <w:r w:rsidRPr="00C866A2">
        <w:rPr>
          <w:rFonts w:ascii="Arial" w:hAnsi="Arial" w:cs="Arial"/>
          <w:i/>
          <w:iCs/>
          <w:color w:val="222222"/>
        </w:rPr>
        <w:t>La. L. Rev.</w:t>
      </w:r>
      <w:r w:rsidRPr="00C866A2">
        <w:rPr>
          <w:rFonts w:ascii="Arial" w:hAnsi="Arial" w:cs="Arial"/>
          <w:color w:val="222222"/>
          <w:shd w:val="clear" w:color="auto" w:fill="FFFFFF"/>
        </w:rPr>
        <w:t>,</w:t>
      </w:r>
      <w:r w:rsidRPr="00C866A2">
        <w:rPr>
          <w:rStyle w:val="apple-converted-space"/>
          <w:rFonts w:ascii="Arial" w:hAnsi="Arial" w:cs="Arial"/>
          <w:color w:val="222222"/>
          <w:shd w:val="clear" w:color="auto" w:fill="FFFFFF"/>
        </w:rPr>
        <w:t> </w:t>
      </w:r>
      <w:r w:rsidRPr="00C866A2">
        <w:rPr>
          <w:rFonts w:ascii="Arial" w:hAnsi="Arial" w:cs="Arial"/>
          <w:i/>
          <w:iCs/>
          <w:color w:val="222222"/>
        </w:rPr>
        <w:t>63</w:t>
      </w:r>
      <w:r w:rsidRPr="00C866A2">
        <w:rPr>
          <w:rFonts w:ascii="Arial" w:hAnsi="Arial" w:cs="Arial"/>
          <w:color w:val="222222"/>
          <w:shd w:val="clear" w:color="auto" w:fill="FFFFFF"/>
        </w:rPr>
        <w:t>, p.937.</w:t>
      </w:r>
    </w:p>
    <w:p w14:paraId="4851AD70" w14:textId="77777777" w:rsidR="00436049" w:rsidRPr="00C866A2" w:rsidRDefault="00436049" w:rsidP="008D3379">
      <w:pPr>
        <w:rPr>
          <w:rFonts w:ascii="Arial" w:hAnsi="Arial" w:cs="Arial"/>
          <w:color w:val="222222"/>
          <w:sz w:val="20"/>
          <w:szCs w:val="20"/>
          <w:shd w:val="clear" w:color="auto" w:fill="FFFFFF"/>
        </w:rPr>
      </w:pPr>
    </w:p>
    <w:p w14:paraId="5053C3F3" w14:textId="15DB595F" w:rsidR="00436049" w:rsidRPr="00C866A2" w:rsidRDefault="00436049" w:rsidP="008D3379">
      <w:pPr>
        <w:rPr>
          <w:rFonts w:ascii="Arial" w:hAnsi="Arial" w:cs="Arial"/>
          <w:color w:val="222222"/>
          <w:shd w:val="clear" w:color="auto" w:fill="FFFFFF"/>
        </w:rPr>
      </w:pPr>
      <w:r w:rsidRPr="00C866A2">
        <w:rPr>
          <w:rFonts w:ascii="Arial" w:hAnsi="Arial" w:cs="Arial"/>
          <w:color w:val="222222"/>
          <w:shd w:val="clear" w:color="auto" w:fill="FFFFFF"/>
        </w:rPr>
        <w:t>Gordley, J., 2000. The common law in the twentieth century: Some unfinished business.</w:t>
      </w:r>
      <w:r w:rsidRPr="00C866A2">
        <w:rPr>
          <w:rStyle w:val="apple-converted-space"/>
          <w:rFonts w:ascii="Arial" w:hAnsi="Arial" w:cs="Arial"/>
          <w:color w:val="222222"/>
          <w:shd w:val="clear" w:color="auto" w:fill="FFFFFF"/>
        </w:rPr>
        <w:t> </w:t>
      </w:r>
      <w:r w:rsidRPr="00C866A2">
        <w:rPr>
          <w:rFonts w:ascii="Arial" w:hAnsi="Arial" w:cs="Arial"/>
          <w:i/>
          <w:iCs/>
          <w:color w:val="222222"/>
        </w:rPr>
        <w:t>California Law Review</w:t>
      </w:r>
      <w:r w:rsidRPr="00C866A2">
        <w:rPr>
          <w:rFonts w:ascii="Arial" w:hAnsi="Arial" w:cs="Arial"/>
          <w:color w:val="222222"/>
          <w:shd w:val="clear" w:color="auto" w:fill="FFFFFF"/>
        </w:rPr>
        <w:t>, pp.1815-1875.</w:t>
      </w:r>
    </w:p>
    <w:p w14:paraId="6DD0C2AF" w14:textId="77777777" w:rsidR="00684D4E" w:rsidRPr="00C866A2" w:rsidRDefault="00684D4E" w:rsidP="008D3379">
      <w:pPr>
        <w:rPr>
          <w:rFonts w:ascii="Arial" w:hAnsi="Arial" w:cs="Arial"/>
          <w:color w:val="222222"/>
          <w:sz w:val="20"/>
          <w:szCs w:val="20"/>
          <w:shd w:val="clear" w:color="auto" w:fill="FFFFFF"/>
        </w:rPr>
      </w:pPr>
    </w:p>
    <w:p w14:paraId="48F17286" w14:textId="7CC9944E" w:rsidR="00684D4E" w:rsidRPr="00C866A2" w:rsidRDefault="00684D4E" w:rsidP="008D3379">
      <w:pPr>
        <w:rPr>
          <w:rFonts w:ascii="Arial" w:hAnsi="Arial" w:cs="Arial"/>
          <w:color w:val="222222"/>
          <w:shd w:val="clear" w:color="auto" w:fill="FFFFFF"/>
        </w:rPr>
      </w:pPr>
      <w:r w:rsidRPr="00C866A2">
        <w:rPr>
          <w:rFonts w:ascii="Arial" w:hAnsi="Arial" w:cs="Arial"/>
          <w:color w:val="222222"/>
          <w:shd w:val="clear" w:color="auto" w:fill="FFFFFF"/>
        </w:rPr>
        <w:t>Simpson, A.W.B., 1973. The common law and legal theory.</w:t>
      </w:r>
      <w:r w:rsidRPr="00C866A2">
        <w:rPr>
          <w:rStyle w:val="apple-converted-space"/>
          <w:rFonts w:ascii="Arial" w:hAnsi="Arial" w:cs="Arial"/>
          <w:color w:val="222222"/>
          <w:shd w:val="clear" w:color="auto" w:fill="FFFFFF"/>
        </w:rPr>
        <w:t> </w:t>
      </w:r>
      <w:r w:rsidRPr="00C866A2">
        <w:rPr>
          <w:rFonts w:ascii="Arial" w:hAnsi="Arial" w:cs="Arial"/>
          <w:i/>
          <w:iCs/>
          <w:color w:val="222222"/>
        </w:rPr>
        <w:t>Folk law: Essays in the theory and practice of Lex non Scripta</w:t>
      </w:r>
      <w:r w:rsidRPr="00C866A2">
        <w:rPr>
          <w:rFonts w:ascii="Arial" w:hAnsi="Arial" w:cs="Arial"/>
          <w:color w:val="222222"/>
          <w:shd w:val="clear" w:color="auto" w:fill="FFFFFF"/>
        </w:rPr>
        <w:t>,</w:t>
      </w:r>
      <w:r w:rsidRPr="00C866A2">
        <w:rPr>
          <w:rStyle w:val="apple-converted-space"/>
          <w:rFonts w:ascii="Arial" w:hAnsi="Arial" w:cs="Arial"/>
          <w:color w:val="222222"/>
          <w:shd w:val="clear" w:color="auto" w:fill="FFFFFF"/>
        </w:rPr>
        <w:t> </w:t>
      </w:r>
      <w:r w:rsidRPr="00C866A2">
        <w:rPr>
          <w:rFonts w:ascii="Arial" w:hAnsi="Arial" w:cs="Arial"/>
          <w:i/>
          <w:iCs/>
          <w:color w:val="222222"/>
        </w:rPr>
        <w:t>1</w:t>
      </w:r>
      <w:r w:rsidRPr="00C866A2">
        <w:rPr>
          <w:rFonts w:ascii="Arial" w:hAnsi="Arial" w:cs="Arial"/>
          <w:color w:val="222222"/>
          <w:shd w:val="clear" w:color="auto" w:fill="FFFFFF"/>
        </w:rPr>
        <w:t>, pp.119-39.</w:t>
      </w:r>
    </w:p>
    <w:p w14:paraId="1BAAC21A" w14:textId="77777777" w:rsidR="00684D4E" w:rsidRPr="00C866A2" w:rsidRDefault="00684D4E" w:rsidP="008D3379">
      <w:pPr>
        <w:rPr>
          <w:rFonts w:ascii="Arial" w:hAnsi="Arial" w:cs="Arial"/>
          <w:color w:val="222222"/>
          <w:sz w:val="20"/>
          <w:szCs w:val="20"/>
          <w:shd w:val="clear" w:color="auto" w:fill="FFFFFF"/>
        </w:rPr>
      </w:pPr>
    </w:p>
    <w:p w14:paraId="1BB81640" w14:textId="0990D453" w:rsidR="00684D4E" w:rsidRPr="00C866A2" w:rsidRDefault="00684D4E" w:rsidP="008D3379">
      <w:pPr>
        <w:rPr>
          <w:rFonts w:ascii="Arial" w:hAnsi="Arial" w:cs="Arial"/>
          <w:color w:val="222222"/>
          <w:shd w:val="clear" w:color="auto" w:fill="FFFFFF"/>
        </w:rPr>
      </w:pPr>
      <w:r w:rsidRPr="00C866A2">
        <w:rPr>
          <w:rFonts w:ascii="Arial" w:hAnsi="Arial" w:cs="Arial"/>
          <w:color w:val="222222"/>
          <w:shd w:val="clear" w:color="auto" w:fill="FFFFFF"/>
        </w:rPr>
        <w:t>Hutchinson, A.C., 2013. Some What If Thoughts: Notes on Donoghue v Stevenson.</w:t>
      </w:r>
      <w:r w:rsidRPr="00C866A2">
        <w:rPr>
          <w:rStyle w:val="apple-converted-space"/>
          <w:rFonts w:ascii="Arial" w:hAnsi="Arial" w:cs="Arial"/>
          <w:color w:val="222222"/>
          <w:shd w:val="clear" w:color="auto" w:fill="FFFFFF"/>
        </w:rPr>
        <w:t> </w:t>
      </w:r>
      <w:proofErr w:type="spellStart"/>
      <w:r w:rsidRPr="00C866A2">
        <w:rPr>
          <w:rFonts w:ascii="Arial" w:hAnsi="Arial" w:cs="Arial"/>
          <w:i/>
          <w:iCs/>
          <w:color w:val="222222"/>
        </w:rPr>
        <w:t>Osgoode</w:t>
      </w:r>
      <w:proofErr w:type="spellEnd"/>
      <w:r w:rsidRPr="00C866A2">
        <w:rPr>
          <w:rFonts w:ascii="Arial" w:hAnsi="Arial" w:cs="Arial"/>
          <w:i/>
          <w:iCs/>
          <w:color w:val="222222"/>
        </w:rPr>
        <w:t xml:space="preserve"> Hall LJ</w:t>
      </w:r>
      <w:r w:rsidRPr="00C866A2">
        <w:rPr>
          <w:rFonts w:ascii="Arial" w:hAnsi="Arial" w:cs="Arial"/>
          <w:color w:val="222222"/>
          <w:shd w:val="clear" w:color="auto" w:fill="FFFFFF"/>
        </w:rPr>
        <w:t>,</w:t>
      </w:r>
      <w:r w:rsidRPr="00C866A2">
        <w:rPr>
          <w:rStyle w:val="apple-converted-space"/>
          <w:rFonts w:ascii="Arial" w:hAnsi="Arial" w:cs="Arial"/>
          <w:color w:val="222222"/>
          <w:shd w:val="clear" w:color="auto" w:fill="FFFFFF"/>
        </w:rPr>
        <w:t> </w:t>
      </w:r>
      <w:r w:rsidRPr="00C866A2">
        <w:rPr>
          <w:rFonts w:ascii="Arial" w:hAnsi="Arial" w:cs="Arial"/>
          <w:i/>
          <w:iCs/>
          <w:color w:val="222222"/>
        </w:rPr>
        <w:t>51</w:t>
      </w:r>
      <w:r w:rsidRPr="00C866A2">
        <w:rPr>
          <w:rFonts w:ascii="Arial" w:hAnsi="Arial" w:cs="Arial"/>
          <w:color w:val="222222"/>
          <w:shd w:val="clear" w:color="auto" w:fill="FFFFFF"/>
        </w:rPr>
        <w:t>, p.701.</w:t>
      </w:r>
    </w:p>
    <w:p w14:paraId="142E1C2B" w14:textId="47FB50F2" w:rsidR="00684D4E" w:rsidRPr="00C866A2" w:rsidRDefault="00684D4E" w:rsidP="008D3379">
      <w:pPr>
        <w:rPr>
          <w:rFonts w:ascii="Arial" w:hAnsi="Arial" w:cs="Arial"/>
          <w:color w:val="222222"/>
          <w:shd w:val="clear" w:color="auto" w:fill="FFFFFF"/>
        </w:rPr>
      </w:pPr>
    </w:p>
    <w:p w14:paraId="0F5D3E04" w14:textId="41981A2C" w:rsidR="00684D4E" w:rsidRPr="00C866A2" w:rsidRDefault="00684D4E" w:rsidP="008D3379">
      <w:pPr>
        <w:rPr>
          <w:rFonts w:ascii="Arial" w:hAnsi="Arial" w:cs="Arial"/>
          <w:color w:val="3A3A3A"/>
          <w:shd w:val="clear" w:color="auto" w:fill="FFFFFF"/>
        </w:rPr>
      </w:pPr>
      <w:r w:rsidRPr="00C866A2">
        <w:rPr>
          <w:rFonts w:ascii="Arial" w:hAnsi="Arial" w:cs="Arial"/>
          <w:color w:val="3A3A3A"/>
          <w:shd w:val="clear" w:color="auto" w:fill="FFFFFF"/>
        </w:rPr>
        <w:t>Elspeth Reid (2014) ‘THE SNAIL IN THE GINGER BEER FLOAT: Donoghue v Stevenson’, in</w:t>
      </w:r>
      <w:r w:rsidRPr="00C866A2">
        <w:rPr>
          <w:rStyle w:val="apple-converted-space"/>
          <w:rFonts w:ascii="Arial" w:hAnsi="Arial" w:cs="Arial"/>
          <w:color w:val="3A3A3A"/>
          <w:shd w:val="clear" w:color="auto" w:fill="FFFFFF"/>
        </w:rPr>
        <w:t> </w:t>
      </w:r>
      <w:r w:rsidRPr="00C866A2">
        <w:rPr>
          <w:rFonts w:ascii="Arial" w:hAnsi="Arial" w:cs="Arial"/>
          <w:i/>
          <w:iCs/>
          <w:color w:val="3A3A3A"/>
        </w:rPr>
        <w:t>Scots Law Tales</w:t>
      </w:r>
      <w:r w:rsidRPr="00C866A2">
        <w:rPr>
          <w:rFonts w:ascii="Arial" w:hAnsi="Arial" w:cs="Arial"/>
          <w:color w:val="3A3A3A"/>
          <w:shd w:val="clear" w:color="auto" w:fill="FFFFFF"/>
        </w:rPr>
        <w:t xml:space="preserve">. Edinburgh University Press, p. 83–. Available at: </w:t>
      </w:r>
      <w:hyperlink r:id="rId5" w:history="1">
        <w:r w:rsidRPr="00C866A2">
          <w:rPr>
            <w:rStyle w:val="Hyperlink"/>
            <w:rFonts w:ascii="Arial" w:hAnsi="Arial" w:cs="Arial"/>
            <w:shd w:val="clear" w:color="auto" w:fill="FFFFFF"/>
          </w:rPr>
          <w:t>https://doi.org/10.3366/j.ctt1g0b2b6.9</w:t>
        </w:r>
      </w:hyperlink>
      <w:r w:rsidRPr="00C866A2">
        <w:rPr>
          <w:rFonts w:ascii="Arial" w:hAnsi="Arial" w:cs="Arial"/>
          <w:color w:val="3A3A3A"/>
          <w:shd w:val="clear" w:color="auto" w:fill="FFFFFF"/>
        </w:rPr>
        <w:t>.</w:t>
      </w:r>
    </w:p>
    <w:p w14:paraId="369CCD99" w14:textId="0330EE2B" w:rsidR="00684D4E" w:rsidRPr="00C866A2" w:rsidRDefault="00684D4E" w:rsidP="008D3379">
      <w:pPr>
        <w:rPr>
          <w:rFonts w:ascii="Arial" w:hAnsi="Arial" w:cs="Arial"/>
          <w:color w:val="3A3A3A"/>
          <w:shd w:val="clear" w:color="auto" w:fill="FFFFFF"/>
        </w:rPr>
      </w:pPr>
    </w:p>
    <w:p w14:paraId="072D957B" w14:textId="2E41CF59" w:rsidR="00684D4E" w:rsidRPr="00C866A2" w:rsidRDefault="00684D4E" w:rsidP="008D3379">
      <w:pPr>
        <w:rPr>
          <w:rFonts w:ascii="Arial" w:hAnsi="Arial" w:cs="Arial"/>
          <w:color w:val="3A3A3A"/>
          <w:shd w:val="clear" w:color="auto" w:fill="FFFFFF"/>
        </w:rPr>
      </w:pPr>
      <w:r w:rsidRPr="00C866A2">
        <w:rPr>
          <w:rFonts w:ascii="Arial" w:hAnsi="Arial" w:cs="Arial"/>
          <w:color w:val="3A3A3A"/>
          <w:shd w:val="clear" w:color="auto" w:fill="FFFFFF"/>
        </w:rPr>
        <w:t>Potter, H. (2015)</w:t>
      </w:r>
      <w:r w:rsidRPr="00C866A2">
        <w:rPr>
          <w:rStyle w:val="apple-converted-space"/>
          <w:rFonts w:ascii="Arial" w:hAnsi="Arial" w:cs="Arial"/>
          <w:color w:val="3A3A3A"/>
          <w:shd w:val="clear" w:color="auto" w:fill="FFFFFF"/>
        </w:rPr>
        <w:t> </w:t>
      </w:r>
      <w:r w:rsidRPr="00C866A2">
        <w:rPr>
          <w:rFonts w:ascii="Arial" w:hAnsi="Arial" w:cs="Arial"/>
          <w:i/>
          <w:iCs/>
          <w:color w:val="3A3A3A"/>
        </w:rPr>
        <w:t>Law, liberty and the constitution: a brief history of the common law</w:t>
      </w:r>
      <w:r w:rsidRPr="00C866A2">
        <w:rPr>
          <w:rFonts w:ascii="Arial" w:hAnsi="Arial" w:cs="Arial"/>
          <w:color w:val="3A3A3A"/>
          <w:shd w:val="clear" w:color="auto" w:fill="FFFFFF"/>
        </w:rPr>
        <w:t>. Suffolk: Boydell &amp; Brewer.</w:t>
      </w:r>
    </w:p>
    <w:p w14:paraId="2DBC4E91" w14:textId="2C1EE439" w:rsidR="00684D4E" w:rsidRPr="00C866A2" w:rsidRDefault="00684D4E" w:rsidP="008D3379">
      <w:pPr>
        <w:rPr>
          <w:rFonts w:ascii="Arial" w:hAnsi="Arial" w:cs="Arial"/>
          <w:color w:val="3A3A3A"/>
          <w:shd w:val="clear" w:color="auto" w:fill="FFFFFF"/>
        </w:rPr>
      </w:pPr>
    </w:p>
    <w:p w14:paraId="3826267D" w14:textId="780A1A36" w:rsidR="00684D4E" w:rsidRPr="00C866A2" w:rsidRDefault="00684D4E" w:rsidP="008D3379">
      <w:pPr>
        <w:rPr>
          <w:rFonts w:ascii="Arial" w:hAnsi="Arial" w:cs="Arial"/>
          <w:color w:val="222222"/>
          <w:shd w:val="clear" w:color="auto" w:fill="FFFFFF"/>
        </w:rPr>
      </w:pPr>
      <w:r w:rsidRPr="00C866A2">
        <w:rPr>
          <w:rFonts w:ascii="Arial" w:hAnsi="Arial" w:cs="Arial"/>
          <w:color w:val="222222"/>
          <w:shd w:val="clear" w:color="auto" w:fill="FFFFFF"/>
        </w:rPr>
        <w:t>Milsom, S.F.C., 2014.</w:t>
      </w:r>
      <w:r w:rsidRPr="00C866A2">
        <w:rPr>
          <w:rStyle w:val="apple-converted-space"/>
          <w:rFonts w:ascii="Arial" w:hAnsi="Arial" w:cs="Arial"/>
          <w:color w:val="222222"/>
          <w:shd w:val="clear" w:color="auto" w:fill="FFFFFF"/>
        </w:rPr>
        <w:t> </w:t>
      </w:r>
      <w:r w:rsidRPr="00C866A2">
        <w:rPr>
          <w:rFonts w:ascii="Arial" w:hAnsi="Arial" w:cs="Arial"/>
          <w:i/>
          <w:iCs/>
          <w:color w:val="222222"/>
        </w:rPr>
        <w:t>Historical foundations of the common law</w:t>
      </w:r>
      <w:r w:rsidRPr="00C866A2">
        <w:rPr>
          <w:rFonts w:ascii="Arial" w:hAnsi="Arial" w:cs="Arial"/>
          <w:color w:val="222222"/>
          <w:shd w:val="clear" w:color="auto" w:fill="FFFFFF"/>
        </w:rPr>
        <w:t>. Butterworth-Heinemann.</w:t>
      </w:r>
    </w:p>
    <w:p w14:paraId="18196733" w14:textId="77777777" w:rsidR="00684D4E" w:rsidRPr="00C866A2" w:rsidRDefault="00684D4E" w:rsidP="008D3379">
      <w:pPr>
        <w:rPr>
          <w:rFonts w:ascii="Arial" w:hAnsi="Arial" w:cs="Arial"/>
          <w:color w:val="222222"/>
          <w:sz w:val="20"/>
          <w:szCs w:val="20"/>
          <w:shd w:val="clear" w:color="auto" w:fill="FFFFFF"/>
        </w:rPr>
      </w:pPr>
    </w:p>
    <w:p w14:paraId="369C7764" w14:textId="4D502E9F" w:rsidR="00684D4E" w:rsidRPr="00C866A2" w:rsidRDefault="00684D4E" w:rsidP="008D3379">
      <w:pPr>
        <w:rPr>
          <w:rFonts w:ascii="Arial" w:hAnsi="Arial" w:cs="Arial"/>
          <w:color w:val="222222"/>
          <w:sz w:val="56"/>
          <w:szCs w:val="56"/>
          <w:shd w:val="clear" w:color="auto" w:fill="FFFFFF"/>
        </w:rPr>
      </w:pPr>
      <w:r w:rsidRPr="00C866A2">
        <w:rPr>
          <w:rFonts w:ascii="Arial" w:hAnsi="Arial" w:cs="Arial"/>
          <w:color w:val="222222"/>
          <w:shd w:val="clear" w:color="auto" w:fill="FFFFFF"/>
        </w:rPr>
        <w:t>Hojecka, P., 2003. Regina v Dudley and Stephens.</w:t>
      </w:r>
      <w:r w:rsidRPr="00C866A2">
        <w:rPr>
          <w:rStyle w:val="apple-converted-space"/>
          <w:rFonts w:ascii="Arial" w:hAnsi="Arial" w:cs="Arial"/>
          <w:color w:val="222222"/>
          <w:shd w:val="clear" w:color="auto" w:fill="FFFFFF"/>
        </w:rPr>
        <w:t> </w:t>
      </w:r>
      <w:r w:rsidRPr="00C866A2">
        <w:rPr>
          <w:rFonts w:ascii="Arial" w:hAnsi="Arial" w:cs="Arial"/>
          <w:i/>
          <w:iCs/>
          <w:color w:val="222222"/>
        </w:rPr>
        <w:t>Common L. Rev.</w:t>
      </w:r>
      <w:r w:rsidRPr="00C866A2">
        <w:rPr>
          <w:rFonts w:ascii="Arial" w:hAnsi="Arial" w:cs="Arial"/>
          <w:color w:val="222222"/>
          <w:shd w:val="clear" w:color="auto" w:fill="FFFFFF"/>
        </w:rPr>
        <w:t>,</w:t>
      </w:r>
      <w:r w:rsidRPr="00C866A2">
        <w:rPr>
          <w:rStyle w:val="apple-converted-space"/>
          <w:rFonts w:ascii="Arial" w:hAnsi="Arial" w:cs="Arial"/>
          <w:color w:val="222222"/>
          <w:shd w:val="clear" w:color="auto" w:fill="FFFFFF"/>
        </w:rPr>
        <w:t> </w:t>
      </w:r>
      <w:r w:rsidRPr="00C866A2">
        <w:rPr>
          <w:rFonts w:ascii="Arial" w:hAnsi="Arial" w:cs="Arial"/>
          <w:i/>
          <w:iCs/>
          <w:color w:val="222222"/>
        </w:rPr>
        <w:t>4</w:t>
      </w:r>
      <w:r w:rsidRPr="00C866A2">
        <w:rPr>
          <w:rFonts w:ascii="Arial" w:hAnsi="Arial" w:cs="Arial"/>
          <w:color w:val="222222"/>
          <w:shd w:val="clear" w:color="auto" w:fill="FFFFFF"/>
        </w:rPr>
        <w:t>, p.31.</w:t>
      </w:r>
    </w:p>
    <w:sectPr w:rsidR="00684D4E" w:rsidRPr="00C86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379"/>
    <w:rsid w:val="00002F8E"/>
    <w:rsid w:val="00076C91"/>
    <w:rsid w:val="00374B68"/>
    <w:rsid w:val="00436049"/>
    <w:rsid w:val="00684D4E"/>
    <w:rsid w:val="006E7A71"/>
    <w:rsid w:val="008D067C"/>
    <w:rsid w:val="008D3379"/>
    <w:rsid w:val="00971A52"/>
    <w:rsid w:val="00A72A12"/>
    <w:rsid w:val="00B26607"/>
    <w:rsid w:val="00C12B8C"/>
    <w:rsid w:val="00C866A2"/>
    <w:rsid w:val="00F00518"/>
    <w:rsid w:val="00F03B61"/>
    <w:rsid w:val="00F356D3"/>
    <w:rsid w:val="00FD135F"/>
    <w:rsid w:val="00FD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5111E"/>
  <w15:chartTrackingRefBased/>
  <w15:docId w15:val="{C14FF449-7FFE-8A42-86DD-97D8C5E33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D3379"/>
  </w:style>
  <w:style w:type="character" w:styleId="Hyperlink">
    <w:name w:val="Hyperlink"/>
    <w:basedOn w:val="DefaultParagraphFont"/>
    <w:uiPriority w:val="99"/>
    <w:unhideWhenUsed/>
    <w:rsid w:val="00F00518"/>
    <w:rPr>
      <w:color w:val="0563C1" w:themeColor="hyperlink"/>
      <w:u w:val="single"/>
    </w:rPr>
  </w:style>
  <w:style w:type="character" w:styleId="UnresolvedMention">
    <w:name w:val="Unresolved Mention"/>
    <w:basedOn w:val="DefaultParagraphFont"/>
    <w:uiPriority w:val="99"/>
    <w:semiHidden/>
    <w:unhideWhenUsed/>
    <w:rsid w:val="00F005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197449">
      <w:bodyDiv w:val="1"/>
      <w:marLeft w:val="0"/>
      <w:marRight w:val="0"/>
      <w:marTop w:val="0"/>
      <w:marBottom w:val="0"/>
      <w:divBdr>
        <w:top w:val="none" w:sz="0" w:space="0" w:color="auto"/>
        <w:left w:val="none" w:sz="0" w:space="0" w:color="auto"/>
        <w:bottom w:val="none" w:sz="0" w:space="0" w:color="auto"/>
        <w:right w:val="none" w:sz="0" w:space="0" w:color="auto"/>
      </w:divBdr>
      <w:divsChild>
        <w:div w:id="1116411823">
          <w:marLeft w:val="0"/>
          <w:marRight w:val="0"/>
          <w:marTop w:val="0"/>
          <w:marBottom w:val="0"/>
          <w:divBdr>
            <w:top w:val="none" w:sz="0" w:space="0" w:color="auto"/>
            <w:left w:val="none" w:sz="0" w:space="0" w:color="auto"/>
            <w:bottom w:val="none" w:sz="0" w:space="0" w:color="auto"/>
            <w:right w:val="none" w:sz="0" w:space="0" w:color="auto"/>
          </w:divBdr>
          <w:divsChild>
            <w:div w:id="1821925801">
              <w:marLeft w:val="0"/>
              <w:marRight w:val="0"/>
              <w:marTop w:val="0"/>
              <w:marBottom w:val="0"/>
              <w:divBdr>
                <w:top w:val="none" w:sz="0" w:space="0" w:color="auto"/>
                <w:left w:val="none" w:sz="0" w:space="0" w:color="auto"/>
                <w:bottom w:val="none" w:sz="0" w:space="0" w:color="auto"/>
                <w:right w:val="none" w:sz="0" w:space="0" w:color="auto"/>
              </w:divBdr>
              <w:divsChild>
                <w:div w:id="2001501572">
                  <w:marLeft w:val="0"/>
                  <w:marRight w:val="0"/>
                  <w:marTop w:val="0"/>
                  <w:marBottom w:val="0"/>
                  <w:divBdr>
                    <w:top w:val="none" w:sz="0" w:space="0" w:color="auto"/>
                    <w:left w:val="none" w:sz="0" w:space="0" w:color="auto"/>
                    <w:bottom w:val="none" w:sz="0" w:space="0" w:color="auto"/>
                    <w:right w:val="none" w:sz="0" w:space="0" w:color="auto"/>
                  </w:divBdr>
                  <w:divsChild>
                    <w:div w:id="73047009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3366/j.ctt1g0b2b6.9" TargetMode="External"/><Relationship Id="rId4" Type="http://schemas.openxmlformats.org/officeDocument/2006/relationships/hyperlink" Target="https://doi.org/10.14198/raei.2015.28.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1628</Words>
  <Characters>9284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Connor Sturgess (2200579)</cp:lastModifiedBy>
  <cp:revision>2</cp:revision>
  <dcterms:created xsi:type="dcterms:W3CDTF">2023-03-07T11:42:00Z</dcterms:created>
  <dcterms:modified xsi:type="dcterms:W3CDTF">2023-03-07T11:42:00Z</dcterms:modified>
</cp:coreProperties>
</file>