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29A163" w14:textId="77777777" w:rsidR="009F2C5D" w:rsidRPr="005C4DAA" w:rsidRDefault="009F2C5D" w:rsidP="009F2C5D">
      <w:pPr>
        <w:spacing w:line="360" w:lineRule="auto"/>
        <w:rPr>
          <w:rFonts w:ascii="Arial" w:hAnsi="Arial" w:cs="Arial"/>
          <w:b/>
          <w:bCs/>
          <w:sz w:val="24"/>
          <w:szCs w:val="24"/>
        </w:rPr>
      </w:pPr>
      <w:r w:rsidRPr="005C4DAA">
        <w:rPr>
          <w:rFonts w:ascii="Arial" w:hAnsi="Arial" w:cs="Arial"/>
          <w:b/>
          <w:bCs/>
          <w:sz w:val="24"/>
          <w:szCs w:val="24"/>
        </w:rPr>
        <w:t>Task 1</w:t>
      </w:r>
    </w:p>
    <w:p w14:paraId="032108D8"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Margaret Hughes wishes to draft a will that governs an estate comprising a property valued at an estimated £480,000 and savings and investments valued at £320,000. The will must comply with any inheritance tax (IHT) implications that are set out in the </w:t>
      </w:r>
      <w:r w:rsidRPr="005C4DAA">
        <w:rPr>
          <w:rFonts w:ascii="Arial" w:hAnsi="Arial" w:cs="Arial"/>
          <w:i/>
          <w:iCs/>
          <w:sz w:val="24"/>
          <w:szCs w:val="24"/>
        </w:rPr>
        <w:t>Inheritance Tax Act 1984</w:t>
      </w:r>
      <w:r w:rsidRPr="005C4DAA">
        <w:rPr>
          <w:rFonts w:ascii="Arial" w:hAnsi="Arial" w:cs="Arial"/>
          <w:sz w:val="24"/>
          <w:szCs w:val="24"/>
        </w:rPr>
        <w:t xml:space="preserve">. Margaret has expressed concern about her health; however, there is no evidence of a lack of testamentary capacity. Despite this, the test in ‘Banks v Goodfellow’ (1870) must be satisfied to ensure the will's validity; the will must also meet the requirements of the </w:t>
      </w:r>
      <w:r w:rsidRPr="005C4DAA">
        <w:rPr>
          <w:rFonts w:ascii="Arial" w:hAnsi="Arial" w:cs="Arial"/>
          <w:i/>
          <w:iCs/>
          <w:sz w:val="24"/>
          <w:szCs w:val="24"/>
        </w:rPr>
        <w:t>Wills Act 1837</w:t>
      </w:r>
      <w:r w:rsidRPr="005C4DAA">
        <w:rPr>
          <w:rFonts w:ascii="Arial" w:hAnsi="Arial" w:cs="Arial"/>
          <w:sz w:val="24"/>
          <w:szCs w:val="24"/>
        </w:rPr>
        <w:t xml:space="preserve"> (s.9). </w:t>
      </w:r>
    </w:p>
    <w:p w14:paraId="255CEA96" w14:textId="77777777" w:rsidR="009F2C5D" w:rsidRPr="005C4DAA" w:rsidRDefault="009F2C5D" w:rsidP="009F2C5D">
      <w:pPr>
        <w:spacing w:line="360" w:lineRule="auto"/>
        <w:rPr>
          <w:rFonts w:ascii="Arial" w:hAnsi="Arial" w:cs="Arial"/>
          <w:sz w:val="24"/>
          <w:szCs w:val="24"/>
        </w:rPr>
      </w:pPr>
    </w:p>
    <w:p w14:paraId="78A04519" w14:textId="77777777" w:rsidR="009F2C5D" w:rsidRPr="005C4DAA" w:rsidRDefault="009F2C5D" w:rsidP="009F2C5D">
      <w:pPr>
        <w:spacing w:line="360" w:lineRule="auto"/>
        <w:rPr>
          <w:rFonts w:ascii="Arial" w:hAnsi="Arial" w:cs="Arial"/>
          <w:b/>
          <w:bCs/>
          <w:sz w:val="24"/>
          <w:szCs w:val="24"/>
        </w:rPr>
      </w:pPr>
      <w:r w:rsidRPr="005C4DAA">
        <w:rPr>
          <w:rFonts w:ascii="Arial" w:hAnsi="Arial" w:cs="Arial"/>
          <w:b/>
          <w:bCs/>
          <w:sz w:val="24"/>
          <w:szCs w:val="24"/>
        </w:rPr>
        <w:t>Key Clauses</w:t>
      </w:r>
    </w:p>
    <w:p w14:paraId="3787C14D"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Although Margaret stated that she had not previously created a will, the will should still begin with a clause revoking all prior wills and testamentary dispositions to avoid confusion and future conflict. Margaret should then appoint Anna as trustee and executor, with an additional executor as a precaution in case Anna is unwilling or unable to act. Section 25 of the </w:t>
      </w:r>
      <w:r w:rsidRPr="005C4DAA">
        <w:rPr>
          <w:rFonts w:ascii="Arial" w:hAnsi="Arial" w:cs="Arial"/>
          <w:i/>
          <w:iCs/>
          <w:sz w:val="24"/>
          <w:szCs w:val="24"/>
        </w:rPr>
        <w:t>Trustee Act 1925</w:t>
      </w:r>
      <w:r w:rsidRPr="005C4DAA">
        <w:rPr>
          <w:rFonts w:ascii="Arial" w:hAnsi="Arial" w:cs="Arial"/>
          <w:sz w:val="24"/>
          <w:szCs w:val="24"/>
        </w:rPr>
        <w:t xml:space="preserve"> allows a maximum of 4 trustees to act. Under the </w:t>
      </w:r>
      <w:r w:rsidRPr="005C4DAA">
        <w:rPr>
          <w:rFonts w:ascii="Arial" w:hAnsi="Arial" w:cs="Arial"/>
          <w:i/>
          <w:iCs/>
          <w:sz w:val="24"/>
          <w:szCs w:val="24"/>
        </w:rPr>
        <w:t>Administration of Estates Act 1925</w:t>
      </w:r>
      <w:r w:rsidRPr="005C4DAA">
        <w:rPr>
          <w:rFonts w:ascii="Arial" w:hAnsi="Arial" w:cs="Arial"/>
          <w:sz w:val="24"/>
          <w:szCs w:val="24"/>
        </w:rPr>
        <w:t>, the executors will owe duties to administer and collect the estate properly.</w:t>
      </w:r>
    </w:p>
    <w:p w14:paraId="6E0F6C21"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Margaret wants Anna to be given her jewellery and car; these items should be identified clearly to alleviate any uncertainty or ademption and they should be drafted as specific gifts. Margaret also wishes for Emily to receive £20,000 upon reaching 18. Since Emily is currently a minor, the money will need to be held in a trust until she attains 18; nevertheless, trustees can still apply to receive income for Emily’s maintenance, education and benefit under s.31 of the </w:t>
      </w:r>
      <w:r w:rsidRPr="005C4DAA">
        <w:rPr>
          <w:rFonts w:ascii="Arial" w:hAnsi="Arial" w:cs="Arial"/>
          <w:i/>
          <w:iCs/>
          <w:sz w:val="24"/>
          <w:szCs w:val="24"/>
        </w:rPr>
        <w:t>Trustee Act 1925</w:t>
      </w:r>
      <w:r w:rsidRPr="005C4DAA">
        <w:rPr>
          <w:rFonts w:ascii="Arial" w:hAnsi="Arial" w:cs="Arial"/>
          <w:sz w:val="24"/>
          <w:szCs w:val="24"/>
        </w:rPr>
        <w:t xml:space="preserve">. </w:t>
      </w:r>
    </w:p>
    <w:p w14:paraId="60B420ED"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Furthermore, Margaret wishes to give £10,000 to the charity Dogs Trust. This disposition will be exempt from inheritance tax as a charitable gift under s.23 of the </w:t>
      </w:r>
      <w:r w:rsidRPr="005C4DAA">
        <w:rPr>
          <w:rFonts w:ascii="Arial" w:hAnsi="Arial" w:cs="Arial"/>
          <w:i/>
          <w:iCs/>
          <w:sz w:val="24"/>
          <w:szCs w:val="24"/>
        </w:rPr>
        <w:t xml:space="preserve">Inheritance Tax Act 1984. </w:t>
      </w:r>
      <w:r w:rsidRPr="005C4DAA">
        <w:rPr>
          <w:rFonts w:ascii="Arial" w:hAnsi="Arial" w:cs="Arial"/>
          <w:sz w:val="24"/>
          <w:szCs w:val="24"/>
        </w:rPr>
        <w:t xml:space="preserve">The charity named in the will is sufficiently certain and would be valid under the certainty requirements established in ‘Morice v Bishop of Durham’ (1805). </w:t>
      </w:r>
    </w:p>
    <w:p w14:paraId="79601683"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The will should have a residuary clause that deals with the remainder of Margaret's estate after her debts, funeral costs, and any tax liabilities are paid, so that the remaining property is given according to the will and to avoid partial intestacy under s.46 of the </w:t>
      </w:r>
      <w:r w:rsidRPr="005C4DAA">
        <w:rPr>
          <w:rFonts w:ascii="Arial" w:hAnsi="Arial" w:cs="Arial"/>
          <w:i/>
          <w:iCs/>
          <w:sz w:val="24"/>
          <w:szCs w:val="24"/>
        </w:rPr>
        <w:t>Administration of Estates Act 1925</w:t>
      </w:r>
      <w:r w:rsidRPr="005C4DAA">
        <w:rPr>
          <w:rFonts w:ascii="Arial" w:hAnsi="Arial" w:cs="Arial"/>
          <w:sz w:val="24"/>
          <w:szCs w:val="24"/>
        </w:rPr>
        <w:t xml:space="preserve">. Margaret also expressed concerns about Daniel's financial responsibility and stated that she would like his inheritance to be protected until he is 55. Daniels' share should be held in a discretionary trust. </w:t>
      </w:r>
    </w:p>
    <w:p w14:paraId="764C8770"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A discretionary trust is appropriate, as the trustees will retain control over distributions and Daniel will lack an immediate fixed entitlement. Trustees will have to use their own discretion to give Daniel income when they deem appropriate. Margaret should draft a letter of wishes to help the trustees distribute the trust to Daniel, stating that she does not wish for the entire trust to be distributed outright before Daniel turns 55. </w:t>
      </w:r>
    </w:p>
    <w:p w14:paraId="70F4CA99" w14:textId="77777777" w:rsidR="009F2C5D" w:rsidRPr="005C4DAA" w:rsidRDefault="009F2C5D" w:rsidP="009F2C5D">
      <w:pPr>
        <w:spacing w:line="360" w:lineRule="auto"/>
        <w:rPr>
          <w:rFonts w:ascii="Arial" w:hAnsi="Arial" w:cs="Arial"/>
          <w:sz w:val="24"/>
          <w:szCs w:val="24"/>
        </w:rPr>
      </w:pPr>
    </w:p>
    <w:p w14:paraId="7A0D339C" w14:textId="77777777" w:rsidR="009F2C5D" w:rsidRPr="005C4DAA" w:rsidRDefault="009F2C5D" w:rsidP="009F2C5D">
      <w:pPr>
        <w:spacing w:line="360" w:lineRule="auto"/>
        <w:rPr>
          <w:rFonts w:ascii="Arial" w:hAnsi="Arial" w:cs="Arial"/>
          <w:b/>
          <w:bCs/>
          <w:sz w:val="24"/>
          <w:szCs w:val="24"/>
        </w:rPr>
      </w:pPr>
      <w:r w:rsidRPr="005C4DAA">
        <w:rPr>
          <w:rFonts w:ascii="Arial" w:hAnsi="Arial" w:cs="Arial"/>
          <w:b/>
          <w:bCs/>
          <w:sz w:val="24"/>
          <w:szCs w:val="24"/>
        </w:rPr>
        <w:t>Trust for Daniel</w:t>
      </w:r>
    </w:p>
    <w:p w14:paraId="6781D464"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Following Margaret's passing, the appointed trustees will administer Daniel's share in accordance with the will. The </w:t>
      </w:r>
      <w:r w:rsidRPr="005C4DAA">
        <w:rPr>
          <w:rFonts w:ascii="Arial" w:hAnsi="Arial" w:cs="Arial"/>
          <w:i/>
          <w:iCs/>
          <w:sz w:val="24"/>
          <w:szCs w:val="24"/>
        </w:rPr>
        <w:t>Trustee Act 1925</w:t>
      </w:r>
      <w:r w:rsidRPr="005C4DAA">
        <w:rPr>
          <w:rFonts w:ascii="Arial" w:hAnsi="Arial" w:cs="Arial"/>
          <w:sz w:val="24"/>
          <w:szCs w:val="24"/>
        </w:rPr>
        <w:t xml:space="preserve"> means that trustees will be required to act in Daniel's best interests and exercise reasonable care when managing the trust assets. </w:t>
      </w:r>
    </w:p>
    <w:p w14:paraId="7ABDEFBE"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Under the </w:t>
      </w:r>
      <w:r w:rsidRPr="005C4DAA">
        <w:rPr>
          <w:rFonts w:ascii="Arial" w:hAnsi="Arial" w:cs="Arial"/>
          <w:i/>
          <w:iCs/>
          <w:sz w:val="24"/>
          <w:szCs w:val="24"/>
        </w:rPr>
        <w:t>Trustee Act 2000</w:t>
      </w:r>
      <w:r w:rsidRPr="005C4DAA">
        <w:rPr>
          <w:rFonts w:ascii="Arial" w:hAnsi="Arial" w:cs="Arial"/>
          <w:sz w:val="24"/>
          <w:szCs w:val="24"/>
        </w:rPr>
        <w:t>, trustees can invest trust assets, but must assess the suitability of the investment and decide whether to obtain professional advice.</w:t>
      </w:r>
    </w:p>
    <w:p w14:paraId="63A3500C"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Under the </w:t>
      </w:r>
      <w:r w:rsidRPr="005C4DAA">
        <w:rPr>
          <w:rFonts w:ascii="Arial" w:hAnsi="Arial" w:cs="Arial"/>
          <w:i/>
          <w:iCs/>
          <w:sz w:val="24"/>
          <w:szCs w:val="24"/>
        </w:rPr>
        <w:t>Trustee Act 2000</w:t>
      </w:r>
      <w:r w:rsidRPr="005C4DAA">
        <w:rPr>
          <w:rFonts w:ascii="Arial" w:hAnsi="Arial" w:cs="Arial"/>
          <w:sz w:val="24"/>
          <w:szCs w:val="24"/>
        </w:rPr>
        <w:t xml:space="preserve">, trustees can invest trust assets, but they must assess the suitability of the investment and decide whether to obtain professional advice. Trustees can apply for income to help Daniel before the age of 55 for his maintenance or benefit under s.31 of the </w:t>
      </w:r>
      <w:r w:rsidRPr="005C4DAA">
        <w:rPr>
          <w:rFonts w:ascii="Arial" w:hAnsi="Arial" w:cs="Arial"/>
          <w:i/>
          <w:iCs/>
          <w:sz w:val="24"/>
          <w:szCs w:val="24"/>
        </w:rPr>
        <w:t>Trustee Act 1925</w:t>
      </w:r>
      <w:r w:rsidRPr="005C4DAA">
        <w:rPr>
          <w:rFonts w:ascii="Arial" w:hAnsi="Arial" w:cs="Arial"/>
          <w:sz w:val="24"/>
          <w:szCs w:val="24"/>
        </w:rPr>
        <w:t xml:space="preserve"> </w:t>
      </w:r>
    </w:p>
    <w:p w14:paraId="0B42B84D"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Since the trust is discretionary, Daniel will not immediately acquire a proprietary interest in it. ‘Gartside v IRC’ (1968), it was decided that discretionary beneficiaries have no immediate right to possession until the trustees distribute it. This would ensure that Daniel does not have unrestricted access to the trust, while still allowing the trustees to provide Daniel with financial support when they deem necessary.</w:t>
      </w:r>
    </w:p>
    <w:p w14:paraId="19A51095"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The drafting of the trust must be careful and clear to avoid an age contingent trust; if this were the case, Daniel could invoke the principle in ‘Saunders v Vautier’ (1841) and end the trust early, as he is an adult and has capacity. A discretionary trust is therefore better, as Daniel will not be automatically entitled to the trust assets. Beneficiaries have the right to hold trustees accountable; for instance, in ‘Schmidt v Rosewood Trust Ltd’ (2003), it was confirmed that beneficiaries can go to court to seek disclosure of trust information. </w:t>
      </w:r>
    </w:p>
    <w:p w14:paraId="6C79D6DA" w14:textId="77777777" w:rsidR="009F2C5D" w:rsidRPr="005C4DAA" w:rsidRDefault="009F2C5D" w:rsidP="009F2C5D">
      <w:pPr>
        <w:spacing w:line="360" w:lineRule="auto"/>
        <w:rPr>
          <w:rFonts w:ascii="Arial" w:hAnsi="Arial" w:cs="Arial"/>
          <w:sz w:val="24"/>
          <w:szCs w:val="24"/>
        </w:rPr>
      </w:pPr>
    </w:p>
    <w:p w14:paraId="19346847" w14:textId="77777777" w:rsidR="009F2C5D" w:rsidRPr="005C4DAA" w:rsidRDefault="009F2C5D" w:rsidP="009F2C5D">
      <w:pPr>
        <w:spacing w:line="360" w:lineRule="auto"/>
        <w:rPr>
          <w:rFonts w:ascii="Arial" w:hAnsi="Arial" w:cs="Arial"/>
          <w:b/>
          <w:bCs/>
          <w:sz w:val="24"/>
          <w:szCs w:val="24"/>
        </w:rPr>
      </w:pPr>
      <w:r w:rsidRPr="005C4DAA">
        <w:rPr>
          <w:rFonts w:ascii="Arial" w:hAnsi="Arial" w:cs="Arial"/>
          <w:b/>
          <w:bCs/>
          <w:sz w:val="24"/>
          <w:szCs w:val="24"/>
        </w:rPr>
        <w:t>Inheritance Tax</w:t>
      </w:r>
    </w:p>
    <w:p w14:paraId="0A9121AC"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Margaret's estate is valued at £800,000 and may be charged to inheritance tax under s.7 of the </w:t>
      </w:r>
      <w:r w:rsidRPr="005C4DAA">
        <w:rPr>
          <w:rFonts w:ascii="Arial" w:hAnsi="Arial" w:cs="Arial"/>
          <w:i/>
          <w:iCs/>
          <w:sz w:val="24"/>
          <w:szCs w:val="24"/>
        </w:rPr>
        <w:t>Inheritance Tax Act 1984</w:t>
      </w:r>
      <w:r w:rsidRPr="005C4DAA">
        <w:rPr>
          <w:rFonts w:ascii="Arial" w:hAnsi="Arial" w:cs="Arial"/>
          <w:sz w:val="24"/>
          <w:szCs w:val="24"/>
        </w:rPr>
        <w:t xml:space="preserve">. However, exemptions and reliefs may apply, and some allowances may be available. </w:t>
      </w:r>
    </w:p>
    <w:p w14:paraId="7CC56799"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Margaret's husband, Derek, left his estate to her upon his passing in 2019, due to transfers between spouses being exempt from inheritance tax (</w:t>
      </w:r>
      <w:r w:rsidRPr="005C4DAA">
        <w:rPr>
          <w:rFonts w:ascii="Arial" w:hAnsi="Arial" w:cs="Arial"/>
          <w:i/>
          <w:iCs/>
          <w:sz w:val="24"/>
          <w:szCs w:val="24"/>
        </w:rPr>
        <w:t>Inheritance Tax Act 1984</w:t>
      </w:r>
      <w:r w:rsidRPr="005C4DAA">
        <w:rPr>
          <w:rFonts w:ascii="Arial" w:hAnsi="Arial" w:cs="Arial"/>
          <w:sz w:val="24"/>
          <w:szCs w:val="24"/>
        </w:rPr>
        <w:t xml:space="preserve">). Derek's unused nil-rate band could transfer to Margaret's estate under s. 8A of the </w:t>
      </w:r>
      <w:r w:rsidRPr="005C4DAA">
        <w:rPr>
          <w:rFonts w:ascii="Arial" w:hAnsi="Arial" w:cs="Arial"/>
          <w:i/>
          <w:iCs/>
          <w:sz w:val="24"/>
          <w:szCs w:val="24"/>
        </w:rPr>
        <w:t>Inheritance Tax Act 1984</w:t>
      </w:r>
      <w:r w:rsidRPr="005C4DAA">
        <w:rPr>
          <w:rFonts w:ascii="Arial" w:hAnsi="Arial" w:cs="Arial"/>
          <w:sz w:val="24"/>
          <w:szCs w:val="24"/>
        </w:rPr>
        <w:t xml:space="preserve">; potentially increasing the available nil-rate band to £650,000.  Margaret's estate may benefit from the residence nil-rate band under s.8 </w:t>
      </w:r>
      <w:r w:rsidRPr="005C4DAA">
        <w:rPr>
          <w:rFonts w:ascii="Arial" w:hAnsi="Arial" w:cs="Arial"/>
          <w:i/>
          <w:iCs/>
          <w:sz w:val="24"/>
          <w:szCs w:val="24"/>
        </w:rPr>
        <w:t>Inheritance Tax Act 1984</w:t>
      </w:r>
      <w:r w:rsidRPr="005C4DAA">
        <w:rPr>
          <w:rFonts w:ascii="Arial" w:hAnsi="Arial" w:cs="Arial"/>
          <w:sz w:val="24"/>
          <w:szCs w:val="24"/>
        </w:rPr>
        <w:t xml:space="preserve">, if a direct descendant inherits the property. If Derek's residence nil-rate band is also transferable, the total relief could total £1 million. Based on the available information, it is likely that the allowance would significantly reduce inheritance tax. </w:t>
      </w:r>
    </w:p>
    <w:p w14:paraId="3C24478D" w14:textId="77777777" w:rsidR="009F2C5D" w:rsidRPr="005C4DAA" w:rsidRDefault="009F2C5D" w:rsidP="009F2C5D">
      <w:pPr>
        <w:spacing w:line="360" w:lineRule="auto"/>
        <w:rPr>
          <w:rFonts w:ascii="Arial" w:hAnsi="Arial" w:cs="Arial"/>
          <w:sz w:val="24"/>
          <w:szCs w:val="24"/>
        </w:rPr>
      </w:pPr>
    </w:p>
    <w:p w14:paraId="56D9C683" w14:textId="77777777" w:rsidR="009F2C5D" w:rsidRPr="005C4DAA" w:rsidRDefault="009F2C5D" w:rsidP="009F2C5D">
      <w:pPr>
        <w:spacing w:line="360" w:lineRule="auto"/>
        <w:rPr>
          <w:rFonts w:ascii="Arial" w:hAnsi="Arial" w:cs="Arial"/>
          <w:b/>
          <w:bCs/>
          <w:sz w:val="24"/>
          <w:szCs w:val="24"/>
        </w:rPr>
      </w:pPr>
      <w:r w:rsidRPr="005C4DAA">
        <w:rPr>
          <w:rFonts w:ascii="Arial" w:hAnsi="Arial" w:cs="Arial"/>
          <w:b/>
          <w:bCs/>
          <w:sz w:val="24"/>
          <w:szCs w:val="24"/>
        </w:rPr>
        <w:t>HMRC Reporting and Trustee Compliance</w:t>
      </w:r>
    </w:p>
    <w:p w14:paraId="7BA164B4"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The executor must accurately value Margaret's estate to HMRC prior to applying for probate. Any inheritance tax forms, including the IHT400 and any other relevant schedules, must be submitted within the required time limits. Inheritance tax is normally payable six months after death (S.226 </w:t>
      </w:r>
      <w:r w:rsidRPr="005C4DAA">
        <w:rPr>
          <w:rFonts w:ascii="Arial" w:hAnsi="Arial" w:cs="Arial"/>
          <w:i/>
          <w:iCs/>
          <w:sz w:val="24"/>
          <w:szCs w:val="24"/>
        </w:rPr>
        <w:t xml:space="preserve">Inheritance Tax Act 1984 </w:t>
      </w:r>
      <w:r w:rsidRPr="005C4DAA">
        <w:rPr>
          <w:rFonts w:ascii="Arial" w:hAnsi="Arial" w:cs="Arial"/>
          <w:sz w:val="24"/>
          <w:szCs w:val="24"/>
        </w:rPr>
        <w:t xml:space="preserve">but instalment options could apply to property interests. The executors are also responsible for keeping accurate financial records for the estate. They must ensure all assets, debts and liabilities are disclosed to HMRC. If they fail to give accurate information, they may receive fines or penalties from HMRC. </w:t>
      </w:r>
    </w:p>
    <w:p w14:paraId="79A15AC7"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The trustees may be required to register Daniel's trust with HMRC Trust Registration Service under </w:t>
      </w:r>
      <w:r w:rsidRPr="005C4DAA">
        <w:rPr>
          <w:rFonts w:ascii="Arial" w:hAnsi="Arial" w:cs="Arial"/>
          <w:i/>
          <w:iCs/>
          <w:sz w:val="24"/>
          <w:szCs w:val="24"/>
        </w:rPr>
        <w:t>the Money Laundering, Terrorist Financing and Transfer of Funds (Information on the Payer) Regulations 2017</w:t>
      </w:r>
      <w:r w:rsidRPr="005C4DAA">
        <w:rPr>
          <w:rFonts w:ascii="Arial" w:hAnsi="Arial" w:cs="Arial"/>
          <w:sz w:val="24"/>
          <w:szCs w:val="24"/>
        </w:rPr>
        <w:t xml:space="preserve">. Trustees have the responsibility to accurately keep trust records, file tax returns, and act in line with fiduciary duties. </w:t>
      </w:r>
    </w:p>
    <w:p w14:paraId="3E247B34"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Overall, the proposed will accurately reflects Margaret's testamentary wishes by having Anna and Emily receive their shares outright, while Daniel's inheritance is protected in a discretionary trust. The structure also helps reduce inheritance by utilising nil-rate bands, residence nil-rate bands, and charitable exemptions under the </w:t>
      </w:r>
      <w:r w:rsidRPr="005C4DAA">
        <w:rPr>
          <w:rFonts w:ascii="Arial" w:hAnsi="Arial" w:cs="Arial"/>
          <w:i/>
          <w:iCs/>
          <w:sz w:val="24"/>
          <w:szCs w:val="24"/>
        </w:rPr>
        <w:t>Inheritance Tax Act 1984</w:t>
      </w:r>
      <w:r w:rsidRPr="005C4DAA">
        <w:rPr>
          <w:rFonts w:ascii="Arial" w:hAnsi="Arial" w:cs="Arial"/>
          <w:sz w:val="24"/>
          <w:szCs w:val="24"/>
        </w:rPr>
        <w:t>. The will must be carefully and accurately drafted to ensure that it accurately represents Margaret's wishes while avoiding disputes and unnecessary inheritance tax costs.</w:t>
      </w:r>
    </w:p>
    <w:p w14:paraId="18975DEC" w14:textId="77777777" w:rsidR="009F2C5D" w:rsidRPr="005C4DAA" w:rsidRDefault="009F2C5D" w:rsidP="009F2C5D">
      <w:pPr>
        <w:spacing w:line="360" w:lineRule="auto"/>
        <w:rPr>
          <w:rFonts w:ascii="Arial" w:hAnsi="Arial" w:cs="Arial"/>
          <w:sz w:val="24"/>
          <w:szCs w:val="24"/>
        </w:rPr>
      </w:pPr>
    </w:p>
    <w:p w14:paraId="01FAED05" w14:textId="77777777" w:rsidR="009F2C5D" w:rsidRPr="005C4DAA" w:rsidRDefault="009F2C5D" w:rsidP="009F2C5D">
      <w:pPr>
        <w:spacing w:line="360" w:lineRule="auto"/>
        <w:rPr>
          <w:rFonts w:ascii="Arial" w:hAnsi="Arial" w:cs="Arial"/>
          <w:sz w:val="24"/>
          <w:szCs w:val="24"/>
        </w:rPr>
      </w:pPr>
    </w:p>
    <w:p w14:paraId="12639AD5" w14:textId="77777777" w:rsidR="009F2C5D" w:rsidRPr="005C4DAA" w:rsidRDefault="009F2C5D" w:rsidP="009F2C5D">
      <w:pPr>
        <w:spacing w:line="360" w:lineRule="auto"/>
        <w:rPr>
          <w:rFonts w:ascii="Arial" w:hAnsi="Arial" w:cs="Arial"/>
          <w:sz w:val="24"/>
          <w:szCs w:val="24"/>
        </w:rPr>
      </w:pPr>
    </w:p>
    <w:p w14:paraId="123791D6" w14:textId="77777777" w:rsidR="009F2C5D" w:rsidRPr="005C4DAA" w:rsidRDefault="009F2C5D" w:rsidP="009F2C5D">
      <w:pPr>
        <w:spacing w:line="360" w:lineRule="auto"/>
        <w:rPr>
          <w:rFonts w:ascii="Arial" w:hAnsi="Arial" w:cs="Arial"/>
          <w:sz w:val="24"/>
          <w:szCs w:val="24"/>
        </w:rPr>
      </w:pPr>
    </w:p>
    <w:p w14:paraId="78E2688D" w14:textId="77777777" w:rsidR="009F2C5D" w:rsidRPr="005C4DAA" w:rsidRDefault="009F2C5D" w:rsidP="009F2C5D">
      <w:pPr>
        <w:spacing w:line="360" w:lineRule="auto"/>
        <w:rPr>
          <w:rFonts w:ascii="Arial" w:hAnsi="Arial" w:cs="Arial"/>
          <w:sz w:val="24"/>
          <w:szCs w:val="24"/>
        </w:rPr>
      </w:pPr>
    </w:p>
    <w:p w14:paraId="20D1D0B3" w14:textId="77777777" w:rsidR="009F2C5D" w:rsidRPr="005C4DAA" w:rsidRDefault="009F2C5D" w:rsidP="009F2C5D">
      <w:pPr>
        <w:spacing w:line="360" w:lineRule="auto"/>
        <w:rPr>
          <w:rFonts w:ascii="Arial" w:hAnsi="Arial" w:cs="Arial"/>
          <w:sz w:val="24"/>
          <w:szCs w:val="24"/>
        </w:rPr>
      </w:pPr>
    </w:p>
    <w:p w14:paraId="2C403706" w14:textId="77777777" w:rsidR="009F2C5D" w:rsidRPr="005C4DAA" w:rsidRDefault="009F2C5D" w:rsidP="009F2C5D">
      <w:pPr>
        <w:spacing w:line="360" w:lineRule="auto"/>
        <w:rPr>
          <w:rFonts w:ascii="Arial" w:hAnsi="Arial" w:cs="Arial"/>
          <w:sz w:val="24"/>
          <w:szCs w:val="24"/>
        </w:rPr>
      </w:pPr>
    </w:p>
    <w:p w14:paraId="368BAC69" w14:textId="77777777" w:rsidR="009F2C5D" w:rsidRPr="005C4DAA" w:rsidRDefault="009F2C5D" w:rsidP="009F2C5D">
      <w:pPr>
        <w:spacing w:line="360" w:lineRule="auto"/>
        <w:rPr>
          <w:rFonts w:ascii="Arial" w:hAnsi="Arial" w:cs="Arial"/>
          <w:sz w:val="24"/>
          <w:szCs w:val="24"/>
        </w:rPr>
      </w:pPr>
    </w:p>
    <w:p w14:paraId="2761F9B5" w14:textId="77777777" w:rsidR="009F2C5D" w:rsidRPr="005C4DAA" w:rsidRDefault="009F2C5D" w:rsidP="009F2C5D">
      <w:pPr>
        <w:spacing w:line="360" w:lineRule="auto"/>
        <w:rPr>
          <w:rFonts w:ascii="Arial" w:hAnsi="Arial" w:cs="Arial"/>
          <w:sz w:val="24"/>
          <w:szCs w:val="24"/>
        </w:rPr>
      </w:pPr>
    </w:p>
    <w:p w14:paraId="74B56C1E" w14:textId="77777777" w:rsidR="009F2C5D" w:rsidRPr="005C4DAA" w:rsidRDefault="009F2C5D" w:rsidP="009F2C5D">
      <w:pPr>
        <w:spacing w:line="360" w:lineRule="auto"/>
        <w:rPr>
          <w:rFonts w:ascii="Arial" w:hAnsi="Arial" w:cs="Arial"/>
          <w:sz w:val="24"/>
          <w:szCs w:val="24"/>
        </w:rPr>
      </w:pPr>
    </w:p>
    <w:p w14:paraId="6F01B328" w14:textId="77777777" w:rsidR="009F2C5D" w:rsidRPr="005C4DAA" w:rsidRDefault="009F2C5D" w:rsidP="009F2C5D">
      <w:pPr>
        <w:spacing w:line="360" w:lineRule="auto"/>
        <w:rPr>
          <w:rFonts w:ascii="Arial" w:hAnsi="Arial" w:cs="Arial"/>
          <w:sz w:val="24"/>
          <w:szCs w:val="24"/>
        </w:rPr>
      </w:pPr>
    </w:p>
    <w:p w14:paraId="2F42F3E7" w14:textId="77777777" w:rsidR="009F2C5D" w:rsidRPr="005C4DAA" w:rsidRDefault="009F2C5D" w:rsidP="009F2C5D">
      <w:pPr>
        <w:spacing w:line="360" w:lineRule="auto"/>
        <w:rPr>
          <w:rFonts w:ascii="Arial" w:hAnsi="Arial" w:cs="Arial"/>
          <w:sz w:val="24"/>
          <w:szCs w:val="24"/>
        </w:rPr>
      </w:pPr>
    </w:p>
    <w:p w14:paraId="3693ADD3" w14:textId="77777777" w:rsidR="009F2C5D" w:rsidRPr="005C4DAA" w:rsidRDefault="009F2C5D" w:rsidP="009F2C5D">
      <w:pPr>
        <w:spacing w:line="360" w:lineRule="auto"/>
        <w:rPr>
          <w:rFonts w:ascii="Arial" w:hAnsi="Arial" w:cs="Arial"/>
          <w:sz w:val="24"/>
          <w:szCs w:val="24"/>
        </w:rPr>
      </w:pPr>
    </w:p>
    <w:p w14:paraId="5A804760" w14:textId="77777777" w:rsidR="009F2C5D" w:rsidRPr="005C4DAA" w:rsidRDefault="009F2C5D" w:rsidP="009F2C5D">
      <w:pPr>
        <w:spacing w:line="360" w:lineRule="auto"/>
        <w:rPr>
          <w:rFonts w:ascii="Arial" w:hAnsi="Arial" w:cs="Arial"/>
          <w:sz w:val="24"/>
          <w:szCs w:val="24"/>
        </w:rPr>
      </w:pPr>
    </w:p>
    <w:p w14:paraId="063F11E8" w14:textId="77777777" w:rsidR="009F2C5D" w:rsidRPr="005C4DAA" w:rsidRDefault="009F2C5D" w:rsidP="009F2C5D">
      <w:pPr>
        <w:spacing w:line="360" w:lineRule="auto"/>
        <w:rPr>
          <w:rFonts w:ascii="Arial" w:hAnsi="Arial" w:cs="Arial"/>
          <w:sz w:val="24"/>
          <w:szCs w:val="24"/>
        </w:rPr>
      </w:pPr>
    </w:p>
    <w:p w14:paraId="3C9EB791" w14:textId="77777777" w:rsidR="009F2C5D" w:rsidRPr="005C4DAA" w:rsidRDefault="009F2C5D" w:rsidP="009F2C5D">
      <w:pPr>
        <w:spacing w:line="360" w:lineRule="auto"/>
        <w:rPr>
          <w:rFonts w:ascii="Arial" w:hAnsi="Arial" w:cs="Arial"/>
          <w:sz w:val="24"/>
          <w:szCs w:val="24"/>
        </w:rPr>
      </w:pPr>
    </w:p>
    <w:p w14:paraId="2FF4F7B0" w14:textId="77777777" w:rsidR="009F2C5D" w:rsidRDefault="009F2C5D" w:rsidP="009F2C5D">
      <w:pPr>
        <w:spacing w:line="360" w:lineRule="auto"/>
        <w:rPr>
          <w:rFonts w:ascii="Arial" w:hAnsi="Arial" w:cs="Arial"/>
          <w:sz w:val="24"/>
          <w:szCs w:val="24"/>
        </w:rPr>
      </w:pPr>
    </w:p>
    <w:p w14:paraId="63CEF5C0" w14:textId="77777777" w:rsidR="009F2C5D" w:rsidRPr="005C4DAA" w:rsidRDefault="009F2C5D" w:rsidP="009F2C5D">
      <w:pPr>
        <w:spacing w:line="360" w:lineRule="auto"/>
        <w:rPr>
          <w:rFonts w:ascii="Arial" w:hAnsi="Arial" w:cs="Arial"/>
          <w:b/>
          <w:bCs/>
          <w:sz w:val="24"/>
          <w:szCs w:val="24"/>
        </w:rPr>
      </w:pPr>
      <w:r w:rsidRPr="005C4DAA">
        <w:rPr>
          <w:rFonts w:ascii="Arial" w:hAnsi="Arial" w:cs="Arial"/>
          <w:b/>
          <w:bCs/>
          <w:sz w:val="24"/>
          <w:szCs w:val="24"/>
        </w:rPr>
        <w:t>Task 2</w:t>
      </w:r>
    </w:p>
    <w:p w14:paraId="15B6A649"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After Margaret's death, the executor, Anna, will have to carry out several legal and administrative steps to properly administer the estate; these must comply with inheritance tax requirements, probate procedure and the duties imposed on executors. Margaret's estate is estimated at £480,000, comprising a property valued at £ 480,000 and savings and investments valued at £320,000. </w:t>
      </w:r>
    </w:p>
    <w:p w14:paraId="1B1608B3" w14:textId="77777777" w:rsidR="009F2C5D" w:rsidRPr="005C4DAA" w:rsidRDefault="009F2C5D" w:rsidP="009F2C5D">
      <w:pPr>
        <w:spacing w:line="360" w:lineRule="auto"/>
        <w:rPr>
          <w:rFonts w:ascii="Arial" w:hAnsi="Arial" w:cs="Arial"/>
          <w:sz w:val="24"/>
          <w:szCs w:val="24"/>
        </w:rPr>
      </w:pPr>
    </w:p>
    <w:p w14:paraId="37588E20" w14:textId="77777777" w:rsidR="009F2C5D" w:rsidRPr="005C4DAA" w:rsidRDefault="009F2C5D" w:rsidP="009F2C5D">
      <w:pPr>
        <w:spacing w:line="360" w:lineRule="auto"/>
        <w:rPr>
          <w:rFonts w:ascii="Arial" w:hAnsi="Arial" w:cs="Arial"/>
          <w:b/>
          <w:bCs/>
          <w:sz w:val="24"/>
          <w:szCs w:val="24"/>
        </w:rPr>
      </w:pPr>
      <w:r w:rsidRPr="005C4DAA">
        <w:rPr>
          <w:rFonts w:ascii="Arial" w:hAnsi="Arial" w:cs="Arial"/>
          <w:b/>
          <w:bCs/>
          <w:sz w:val="24"/>
          <w:szCs w:val="24"/>
        </w:rPr>
        <w:t>Initial Steps and Client Care</w:t>
      </w:r>
    </w:p>
    <w:p w14:paraId="5B5125F5"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Firstly, Margaret's death will need to be formally registered, and copies of the death certificate will need to be obtained, as they will be utilised when dealing with investment providers, the bank, and HM Land Registry. The will should be secured, and the validity of the will should be checked. Section 9 of the </w:t>
      </w:r>
      <w:r w:rsidRPr="005C4DAA">
        <w:rPr>
          <w:rFonts w:ascii="Arial" w:hAnsi="Arial" w:cs="Arial"/>
          <w:i/>
          <w:iCs/>
          <w:sz w:val="24"/>
          <w:szCs w:val="24"/>
        </w:rPr>
        <w:t xml:space="preserve">Wills Act 1837 </w:t>
      </w:r>
      <w:r w:rsidRPr="005C4DAA">
        <w:rPr>
          <w:rFonts w:ascii="Arial" w:hAnsi="Arial" w:cs="Arial"/>
          <w:sz w:val="24"/>
          <w:szCs w:val="24"/>
        </w:rPr>
        <w:t xml:space="preserve">states that a valid will is required to be in writing, signed by the testator and witnessed by two people at the same time. </w:t>
      </w:r>
    </w:p>
    <w:p w14:paraId="532A1B05"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Although there are no signs leading to a lack of testamentary capacity, the principles established in ‘Banks v Goodfellow’ (1870) should still be considered. Margaret must have understood the effect of making a will, the extent of her property and money, the claims of beneficiaries, and it is also important to consider if there is any evidence of undue influence and if the contents of the will were known and approved by Margaret. </w:t>
      </w:r>
    </w:p>
    <w:p w14:paraId="115B61B1"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Anna was appointed as executor under the will; however, Margaret did not appoint another executor, so if Anna is unable to act or refuses to, the court may appoint a different executor by an application for letters of administration with will annexed in accordance with the </w:t>
      </w:r>
      <w:r w:rsidRPr="005C4DAA">
        <w:rPr>
          <w:rFonts w:ascii="Arial" w:hAnsi="Arial" w:cs="Arial"/>
          <w:i/>
          <w:iCs/>
          <w:sz w:val="24"/>
          <w:szCs w:val="24"/>
        </w:rPr>
        <w:t>Non-Contentious Probate Rules 1987</w:t>
      </w:r>
      <w:r w:rsidRPr="005C4DAA">
        <w:rPr>
          <w:rFonts w:ascii="Arial" w:hAnsi="Arial" w:cs="Arial"/>
          <w:sz w:val="24"/>
          <w:szCs w:val="24"/>
        </w:rPr>
        <w:t xml:space="preserve">. Additionally, due to Daniel's inheritance being held in a trust, it is suggested that at least two trustees are appointed (s. 34 </w:t>
      </w:r>
      <w:r w:rsidRPr="005C4DAA">
        <w:rPr>
          <w:rFonts w:ascii="Arial" w:hAnsi="Arial" w:cs="Arial"/>
          <w:i/>
          <w:iCs/>
          <w:sz w:val="24"/>
          <w:szCs w:val="24"/>
        </w:rPr>
        <w:t>Trustee Act 1925</w:t>
      </w:r>
      <w:r w:rsidRPr="005C4DAA">
        <w:rPr>
          <w:rFonts w:ascii="Arial" w:hAnsi="Arial" w:cs="Arial"/>
          <w:sz w:val="24"/>
          <w:szCs w:val="24"/>
        </w:rPr>
        <w:t xml:space="preserve">) to ensure the trust is administered properly. </w:t>
      </w:r>
    </w:p>
    <w:p w14:paraId="79BF72BA"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The solicitors who act for Anna must ensure their compliance with the SRA (201) code of conduct, which requires maintaining confidentiality, acting in the client's best interest and providing competent legal services. The legal costs and disbursements should be clearly communicated to Anna (SRA 2019, Transparency Rules). Solicitors should remain sensitive, given that Anna is grieving, and remain clear and professional in their conduct. </w:t>
      </w:r>
    </w:p>
    <w:p w14:paraId="40A148F3" w14:textId="77777777" w:rsidR="009F2C5D" w:rsidRPr="005C4DAA" w:rsidRDefault="009F2C5D" w:rsidP="009F2C5D">
      <w:pPr>
        <w:spacing w:line="360" w:lineRule="auto"/>
        <w:rPr>
          <w:rFonts w:ascii="Arial" w:hAnsi="Arial" w:cs="Arial"/>
          <w:sz w:val="24"/>
          <w:szCs w:val="24"/>
        </w:rPr>
      </w:pPr>
    </w:p>
    <w:p w14:paraId="06786407" w14:textId="77777777" w:rsidR="009F2C5D" w:rsidRPr="005C4DAA" w:rsidRDefault="009F2C5D" w:rsidP="009F2C5D">
      <w:pPr>
        <w:spacing w:line="360" w:lineRule="auto"/>
        <w:rPr>
          <w:rFonts w:ascii="Arial" w:hAnsi="Arial" w:cs="Arial"/>
          <w:b/>
          <w:bCs/>
          <w:sz w:val="24"/>
          <w:szCs w:val="24"/>
        </w:rPr>
      </w:pPr>
      <w:r w:rsidRPr="005C4DAA">
        <w:rPr>
          <w:rFonts w:ascii="Arial" w:hAnsi="Arial" w:cs="Arial"/>
          <w:b/>
          <w:bCs/>
          <w:sz w:val="24"/>
          <w:szCs w:val="24"/>
        </w:rPr>
        <w:t xml:space="preserve">Identifying and Valuing the Estate </w:t>
      </w:r>
    </w:p>
    <w:p w14:paraId="53A21A89"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The executors are required to create an accurate list of all of Margaret's assets and liabilities, including property, savings and investments, and any debts, such as funeral expenses or administrative costs. Property should normally be valued professionally to ensure the open-market valuation is accurate for inheritance tax purposes under s.160 </w:t>
      </w:r>
      <w:r w:rsidRPr="005C4DAA">
        <w:rPr>
          <w:rFonts w:ascii="Arial" w:hAnsi="Arial" w:cs="Arial"/>
          <w:i/>
          <w:iCs/>
          <w:sz w:val="24"/>
          <w:szCs w:val="24"/>
        </w:rPr>
        <w:t>Inheritance Tax Act 1984</w:t>
      </w:r>
      <w:r w:rsidRPr="005C4DAA">
        <w:rPr>
          <w:rFonts w:ascii="Arial" w:hAnsi="Arial" w:cs="Arial"/>
          <w:sz w:val="24"/>
          <w:szCs w:val="24"/>
        </w:rPr>
        <w:t xml:space="preserve">: this is essential, as executors must accurately report the estate's value to HMRC. Investments and shares also require date-of-death valuations for inheritance tax, which is based on the value at that date under s. 160 of the </w:t>
      </w:r>
      <w:r w:rsidRPr="005C4DAA">
        <w:rPr>
          <w:rFonts w:ascii="Arial" w:hAnsi="Arial" w:cs="Arial"/>
          <w:i/>
          <w:iCs/>
          <w:sz w:val="24"/>
          <w:szCs w:val="24"/>
        </w:rPr>
        <w:t>Inheritance Tax Act 1984</w:t>
      </w:r>
      <w:r w:rsidRPr="005C4DAA">
        <w:rPr>
          <w:rFonts w:ascii="Arial" w:hAnsi="Arial" w:cs="Arial"/>
          <w:sz w:val="24"/>
          <w:szCs w:val="24"/>
        </w:rPr>
        <w:t>.</w:t>
      </w:r>
    </w:p>
    <w:p w14:paraId="0CE0EA3E"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The total value of the estate may be different to the taxable estate for the purpose of inheritance tax due to any exemptions or reliefs that could apply. For instance, the charitable gift to Dogs Trust or spouse exemptions and nil-rate bands reduce the taxable amount. </w:t>
      </w:r>
    </w:p>
    <w:p w14:paraId="2B86F24A" w14:textId="77777777" w:rsidR="009F2C5D" w:rsidRPr="005C4DAA" w:rsidRDefault="009F2C5D" w:rsidP="009F2C5D">
      <w:pPr>
        <w:spacing w:line="360" w:lineRule="auto"/>
        <w:rPr>
          <w:rFonts w:ascii="Arial" w:hAnsi="Arial" w:cs="Arial"/>
          <w:sz w:val="24"/>
          <w:szCs w:val="24"/>
        </w:rPr>
      </w:pPr>
    </w:p>
    <w:p w14:paraId="7309C956" w14:textId="77777777" w:rsidR="009F2C5D" w:rsidRPr="005C4DAA" w:rsidRDefault="009F2C5D" w:rsidP="009F2C5D">
      <w:pPr>
        <w:spacing w:line="360" w:lineRule="auto"/>
        <w:rPr>
          <w:rFonts w:ascii="Arial" w:hAnsi="Arial" w:cs="Arial"/>
          <w:b/>
          <w:bCs/>
          <w:sz w:val="24"/>
          <w:szCs w:val="24"/>
        </w:rPr>
      </w:pPr>
      <w:r w:rsidRPr="005C4DAA">
        <w:rPr>
          <w:rFonts w:ascii="Arial" w:hAnsi="Arial" w:cs="Arial"/>
          <w:b/>
          <w:bCs/>
          <w:sz w:val="24"/>
          <w:szCs w:val="24"/>
        </w:rPr>
        <w:t>Inheritance Tax Application</w:t>
      </w:r>
    </w:p>
    <w:p w14:paraId="597DDAE2"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Margaret's estate could be subject to inheritance tax under s.7 of the </w:t>
      </w:r>
      <w:r w:rsidRPr="005C4DAA">
        <w:rPr>
          <w:rFonts w:ascii="Arial" w:hAnsi="Arial" w:cs="Arial"/>
          <w:i/>
          <w:iCs/>
          <w:sz w:val="24"/>
          <w:szCs w:val="24"/>
        </w:rPr>
        <w:t>Inheritance Tax Act 1984</w:t>
      </w:r>
      <w:r w:rsidRPr="005C4DAA">
        <w:rPr>
          <w:rFonts w:ascii="Arial" w:hAnsi="Arial" w:cs="Arial"/>
          <w:sz w:val="24"/>
          <w:szCs w:val="24"/>
        </w:rPr>
        <w:t>, but several exemptions should apply. Derek, Margaret's late husband, left his estate to her in 2019. Since transfers between spouses are exempt (</w:t>
      </w:r>
      <w:r w:rsidRPr="005C4DAA">
        <w:rPr>
          <w:rFonts w:ascii="Arial" w:hAnsi="Arial" w:cs="Arial"/>
          <w:i/>
          <w:iCs/>
          <w:sz w:val="24"/>
          <w:szCs w:val="24"/>
        </w:rPr>
        <w:t>Inheritance Tax Act 1984</w:t>
      </w:r>
      <w:r w:rsidRPr="005C4DAA">
        <w:rPr>
          <w:rFonts w:ascii="Arial" w:hAnsi="Arial" w:cs="Arial"/>
          <w:sz w:val="24"/>
          <w:szCs w:val="24"/>
        </w:rPr>
        <w:t xml:space="preserve">), Derek's nil-rate band could transfer to Margaret's estate (s.8 </w:t>
      </w:r>
      <w:r w:rsidRPr="005C4DAA">
        <w:rPr>
          <w:rFonts w:ascii="Arial" w:hAnsi="Arial" w:cs="Arial"/>
          <w:i/>
          <w:iCs/>
          <w:sz w:val="24"/>
          <w:szCs w:val="24"/>
        </w:rPr>
        <w:t>Inheritance Tax Act 1984</w:t>
      </w:r>
      <w:r w:rsidRPr="005C4DAA">
        <w:rPr>
          <w:rFonts w:ascii="Arial" w:hAnsi="Arial" w:cs="Arial"/>
          <w:sz w:val="24"/>
          <w:szCs w:val="24"/>
        </w:rPr>
        <w:t>), which could increase the available nil-rate band by £650,000. Margaret may also benefit from the residential nil-rate band (</w:t>
      </w:r>
      <w:r w:rsidRPr="005C4DAA">
        <w:rPr>
          <w:rFonts w:ascii="Arial" w:hAnsi="Arial" w:cs="Arial"/>
          <w:i/>
          <w:iCs/>
          <w:sz w:val="24"/>
          <w:szCs w:val="24"/>
        </w:rPr>
        <w:t>Inheritance Tax Act 1984</w:t>
      </w:r>
      <w:r w:rsidRPr="005C4DAA">
        <w:rPr>
          <w:rFonts w:ascii="Arial" w:hAnsi="Arial" w:cs="Arial"/>
          <w:sz w:val="24"/>
          <w:szCs w:val="24"/>
        </w:rPr>
        <w:t xml:space="preserve">) if a direct descendant inherits the property. There would also be exemptions for charitable gifts to the Dogs Trust (s. 23 of the </w:t>
      </w:r>
      <w:r w:rsidRPr="005C4DAA">
        <w:rPr>
          <w:rFonts w:ascii="Arial" w:hAnsi="Arial" w:cs="Arial"/>
          <w:i/>
          <w:iCs/>
          <w:sz w:val="24"/>
          <w:szCs w:val="24"/>
        </w:rPr>
        <w:t>Inheritance Tax Act 1984</w:t>
      </w:r>
      <w:r w:rsidRPr="005C4DAA">
        <w:rPr>
          <w:rFonts w:ascii="Arial" w:hAnsi="Arial" w:cs="Arial"/>
          <w:sz w:val="24"/>
          <w:szCs w:val="24"/>
        </w:rPr>
        <w:t>).</w:t>
      </w:r>
    </w:p>
    <w:p w14:paraId="4C42E6A5"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The estate is valued at around £800,000 prior to liabilities and exemptions. Likely, the combined nil-rate band and residence nil-rate band allowances would significantly reduce, or even eliminate, inheritance tax. </w:t>
      </w:r>
    </w:p>
    <w:p w14:paraId="3D9719EA"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Since Anna is an executor, she would be responsible for filing any inheritance tax documentation, such as the IHT400 and any other relevant schedules. Inheritance tax is payable after 6 months following death (s.226 </w:t>
      </w:r>
      <w:r w:rsidRPr="005C4DAA">
        <w:rPr>
          <w:rFonts w:ascii="Arial" w:hAnsi="Arial" w:cs="Arial"/>
          <w:i/>
          <w:iCs/>
          <w:sz w:val="24"/>
          <w:szCs w:val="24"/>
        </w:rPr>
        <w:t xml:space="preserve">Inheritance Tax Act 1984). </w:t>
      </w:r>
      <w:r w:rsidRPr="005C4DAA">
        <w:rPr>
          <w:rFonts w:ascii="Arial" w:hAnsi="Arial" w:cs="Arial"/>
          <w:sz w:val="24"/>
          <w:szCs w:val="24"/>
        </w:rPr>
        <w:t>Daniel’s inheritance is in a discretionary trust; the relevant property regime applies, meaning HMRC can charge inheritance tax every 10 years (</w:t>
      </w:r>
      <w:r w:rsidRPr="005C4DAA">
        <w:rPr>
          <w:rFonts w:ascii="Arial" w:hAnsi="Arial" w:cs="Arial"/>
          <w:i/>
          <w:iCs/>
          <w:sz w:val="24"/>
          <w:szCs w:val="24"/>
        </w:rPr>
        <w:t>Inheritance Tax Act 1984</w:t>
      </w:r>
      <w:r w:rsidRPr="005C4DAA">
        <w:rPr>
          <w:rFonts w:ascii="Arial" w:hAnsi="Arial" w:cs="Arial"/>
          <w:sz w:val="24"/>
          <w:szCs w:val="24"/>
        </w:rPr>
        <w:t>, s.64). HMRC can also charge an exit charge (</w:t>
      </w:r>
      <w:r w:rsidRPr="005C4DAA">
        <w:rPr>
          <w:rFonts w:ascii="Arial" w:hAnsi="Arial" w:cs="Arial"/>
          <w:i/>
          <w:iCs/>
          <w:sz w:val="24"/>
          <w:szCs w:val="24"/>
        </w:rPr>
        <w:t xml:space="preserve">Inheritance Tax Act 1984 </w:t>
      </w:r>
      <w:r w:rsidRPr="005C4DAA">
        <w:rPr>
          <w:rFonts w:ascii="Arial" w:hAnsi="Arial" w:cs="Arial"/>
          <w:sz w:val="24"/>
          <w:szCs w:val="24"/>
        </w:rPr>
        <w:t>s.65)</w:t>
      </w:r>
    </w:p>
    <w:p w14:paraId="68C9F4E8" w14:textId="77777777" w:rsidR="009F2C5D" w:rsidRPr="005C4DAA" w:rsidRDefault="009F2C5D" w:rsidP="009F2C5D">
      <w:pPr>
        <w:spacing w:line="360" w:lineRule="auto"/>
        <w:rPr>
          <w:rFonts w:ascii="Arial" w:hAnsi="Arial" w:cs="Arial"/>
          <w:sz w:val="24"/>
          <w:szCs w:val="24"/>
        </w:rPr>
      </w:pPr>
    </w:p>
    <w:p w14:paraId="26C54C63" w14:textId="77777777" w:rsidR="009F2C5D" w:rsidRPr="005C4DAA" w:rsidRDefault="009F2C5D" w:rsidP="009F2C5D">
      <w:pPr>
        <w:spacing w:line="360" w:lineRule="auto"/>
        <w:rPr>
          <w:rFonts w:ascii="Arial" w:hAnsi="Arial" w:cs="Arial"/>
          <w:b/>
          <w:bCs/>
          <w:sz w:val="24"/>
          <w:szCs w:val="24"/>
        </w:rPr>
      </w:pPr>
      <w:r w:rsidRPr="005C4DAA">
        <w:rPr>
          <w:rFonts w:ascii="Arial" w:hAnsi="Arial" w:cs="Arial"/>
          <w:b/>
          <w:bCs/>
          <w:sz w:val="24"/>
          <w:szCs w:val="24"/>
        </w:rPr>
        <w:t>Application for the Grant of Probate</w:t>
      </w:r>
    </w:p>
    <w:p w14:paraId="7A103F36"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Since Margaret created a valid will appointing Anna as executor, she would have to apply for a grant of probate under the </w:t>
      </w:r>
      <w:r w:rsidRPr="005C4DAA">
        <w:rPr>
          <w:rFonts w:ascii="Arial" w:hAnsi="Arial" w:cs="Arial"/>
          <w:i/>
          <w:iCs/>
          <w:sz w:val="24"/>
          <w:szCs w:val="24"/>
        </w:rPr>
        <w:t>Non-Contentious Probate Rules 1987</w:t>
      </w:r>
      <w:r w:rsidRPr="005C4DAA">
        <w:rPr>
          <w:rFonts w:ascii="Arial" w:hAnsi="Arial" w:cs="Arial"/>
          <w:sz w:val="24"/>
          <w:szCs w:val="24"/>
        </w:rPr>
        <w:t xml:space="preserve">. The application can be made online or on paper to the probate registry. This application must include the original will, Margaret's death certificate, inheritance tax documentation, and the probate fee. </w:t>
      </w:r>
    </w:p>
    <w:p w14:paraId="5C56053C"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Anna would be required to complete a statement of truth that confirms the information she provides is accurate in accordance with the </w:t>
      </w:r>
      <w:r w:rsidRPr="005C4DAA">
        <w:rPr>
          <w:rFonts w:ascii="Arial" w:hAnsi="Arial" w:cs="Arial"/>
          <w:i/>
          <w:iCs/>
          <w:sz w:val="24"/>
          <w:szCs w:val="24"/>
        </w:rPr>
        <w:t>Non-contentious Probate Rules 1987</w:t>
      </w:r>
      <w:r w:rsidRPr="005C4DAA">
        <w:rPr>
          <w:rFonts w:ascii="Arial" w:hAnsi="Arial" w:cs="Arial"/>
          <w:sz w:val="24"/>
          <w:szCs w:val="24"/>
        </w:rPr>
        <w:t xml:space="preserve">. Delays could arise if documentation is not completed or valuations are disputed. Complications could arise as there is no substitute executor under the </w:t>
      </w:r>
      <w:r w:rsidRPr="005C4DAA">
        <w:rPr>
          <w:rFonts w:ascii="Arial" w:hAnsi="Arial" w:cs="Arial"/>
          <w:i/>
          <w:iCs/>
          <w:sz w:val="24"/>
          <w:szCs w:val="24"/>
        </w:rPr>
        <w:t>Non-contentious Probate Rules 1987</w:t>
      </w:r>
      <w:r w:rsidRPr="005C4DAA">
        <w:rPr>
          <w:rFonts w:ascii="Arial" w:hAnsi="Arial" w:cs="Arial"/>
          <w:sz w:val="24"/>
          <w:szCs w:val="24"/>
        </w:rPr>
        <w:t>, Emily being a minor beneficiary, so trustees will have to hold and manage her trust (</w:t>
      </w:r>
      <w:r w:rsidRPr="005C4DAA">
        <w:rPr>
          <w:rFonts w:ascii="Arial" w:hAnsi="Arial" w:cs="Arial"/>
          <w:i/>
          <w:iCs/>
          <w:sz w:val="24"/>
          <w:szCs w:val="24"/>
        </w:rPr>
        <w:t>Trustee Act 1925</w:t>
      </w:r>
      <w:r w:rsidRPr="005C4DAA">
        <w:rPr>
          <w:rFonts w:ascii="Arial" w:hAnsi="Arial" w:cs="Arial"/>
          <w:sz w:val="24"/>
          <w:szCs w:val="24"/>
        </w:rPr>
        <w:t xml:space="preserve"> ss.31-32) and the requirement for there to be at least two trustees to properly administer Daniels discretionary trust (ss.34-36 </w:t>
      </w:r>
      <w:r w:rsidRPr="005C4DAA">
        <w:rPr>
          <w:rFonts w:ascii="Arial" w:hAnsi="Arial" w:cs="Arial"/>
          <w:i/>
          <w:iCs/>
          <w:sz w:val="24"/>
          <w:szCs w:val="24"/>
        </w:rPr>
        <w:t>Trustee Act 1925</w:t>
      </w:r>
      <w:r w:rsidRPr="005C4DAA">
        <w:rPr>
          <w:rFonts w:ascii="Arial" w:hAnsi="Arial" w:cs="Arial"/>
          <w:sz w:val="24"/>
          <w:szCs w:val="24"/>
        </w:rPr>
        <w:t>).</w:t>
      </w:r>
    </w:p>
    <w:p w14:paraId="6B13AA22" w14:textId="77777777" w:rsidR="009F2C5D" w:rsidRPr="005C4DAA" w:rsidRDefault="009F2C5D" w:rsidP="009F2C5D">
      <w:pPr>
        <w:spacing w:line="360" w:lineRule="auto"/>
        <w:rPr>
          <w:rFonts w:ascii="Arial" w:hAnsi="Arial" w:cs="Arial"/>
          <w:sz w:val="24"/>
          <w:szCs w:val="24"/>
        </w:rPr>
      </w:pPr>
    </w:p>
    <w:p w14:paraId="6C72C44C" w14:textId="77777777" w:rsidR="009F2C5D" w:rsidRPr="005C4DAA" w:rsidRDefault="009F2C5D" w:rsidP="009F2C5D">
      <w:pPr>
        <w:spacing w:line="360" w:lineRule="auto"/>
        <w:rPr>
          <w:rFonts w:ascii="Arial" w:hAnsi="Arial" w:cs="Arial"/>
          <w:b/>
          <w:bCs/>
          <w:sz w:val="24"/>
          <w:szCs w:val="24"/>
        </w:rPr>
      </w:pPr>
      <w:r w:rsidRPr="005C4DAA">
        <w:rPr>
          <w:rFonts w:ascii="Arial" w:hAnsi="Arial" w:cs="Arial"/>
          <w:b/>
          <w:bCs/>
          <w:sz w:val="24"/>
          <w:szCs w:val="24"/>
        </w:rPr>
        <w:t>Administering the Estate</w:t>
      </w:r>
    </w:p>
    <w:p w14:paraId="09E191D2"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Once probate is granted, Anna will be responsible for collecting and dividing estate assets, paying off any debts and distributing the estate in accordance with Margaret's will.  Executors must administer the estate properly and maintain accurate estate accounts with receipts, payments, and distributions recorded (s.25 </w:t>
      </w:r>
      <w:r w:rsidRPr="005C4DAA">
        <w:rPr>
          <w:rFonts w:ascii="Arial" w:hAnsi="Arial" w:cs="Arial"/>
          <w:i/>
          <w:iCs/>
          <w:sz w:val="24"/>
          <w:szCs w:val="24"/>
        </w:rPr>
        <w:t>Administration of Estates Act 1925</w:t>
      </w:r>
      <w:r w:rsidRPr="005C4DAA">
        <w:rPr>
          <w:rFonts w:ascii="Arial" w:hAnsi="Arial" w:cs="Arial"/>
          <w:sz w:val="24"/>
          <w:szCs w:val="24"/>
        </w:rPr>
        <w:t>).</w:t>
      </w:r>
    </w:p>
    <w:p w14:paraId="2DA3E2A8" w14:textId="77777777" w:rsidR="009F2C5D" w:rsidRPr="005C4DAA" w:rsidRDefault="009F2C5D" w:rsidP="009F2C5D">
      <w:pPr>
        <w:spacing w:line="360" w:lineRule="auto"/>
        <w:rPr>
          <w:rFonts w:ascii="Arial" w:hAnsi="Arial" w:cs="Arial"/>
          <w:sz w:val="24"/>
          <w:szCs w:val="24"/>
        </w:rPr>
      </w:pPr>
      <w:r w:rsidRPr="005C4DAA">
        <w:rPr>
          <w:rFonts w:ascii="Arial" w:hAnsi="Arial" w:cs="Arial"/>
          <w:sz w:val="24"/>
          <w:szCs w:val="24"/>
        </w:rPr>
        <w:t xml:space="preserve">After the administration period, Daniel’s discretionary trust will arise. The trustee must act in accordance with the </w:t>
      </w:r>
      <w:r w:rsidRPr="005C4DAA">
        <w:rPr>
          <w:rFonts w:ascii="Arial" w:hAnsi="Arial" w:cs="Arial"/>
          <w:i/>
          <w:iCs/>
          <w:sz w:val="24"/>
          <w:szCs w:val="24"/>
        </w:rPr>
        <w:t>Trustee Act 2000</w:t>
      </w:r>
      <w:r w:rsidRPr="005C4DAA">
        <w:rPr>
          <w:rFonts w:ascii="Arial" w:hAnsi="Arial" w:cs="Arial"/>
          <w:sz w:val="24"/>
          <w:szCs w:val="24"/>
        </w:rPr>
        <w:t xml:space="preserve"> and the duties established in ‘Armitage v Nurse’ (1998). Trustees would be able to use their discretion about whether Daniel receives money, providing flexibility rather than a fixed entitlement. Trustees may be required to register the trust with HMRC under the </w:t>
      </w:r>
      <w:r w:rsidRPr="005C4DAA">
        <w:rPr>
          <w:rFonts w:ascii="Arial" w:hAnsi="Arial" w:cs="Arial"/>
          <w:i/>
          <w:iCs/>
          <w:sz w:val="24"/>
          <w:szCs w:val="24"/>
        </w:rPr>
        <w:t>Money Laundering, Terrorist Financing and Transfer of Funds Regulations 2017,</w:t>
      </w:r>
      <w:r w:rsidRPr="005C4DAA">
        <w:rPr>
          <w:rFonts w:ascii="Arial" w:hAnsi="Arial" w:cs="Arial"/>
          <w:sz w:val="24"/>
          <w:szCs w:val="24"/>
        </w:rPr>
        <w:t xml:space="preserve"> as it is likely to continue after the administrative period.</w:t>
      </w:r>
    </w:p>
    <w:p w14:paraId="033B17CF" w14:textId="77777777" w:rsidR="009F2C5D" w:rsidRDefault="009F2C5D" w:rsidP="009F2C5D">
      <w:pPr>
        <w:spacing w:line="360" w:lineRule="auto"/>
        <w:rPr>
          <w:rFonts w:ascii="Arial" w:hAnsi="Arial" w:cs="Arial"/>
          <w:sz w:val="24"/>
          <w:szCs w:val="24"/>
        </w:rPr>
      </w:pPr>
      <w:r w:rsidRPr="005C4DAA">
        <w:rPr>
          <w:rFonts w:ascii="Arial" w:hAnsi="Arial" w:cs="Arial"/>
          <w:sz w:val="24"/>
          <w:szCs w:val="24"/>
        </w:rPr>
        <w:t>Ultimately, the estate must be properly and carefully administered to ensure compliance with inheritance tax, probate, and trust requirements.</w:t>
      </w:r>
    </w:p>
    <w:p w14:paraId="0D0D0C56" w14:textId="77777777" w:rsidR="009F2C5D" w:rsidRDefault="009F2C5D" w:rsidP="009F2C5D">
      <w:pPr>
        <w:spacing w:line="360" w:lineRule="auto"/>
        <w:rPr>
          <w:rFonts w:ascii="Arial" w:hAnsi="Arial" w:cs="Arial"/>
          <w:sz w:val="24"/>
          <w:szCs w:val="24"/>
        </w:rPr>
      </w:pPr>
    </w:p>
    <w:p w14:paraId="489EF232" w14:textId="77777777" w:rsidR="009F2C5D" w:rsidRDefault="009F2C5D" w:rsidP="009F2C5D">
      <w:pPr>
        <w:spacing w:line="360" w:lineRule="auto"/>
        <w:rPr>
          <w:rFonts w:ascii="Arial" w:hAnsi="Arial" w:cs="Arial"/>
          <w:sz w:val="24"/>
          <w:szCs w:val="24"/>
        </w:rPr>
      </w:pPr>
    </w:p>
    <w:p w14:paraId="14BE466B" w14:textId="77777777" w:rsidR="009F2C5D" w:rsidRDefault="009F2C5D" w:rsidP="009F2C5D">
      <w:pPr>
        <w:spacing w:line="360" w:lineRule="auto"/>
        <w:rPr>
          <w:rFonts w:ascii="Arial" w:hAnsi="Arial" w:cs="Arial"/>
          <w:sz w:val="24"/>
          <w:szCs w:val="24"/>
        </w:rPr>
      </w:pPr>
    </w:p>
    <w:p w14:paraId="62A02E64" w14:textId="77777777" w:rsidR="009F2C5D" w:rsidRDefault="009F2C5D" w:rsidP="009F2C5D">
      <w:pPr>
        <w:spacing w:line="360" w:lineRule="auto"/>
        <w:rPr>
          <w:rFonts w:ascii="Arial" w:hAnsi="Arial" w:cs="Arial"/>
          <w:sz w:val="24"/>
          <w:szCs w:val="24"/>
        </w:rPr>
      </w:pPr>
    </w:p>
    <w:p w14:paraId="3620A305" w14:textId="77777777" w:rsidR="009F2C5D" w:rsidRDefault="009F2C5D" w:rsidP="009F2C5D">
      <w:pPr>
        <w:spacing w:line="360" w:lineRule="auto"/>
        <w:rPr>
          <w:rFonts w:ascii="Arial" w:hAnsi="Arial" w:cs="Arial"/>
          <w:sz w:val="24"/>
          <w:szCs w:val="24"/>
        </w:rPr>
      </w:pPr>
    </w:p>
    <w:p w14:paraId="1D1AD7DA" w14:textId="77777777" w:rsidR="009F2C5D" w:rsidRDefault="009F2C5D" w:rsidP="009F2C5D">
      <w:pPr>
        <w:spacing w:line="360" w:lineRule="auto"/>
        <w:rPr>
          <w:rFonts w:ascii="Arial" w:hAnsi="Arial" w:cs="Arial"/>
          <w:sz w:val="24"/>
          <w:szCs w:val="24"/>
        </w:rPr>
      </w:pPr>
    </w:p>
    <w:p w14:paraId="29D7824A" w14:textId="77777777" w:rsidR="009F2C5D" w:rsidRDefault="009F2C5D" w:rsidP="009F2C5D">
      <w:pPr>
        <w:spacing w:line="360" w:lineRule="auto"/>
        <w:rPr>
          <w:rFonts w:ascii="Arial" w:hAnsi="Arial" w:cs="Arial"/>
          <w:sz w:val="24"/>
          <w:szCs w:val="24"/>
        </w:rPr>
      </w:pPr>
    </w:p>
    <w:p w14:paraId="4BAE1E49" w14:textId="77777777" w:rsidR="009F2C5D" w:rsidRDefault="009F2C5D" w:rsidP="009F2C5D">
      <w:pPr>
        <w:spacing w:line="360" w:lineRule="auto"/>
        <w:rPr>
          <w:rFonts w:ascii="Arial" w:hAnsi="Arial" w:cs="Arial"/>
          <w:sz w:val="24"/>
          <w:szCs w:val="24"/>
        </w:rPr>
      </w:pPr>
    </w:p>
    <w:p w14:paraId="71CCA258" w14:textId="77777777" w:rsidR="009F2C5D" w:rsidRDefault="009F2C5D" w:rsidP="009F2C5D">
      <w:pPr>
        <w:spacing w:line="360" w:lineRule="auto"/>
        <w:rPr>
          <w:rFonts w:ascii="Arial" w:hAnsi="Arial" w:cs="Arial"/>
          <w:sz w:val="24"/>
          <w:szCs w:val="24"/>
        </w:rPr>
      </w:pPr>
    </w:p>
    <w:p w14:paraId="527D0347" w14:textId="77777777" w:rsidR="009F2C5D" w:rsidRDefault="009F2C5D" w:rsidP="009F2C5D">
      <w:pPr>
        <w:spacing w:line="360" w:lineRule="auto"/>
        <w:rPr>
          <w:rFonts w:ascii="Arial" w:hAnsi="Arial" w:cs="Arial"/>
          <w:sz w:val="24"/>
          <w:szCs w:val="24"/>
        </w:rPr>
      </w:pPr>
    </w:p>
    <w:p w14:paraId="20F397A2" w14:textId="77777777" w:rsidR="009F2C5D" w:rsidRDefault="009F2C5D" w:rsidP="009F2C5D">
      <w:pPr>
        <w:spacing w:line="360" w:lineRule="auto"/>
        <w:rPr>
          <w:rFonts w:ascii="Arial" w:hAnsi="Arial" w:cs="Arial"/>
          <w:sz w:val="24"/>
          <w:szCs w:val="24"/>
        </w:rPr>
      </w:pPr>
    </w:p>
    <w:p w14:paraId="3C0CD75A" w14:textId="77777777" w:rsidR="009F2C5D" w:rsidRDefault="009F2C5D" w:rsidP="009F2C5D">
      <w:pPr>
        <w:spacing w:line="360" w:lineRule="auto"/>
        <w:rPr>
          <w:rFonts w:ascii="Arial" w:hAnsi="Arial" w:cs="Arial"/>
          <w:sz w:val="24"/>
          <w:szCs w:val="24"/>
        </w:rPr>
      </w:pPr>
    </w:p>
    <w:p w14:paraId="53AE65B2" w14:textId="77777777" w:rsidR="009F2C5D" w:rsidRDefault="009F2C5D" w:rsidP="009F2C5D">
      <w:pPr>
        <w:spacing w:line="360" w:lineRule="auto"/>
        <w:rPr>
          <w:rFonts w:ascii="Arial" w:hAnsi="Arial" w:cs="Arial"/>
          <w:sz w:val="24"/>
          <w:szCs w:val="24"/>
        </w:rPr>
      </w:pPr>
    </w:p>
    <w:p w14:paraId="64803ADF" w14:textId="77777777" w:rsidR="009F2C5D" w:rsidRDefault="009F2C5D" w:rsidP="009F2C5D">
      <w:pPr>
        <w:spacing w:line="360" w:lineRule="auto"/>
        <w:rPr>
          <w:rFonts w:ascii="Arial" w:hAnsi="Arial" w:cs="Arial"/>
          <w:sz w:val="24"/>
          <w:szCs w:val="24"/>
        </w:rPr>
      </w:pPr>
    </w:p>
    <w:p w14:paraId="265F7BB8" w14:textId="77777777" w:rsidR="009F2C5D" w:rsidRDefault="009F2C5D" w:rsidP="009F2C5D">
      <w:pPr>
        <w:spacing w:line="360" w:lineRule="auto"/>
        <w:rPr>
          <w:rFonts w:ascii="Arial" w:hAnsi="Arial" w:cs="Arial"/>
          <w:sz w:val="24"/>
          <w:szCs w:val="24"/>
        </w:rPr>
      </w:pPr>
    </w:p>
    <w:p w14:paraId="3819FB3D" w14:textId="77777777" w:rsidR="009F2C5D" w:rsidRDefault="009F2C5D" w:rsidP="009F2C5D">
      <w:pPr>
        <w:spacing w:line="360" w:lineRule="auto"/>
        <w:rPr>
          <w:rFonts w:ascii="Arial" w:hAnsi="Arial" w:cs="Arial"/>
          <w:sz w:val="24"/>
          <w:szCs w:val="24"/>
        </w:rPr>
      </w:pPr>
    </w:p>
    <w:p w14:paraId="57C8323E" w14:textId="77777777" w:rsidR="009F2C5D" w:rsidRDefault="009F2C5D" w:rsidP="009F2C5D">
      <w:pPr>
        <w:spacing w:line="360" w:lineRule="auto"/>
        <w:rPr>
          <w:rFonts w:ascii="Arial" w:hAnsi="Arial" w:cs="Arial"/>
          <w:sz w:val="24"/>
          <w:szCs w:val="24"/>
        </w:rPr>
      </w:pPr>
    </w:p>
    <w:p w14:paraId="363C619F" w14:textId="77777777" w:rsidR="009F2C5D" w:rsidRDefault="009F2C5D" w:rsidP="009F2C5D">
      <w:pPr>
        <w:spacing w:line="360" w:lineRule="auto"/>
        <w:rPr>
          <w:rFonts w:ascii="Arial" w:hAnsi="Arial" w:cs="Arial"/>
          <w:sz w:val="24"/>
          <w:szCs w:val="24"/>
        </w:rPr>
      </w:pPr>
    </w:p>
    <w:p w14:paraId="4579D638" w14:textId="77777777" w:rsidR="009F2C5D" w:rsidRDefault="009F2C5D" w:rsidP="009F2C5D">
      <w:pPr>
        <w:spacing w:line="360" w:lineRule="auto"/>
        <w:rPr>
          <w:rFonts w:ascii="Arial" w:hAnsi="Arial" w:cs="Arial"/>
          <w:sz w:val="24"/>
          <w:szCs w:val="24"/>
        </w:rPr>
      </w:pPr>
    </w:p>
    <w:p w14:paraId="6E1C0ACB" w14:textId="77777777" w:rsidR="009F2C5D" w:rsidRDefault="009F2C5D" w:rsidP="009F2C5D">
      <w:pPr>
        <w:spacing w:line="360" w:lineRule="auto"/>
        <w:rPr>
          <w:rFonts w:ascii="Arial" w:hAnsi="Arial" w:cs="Arial"/>
          <w:sz w:val="24"/>
          <w:szCs w:val="24"/>
          <w:u w:val="single"/>
        </w:rPr>
      </w:pPr>
      <w:r w:rsidRPr="005C4DAA">
        <w:rPr>
          <w:rFonts w:ascii="Arial" w:hAnsi="Arial" w:cs="Arial"/>
          <w:sz w:val="24"/>
          <w:szCs w:val="24"/>
          <w:u w:val="single"/>
        </w:rPr>
        <w:t>References</w:t>
      </w:r>
    </w:p>
    <w:p w14:paraId="44D6EF87" w14:textId="77777777" w:rsidR="009F2C5D" w:rsidRDefault="009F2C5D" w:rsidP="009F2C5D">
      <w:pPr>
        <w:spacing w:line="360" w:lineRule="auto"/>
        <w:rPr>
          <w:rFonts w:ascii="Arial" w:hAnsi="Arial" w:cs="Arial"/>
          <w:sz w:val="24"/>
          <w:szCs w:val="24"/>
          <w:u w:val="single"/>
        </w:rPr>
      </w:pPr>
    </w:p>
    <w:p w14:paraId="04AFE989" w14:textId="77777777" w:rsidR="009F2C5D" w:rsidRPr="00F85388" w:rsidRDefault="009F2C5D" w:rsidP="009F2C5D">
      <w:pPr>
        <w:spacing w:line="360" w:lineRule="auto"/>
        <w:rPr>
          <w:rFonts w:ascii="Arial" w:hAnsi="Arial" w:cs="Arial"/>
          <w:i/>
          <w:iCs/>
          <w:sz w:val="24"/>
          <w:szCs w:val="24"/>
        </w:rPr>
      </w:pPr>
      <w:r w:rsidRPr="00F85388">
        <w:rPr>
          <w:rFonts w:ascii="Arial" w:hAnsi="Arial" w:cs="Arial"/>
          <w:i/>
          <w:iCs/>
          <w:sz w:val="24"/>
          <w:szCs w:val="24"/>
        </w:rPr>
        <w:t>Administration of Estates Act 1925 c. 23</w:t>
      </w:r>
    </w:p>
    <w:p w14:paraId="6B9ED7ED" w14:textId="77777777" w:rsidR="009F2C5D" w:rsidRPr="00F85388" w:rsidRDefault="009F2C5D" w:rsidP="009F2C5D">
      <w:pPr>
        <w:spacing w:line="360" w:lineRule="auto"/>
        <w:rPr>
          <w:rFonts w:ascii="Arial" w:hAnsi="Arial" w:cs="Arial"/>
          <w:sz w:val="24"/>
          <w:szCs w:val="24"/>
        </w:rPr>
      </w:pPr>
      <w:r w:rsidRPr="00F85388">
        <w:rPr>
          <w:rFonts w:ascii="Arial" w:hAnsi="Arial" w:cs="Arial"/>
          <w:sz w:val="24"/>
          <w:szCs w:val="24"/>
        </w:rPr>
        <w:t xml:space="preserve">Available at: </w:t>
      </w:r>
      <w:hyperlink r:id="rId7" w:history="1">
        <w:r w:rsidRPr="00F85388">
          <w:rPr>
            <w:rStyle w:val="Hyperlink"/>
            <w:rFonts w:ascii="Arial" w:hAnsi="Arial" w:cs="Arial"/>
            <w:sz w:val="24"/>
            <w:szCs w:val="24"/>
          </w:rPr>
          <w:t>https://www.legislation.gov.uk/ukpga/Geo5/15-16/23/contents</w:t>
        </w:r>
      </w:hyperlink>
    </w:p>
    <w:p w14:paraId="47CE90EA" w14:textId="77777777" w:rsidR="009F2C5D" w:rsidRPr="00F85388" w:rsidRDefault="009F2C5D" w:rsidP="009F2C5D">
      <w:pPr>
        <w:spacing w:line="360" w:lineRule="auto"/>
        <w:rPr>
          <w:rFonts w:ascii="Arial" w:hAnsi="Arial" w:cs="Arial"/>
          <w:sz w:val="24"/>
          <w:szCs w:val="24"/>
        </w:rPr>
      </w:pPr>
      <w:r w:rsidRPr="00F85388">
        <w:rPr>
          <w:rFonts w:ascii="Arial" w:hAnsi="Arial" w:cs="Arial"/>
          <w:sz w:val="24"/>
          <w:szCs w:val="24"/>
        </w:rPr>
        <w:t>Accessed: 12/05/2026</w:t>
      </w:r>
    </w:p>
    <w:p w14:paraId="5A9A378C" w14:textId="77777777" w:rsidR="009F2C5D" w:rsidRDefault="009F2C5D" w:rsidP="009F2C5D">
      <w:pPr>
        <w:spacing w:line="360" w:lineRule="auto"/>
        <w:rPr>
          <w:rFonts w:ascii="Arial" w:hAnsi="Arial" w:cs="Arial"/>
          <w:sz w:val="24"/>
          <w:szCs w:val="24"/>
        </w:rPr>
      </w:pPr>
    </w:p>
    <w:p w14:paraId="6951EE31" w14:textId="77777777" w:rsidR="009F2C5D" w:rsidRPr="00F85388" w:rsidRDefault="009F2C5D" w:rsidP="009F2C5D">
      <w:pPr>
        <w:spacing w:line="360" w:lineRule="auto"/>
        <w:rPr>
          <w:rFonts w:ascii="Arial" w:hAnsi="Arial" w:cs="Arial"/>
          <w:sz w:val="24"/>
          <w:szCs w:val="24"/>
        </w:rPr>
      </w:pPr>
      <w:r w:rsidRPr="00F85388">
        <w:rPr>
          <w:rFonts w:ascii="Arial" w:hAnsi="Arial" w:cs="Arial"/>
          <w:sz w:val="24"/>
          <w:szCs w:val="24"/>
        </w:rPr>
        <w:t>‘Armitage v Nurse’ (1998) Ch 241</w:t>
      </w:r>
    </w:p>
    <w:p w14:paraId="072BC311" w14:textId="77777777" w:rsidR="009F2C5D" w:rsidRDefault="009F2C5D" w:rsidP="009F2C5D">
      <w:pPr>
        <w:spacing w:line="360" w:lineRule="auto"/>
        <w:rPr>
          <w:rFonts w:ascii="Arial" w:hAnsi="Arial" w:cs="Arial"/>
          <w:sz w:val="24"/>
          <w:szCs w:val="24"/>
        </w:rPr>
      </w:pPr>
    </w:p>
    <w:p w14:paraId="34E720EB" w14:textId="77777777" w:rsidR="009F2C5D" w:rsidRDefault="009F2C5D" w:rsidP="009F2C5D">
      <w:pPr>
        <w:spacing w:line="360" w:lineRule="auto"/>
        <w:rPr>
          <w:rFonts w:ascii="Arial" w:hAnsi="Arial" w:cs="Arial"/>
          <w:sz w:val="24"/>
          <w:szCs w:val="24"/>
        </w:rPr>
      </w:pPr>
      <w:r w:rsidRPr="00F85388">
        <w:rPr>
          <w:rFonts w:ascii="Arial" w:hAnsi="Arial" w:cs="Arial"/>
          <w:sz w:val="24"/>
          <w:szCs w:val="24"/>
        </w:rPr>
        <w:t>‘Banks v Goodfellow’ (1870) LR 5 QB 549</w:t>
      </w:r>
    </w:p>
    <w:p w14:paraId="21E6A4A0" w14:textId="77777777" w:rsidR="009F2C5D" w:rsidRDefault="009F2C5D" w:rsidP="009F2C5D">
      <w:pPr>
        <w:spacing w:line="360" w:lineRule="auto"/>
        <w:rPr>
          <w:rFonts w:ascii="Arial" w:hAnsi="Arial" w:cs="Arial"/>
          <w:sz w:val="24"/>
          <w:szCs w:val="24"/>
        </w:rPr>
      </w:pPr>
    </w:p>
    <w:p w14:paraId="28464C04" w14:textId="77777777" w:rsidR="009F2C5D" w:rsidRPr="00F85388" w:rsidRDefault="009F2C5D" w:rsidP="009F2C5D">
      <w:pPr>
        <w:spacing w:line="360" w:lineRule="auto"/>
        <w:rPr>
          <w:rFonts w:ascii="Arial" w:hAnsi="Arial" w:cs="Arial"/>
          <w:sz w:val="24"/>
          <w:szCs w:val="24"/>
        </w:rPr>
      </w:pPr>
      <w:r w:rsidRPr="00F85388">
        <w:rPr>
          <w:rFonts w:ascii="Arial" w:hAnsi="Arial" w:cs="Arial"/>
          <w:sz w:val="24"/>
          <w:szCs w:val="24"/>
        </w:rPr>
        <w:t>‘Gartside v IRC’ (1968) AC 553</w:t>
      </w:r>
    </w:p>
    <w:p w14:paraId="2BDF10A4" w14:textId="77777777" w:rsidR="009F2C5D" w:rsidRDefault="009F2C5D" w:rsidP="009F2C5D">
      <w:pPr>
        <w:spacing w:line="360" w:lineRule="auto"/>
        <w:rPr>
          <w:rFonts w:ascii="Arial" w:hAnsi="Arial" w:cs="Arial"/>
          <w:sz w:val="24"/>
          <w:szCs w:val="24"/>
        </w:rPr>
      </w:pPr>
    </w:p>
    <w:p w14:paraId="278E3F98" w14:textId="77777777" w:rsidR="009F2C5D" w:rsidRPr="00F85388" w:rsidRDefault="009F2C5D" w:rsidP="009F2C5D">
      <w:pPr>
        <w:spacing w:line="360" w:lineRule="auto"/>
        <w:rPr>
          <w:rFonts w:ascii="Arial" w:hAnsi="Arial" w:cs="Arial"/>
          <w:sz w:val="24"/>
          <w:szCs w:val="24"/>
        </w:rPr>
      </w:pPr>
      <w:r w:rsidRPr="00F85388">
        <w:rPr>
          <w:rFonts w:ascii="Arial" w:hAnsi="Arial" w:cs="Arial"/>
          <w:i/>
          <w:iCs/>
          <w:sz w:val="24"/>
          <w:szCs w:val="24"/>
        </w:rPr>
        <w:t>Inheritance Tax Act 1984 c. 51</w:t>
      </w:r>
    </w:p>
    <w:p w14:paraId="172A5FCC" w14:textId="77777777" w:rsidR="009F2C5D" w:rsidRPr="00F85388" w:rsidRDefault="009F2C5D" w:rsidP="009F2C5D">
      <w:pPr>
        <w:spacing w:line="360" w:lineRule="auto"/>
        <w:rPr>
          <w:rFonts w:ascii="Arial" w:hAnsi="Arial" w:cs="Arial"/>
          <w:sz w:val="24"/>
          <w:szCs w:val="24"/>
        </w:rPr>
      </w:pPr>
      <w:r w:rsidRPr="00F85388">
        <w:rPr>
          <w:rFonts w:ascii="Arial" w:hAnsi="Arial" w:cs="Arial"/>
          <w:sz w:val="24"/>
          <w:szCs w:val="24"/>
        </w:rPr>
        <w:t xml:space="preserve">Available at: </w:t>
      </w:r>
      <w:hyperlink r:id="rId8" w:history="1">
        <w:r w:rsidRPr="00F85388">
          <w:rPr>
            <w:rStyle w:val="Hyperlink"/>
            <w:rFonts w:ascii="Arial" w:hAnsi="Arial" w:cs="Arial"/>
            <w:sz w:val="24"/>
            <w:szCs w:val="24"/>
          </w:rPr>
          <w:t>https://www.legislation.gov.uk/ukpga/1984/51/contents</w:t>
        </w:r>
      </w:hyperlink>
      <w:r w:rsidRPr="00F85388">
        <w:rPr>
          <w:rFonts w:ascii="Arial" w:hAnsi="Arial" w:cs="Arial"/>
          <w:sz w:val="24"/>
          <w:szCs w:val="24"/>
        </w:rPr>
        <w:t xml:space="preserve"> Accessed:12/05/2026</w:t>
      </w:r>
    </w:p>
    <w:p w14:paraId="4FA9C3B7" w14:textId="77777777" w:rsidR="009F2C5D" w:rsidRDefault="009F2C5D" w:rsidP="009F2C5D">
      <w:pPr>
        <w:spacing w:line="360" w:lineRule="auto"/>
        <w:rPr>
          <w:rFonts w:ascii="Arial" w:hAnsi="Arial" w:cs="Arial"/>
          <w:sz w:val="24"/>
          <w:szCs w:val="24"/>
        </w:rPr>
      </w:pPr>
    </w:p>
    <w:p w14:paraId="3EC61C92" w14:textId="77777777" w:rsidR="009F2C5D" w:rsidRPr="00F85388" w:rsidRDefault="009F2C5D" w:rsidP="009F2C5D">
      <w:pPr>
        <w:spacing w:line="360" w:lineRule="auto"/>
        <w:rPr>
          <w:rFonts w:ascii="Arial" w:hAnsi="Arial" w:cs="Arial"/>
          <w:i/>
          <w:iCs/>
          <w:sz w:val="24"/>
          <w:szCs w:val="24"/>
        </w:rPr>
      </w:pPr>
      <w:r w:rsidRPr="00F85388">
        <w:rPr>
          <w:rFonts w:ascii="Arial" w:hAnsi="Arial" w:cs="Arial"/>
          <w:i/>
          <w:iCs/>
          <w:sz w:val="24"/>
          <w:szCs w:val="24"/>
        </w:rPr>
        <w:t>Money Laundering, Terrorist Financing and Transfer of Funds (Information on the Payer) Regulations 2017 no. 692</w:t>
      </w:r>
    </w:p>
    <w:p w14:paraId="5142E5C1" w14:textId="77777777" w:rsidR="009F2C5D" w:rsidRPr="00F85388" w:rsidRDefault="009F2C5D" w:rsidP="009F2C5D">
      <w:pPr>
        <w:spacing w:line="360" w:lineRule="auto"/>
        <w:rPr>
          <w:rFonts w:ascii="Arial" w:hAnsi="Arial" w:cs="Arial"/>
          <w:sz w:val="24"/>
          <w:szCs w:val="24"/>
        </w:rPr>
      </w:pPr>
      <w:r w:rsidRPr="00F85388">
        <w:rPr>
          <w:rFonts w:ascii="Arial" w:hAnsi="Arial" w:cs="Arial"/>
          <w:sz w:val="24"/>
          <w:szCs w:val="24"/>
        </w:rPr>
        <w:t xml:space="preserve">Available at: </w:t>
      </w:r>
      <w:hyperlink r:id="rId9" w:history="1">
        <w:r w:rsidRPr="00F85388">
          <w:rPr>
            <w:rStyle w:val="Hyperlink"/>
            <w:rFonts w:ascii="Arial" w:hAnsi="Arial" w:cs="Arial"/>
            <w:sz w:val="24"/>
            <w:szCs w:val="24"/>
          </w:rPr>
          <w:t>https://www.legislation.gov.uk/uksi/2017/692/contents</w:t>
        </w:r>
      </w:hyperlink>
    </w:p>
    <w:p w14:paraId="0E74F95A" w14:textId="77777777" w:rsidR="009F2C5D" w:rsidRPr="00F85388" w:rsidRDefault="009F2C5D" w:rsidP="009F2C5D">
      <w:pPr>
        <w:spacing w:line="360" w:lineRule="auto"/>
        <w:rPr>
          <w:rFonts w:ascii="Arial" w:hAnsi="Arial" w:cs="Arial"/>
          <w:sz w:val="24"/>
          <w:szCs w:val="24"/>
        </w:rPr>
      </w:pPr>
      <w:r w:rsidRPr="00F85388">
        <w:rPr>
          <w:rFonts w:ascii="Arial" w:hAnsi="Arial" w:cs="Arial"/>
          <w:sz w:val="24"/>
          <w:szCs w:val="24"/>
        </w:rPr>
        <w:t>Accessed: 13/05/2026</w:t>
      </w:r>
    </w:p>
    <w:p w14:paraId="388EBC2D" w14:textId="77777777" w:rsidR="009F2C5D" w:rsidRDefault="009F2C5D" w:rsidP="009F2C5D">
      <w:pPr>
        <w:spacing w:line="360" w:lineRule="auto"/>
        <w:rPr>
          <w:rFonts w:ascii="Arial" w:hAnsi="Arial" w:cs="Arial"/>
          <w:sz w:val="24"/>
          <w:szCs w:val="24"/>
        </w:rPr>
      </w:pPr>
    </w:p>
    <w:p w14:paraId="56D5D2F4" w14:textId="77777777" w:rsidR="009F2C5D" w:rsidRPr="00F85388" w:rsidRDefault="009F2C5D" w:rsidP="009F2C5D">
      <w:pPr>
        <w:spacing w:line="360" w:lineRule="auto"/>
        <w:rPr>
          <w:rFonts w:ascii="Arial" w:hAnsi="Arial" w:cs="Arial"/>
          <w:sz w:val="24"/>
          <w:szCs w:val="24"/>
        </w:rPr>
      </w:pPr>
      <w:r w:rsidRPr="00F85388">
        <w:rPr>
          <w:rFonts w:ascii="Arial" w:hAnsi="Arial" w:cs="Arial"/>
          <w:sz w:val="24"/>
          <w:szCs w:val="24"/>
        </w:rPr>
        <w:t>‘Morice v Bishop of Durham’ (1805) 32 ER 947</w:t>
      </w:r>
    </w:p>
    <w:p w14:paraId="640AB4DA" w14:textId="77777777" w:rsidR="009F2C5D" w:rsidRPr="00F85388" w:rsidRDefault="009F2C5D" w:rsidP="009F2C5D">
      <w:pPr>
        <w:spacing w:line="360" w:lineRule="auto"/>
        <w:rPr>
          <w:rFonts w:ascii="Arial" w:hAnsi="Arial" w:cs="Arial"/>
          <w:sz w:val="24"/>
          <w:szCs w:val="24"/>
        </w:rPr>
      </w:pPr>
    </w:p>
    <w:p w14:paraId="09C903B6" w14:textId="77777777" w:rsidR="009F2C5D" w:rsidRPr="00F85388" w:rsidRDefault="009F2C5D" w:rsidP="009F2C5D">
      <w:pPr>
        <w:spacing w:line="360" w:lineRule="auto"/>
        <w:rPr>
          <w:rFonts w:ascii="Arial" w:hAnsi="Arial" w:cs="Arial"/>
          <w:i/>
          <w:iCs/>
          <w:sz w:val="24"/>
          <w:szCs w:val="24"/>
        </w:rPr>
      </w:pPr>
      <w:r w:rsidRPr="00F85388">
        <w:rPr>
          <w:rFonts w:ascii="Arial" w:hAnsi="Arial" w:cs="Arial"/>
          <w:i/>
          <w:iCs/>
          <w:sz w:val="24"/>
          <w:szCs w:val="24"/>
        </w:rPr>
        <w:t xml:space="preserve">Non-Contentious Probate Rules 1987 no. 2024 </w:t>
      </w:r>
    </w:p>
    <w:p w14:paraId="7FA021E6" w14:textId="77777777" w:rsidR="009F2C5D" w:rsidRPr="00F85388" w:rsidRDefault="009F2C5D" w:rsidP="009F2C5D">
      <w:pPr>
        <w:spacing w:line="360" w:lineRule="auto"/>
        <w:rPr>
          <w:rFonts w:ascii="Arial" w:hAnsi="Arial" w:cs="Arial"/>
          <w:sz w:val="24"/>
          <w:szCs w:val="24"/>
        </w:rPr>
      </w:pPr>
      <w:r w:rsidRPr="00F85388">
        <w:rPr>
          <w:rFonts w:ascii="Arial" w:hAnsi="Arial" w:cs="Arial"/>
          <w:sz w:val="24"/>
          <w:szCs w:val="24"/>
        </w:rPr>
        <w:t xml:space="preserve">Available at: </w:t>
      </w:r>
      <w:hyperlink r:id="rId10" w:history="1">
        <w:r w:rsidRPr="00F85388">
          <w:rPr>
            <w:rStyle w:val="Hyperlink"/>
            <w:rFonts w:ascii="Arial" w:hAnsi="Arial" w:cs="Arial"/>
            <w:sz w:val="24"/>
            <w:szCs w:val="24"/>
          </w:rPr>
          <w:t>https://www.legislation.gov.uk/uksi/1987/2024/contents</w:t>
        </w:r>
      </w:hyperlink>
    </w:p>
    <w:p w14:paraId="3D416B04" w14:textId="77777777" w:rsidR="009F2C5D" w:rsidRPr="00F85388" w:rsidRDefault="009F2C5D" w:rsidP="009F2C5D">
      <w:pPr>
        <w:spacing w:line="360" w:lineRule="auto"/>
        <w:rPr>
          <w:rFonts w:ascii="Arial" w:hAnsi="Arial" w:cs="Arial"/>
          <w:sz w:val="24"/>
          <w:szCs w:val="24"/>
        </w:rPr>
      </w:pPr>
      <w:r w:rsidRPr="00F85388">
        <w:rPr>
          <w:rFonts w:ascii="Arial" w:hAnsi="Arial" w:cs="Arial"/>
          <w:sz w:val="24"/>
          <w:szCs w:val="24"/>
        </w:rPr>
        <w:t>Accessed:13/ 05/2026</w:t>
      </w:r>
    </w:p>
    <w:p w14:paraId="11B3590A" w14:textId="77777777" w:rsidR="009F2C5D" w:rsidRDefault="009F2C5D" w:rsidP="009F2C5D">
      <w:pPr>
        <w:spacing w:line="360" w:lineRule="auto"/>
        <w:rPr>
          <w:rFonts w:ascii="Arial" w:hAnsi="Arial" w:cs="Arial"/>
          <w:sz w:val="24"/>
          <w:szCs w:val="24"/>
        </w:rPr>
      </w:pPr>
    </w:p>
    <w:p w14:paraId="286B8D48" w14:textId="77777777" w:rsidR="009F2C5D" w:rsidRPr="00F85388" w:rsidRDefault="009F2C5D" w:rsidP="009F2C5D">
      <w:pPr>
        <w:spacing w:line="360" w:lineRule="auto"/>
        <w:rPr>
          <w:rFonts w:ascii="Arial" w:hAnsi="Arial" w:cs="Arial"/>
          <w:sz w:val="24"/>
          <w:szCs w:val="24"/>
        </w:rPr>
      </w:pPr>
      <w:r w:rsidRPr="00F85388">
        <w:rPr>
          <w:rFonts w:ascii="Arial" w:hAnsi="Arial" w:cs="Arial"/>
          <w:sz w:val="24"/>
          <w:szCs w:val="24"/>
        </w:rPr>
        <w:t>‘Saunders v Vautier’ (1841) 4 Beav 115</w:t>
      </w:r>
    </w:p>
    <w:p w14:paraId="4117C2EC" w14:textId="77777777" w:rsidR="009F2C5D" w:rsidRPr="00F85388" w:rsidRDefault="009F2C5D" w:rsidP="009F2C5D">
      <w:pPr>
        <w:spacing w:line="360" w:lineRule="auto"/>
        <w:rPr>
          <w:rFonts w:ascii="Arial" w:hAnsi="Arial" w:cs="Arial"/>
          <w:sz w:val="24"/>
          <w:szCs w:val="24"/>
        </w:rPr>
      </w:pPr>
    </w:p>
    <w:p w14:paraId="479DA150" w14:textId="77777777" w:rsidR="009F2C5D" w:rsidRPr="00F85388" w:rsidRDefault="009F2C5D" w:rsidP="009F2C5D">
      <w:pPr>
        <w:spacing w:line="360" w:lineRule="auto"/>
        <w:rPr>
          <w:rFonts w:ascii="Arial" w:hAnsi="Arial" w:cs="Arial"/>
          <w:sz w:val="24"/>
          <w:szCs w:val="24"/>
        </w:rPr>
      </w:pPr>
      <w:r w:rsidRPr="00F85388">
        <w:rPr>
          <w:rFonts w:ascii="Arial" w:hAnsi="Arial" w:cs="Arial"/>
          <w:sz w:val="24"/>
          <w:szCs w:val="24"/>
        </w:rPr>
        <w:t>‘Schmidt v Rosewood Trust Ltd’ (2003) UKPC 26</w:t>
      </w:r>
    </w:p>
    <w:p w14:paraId="05426224" w14:textId="77777777" w:rsidR="009F2C5D" w:rsidRDefault="009F2C5D" w:rsidP="009F2C5D">
      <w:pPr>
        <w:spacing w:line="360" w:lineRule="auto"/>
        <w:rPr>
          <w:rFonts w:ascii="Arial" w:hAnsi="Arial" w:cs="Arial"/>
          <w:sz w:val="24"/>
          <w:szCs w:val="24"/>
        </w:rPr>
      </w:pPr>
    </w:p>
    <w:p w14:paraId="5EBBBE04" w14:textId="77777777" w:rsidR="009F2C5D" w:rsidRPr="00F85388" w:rsidRDefault="009F2C5D" w:rsidP="009F2C5D">
      <w:pPr>
        <w:spacing w:line="360" w:lineRule="auto"/>
        <w:rPr>
          <w:rFonts w:ascii="Arial" w:hAnsi="Arial" w:cs="Arial"/>
          <w:sz w:val="24"/>
          <w:szCs w:val="24"/>
        </w:rPr>
      </w:pPr>
      <w:r w:rsidRPr="00F85388">
        <w:rPr>
          <w:rFonts w:ascii="Arial" w:hAnsi="Arial" w:cs="Arial"/>
          <w:sz w:val="24"/>
          <w:szCs w:val="24"/>
        </w:rPr>
        <w:t xml:space="preserve">SRA (2019) </w:t>
      </w:r>
      <w:r w:rsidRPr="00F85388">
        <w:rPr>
          <w:rFonts w:ascii="Arial" w:hAnsi="Arial" w:cs="Arial"/>
          <w:i/>
          <w:iCs/>
          <w:sz w:val="24"/>
          <w:szCs w:val="24"/>
        </w:rPr>
        <w:t>SRA code of conduct for solicitors, RELs and RFLs</w:t>
      </w:r>
      <w:r w:rsidRPr="00F85388">
        <w:rPr>
          <w:rFonts w:ascii="Arial" w:hAnsi="Arial" w:cs="Arial"/>
          <w:sz w:val="24"/>
          <w:szCs w:val="24"/>
        </w:rPr>
        <w:t xml:space="preserve">. Birmingham: Solicitors Regulation Authority. Available at: </w:t>
      </w:r>
      <w:hyperlink r:id="rId11" w:history="1">
        <w:r w:rsidRPr="00F85388">
          <w:rPr>
            <w:rStyle w:val="Hyperlink"/>
            <w:rFonts w:ascii="Arial" w:hAnsi="Arial" w:cs="Arial"/>
            <w:sz w:val="24"/>
            <w:szCs w:val="24"/>
          </w:rPr>
          <w:t>SRA | SRA Code of Conduct for Solicitors, RELs, RFLs and RSLs | Solicitors Regulation Authority</w:t>
        </w:r>
      </w:hyperlink>
      <w:r w:rsidRPr="00F85388">
        <w:rPr>
          <w:rFonts w:ascii="Arial" w:hAnsi="Arial" w:cs="Arial"/>
          <w:sz w:val="24"/>
          <w:szCs w:val="24"/>
        </w:rPr>
        <w:t xml:space="preserve"> Accessed:14/05/2026</w:t>
      </w:r>
    </w:p>
    <w:p w14:paraId="63758F78" w14:textId="77777777" w:rsidR="009F2C5D" w:rsidRPr="00F85388" w:rsidRDefault="009F2C5D" w:rsidP="009F2C5D">
      <w:pPr>
        <w:spacing w:line="360" w:lineRule="auto"/>
        <w:rPr>
          <w:rFonts w:ascii="Arial" w:hAnsi="Arial" w:cs="Arial"/>
          <w:sz w:val="24"/>
          <w:szCs w:val="24"/>
        </w:rPr>
      </w:pPr>
    </w:p>
    <w:p w14:paraId="300DDDA4" w14:textId="77777777" w:rsidR="009F2C5D" w:rsidRPr="00F85388" w:rsidRDefault="009F2C5D" w:rsidP="009F2C5D">
      <w:pPr>
        <w:spacing w:line="360" w:lineRule="auto"/>
        <w:rPr>
          <w:rFonts w:ascii="Arial" w:hAnsi="Arial" w:cs="Arial"/>
          <w:sz w:val="24"/>
          <w:szCs w:val="24"/>
        </w:rPr>
      </w:pPr>
      <w:r w:rsidRPr="00F85388">
        <w:rPr>
          <w:rFonts w:ascii="Arial" w:hAnsi="Arial" w:cs="Arial"/>
          <w:sz w:val="24"/>
          <w:szCs w:val="24"/>
        </w:rPr>
        <w:t xml:space="preserve">SRA (2018) </w:t>
      </w:r>
      <w:r w:rsidRPr="00F85388">
        <w:rPr>
          <w:rFonts w:ascii="Arial" w:hAnsi="Arial" w:cs="Arial"/>
          <w:i/>
          <w:iCs/>
          <w:sz w:val="24"/>
          <w:szCs w:val="24"/>
        </w:rPr>
        <w:t>SRA Transparency rules</w:t>
      </w:r>
      <w:r w:rsidRPr="00F85388">
        <w:rPr>
          <w:rFonts w:ascii="Arial" w:hAnsi="Arial" w:cs="Arial"/>
          <w:sz w:val="24"/>
          <w:szCs w:val="24"/>
        </w:rPr>
        <w:t xml:space="preserve">. Birmingham: Solicitors Regulation Authority. Available at: </w:t>
      </w:r>
      <w:hyperlink r:id="rId12" w:history="1">
        <w:r w:rsidRPr="00F85388">
          <w:rPr>
            <w:rStyle w:val="Hyperlink"/>
            <w:rFonts w:ascii="Arial" w:hAnsi="Arial" w:cs="Arial"/>
            <w:sz w:val="24"/>
            <w:szCs w:val="24"/>
          </w:rPr>
          <w:t>SRA | Transparency Rules | Solicitors Regulation Authority</w:t>
        </w:r>
      </w:hyperlink>
      <w:r w:rsidRPr="00F85388">
        <w:rPr>
          <w:rFonts w:ascii="Arial" w:hAnsi="Arial" w:cs="Arial"/>
          <w:sz w:val="24"/>
          <w:szCs w:val="24"/>
        </w:rPr>
        <w:t xml:space="preserve"> Accessed:14/05/2026</w:t>
      </w:r>
    </w:p>
    <w:p w14:paraId="1EFC9766" w14:textId="77777777" w:rsidR="009F2C5D" w:rsidRDefault="009F2C5D" w:rsidP="009F2C5D">
      <w:pPr>
        <w:spacing w:line="360" w:lineRule="auto"/>
        <w:rPr>
          <w:rFonts w:ascii="Arial" w:hAnsi="Arial" w:cs="Arial"/>
          <w:sz w:val="24"/>
          <w:szCs w:val="24"/>
        </w:rPr>
      </w:pPr>
    </w:p>
    <w:p w14:paraId="5B48EE15" w14:textId="77777777" w:rsidR="009F2C5D" w:rsidRPr="00F85388" w:rsidRDefault="009F2C5D" w:rsidP="009F2C5D">
      <w:pPr>
        <w:spacing w:line="360" w:lineRule="auto"/>
        <w:rPr>
          <w:rFonts w:ascii="Arial" w:hAnsi="Arial" w:cs="Arial"/>
          <w:i/>
          <w:iCs/>
          <w:sz w:val="24"/>
          <w:szCs w:val="24"/>
        </w:rPr>
      </w:pPr>
      <w:r w:rsidRPr="00F85388">
        <w:rPr>
          <w:rFonts w:ascii="Arial" w:hAnsi="Arial" w:cs="Arial"/>
          <w:i/>
          <w:iCs/>
          <w:sz w:val="24"/>
          <w:szCs w:val="24"/>
        </w:rPr>
        <w:t>Trustee Act 1925</w:t>
      </w:r>
      <w:r w:rsidRPr="00F85388">
        <w:rPr>
          <w:rFonts w:ascii="Arial" w:hAnsi="Arial" w:cs="Arial"/>
          <w:sz w:val="24"/>
          <w:szCs w:val="24"/>
        </w:rPr>
        <w:t xml:space="preserve"> </w:t>
      </w:r>
      <w:r w:rsidRPr="00F85388">
        <w:rPr>
          <w:rFonts w:ascii="Arial" w:hAnsi="Arial" w:cs="Arial"/>
          <w:i/>
          <w:iCs/>
          <w:sz w:val="24"/>
          <w:szCs w:val="24"/>
        </w:rPr>
        <w:t>c. 19</w:t>
      </w:r>
    </w:p>
    <w:p w14:paraId="17E28727" w14:textId="77777777" w:rsidR="009F2C5D" w:rsidRPr="00F85388" w:rsidRDefault="009F2C5D" w:rsidP="009F2C5D">
      <w:pPr>
        <w:spacing w:line="360" w:lineRule="auto"/>
        <w:rPr>
          <w:rFonts w:ascii="Arial" w:hAnsi="Arial" w:cs="Arial"/>
          <w:sz w:val="24"/>
          <w:szCs w:val="24"/>
        </w:rPr>
      </w:pPr>
      <w:r w:rsidRPr="00F85388">
        <w:rPr>
          <w:rFonts w:ascii="Arial" w:hAnsi="Arial" w:cs="Arial"/>
          <w:sz w:val="24"/>
          <w:szCs w:val="24"/>
        </w:rPr>
        <w:t xml:space="preserve">Available at: </w:t>
      </w:r>
      <w:hyperlink r:id="rId13" w:history="1">
        <w:r w:rsidRPr="00F85388">
          <w:rPr>
            <w:rStyle w:val="Hyperlink"/>
            <w:rFonts w:ascii="Arial" w:hAnsi="Arial" w:cs="Arial"/>
            <w:sz w:val="24"/>
            <w:szCs w:val="24"/>
          </w:rPr>
          <w:t>https://www.legislation.gov.uk/ukpga/Geo5/15-16/19/contents</w:t>
        </w:r>
      </w:hyperlink>
    </w:p>
    <w:p w14:paraId="6867AFBE" w14:textId="77777777" w:rsidR="009F2C5D" w:rsidRPr="00F85388" w:rsidRDefault="009F2C5D" w:rsidP="009F2C5D">
      <w:pPr>
        <w:spacing w:line="360" w:lineRule="auto"/>
        <w:rPr>
          <w:rFonts w:ascii="Arial" w:hAnsi="Arial" w:cs="Arial"/>
          <w:sz w:val="24"/>
          <w:szCs w:val="24"/>
        </w:rPr>
      </w:pPr>
      <w:r w:rsidRPr="00F85388">
        <w:rPr>
          <w:rFonts w:ascii="Arial" w:hAnsi="Arial" w:cs="Arial"/>
          <w:sz w:val="24"/>
          <w:szCs w:val="24"/>
        </w:rPr>
        <w:t>Accessed: 12/05/2026</w:t>
      </w:r>
    </w:p>
    <w:p w14:paraId="6CCDFE49" w14:textId="77777777" w:rsidR="009F2C5D" w:rsidRDefault="009F2C5D" w:rsidP="009F2C5D">
      <w:pPr>
        <w:spacing w:line="360" w:lineRule="auto"/>
        <w:rPr>
          <w:rFonts w:ascii="Arial" w:hAnsi="Arial" w:cs="Arial"/>
          <w:sz w:val="24"/>
          <w:szCs w:val="24"/>
        </w:rPr>
      </w:pPr>
    </w:p>
    <w:p w14:paraId="35A136CC" w14:textId="77777777" w:rsidR="009F2C5D" w:rsidRPr="00F85388" w:rsidRDefault="009F2C5D" w:rsidP="009F2C5D">
      <w:pPr>
        <w:spacing w:line="360" w:lineRule="auto"/>
        <w:rPr>
          <w:rFonts w:ascii="Arial" w:hAnsi="Arial" w:cs="Arial"/>
          <w:i/>
          <w:iCs/>
          <w:sz w:val="24"/>
          <w:szCs w:val="24"/>
        </w:rPr>
      </w:pPr>
      <w:r w:rsidRPr="00F85388">
        <w:rPr>
          <w:rFonts w:ascii="Arial" w:hAnsi="Arial" w:cs="Arial"/>
          <w:i/>
          <w:iCs/>
          <w:sz w:val="24"/>
          <w:szCs w:val="24"/>
        </w:rPr>
        <w:t>Trustee Act 2000, c. 29</w:t>
      </w:r>
    </w:p>
    <w:p w14:paraId="04C008C1" w14:textId="77777777" w:rsidR="009F2C5D" w:rsidRPr="00F85388" w:rsidRDefault="009F2C5D" w:rsidP="009F2C5D">
      <w:pPr>
        <w:spacing w:line="360" w:lineRule="auto"/>
        <w:rPr>
          <w:rFonts w:ascii="Arial" w:hAnsi="Arial" w:cs="Arial"/>
          <w:sz w:val="24"/>
          <w:szCs w:val="24"/>
        </w:rPr>
      </w:pPr>
      <w:r w:rsidRPr="00F85388">
        <w:rPr>
          <w:rFonts w:ascii="Arial" w:hAnsi="Arial" w:cs="Arial"/>
          <w:sz w:val="24"/>
          <w:szCs w:val="24"/>
        </w:rPr>
        <w:t xml:space="preserve">Available at: </w:t>
      </w:r>
      <w:hyperlink r:id="rId14" w:history="1">
        <w:r w:rsidRPr="00F85388">
          <w:rPr>
            <w:rStyle w:val="Hyperlink"/>
            <w:rFonts w:ascii="Arial" w:hAnsi="Arial" w:cs="Arial"/>
            <w:sz w:val="24"/>
            <w:szCs w:val="24"/>
          </w:rPr>
          <w:t>https://www.legislation.gov.uk/ukpga/2000/29/contents</w:t>
        </w:r>
      </w:hyperlink>
    </w:p>
    <w:p w14:paraId="561C8304" w14:textId="77777777" w:rsidR="009F2C5D" w:rsidRPr="00F85388" w:rsidRDefault="009F2C5D" w:rsidP="009F2C5D">
      <w:pPr>
        <w:spacing w:line="360" w:lineRule="auto"/>
        <w:rPr>
          <w:rFonts w:ascii="Arial" w:hAnsi="Arial" w:cs="Arial"/>
          <w:sz w:val="24"/>
          <w:szCs w:val="24"/>
        </w:rPr>
      </w:pPr>
      <w:r w:rsidRPr="00F85388">
        <w:rPr>
          <w:rFonts w:ascii="Arial" w:hAnsi="Arial" w:cs="Arial"/>
          <w:sz w:val="24"/>
          <w:szCs w:val="24"/>
        </w:rPr>
        <w:t>Accessed: 13/05/2026</w:t>
      </w:r>
    </w:p>
    <w:p w14:paraId="1EDB256B" w14:textId="77777777" w:rsidR="009F2C5D" w:rsidRDefault="009F2C5D" w:rsidP="009F2C5D">
      <w:pPr>
        <w:spacing w:line="360" w:lineRule="auto"/>
        <w:rPr>
          <w:rFonts w:ascii="Arial" w:hAnsi="Arial" w:cs="Arial"/>
          <w:sz w:val="24"/>
          <w:szCs w:val="24"/>
        </w:rPr>
      </w:pPr>
    </w:p>
    <w:p w14:paraId="5837421A" w14:textId="77777777" w:rsidR="009F2C5D" w:rsidRPr="00F85388" w:rsidRDefault="009F2C5D" w:rsidP="009F2C5D">
      <w:pPr>
        <w:spacing w:line="360" w:lineRule="auto"/>
        <w:rPr>
          <w:rFonts w:ascii="Arial" w:hAnsi="Arial" w:cs="Arial"/>
          <w:sz w:val="24"/>
          <w:szCs w:val="24"/>
        </w:rPr>
      </w:pPr>
      <w:r w:rsidRPr="00F85388">
        <w:rPr>
          <w:rFonts w:ascii="Arial" w:hAnsi="Arial" w:cs="Arial"/>
          <w:i/>
          <w:iCs/>
          <w:sz w:val="24"/>
          <w:szCs w:val="24"/>
        </w:rPr>
        <w:t>Wills Act 1837 c. 26</w:t>
      </w:r>
    </w:p>
    <w:p w14:paraId="5AEFBD2E" w14:textId="77777777" w:rsidR="009F2C5D" w:rsidRPr="00F85388" w:rsidRDefault="009F2C5D" w:rsidP="009F2C5D">
      <w:pPr>
        <w:spacing w:line="360" w:lineRule="auto"/>
        <w:rPr>
          <w:rFonts w:ascii="Arial" w:hAnsi="Arial" w:cs="Arial"/>
          <w:sz w:val="24"/>
          <w:szCs w:val="24"/>
        </w:rPr>
      </w:pPr>
      <w:r w:rsidRPr="00F85388">
        <w:rPr>
          <w:rFonts w:ascii="Arial" w:hAnsi="Arial" w:cs="Arial"/>
          <w:sz w:val="24"/>
          <w:szCs w:val="24"/>
        </w:rPr>
        <w:t xml:space="preserve">Available at: </w:t>
      </w:r>
      <w:hyperlink r:id="rId15" w:history="1">
        <w:r w:rsidRPr="00F85388">
          <w:rPr>
            <w:rStyle w:val="Hyperlink"/>
            <w:rFonts w:ascii="Arial" w:hAnsi="Arial" w:cs="Arial"/>
            <w:sz w:val="24"/>
            <w:szCs w:val="24"/>
          </w:rPr>
          <w:t>https://www.legislation.gov.uk/ukpga/Will4and1Vict/7/26/contents</w:t>
        </w:r>
      </w:hyperlink>
      <w:r w:rsidRPr="00F85388">
        <w:rPr>
          <w:rFonts w:ascii="Arial" w:hAnsi="Arial" w:cs="Arial"/>
          <w:sz w:val="24"/>
          <w:szCs w:val="24"/>
        </w:rPr>
        <w:t xml:space="preserve"> Accessed: 12/05/2026</w:t>
      </w:r>
    </w:p>
    <w:p w14:paraId="3A397078" w14:textId="77777777" w:rsidR="009F2C5D" w:rsidRPr="005C4DAA" w:rsidRDefault="009F2C5D" w:rsidP="009F2C5D">
      <w:pPr>
        <w:spacing w:line="360" w:lineRule="auto"/>
        <w:rPr>
          <w:rFonts w:ascii="Arial" w:hAnsi="Arial" w:cs="Arial"/>
          <w:sz w:val="24"/>
          <w:szCs w:val="24"/>
        </w:rPr>
      </w:pPr>
    </w:p>
    <w:p w14:paraId="20B4102D" w14:textId="77777777" w:rsidR="00421860" w:rsidRDefault="00421860"/>
    <w:sectPr w:rsidR="00421860" w:rsidSect="009F2C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C5D"/>
    <w:rsid w:val="00052613"/>
    <w:rsid w:val="00421860"/>
    <w:rsid w:val="00700534"/>
    <w:rsid w:val="009D39F3"/>
    <w:rsid w:val="009F2C5D"/>
    <w:rsid w:val="00D550B7"/>
    <w:rsid w:val="00DA4A2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2FF9B1E"/>
  <w15:chartTrackingRefBased/>
  <w15:docId w15:val="{3F3115DD-53DE-4D9E-8198-0A90C77EA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C5D"/>
  </w:style>
  <w:style w:type="paragraph" w:styleId="Heading1">
    <w:name w:val="heading 1"/>
    <w:basedOn w:val="Normal"/>
    <w:next w:val="Normal"/>
    <w:link w:val="Heading1Char"/>
    <w:uiPriority w:val="9"/>
    <w:qFormat/>
    <w:rsid w:val="009F2C5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F2C5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F2C5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F2C5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F2C5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F2C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2C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2C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2C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2C5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F2C5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F2C5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F2C5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F2C5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F2C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2C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2C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2C5D"/>
    <w:rPr>
      <w:rFonts w:eastAsiaTheme="majorEastAsia" w:cstheme="majorBidi"/>
      <w:color w:val="272727" w:themeColor="text1" w:themeTint="D8"/>
    </w:rPr>
  </w:style>
  <w:style w:type="paragraph" w:styleId="Title">
    <w:name w:val="Title"/>
    <w:basedOn w:val="Normal"/>
    <w:next w:val="Normal"/>
    <w:link w:val="TitleChar"/>
    <w:uiPriority w:val="10"/>
    <w:qFormat/>
    <w:rsid w:val="009F2C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2C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2C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2C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2C5D"/>
    <w:pPr>
      <w:spacing w:before="160"/>
      <w:jc w:val="center"/>
    </w:pPr>
    <w:rPr>
      <w:i/>
      <w:iCs/>
      <w:color w:val="404040" w:themeColor="text1" w:themeTint="BF"/>
    </w:rPr>
  </w:style>
  <w:style w:type="character" w:customStyle="1" w:styleId="QuoteChar">
    <w:name w:val="Quote Char"/>
    <w:basedOn w:val="DefaultParagraphFont"/>
    <w:link w:val="Quote"/>
    <w:uiPriority w:val="29"/>
    <w:rsid w:val="009F2C5D"/>
    <w:rPr>
      <w:i/>
      <w:iCs/>
      <w:color w:val="404040" w:themeColor="text1" w:themeTint="BF"/>
    </w:rPr>
  </w:style>
  <w:style w:type="paragraph" w:styleId="ListParagraph">
    <w:name w:val="List Paragraph"/>
    <w:basedOn w:val="Normal"/>
    <w:uiPriority w:val="34"/>
    <w:qFormat/>
    <w:rsid w:val="009F2C5D"/>
    <w:pPr>
      <w:ind w:left="720"/>
      <w:contextualSpacing/>
    </w:pPr>
  </w:style>
  <w:style w:type="character" w:styleId="IntenseEmphasis">
    <w:name w:val="Intense Emphasis"/>
    <w:basedOn w:val="DefaultParagraphFont"/>
    <w:uiPriority w:val="21"/>
    <w:qFormat/>
    <w:rsid w:val="009F2C5D"/>
    <w:rPr>
      <w:i/>
      <w:iCs/>
      <w:color w:val="2F5496" w:themeColor="accent1" w:themeShade="BF"/>
    </w:rPr>
  </w:style>
  <w:style w:type="paragraph" w:styleId="IntenseQuote">
    <w:name w:val="Intense Quote"/>
    <w:basedOn w:val="Normal"/>
    <w:next w:val="Normal"/>
    <w:link w:val="IntenseQuoteChar"/>
    <w:uiPriority w:val="30"/>
    <w:qFormat/>
    <w:rsid w:val="009F2C5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F2C5D"/>
    <w:rPr>
      <w:i/>
      <w:iCs/>
      <w:color w:val="2F5496" w:themeColor="accent1" w:themeShade="BF"/>
    </w:rPr>
  </w:style>
  <w:style w:type="character" w:styleId="IntenseReference">
    <w:name w:val="Intense Reference"/>
    <w:basedOn w:val="DefaultParagraphFont"/>
    <w:uiPriority w:val="32"/>
    <w:qFormat/>
    <w:rsid w:val="009F2C5D"/>
    <w:rPr>
      <w:b/>
      <w:bCs/>
      <w:smallCaps/>
      <w:color w:val="2F5496" w:themeColor="accent1" w:themeShade="BF"/>
      <w:spacing w:val="5"/>
    </w:rPr>
  </w:style>
  <w:style w:type="character" w:styleId="Hyperlink">
    <w:name w:val="Hyperlink"/>
    <w:basedOn w:val="DefaultParagraphFont"/>
    <w:uiPriority w:val="99"/>
    <w:unhideWhenUsed/>
    <w:rsid w:val="009F2C5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4/51/contents" TargetMode="External"/><Relationship Id="rId13" Type="http://schemas.openxmlformats.org/officeDocument/2006/relationships/hyperlink" Target="https://www.legislation.gov.uk/ukpga/Geo5/15-16/19/contents" TargetMode="External"/><Relationship Id="rId3" Type="http://schemas.openxmlformats.org/officeDocument/2006/relationships/customXml" Target="../customXml/item3.xml"/><Relationship Id="rId7" Type="http://schemas.openxmlformats.org/officeDocument/2006/relationships/hyperlink" Target="https://www.legislation.gov.uk/ukpga/Geo5/15-16/23/contents" TargetMode="External"/><Relationship Id="rId12" Type="http://schemas.openxmlformats.org/officeDocument/2006/relationships/hyperlink" Target="https://www.sra.org.uk/solicitors/standards-regulations/transparency-rule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ra.org.uk/solicitors/standards-regulations/code-conduct-solicitors/" TargetMode="External"/><Relationship Id="rId5" Type="http://schemas.openxmlformats.org/officeDocument/2006/relationships/settings" Target="settings.xml"/><Relationship Id="rId15" Type="http://schemas.openxmlformats.org/officeDocument/2006/relationships/hyperlink" Target="https://www.legislation.gov.uk/ukpga/Will4and1Vict/7/26/contents" TargetMode="External"/><Relationship Id="rId10" Type="http://schemas.openxmlformats.org/officeDocument/2006/relationships/hyperlink" Target="https://www.legislation.gov.uk/uksi/1987/2024/contents" TargetMode="External"/><Relationship Id="rId4" Type="http://schemas.openxmlformats.org/officeDocument/2006/relationships/styles" Target="styles.xml"/><Relationship Id="rId9" Type="http://schemas.openxmlformats.org/officeDocument/2006/relationships/hyperlink" Target="https://www.legislation.gov.uk/uksi/2017/692/contents" TargetMode="External"/><Relationship Id="rId14" Type="http://schemas.openxmlformats.org/officeDocument/2006/relationships/hyperlink" Target="https://www.legislation.gov.uk/ukpga/2000/29/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3463ffd39be3bd3d717f8a792b8635b9">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6bbc7aa7fe105413f512bff56c9ada0c"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44E3EA4B-2CD0-4580-B17B-2880C8638E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A5931F4-C943-43E8-8C32-1037EAEE7C13}">
  <ds:schemaRefs>
    <ds:schemaRef ds:uri="http://schemas.microsoft.com/sharepoint/v3/contenttype/forms"/>
  </ds:schemaRefs>
</ds:datastoreItem>
</file>

<file path=customXml/itemProps3.xml><?xml version="1.0" encoding="utf-8"?>
<ds:datastoreItem xmlns:ds="http://schemas.openxmlformats.org/officeDocument/2006/customXml" ds:itemID="{A387A4CC-32BD-4E25-9175-10D293EA2476}">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Davies</dc:creator>
  <cp:keywords/>
  <dc:description/>
  <cp:lastModifiedBy>Shannon Davies</cp:lastModifiedBy>
  <cp:revision>1</cp:revision>
  <dcterms:created xsi:type="dcterms:W3CDTF">2026-05-15T21:13:00Z</dcterms:created>
  <dcterms:modified xsi:type="dcterms:W3CDTF">2026-05-15T21:14:00Z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