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20402" w:rsidRDefault="00720402">
      <w:pPr>
        <w:spacing w:line="480" w:lineRule="auto"/>
        <w:jc w:val="center"/>
      </w:pPr>
    </w:p>
    <w:p w14:paraId="00000002" w14:textId="77777777" w:rsidR="00720402" w:rsidRDefault="00720402">
      <w:pPr>
        <w:spacing w:line="480" w:lineRule="auto"/>
        <w:jc w:val="center"/>
      </w:pPr>
    </w:p>
    <w:p w14:paraId="00000003" w14:textId="77777777" w:rsidR="00720402" w:rsidRDefault="00720402">
      <w:pPr>
        <w:spacing w:line="480" w:lineRule="auto"/>
        <w:jc w:val="center"/>
      </w:pPr>
    </w:p>
    <w:p w14:paraId="00000004" w14:textId="77777777" w:rsidR="00720402" w:rsidRDefault="00720402">
      <w:pPr>
        <w:spacing w:line="480" w:lineRule="auto"/>
        <w:jc w:val="center"/>
      </w:pPr>
    </w:p>
    <w:p w14:paraId="00000005" w14:textId="77777777" w:rsidR="00720402" w:rsidRDefault="00720402">
      <w:pPr>
        <w:spacing w:line="480" w:lineRule="auto"/>
        <w:jc w:val="center"/>
      </w:pPr>
    </w:p>
    <w:p w14:paraId="00000006" w14:textId="77777777" w:rsidR="00720402" w:rsidRDefault="00720402">
      <w:pPr>
        <w:spacing w:line="480" w:lineRule="auto"/>
        <w:jc w:val="center"/>
      </w:pPr>
    </w:p>
    <w:p w14:paraId="00000007" w14:textId="77777777" w:rsidR="00720402" w:rsidRDefault="00720402">
      <w:pPr>
        <w:spacing w:line="480" w:lineRule="auto"/>
        <w:jc w:val="center"/>
      </w:pPr>
    </w:p>
    <w:p w14:paraId="00000008" w14:textId="77777777" w:rsidR="00720402" w:rsidRDefault="00000000">
      <w:pPr>
        <w:spacing w:line="480" w:lineRule="auto"/>
        <w:jc w:val="center"/>
      </w:pPr>
      <w:bookmarkStart w:id="0" w:name="_gjdgxs" w:colFirst="0" w:colLast="0"/>
      <w:bookmarkEnd w:id="0"/>
      <w:r>
        <w:t xml:space="preserve">Component 1: </w:t>
      </w:r>
    </w:p>
    <w:p w14:paraId="00000009" w14:textId="77777777" w:rsidR="00720402" w:rsidRDefault="00000000">
      <w:pPr>
        <w:spacing w:line="480" w:lineRule="auto"/>
        <w:jc w:val="center"/>
      </w:pPr>
      <w:bookmarkStart w:id="1" w:name="_o7neszx3wn0k" w:colFirst="0" w:colLast="0"/>
      <w:bookmarkEnd w:id="1"/>
      <w:r>
        <w:t>REVIEW OF GOOGLE HEADQUARTERS PROJECT IN LONDON, UK</w:t>
      </w:r>
    </w:p>
    <w:p w14:paraId="0000000A" w14:textId="77777777" w:rsidR="00720402" w:rsidRDefault="00720402">
      <w:pPr>
        <w:spacing w:line="480" w:lineRule="auto"/>
        <w:jc w:val="center"/>
      </w:pPr>
    </w:p>
    <w:p w14:paraId="0000000B" w14:textId="77777777" w:rsidR="00720402" w:rsidRDefault="00000000">
      <w:pPr>
        <w:spacing w:line="480" w:lineRule="auto"/>
        <w:jc w:val="center"/>
      </w:pPr>
      <w:r>
        <w:t>Project Management</w:t>
      </w:r>
    </w:p>
    <w:p w14:paraId="0000000C" w14:textId="77777777" w:rsidR="00720402" w:rsidRDefault="00000000">
      <w:pPr>
        <w:spacing w:line="480" w:lineRule="auto"/>
        <w:jc w:val="center"/>
      </w:pPr>
      <w:r>
        <w:t>LCBB5005</w:t>
      </w:r>
    </w:p>
    <w:p w14:paraId="0000000D" w14:textId="77777777" w:rsidR="00720402" w:rsidRDefault="00000000">
      <w:pPr>
        <w:spacing w:line="480" w:lineRule="auto"/>
        <w:jc w:val="center"/>
      </w:pPr>
      <w:r>
        <w:t>Student</w:t>
      </w:r>
    </w:p>
    <w:p w14:paraId="69A9C90B" w14:textId="3A710BA3" w:rsidR="00834A9A" w:rsidRDefault="00834A9A">
      <w:pPr>
        <w:spacing w:line="480" w:lineRule="auto"/>
        <w:jc w:val="center"/>
      </w:pPr>
      <w:r>
        <w:t>Ivan Gunchev</w:t>
      </w:r>
    </w:p>
    <w:p w14:paraId="0000000E" w14:textId="77777777" w:rsidR="00720402" w:rsidRDefault="00000000">
      <w:pPr>
        <w:spacing w:line="480" w:lineRule="auto"/>
        <w:jc w:val="center"/>
      </w:pPr>
      <w:r>
        <w:t>Student ID</w:t>
      </w:r>
    </w:p>
    <w:p w14:paraId="0AFEF00A" w14:textId="0B49C9B7" w:rsidR="00834A9A" w:rsidRDefault="00834A9A">
      <w:pPr>
        <w:spacing w:line="480" w:lineRule="auto"/>
        <w:jc w:val="center"/>
      </w:pPr>
      <w:r>
        <w:t>2030335</w:t>
      </w:r>
    </w:p>
    <w:p w14:paraId="0000000F" w14:textId="77777777" w:rsidR="00720402" w:rsidRDefault="00000000">
      <w:pPr>
        <w:spacing w:line="480" w:lineRule="auto"/>
        <w:jc w:val="center"/>
      </w:pPr>
      <w:r>
        <w:t>Date</w:t>
      </w:r>
    </w:p>
    <w:p w14:paraId="3E16B59F" w14:textId="6AA17AA3" w:rsidR="00834A9A" w:rsidRDefault="00834A9A">
      <w:pPr>
        <w:spacing w:line="480" w:lineRule="auto"/>
        <w:jc w:val="center"/>
      </w:pPr>
      <w:r>
        <w:t>01.12.2023</w:t>
      </w:r>
    </w:p>
    <w:p w14:paraId="00000010" w14:textId="77777777" w:rsidR="00720402" w:rsidRDefault="00720402">
      <w:pPr>
        <w:spacing w:line="480" w:lineRule="auto"/>
      </w:pPr>
    </w:p>
    <w:p w14:paraId="00000011" w14:textId="77777777" w:rsidR="00720402" w:rsidRDefault="00000000">
      <w:pPr>
        <w:spacing w:line="480" w:lineRule="auto"/>
      </w:pPr>
      <w:r>
        <w:br w:type="page"/>
      </w:r>
    </w:p>
    <w:p w14:paraId="00000012" w14:textId="77777777" w:rsidR="00720402" w:rsidRDefault="00000000">
      <w:pPr>
        <w:keepNext/>
        <w:keepLines/>
        <w:pBdr>
          <w:top w:val="nil"/>
          <w:left w:val="nil"/>
          <w:bottom w:val="nil"/>
          <w:right w:val="nil"/>
          <w:between w:val="nil"/>
        </w:pBdr>
        <w:spacing w:before="240" w:after="0" w:line="480" w:lineRule="auto"/>
        <w:jc w:val="center"/>
        <w:rPr>
          <w:b/>
          <w:color w:val="000000"/>
        </w:rPr>
      </w:pPr>
      <w:r>
        <w:rPr>
          <w:b/>
          <w:color w:val="000000"/>
        </w:rPr>
        <w:lastRenderedPageBreak/>
        <w:t>Table of Contents</w:t>
      </w:r>
    </w:p>
    <w:sdt>
      <w:sdtPr>
        <w:id w:val="-1672172860"/>
        <w:docPartObj>
          <w:docPartGallery w:val="Table of Contents"/>
          <w:docPartUnique/>
        </w:docPartObj>
      </w:sdtPr>
      <w:sdtContent>
        <w:p w14:paraId="00000013" w14:textId="77777777" w:rsidR="00720402" w:rsidRDefault="00000000">
          <w:pPr>
            <w:widowControl w:val="0"/>
            <w:tabs>
              <w:tab w:val="right" w:pos="12000"/>
            </w:tabs>
            <w:spacing w:before="60" w:after="0" w:line="240" w:lineRule="auto"/>
            <w:rPr>
              <w:color w:val="000000"/>
            </w:rPr>
          </w:pPr>
          <w:r>
            <w:fldChar w:fldCharType="begin"/>
          </w:r>
          <w:r>
            <w:instrText xml:space="preserve"> TOC \h \u \z \t "Heading 1,1,Heading 2,2,Heading 3,3,"</w:instrText>
          </w:r>
          <w:r>
            <w:fldChar w:fldCharType="separate"/>
          </w:r>
          <w:hyperlink w:anchor="_30j0zll">
            <w:r>
              <w:rPr>
                <w:color w:val="000000"/>
              </w:rPr>
              <w:t>1.0 Introduction</w:t>
            </w:r>
            <w:r>
              <w:rPr>
                <w:color w:val="000000"/>
              </w:rPr>
              <w:tab/>
              <w:t>3</w:t>
            </w:r>
          </w:hyperlink>
        </w:p>
        <w:p w14:paraId="00000014" w14:textId="77777777" w:rsidR="00720402" w:rsidRDefault="00000000">
          <w:pPr>
            <w:widowControl w:val="0"/>
            <w:tabs>
              <w:tab w:val="right" w:pos="12000"/>
            </w:tabs>
            <w:spacing w:before="60" w:after="0" w:line="240" w:lineRule="auto"/>
            <w:rPr>
              <w:color w:val="000000"/>
            </w:rPr>
          </w:pPr>
          <w:hyperlink w:anchor="_1fob9te">
            <w:r>
              <w:rPr>
                <w:color w:val="000000"/>
              </w:rPr>
              <w:t>2.0 Overview of the Project and Scope</w:t>
            </w:r>
            <w:r>
              <w:rPr>
                <w:color w:val="000000"/>
              </w:rPr>
              <w:tab/>
              <w:t>3</w:t>
            </w:r>
          </w:hyperlink>
        </w:p>
        <w:p w14:paraId="00000015" w14:textId="77777777" w:rsidR="00720402" w:rsidRDefault="00000000">
          <w:pPr>
            <w:widowControl w:val="0"/>
            <w:tabs>
              <w:tab w:val="right" w:pos="12000"/>
            </w:tabs>
            <w:spacing w:before="60" w:after="0" w:line="240" w:lineRule="auto"/>
            <w:rPr>
              <w:color w:val="000000"/>
            </w:rPr>
          </w:pPr>
          <w:hyperlink w:anchor="_3znysh7">
            <w:r>
              <w:rPr>
                <w:color w:val="000000"/>
              </w:rPr>
              <w:t>3.0 Project Budget</w:t>
            </w:r>
            <w:r>
              <w:rPr>
                <w:color w:val="000000"/>
              </w:rPr>
              <w:tab/>
              <w:t>4</w:t>
            </w:r>
          </w:hyperlink>
        </w:p>
        <w:p w14:paraId="00000016" w14:textId="77777777" w:rsidR="00720402" w:rsidRDefault="00000000">
          <w:pPr>
            <w:widowControl w:val="0"/>
            <w:tabs>
              <w:tab w:val="right" w:pos="12000"/>
            </w:tabs>
            <w:spacing w:before="60" w:after="0" w:line="240" w:lineRule="auto"/>
            <w:rPr>
              <w:color w:val="000000"/>
            </w:rPr>
          </w:pPr>
          <w:hyperlink w:anchor="_2et92p0">
            <w:r>
              <w:rPr>
                <w:color w:val="000000"/>
              </w:rPr>
              <w:t>4.0 Time</w:t>
            </w:r>
            <w:r>
              <w:rPr>
                <w:color w:val="000000"/>
              </w:rPr>
              <w:tab/>
              <w:t>5</w:t>
            </w:r>
          </w:hyperlink>
        </w:p>
        <w:p w14:paraId="00000017" w14:textId="77777777" w:rsidR="00720402" w:rsidRDefault="00000000">
          <w:pPr>
            <w:widowControl w:val="0"/>
            <w:tabs>
              <w:tab w:val="right" w:pos="12000"/>
            </w:tabs>
            <w:spacing w:before="60" w:after="0" w:line="240" w:lineRule="auto"/>
            <w:rPr>
              <w:color w:val="000000"/>
            </w:rPr>
          </w:pPr>
          <w:hyperlink w:anchor="_tyjcwt">
            <w:r>
              <w:rPr>
                <w:color w:val="000000"/>
              </w:rPr>
              <w:t>5.0 Quality Stakeholders</w:t>
            </w:r>
            <w:r>
              <w:rPr>
                <w:color w:val="000000"/>
              </w:rPr>
              <w:tab/>
              <w:t>6</w:t>
            </w:r>
          </w:hyperlink>
        </w:p>
        <w:p w14:paraId="00000018" w14:textId="77777777" w:rsidR="00720402" w:rsidRDefault="00000000">
          <w:pPr>
            <w:widowControl w:val="0"/>
            <w:tabs>
              <w:tab w:val="right" w:pos="12000"/>
            </w:tabs>
            <w:spacing w:before="60" w:after="0" w:line="240" w:lineRule="auto"/>
            <w:rPr>
              <w:color w:val="000000"/>
            </w:rPr>
          </w:pPr>
          <w:hyperlink w:anchor="_3dy6vkm">
            <w:r>
              <w:rPr>
                <w:color w:val="000000"/>
              </w:rPr>
              <w:t>6.0 Risk factors</w:t>
            </w:r>
            <w:r>
              <w:rPr>
                <w:color w:val="000000"/>
              </w:rPr>
              <w:tab/>
              <w:t>8</w:t>
            </w:r>
          </w:hyperlink>
        </w:p>
        <w:p w14:paraId="00000019" w14:textId="77777777" w:rsidR="00720402" w:rsidRDefault="00000000">
          <w:pPr>
            <w:widowControl w:val="0"/>
            <w:tabs>
              <w:tab w:val="right" w:pos="12000"/>
            </w:tabs>
            <w:spacing w:before="60" w:after="0" w:line="240" w:lineRule="auto"/>
            <w:rPr>
              <w:color w:val="000000"/>
            </w:rPr>
          </w:pPr>
          <w:hyperlink w:anchor="_1t3h5sf">
            <w:r>
              <w:rPr>
                <w:color w:val="000000"/>
              </w:rPr>
              <w:t xml:space="preserve">7.0 Conclusion                 </w:t>
            </w:r>
            <w:r>
              <w:rPr>
                <w:color w:val="000000"/>
              </w:rPr>
              <w:tab/>
              <w:t>9</w:t>
            </w:r>
          </w:hyperlink>
        </w:p>
        <w:p w14:paraId="0000001A" w14:textId="77777777" w:rsidR="00720402" w:rsidRDefault="00000000">
          <w:pPr>
            <w:widowControl w:val="0"/>
            <w:tabs>
              <w:tab w:val="right" w:pos="12000"/>
            </w:tabs>
            <w:spacing w:before="60" w:after="0" w:line="240" w:lineRule="auto"/>
            <w:rPr>
              <w:color w:val="000000"/>
            </w:rPr>
          </w:pPr>
          <w:hyperlink w:anchor="_4d34og8">
            <w:r>
              <w:rPr>
                <w:color w:val="000000"/>
              </w:rPr>
              <w:t>References</w:t>
            </w:r>
            <w:r>
              <w:rPr>
                <w:color w:val="000000"/>
              </w:rPr>
              <w:tab/>
              <w:t>11</w:t>
            </w:r>
          </w:hyperlink>
          <w:r>
            <w:fldChar w:fldCharType="end"/>
          </w:r>
        </w:p>
      </w:sdtContent>
    </w:sdt>
    <w:p w14:paraId="0000001B" w14:textId="77777777" w:rsidR="00720402" w:rsidRDefault="00720402">
      <w:pPr>
        <w:spacing w:line="480" w:lineRule="auto"/>
      </w:pPr>
    </w:p>
    <w:p w14:paraId="0000001C" w14:textId="77777777" w:rsidR="00720402" w:rsidRDefault="00000000">
      <w:pPr>
        <w:spacing w:line="480" w:lineRule="auto"/>
      </w:pPr>
      <w:r>
        <w:br w:type="page"/>
      </w:r>
    </w:p>
    <w:p w14:paraId="0000001D" w14:textId="77777777" w:rsidR="00720402" w:rsidRDefault="00000000">
      <w:pPr>
        <w:pStyle w:val="Heading1"/>
        <w:spacing w:before="0" w:line="480" w:lineRule="auto"/>
        <w:jc w:val="center"/>
        <w:rPr>
          <w:color w:val="0E101A"/>
        </w:rPr>
      </w:pPr>
      <w:bookmarkStart w:id="2" w:name="_30j0zll" w:colFirst="0" w:colLast="0"/>
      <w:bookmarkEnd w:id="2"/>
      <w:r>
        <w:rPr>
          <w:color w:val="0E101A"/>
        </w:rPr>
        <w:lastRenderedPageBreak/>
        <w:t>1.0 Introduction</w:t>
      </w:r>
    </w:p>
    <w:p w14:paraId="0000001E"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Projects are defined as a sequence of tasks that must be completed and are diverse in nature with a wide range of shapes and sizes ranging from the public, private, and government sectors. They are transitory and designed to accomplish specific goals and fulfill the requirements of the key stakeholders (Lukhele et al., 2022). Projects may start with the intention of creating original goods or services or improving existing ones. Although there may be differences in scope and objectives depending on the end users and setting, all projects share several characteristics. These characteristics include a budget, specified timeframes, key quality stakeholders, and risk analysis (Murray-Webster &amp; Simon, 2007). Therefore, while meeting the stakeholders’ objectives, a project must remain within the set budget and timeframe ranges with minimal deviations for it to be considered effective (El Khatib et al., 2020). Based on this, this essay aims to </w:t>
      </w:r>
      <w:proofErr w:type="spellStart"/>
      <w:r>
        <w:rPr>
          <w:color w:val="0E101A"/>
        </w:rPr>
        <w:t>analyse</w:t>
      </w:r>
      <w:proofErr w:type="spellEnd"/>
      <w:r>
        <w:rPr>
          <w:color w:val="0E101A"/>
        </w:rPr>
        <w:t xml:space="preserve"> the scope, budget, time, quality stakeholders, and risk factors of the Google Headquarters Project in London, UK. It will be looking at whether the project has been a success or a failure based on its progress. </w:t>
      </w:r>
    </w:p>
    <w:p w14:paraId="0000001F" w14:textId="77777777" w:rsidR="00720402" w:rsidRDefault="00720402">
      <w:pPr>
        <w:pBdr>
          <w:top w:val="nil"/>
          <w:left w:val="nil"/>
          <w:bottom w:val="nil"/>
          <w:right w:val="nil"/>
          <w:between w:val="nil"/>
        </w:pBdr>
        <w:spacing w:after="0" w:line="480" w:lineRule="auto"/>
        <w:ind w:firstLine="720"/>
        <w:rPr>
          <w:color w:val="0E101A"/>
        </w:rPr>
      </w:pPr>
    </w:p>
    <w:p w14:paraId="00000020" w14:textId="77777777" w:rsidR="00720402" w:rsidRDefault="00000000">
      <w:pPr>
        <w:pStyle w:val="Heading1"/>
        <w:spacing w:before="0" w:line="480" w:lineRule="auto"/>
        <w:jc w:val="center"/>
        <w:rPr>
          <w:color w:val="0E101A"/>
        </w:rPr>
      </w:pPr>
      <w:bookmarkStart w:id="3" w:name="_1fob9te" w:colFirst="0" w:colLast="0"/>
      <w:bookmarkEnd w:id="3"/>
      <w:r>
        <w:rPr>
          <w:color w:val="0E101A"/>
        </w:rPr>
        <w:t>2.0 Overview of the Project and Scope</w:t>
      </w:r>
    </w:p>
    <w:p w14:paraId="00000021"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Google Headquarters Project in London is one of Google’s largest construction projects outside of the United States with a one billion pounds budget. The project is strategically located near King’s Cross Station. With more than 60,400 square </w:t>
      </w:r>
      <w:proofErr w:type="spellStart"/>
      <w:r>
        <w:rPr>
          <w:color w:val="0E101A"/>
        </w:rPr>
        <w:t>metres</w:t>
      </w:r>
      <w:proofErr w:type="spellEnd"/>
      <w:r>
        <w:rPr>
          <w:color w:val="0E101A"/>
        </w:rPr>
        <w:t xml:space="preserve"> of premium office space spread over 11 floors, the building can house up to 4500 people. This building </w:t>
      </w:r>
      <w:proofErr w:type="spellStart"/>
      <w:r>
        <w:rPr>
          <w:color w:val="0E101A"/>
        </w:rPr>
        <w:t>symbolises</w:t>
      </w:r>
      <w:proofErr w:type="spellEnd"/>
      <w:r>
        <w:rPr>
          <w:color w:val="0E101A"/>
        </w:rPr>
        <w:t xml:space="preserve"> the first owned and designed Google building outside of the US, highlighting Google's dedication to worldwide innovation (</w:t>
      </w:r>
      <w:proofErr w:type="spellStart"/>
      <w:r>
        <w:rPr>
          <w:color w:val="0E101A"/>
        </w:rPr>
        <w:t>Gillespies</w:t>
      </w:r>
      <w:proofErr w:type="spellEnd"/>
      <w:r>
        <w:rPr>
          <w:color w:val="0E101A"/>
        </w:rPr>
        <w:t xml:space="preserve">, 2022). In addition, the building offers auxiliary amenities that promote an all-around work environment, such as cafes, a gym, a multi-purpose sports area (MUGA), and pool facilities. The staff’s well-being improved by the outdoor recreational areas and landscaped terraces with a 200-metre “trim </w:t>
      </w:r>
      <w:r>
        <w:rPr>
          <w:color w:val="0E101A"/>
        </w:rPr>
        <w:lastRenderedPageBreak/>
        <w:t>trail” running track at the roof level (</w:t>
      </w:r>
      <w:proofErr w:type="spellStart"/>
      <w:r>
        <w:rPr>
          <w:color w:val="0E101A"/>
        </w:rPr>
        <w:t>Gillespies</w:t>
      </w:r>
      <w:proofErr w:type="spellEnd"/>
      <w:r>
        <w:rPr>
          <w:color w:val="0E101A"/>
        </w:rPr>
        <w:t>, 2022). After the new building is complete, the existing at 6 Pancras Square which has room for 2500 employees, and a third structure will combine to create a Google campus that can house 7,000 Google employees. This enormous project is a contributor to the growing knowledge-based economy in King's Cross and Knowledge Quarter. With its impact on London's architectural and economic landscape, the Google Headquarters Project is an example of innovation, sustainability, and urban development designed by Heatherwick Studio and Bjarke Ingels Group (BIG) (Hern and Davies, 2016).</w:t>
      </w:r>
    </w:p>
    <w:p w14:paraId="00000022" w14:textId="77777777" w:rsidR="00720402" w:rsidRDefault="00720402">
      <w:pPr>
        <w:pBdr>
          <w:top w:val="nil"/>
          <w:left w:val="nil"/>
          <w:bottom w:val="nil"/>
          <w:right w:val="nil"/>
          <w:between w:val="nil"/>
        </w:pBdr>
        <w:spacing w:after="0" w:line="480" w:lineRule="auto"/>
        <w:ind w:firstLine="720"/>
        <w:rPr>
          <w:color w:val="0E101A"/>
        </w:rPr>
      </w:pPr>
    </w:p>
    <w:p w14:paraId="00000023" w14:textId="77777777" w:rsidR="00720402" w:rsidRDefault="00000000">
      <w:pPr>
        <w:pStyle w:val="Heading1"/>
        <w:spacing w:before="0" w:line="480" w:lineRule="auto"/>
        <w:jc w:val="center"/>
        <w:rPr>
          <w:color w:val="0E101A"/>
        </w:rPr>
      </w:pPr>
      <w:bookmarkStart w:id="4" w:name="_3znysh7" w:colFirst="0" w:colLast="0"/>
      <w:bookmarkEnd w:id="4"/>
      <w:r>
        <w:rPr>
          <w:color w:val="0E101A"/>
        </w:rPr>
        <w:t>3.0 Project Budget</w:t>
      </w:r>
    </w:p>
    <w:p w14:paraId="00000024" w14:textId="77777777" w:rsidR="00720402" w:rsidRDefault="00000000">
      <w:pPr>
        <w:pBdr>
          <w:top w:val="nil"/>
          <w:left w:val="nil"/>
          <w:bottom w:val="nil"/>
          <w:right w:val="nil"/>
          <w:between w:val="nil"/>
        </w:pBdr>
        <w:spacing w:after="0" w:line="480" w:lineRule="auto"/>
        <w:ind w:firstLine="720"/>
        <w:rPr>
          <w:color w:val="0E101A"/>
        </w:rPr>
      </w:pPr>
      <w:r>
        <w:rPr>
          <w:color w:val="0E101A"/>
        </w:rPr>
        <w:t>The overall budget for the Google Headquarters London is estimated at £1 billion. This project budget is created while considering all the components that make up the project. A budget entails an informed approximation of costs that would be incurred in the entire project (Larson &amp; Gray, 2018). Notably, working within the budget estimates is an indication of an effective project (Larson &amp; Gray, 2018). It is the role of the project management team to monitor the expenditures as the project progresses and take necessary controls to ensure that the costs do not deviate much from the original budget estimates (</w:t>
      </w:r>
      <w:proofErr w:type="spellStart"/>
      <w:r>
        <w:rPr>
          <w:color w:val="0E101A"/>
        </w:rPr>
        <w:t>Hanioglu</w:t>
      </w:r>
      <w:proofErr w:type="spellEnd"/>
      <w:r>
        <w:rPr>
          <w:color w:val="0E101A"/>
        </w:rPr>
        <w:t>, 2022). </w:t>
      </w:r>
    </w:p>
    <w:p w14:paraId="00000025"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So far, there are no publicly available details of whether the budget estimates have been adjusted or how much of the budget has been </w:t>
      </w:r>
      <w:proofErr w:type="spellStart"/>
      <w:r>
        <w:rPr>
          <w:color w:val="0E101A"/>
        </w:rPr>
        <w:t>utilised</w:t>
      </w:r>
      <w:proofErr w:type="spellEnd"/>
      <w:r>
        <w:rPr>
          <w:color w:val="0E101A"/>
        </w:rPr>
        <w:t xml:space="preserve">. However, it is worth noting that the UK has been experiencing a high inflation rate since 2020, which could have an impact on the project cost. According to </w:t>
      </w:r>
      <w:proofErr w:type="spellStart"/>
      <w:r>
        <w:rPr>
          <w:color w:val="0E101A"/>
        </w:rPr>
        <w:t>Musarat</w:t>
      </w:r>
      <w:proofErr w:type="spellEnd"/>
      <w:r>
        <w:rPr>
          <w:color w:val="0E101A"/>
        </w:rPr>
        <w:t xml:space="preserve"> et al (2021), inflation is an important consideration in the construction projects’ budgeting process. This is because the changing rates in </w:t>
      </w:r>
      <w:proofErr w:type="spellStart"/>
      <w:r>
        <w:rPr>
          <w:color w:val="0E101A"/>
        </w:rPr>
        <w:t>labour</w:t>
      </w:r>
      <w:proofErr w:type="spellEnd"/>
      <w:r>
        <w:rPr>
          <w:color w:val="0E101A"/>
        </w:rPr>
        <w:t xml:space="preserve"> wages, prices of building materials, and machinery hire can increase the costs and can force the budget to be adjusted to accommodate those extra costs. Nevertheless, it can be assumed </w:t>
      </w:r>
      <w:r>
        <w:rPr>
          <w:color w:val="0E101A"/>
        </w:rPr>
        <w:lastRenderedPageBreak/>
        <w:t>that with that the project team had included that in the budget and, therefore, inflation did not have a significant impact on the Google Headquarters Project in London. </w:t>
      </w:r>
    </w:p>
    <w:p w14:paraId="00000026" w14:textId="77777777" w:rsidR="00720402" w:rsidRDefault="00720402">
      <w:pPr>
        <w:pBdr>
          <w:top w:val="nil"/>
          <w:left w:val="nil"/>
          <w:bottom w:val="nil"/>
          <w:right w:val="nil"/>
          <w:between w:val="nil"/>
        </w:pBdr>
        <w:spacing w:after="0" w:line="480" w:lineRule="auto"/>
        <w:ind w:firstLine="720"/>
        <w:rPr>
          <w:color w:val="0E101A"/>
        </w:rPr>
      </w:pPr>
    </w:p>
    <w:p w14:paraId="00000027" w14:textId="77777777" w:rsidR="00720402" w:rsidRDefault="00000000">
      <w:pPr>
        <w:pStyle w:val="Heading1"/>
        <w:spacing w:before="0" w:line="480" w:lineRule="auto"/>
        <w:jc w:val="center"/>
        <w:rPr>
          <w:color w:val="0E101A"/>
        </w:rPr>
      </w:pPr>
      <w:bookmarkStart w:id="5" w:name="_2et92p0" w:colFirst="0" w:colLast="0"/>
      <w:bookmarkEnd w:id="5"/>
      <w:r>
        <w:rPr>
          <w:color w:val="0E101A"/>
        </w:rPr>
        <w:t>4.0 Time</w:t>
      </w:r>
    </w:p>
    <w:p w14:paraId="00000028"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As projects are temporary undertakings, they must have time limits. The project’s timeline starts from the planning stage to the completion stage. The project team and project sponsors influence the project’s timeframes, although there several other foreseen and unforeseen factors that can also the completion time (Murray-Webster &amp; Simon, 2007). Having a specified timeline helps monitor and evaluate the project’s progress and identify areas that need to be adjusted to keep the project within the timeframe (Murray-Webster &amp; Simon, 2007). Monitoring involves checking whether activities set to be completed by a specific date are achieved. Moreover, it is noted that can affect the budget and quality of the project. If there are significant delays in the timelines, the budget is likely to increase especially due to </w:t>
      </w:r>
      <w:proofErr w:type="spellStart"/>
      <w:r>
        <w:rPr>
          <w:color w:val="0E101A"/>
        </w:rPr>
        <w:t>labour</w:t>
      </w:r>
      <w:proofErr w:type="spellEnd"/>
      <w:r>
        <w:rPr>
          <w:color w:val="0E101A"/>
        </w:rPr>
        <w:t xml:space="preserve"> for the extra time. At the same time, if the project is hurriedly done it can compromise the quality. Therefore, there should be balance. The Google Headquarters project at King’s Cross has not had much time issues but there have been delays in the initiation stage and temporal slow-down due to the Covid-19 pandemic.</w:t>
      </w:r>
    </w:p>
    <w:p w14:paraId="00000029"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The project was </w:t>
      </w:r>
      <w:proofErr w:type="spellStart"/>
      <w:r>
        <w:rPr>
          <w:color w:val="0E101A"/>
        </w:rPr>
        <w:t>conceptualised</w:t>
      </w:r>
      <w:proofErr w:type="spellEnd"/>
      <w:r>
        <w:rPr>
          <w:color w:val="0E101A"/>
        </w:rPr>
        <w:t xml:space="preserve"> in 2013 and it was initially expected to be ready by 2016 (Waite, 2017). However, that has not been the case as the project completion has been extended to 2024 and some reports indicate that there was no specified completion date (Prynn, 2022). One of the reasons for the change of starting date was the architectural design issues. The project sponsors who are also the project customers must be satisfied with the design before they give the go-ahead for the construction to begin. </w:t>
      </w:r>
    </w:p>
    <w:p w14:paraId="0000002A"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This is especially true when the sponsor/customer is a big tech giant like Google who are known for unique office designs. Therefore, when the Google boss rejected the initial </w:t>
      </w:r>
      <w:r>
        <w:rPr>
          <w:color w:val="0E101A"/>
        </w:rPr>
        <w:lastRenderedPageBreak/>
        <w:t xml:space="preserve">design in 2013, it had to be redesigned. He described the design as “too boring” (Waite, 2017). Therefore, the resigning process and bringing in new architects (Heatherwick Studio and BIG (Bjarke Ingels Group) led to a further push of the commencement date (Waite, 2017). Furthermore, delays in approval can also affect the schedule of projects especially of such magnitude and importance as this Google Project at King’s Cross Central. The project had to be approved by the borough’s planning committee and the local council. The work started in 2017, about five years later since the initial design was </w:t>
      </w:r>
      <w:proofErr w:type="spellStart"/>
      <w:r>
        <w:rPr>
          <w:color w:val="0E101A"/>
        </w:rPr>
        <w:t>conceptualised</w:t>
      </w:r>
      <w:proofErr w:type="spellEnd"/>
      <w:r>
        <w:rPr>
          <w:color w:val="0E101A"/>
        </w:rPr>
        <w:t>. </w:t>
      </w:r>
    </w:p>
    <w:p w14:paraId="0000002B"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Despite its magnitude and importance, politics did not play a role in influencing the project’s timeframe. It is noted that large public projects such as the Elizabeth Line </w:t>
      </w:r>
      <w:proofErr w:type="spellStart"/>
      <w:r>
        <w:rPr>
          <w:color w:val="0E101A"/>
        </w:rPr>
        <w:t>Crossrail</w:t>
      </w:r>
      <w:proofErr w:type="spellEnd"/>
      <w:r>
        <w:rPr>
          <w:color w:val="0E101A"/>
        </w:rPr>
        <w:t xml:space="preserve"> were delayed and momentarily interrupted due to politics. However, as a private project, Google cannot blame politics for the delays. However, like other projects, it was affected by the Covid-19 pandemic in 2020 and 2021, which led to slow progress. </w:t>
      </w:r>
    </w:p>
    <w:p w14:paraId="0000002C" w14:textId="77777777" w:rsidR="00720402" w:rsidRDefault="00720402">
      <w:pPr>
        <w:pBdr>
          <w:top w:val="nil"/>
          <w:left w:val="nil"/>
          <w:bottom w:val="nil"/>
          <w:right w:val="nil"/>
          <w:between w:val="nil"/>
        </w:pBdr>
        <w:spacing w:after="0" w:line="480" w:lineRule="auto"/>
        <w:ind w:firstLine="720"/>
        <w:rPr>
          <w:color w:val="0E101A"/>
        </w:rPr>
      </w:pPr>
    </w:p>
    <w:p w14:paraId="0000002D" w14:textId="77777777" w:rsidR="00720402" w:rsidRDefault="00000000">
      <w:pPr>
        <w:pStyle w:val="Heading1"/>
        <w:spacing w:before="0" w:line="480" w:lineRule="auto"/>
        <w:jc w:val="center"/>
        <w:rPr>
          <w:color w:val="0E101A"/>
        </w:rPr>
      </w:pPr>
      <w:bookmarkStart w:id="6" w:name="_tyjcwt" w:colFirst="0" w:colLast="0"/>
      <w:bookmarkEnd w:id="6"/>
      <w:r>
        <w:rPr>
          <w:color w:val="0E101A"/>
        </w:rPr>
        <w:t>5.0 Quality Stakeholders</w:t>
      </w:r>
    </w:p>
    <w:p w14:paraId="0000002E"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The hope of all parties involved in a project is for it to meet the quality standards and the ultimate goal it is meant for. These parties are called quality stakeholders because they have vested interests in the project (Kerzner, 2017). Some are directly affected by the project; others are indirectly affected while others have direct and indirect influence. All the stakeholders are essential in ensuring that the project is effective and efficient. The stakeholders are further </w:t>
      </w:r>
      <w:proofErr w:type="spellStart"/>
      <w:r>
        <w:rPr>
          <w:color w:val="0E101A"/>
        </w:rPr>
        <w:t>categorised</w:t>
      </w:r>
      <w:proofErr w:type="spellEnd"/>
      <w:r>
        <w:rPr>
          <w:color w:val="0E101A"/>
        </w:rPr>
        <w:t xml:space="preserve"> as internal and external stakeholders (Kerzner, 2017). For the Google Headquarters project in London, the internal stakeholders include the project team, owners/clients, employees, and the board of directors. The external stakeholders include the government, local community, media, local businesses, and environmental groups. </w:t>
      </w:r>
    </w:p>
    <w:p w14:paraId="0000002F" w14:textId="77777777" w:rsidR="00720402" w:rsidRDefault="00000000">
      <w:pPr>
        <w:pBdr>
          <w:top w:val="nil"/>
          <w:left w:val="nil"/>
          <w:bottom w:val="nil"/>
          <w:right w:val="nil"/>
          <w:between w:val="nil"/>
        </w:pBdr>
        <w:spacing w:after="0" w:line="480" w:lineRule="auto"/>
        <w:ind w:firstLine="720"/>
        <w:rPr>
          <w:color w:val="0E101A"/>
        </w:rPr>
      </w:pPr>
      <w:r>
        <w:rPr>
          <w:color w:val="0E101A"/>
        </w:rPr>
        <w:lastRenderedPageBreak/>
        <w:t>Google is the owner and also the client of this project. It is Google that came up with the idea of a comprehensive headquarters in London to put all its key activities in the UK under one establishment. Although is the work of the contracted architects and engineering firms to come up with a design meeting the quality standards, it must meet the specifications of the project owners for it to be approved. Therefore, it is understandable why Google rejected the first design and asked for a redesign. The Google executive insisted that they want a building that will last for at least 100 years (Waite, 2017). They also said that the original design was “boring” and did not seem would meet the unique quality standards for Google. Therefore, although the requested redesign contributed to the delays in starting the project, it was necessary to meet the quality and architectural requirements of the project clients.</w:t>
      </w:r>
    </w:p>
    <w:p w14:paraId="00000030"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The project team is involved in the daily running of the project and coordinates different stakeholders to ensure the project is successful. In this case, although Google likes being directly involved in the running of its projects, AJ100 big-hitter BDP is the lead company in architectural and structural works (Waite, 2017). The team also includes Heatherwick Studio and BIG architectures, AKTII engineers, and </w:t>
      </w:r>
      <w:proofErr w:type="spellStart"/>
      <w:r>
        <w:rPr>
          <w:color w:val="0E101A"/>
        </w:rPr>
        <w:t>Gillespies</w:t>
      </w:r>
      <w:proofErr w:type="spellEnd"/>
      <w:r>
        <w:rPr>
          <w:color w:val="0E101A"/>
        </w:rPr>
        <w:t>, landscaping specialists(Waite, 2017). However, the lead contractor is Lendlease (Booth, 2022). As can be observed from various images of the project's progress, this has lived up to the redesigned structure expectations (Prynn, 2022). Their role set goes beyond designing visually appealing building ensuring that the design aligns with Google's brand identity, promote a productive work environment, and blends in with the surrounding landscape. The engineers, and construction teams are essential in turning design thoughts into technologically advanced and solid reality. </w:t>
      </w:r>
    </w:p>
    <w:p w14:paraId="00000031"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A construction project that is likely to affect the lives of the local community must ensure that the residents accept the project and that their expectations are met. This is why the </w:t>
      </w:r>
      <w:r>
        <w:rPr>
          <w:color w:val="0E101A"/>
        </w:rPr>
        <w:lastRenderedPageBreak/>
        <w:t xml:space="preserve">local community’s views and concerns must be respected. In this case, so far Google has not faced resistance from the residents concerning the project. On its side, Google has been keenly listening to the ideas and views of the residents and small businesses (Harris, 2022). It has collaborated with </w:t>
      </w:r>
      <w:proofErr w:type="spellStart"/>
      <w:r>
        <w:rPr>
          <w:color w:val="0E101A"/>
        </w:rPr>
        <w:t>Camdenist</w:t>
      </w:r>
      <w:proofErr w:type="spellEnd"/>
      <w:r>
        <w:rPr>
          <w:color w:val="0E101A"/>
        </w:rPr>
        <w:t xml:space="preserve">, a local media startup, and a local-based </w:t>
      </w:r>
      <w:proofErr w:type="spellStart"/>
      <w:r>
        <w:rPr>
          <w:color w:val="0E101A"/>
        </w:rPr>
        <w:t>organisation</w:t>
      </w:r>
      <w:proofErr w:type="spellEnd"/>
      <w:r>
        <w:rPr>
          <w:color w:val="0E101A"/>
        </w:rPr>
        <w:t xml:space="preserve"> called Camden Giving to gather the views and concerns of the residents and address them accordingly (Harris, 2022). In the same line, according to Google, it has listened to the local people and thus it has included a space where people can come together as it is the London tradition. </w:t>
      </w:r>
    </w:p>
    <w:p w14:paraId="00000032" w14:textId="77777777" w:rsidR="00720402" w:rsidRDefault="00000000">
      <w:pPr>
        <w:pBdr>
          <w:top w:val="nil"/>
          <w:left w:val="nil"/>
          <w:bottom w:val="nil"/>
          <w:right w:val="nil"/>
          <w:between w:val="nil"/>
        </w:pBdr>
        <w:spacing w:after="0" w:line="480" w:lineRule="auto"/>
        <w:ind w:firstLine="720"/>
        <w:rPr>
          <w:color w:val="0E101A"/>
        </w:rPr>
      </w:pPr>
      <w:r>
        <w:rPr>
          <w:color w:val="0E101A"/>
        </w:rPr>
        <w:t>The Google Headquarters Project is a deliberate effort to uphold high standards, requiring the active participation of quality stakeholders. To ensure that the project not only meets but exceeds the highest standards of quality, every stakeholder group must fulfill its specific and crucial responsibilities throughout the stages of conceptualization, design, construction, interior furnishings, and community impact (</w:t>
      </w:r>
      <w:proofErr w:type="spellStart"/>
      <w:r>
        <w:rPr>
          <w:color w:val="0E101A"/>
        </w:rPr>
        <w:t>Fabusuyi</w:t>
      </w:r>
      <w:proofErr w:type="spellEnd"/>
      <w:r>
        <w:rPr>
          <w:color w:val="0E101A"/>
        </w:rPr>
        <w:t xml:space="preserve"> and Johnson, 2022).</w:t>
      </w:r>
    </w:p>
    <w:p w14:paraId="00000033" w14:textId="77777777" w:rsidR="00720402" w:rsidRDefault="00720402">
      <w:pPr>
        <w:pBdr>
          <w:top w:val="nil"/>
          <w:left w:val="nil"/>
          <w:bottom w:val="nil"/>
          <w:right w:val="nil"/>
          <w:between w:val="nil"/>
        </w:pBdr>
        <w:spacing w:after="0" w:line="480" w:lineRule="auto"/>
        <w:ind w:firstLine="720"/>
        <w:rPr>
          <w:color w:val="0E101A"/>
        </w:rPr>
      </w:pPr>
    </w:p>
    <w:p w14:paraId="00000034" w14:textId="77777777" w:rsidR="00720402" w:rsidRDefault="00000000">
      <w:pPr>
        <w:pStyle w:val="Heading1"/>
        <w:spacing w:before="0" w:line="480" w:lineRule="auto"/>
        <w:jc w:val="center"/>
        <w:rPr>
          <w:color w:val="0E101A"/>
        </w:rPr>
      </w:pPr>
      <w:bookmarkStart w:id="7" w:name="_3dy6vkm" w:colFirst="0" w:colLast="0"/>
      <w:bookmarkEnd w:id="7"/>
      <w:r>
        <w:rPr>
          <w:color w:val="0E101A"/>
        </w:rPr>
        <w:t>6.0 Risk factors</w:t>
      </w:r>
    </w:p>
    <w:p w14:paraId="00000035" w14:textId="77777777" w:rsidR="00720402" w:rsidRDefault="00000000">
      <w:pPr>
        <w:pBdr>
          <w:top w:val="nil"/>
          <w:left w:val="nil"/>
          <w:bottom w:val="nil"/>
          <w:right w:val="nil"/>
          <w:between w:val="nil"/>
        </w:pBdr>
        <w:spacing w:after="0" w:line="480" w:lineRule="auto"/>
        <w:ind w:firstLine="720"/>
        <w:rPr>
          <w:color w:val="0E101A"/>
        </w:rPr>
      </w:pPr>
      <w:r>
        <w:rPr>
          <w:color w:val="0E101A"/>
        </w:rPr>
        <w:t>Identification of risks is crucial before initiating a project to develop measures to avoid or mitigate them. However, other risks are unforeseen. Nevertheless, generally, risks are events that are likely to negatively affect the project’s focus, scope, budget, and timeline (Larson &amp; Gray, 2018). The risks can be complicated in large and complex projects. Therefore, a comprehensive assessment of potential risks was necessary before initiating Google’s project at King's Cross, London. </w:t>
      </w:r>
    </w:p>
    <w:p w14:paraId="00000036"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One of the notable risks in this project was design modifications. As identified in the preceding sections, the project’s design had to be modified after the owners rejected the original design. The redesign affected the project's schedule as it was expected to start in 2013 but started almost five years later. However, it was a worthy risk because the project </w:t>
      </w:r>
      <w:r>
        <w:rPr>
          <w:color w:val="0E101A"/>
        </w:rPr>
        <w:lastRenderedPageBreak/>
        <w:t>had not started and helped prevent challenges that could have occurred if the idea of redesigning had come up when the project had started.  </w:t>
      </w:r>
    </w:p>
    <w:p w14:paraId="00000037"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The other risk involves budget overruns. Budget overruns can happen when there are errors in estimating the budget, changes in scope, and unforeseen costs (Smith et al., 2014). So far there is no clear publicly available information on whether the project is experiencing budget overruns. It is assumed that the budget is still within the £1 billion estimate. As </w:t>
      </w:r>
      <w:proofErr w:type="spellStart"/>
      <w:r>
        <w:rPr>
          <w:color w:val="0E101A"/>
        </w:rPr>
        <w:t>Rozsas</w:t>
      </w:r>
      <w:proofErr w:type="spellEnd"/>
      <w:r>
        <w:rPr>
          <w:color w:val="0E101A"/>
        </w:rPr>
        <w:t>, (2018) notes, private projects are relatively efficient in cost management as the owners are keen on the return on investment. Therefore, it is possible that budget overrun is not a major risk for this project. </w:t>
      </w:r>
    </w:p>
    <w:p w14:paraId="00000038" w14:textId="77777777" w:rsidR="00720402" w:rsidRDefault="00000000">
      <w:pPr>
        <w:pBdr>
          <w:top w:val="nil"/>
          <w:left w:val="nil"/>
          <w:bottom w:val="nil"/>
          <w:right w:val="nil"/>
          <w:between w:val="nil"/>
        </w:pBdr>
        <w:spacing w:after="0" w:line="480" w:lineRule="auto"/>
        <w:ind w:firstLine="720"/>
        <w:rPr>
          <w:color w:val="0E101A"/>
        </w:rPr>
      </w:pPr>
      <w:r>
        <w:rPr>
          <w:color w:val="0E101A"/>
        </w:rPr>
        <w:t>As with other construction projections, Google’s Headquarters project at King's Cross, London is vulnerable to safety incidents. To address these all workers and visitors on the site are provided with personal protective equipment (PPEs). There serious accidents recorded so far; therefore indicating that the measures taken have been effective. </w:t>
      </w:r>
    </w:p>
    <w:p w14:paraId="00000039"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Several external risk factors are considered for this project. They include severe weather conditions, politics, vandalism, and civil unrest (Wideman, 2022). It noted that this project has not experienced most of these risks. The project was particularly not significantly affected by Brexit politics as it was sourcing most of the materials and </w:t>
      </w:r>
      <w:proofErr w:type="spellStart"/>
      <w:r>
        <w:rPr>
          <w:color w:val="0E101A"/>
        </w:rPr>
        <w:t>labour</w:t>
      </w:r>
      <w:proofErr w:type="spellEnd"/>
      <w:r>
        <w:rPr>
          <w:color w:val="0E101A"/>
        </w:rPr>
        <w:t xml:space="preserve"> within the UK. However, the Covid-19 pandemic made a dent in the progress of the project. There were delays in the 2020-2021 period due to Covid-19 but the project has returned to full force since then (Office Reality, 2023). </w:t>
      </w:r>
    </w:p>
    <w:p w14:paraId="0000003A" w14:textId="77777777" w:rsidR="00720402" w:rsidRDefault="00720402">
      <w:pPr>
        <w:pBdr>
          <w:top w:val="nil"/>
          <w:left w:val="nil"/>
          <w:bottom w:val="nil"/>
          <w:right w:val="nil"/>
          <w:between w:val="nil"/>
        </w:pBdr>
        <w:spacing w:after="0" w:line="480" w:lineRule="auto"/>
        <w:ind w:firstLine="720"/>
        <w:rPr>
          <w:color w:val="0E101A"/>
        </w:rPr>
      </w:pPr>
    </w:p>
    <w:p w14:paraId="0000003B" w14:textId="77777777" w:rsidR="00720402" w:rsidRDefault="00000000">
      <w:pPr>
        <w:pStyle w:val="Heading1"/>
        <w:spacing w:before="0" w:line="480" w:lineRule="auto"/>
        <w:jc w:val="center"/>
        <w:rPr>
          <w:color w:val="0E101A"/>
        </w:rPr>
      </w:pPr>
      <w:bookmarkStart w:id="8" w:name="_1t3h5sf" w:colFirst="0" w:colLast="0"/>
      <w:bookmarkEnd w:id="8"/>
      <w:r>
        <w:rPr>
          <w:color w:val="0E101A"/>
        </w:rPr>
        <w:t>7.0 Conclusion                 </w:t>
      </w:r>
    </w:p>
    <w:p w14:paraId="0000003C" w14:textId="77777777" w:rsidR="00720402" w:rsidRDefault="00000000">
      <w:pPr>
        <w:pBdr>
          <w:top w:val="nil"/>
          <w:left w:val="nil"/>
          <w:bottom w:val="nil"/>
          <w:right w:val="nil"/>
          <w:between w:val="nil"/>
        </w:pBdr>
        <w:spacing w:after="0" w:line="480" w:lineRule="auto"/>
        <w:ind w:firstLine="720"/>
        <w:rPr>
          <w:color w:val="0E101A"/>
        </w:rPr>
      </w:pPr>
      <w:r>
        <w:rPr>
          <w:color w:val="0E101A"/>
        </w:rPr>
        <w:t xml:space="preserve">The ambitious Google Headquarters Project in London will transform King's Cross into an innovation hub. The one-billion-pound project will feature advanced amenities, creative design, and a dedication to support the region's knowledge-based economy. The </w:t>
      </w:r>
      <w:r>
        <w:rPr>
          <w:color w:val="0E101A"/>
        </w:rPr>
        <w:lastRenderedPageBreak/>
        <w:t>project has made great progress toward building a headquarters that satisfies Google's international requirements. A careful examination of the budget is essential, given the project scope. A cautious approach to financial management is necessary, given the commitment to a one-billion-pound investment. To maintain the project's financial stability, recommendations include proactive cost controls, ongoing monitoring of economic factors, and quick reactions to unanticipated financial difficulties. Time management is crucial because the inauguration is scheduled for next year (2024). Detect possible setbacks and ensure that the building process, technology integration, and interior furnishes coincide with the intended completion date, a thorough review of the project schedule is essential. Using proactive risk mitigation techniques and agile project management methodologies are among the recommendations.</w:t>
      </w:r>
    </w:p>
    <w:p w14:paraId="0000003D" w14:textId="77777777" w:rsidR="00720402" w:rsidRDefault="00000000">
      <w:pPr>
        <w:pBdr>
          <w:top w:val="nil"/>
          <w:left w:val="nil"/>
          <w:bottom w:val="nil"/>
          <w:right w:val="nil"/>
          <w:between w:val="nil"/>
        </w:pBdr>
        <w:spacing w:after="0" w:line="480" w:lineRule="auto"/>
        <w:ind w:firstLine="720"/>
        <w:rPr>
          <w:color w:val="0E101A"/>
        </w:rPr>
      </w:pPr>
      <w:r>
        <w:rPr>
          <w:color w:val="0E101A"/>
        </w:rPr>
        <w:t>The project's success depends on the involvement of quality stakeholders. Assuring their continuous participation and attending to community concerns enhances the project's reputation. Suggestions include keeping lines of communication open and proactively attending to stakeholder concerns. Risk mitigation plans, ongoing risk assessment, and flexible reaction plans are among the measures to guarantee the project's resilience in the face of unforeseen circumstances. The reviewed core elements should serve as the basis for a thorough evaluation of the project plan. This entails evaluating how well the project's overall goals are aligned with the project budget, time, quality stakeholders, and risk mitigation techniques. To maintain the project plan's success and relevance, it is advised to conduct regular reviews and revisions. To sum up, the Google Headquarters Project in London has the potential to set new standards for corporate sustainability and innovative architecture. By carefully following the above-mentioned suggestions, Google will be able to confidently move through the project's final stages and realize a project that not only meets but surpasses international standards.</w:t>
      </w:r>
    </w:p>
    <w:p w14:paraId="0000003E" w14:textId="77777777" w:rsidR="00720402" w:rsidRDefault="00720402">
      <w:pPr>
        <w:spacing w:line="480" w:lineRule="auto"/>
      </w:pPr>
    </w:p>
    <w:p w14:paraId="0000003F" w14:textId="77777777" w:rsidR="00720402" w:rsidRDefault="00000000">
      <w:pPr>
        <w:pStyle w:val="Heading1"/>
        <w:spacing w:line="480" w:lineRule="auto"/>
        <w:ind w:firstLine="284"/>
        <w:jc w:val="center"/>
      </w:pPr>
      <w:bookmarkStart w:id="9" w:name="_4d34og8" w:colFirst="0" w:colLast="0"/>
      <w:bookmarkEnd w:id="9"/>
      <w:r>
        <w:lastRenderedPageBreak/>
        <w:t>References</w:t>
      </w:r>
    </w:p>
    <w:p w14:paraId="00000040" w14:textId="77777777" w:rsidR="00720402" w:rsidRDefault="00000000">
      <w:pPr>
        <w:spacing w:line="480" w:lineRule="auto"/>
        <w:ind w:hanging="284"/>
        <w:rPr>
          <w:color w:val="222222"/>
          <w:highlight w:val="white"/>
        </w:rPr>
      </w:pPr>
      <w:r>
        <w:rPr>
          <w:color w:val="222222"/>
          <w:highlight w:val="white"/>
        </w:rPr>
        <w:t>El Khatib, M. et al. (2020) ‘Sustainable Project Management: Trends and alignment’, Theoretical Economics Letters, 10(06), pp. 1276–1291. doi:10.4236/tel.2020.106078.</w:t>
      </w:r>
    </w:p>
    <w:p w14:paraId="00000041" w14:textId="77777777" w:rsidR="00720402" w:rsidRDefault="00000000">
      <w:pPr>
        <w:spacing w:line="480" w:lineRule="auto"/>
        <w:ind w:hanging="284"/>
        <w:rPr>
          <w:color w:val="222222"/>
          <w:highlight w:val="white"/>
        </w:rPr>
      </w:pPr>
      <w:proofErr w:type="spellStart"/>
      <w:r>
        <w:rPr>
          <w:color w:val="222222"/>
          <w:highlight w:val="white"/>
        </w:rPr>
        <w:t>Fabusuyi</w:t>
      </w:r>
      <w:proofErr w:type="spellEnd"/>
      <w:r>
        <w:rPr>
          <w:color w:val="222222"/>
          <w:highlight w:val="white"/>
        </w:rPr>
        <w:t>, T. and Johnson, M.P. (2021) ‘Enhancing the quality and social impacts of urban planning through community-engaged operations research’, Environment and Planning B: Urban Analytics and City Science, 49(4), pp. 1167–1183. doi:10.1177/23998083211054851..</w:t>
      </w:r>
    </w:p>
    <w:p w14:paraId="00000042" w14:textId="77777777" w:rsidR="00720402" w:rsidRDefault="00000000">
      <w:pPr>
        <w:spacing w:line="480" w:lineRule="auto"/>
        <w:ind w:hanging="284"/>
      </w:pPr>
      <w:proofErr w:type="spellStart"/>
      <w:r>
        <w:t>Gillespies</w:t>
      </w:r>
      <w:proofErr w:type="spellEnd"/>
      <w:r>
        <w:t xml:space="preserve"> (2022) Google Headquarters - Projects, </w:t>
      </w:r>
      <w:proofErr w:type="spellStart"/>
      <w:r>
        <w:t>Gillespies</w:t>
      </w:r>
      <w:proofErr w:type="spellEnd"/>
      <w:r>
        <w:t>. Available at: https://www.gillespies.co.uk/projects/google-headquarters (Accessed: 26 November 2023).</w:t>
      </w:r>
    </w:p>
    <w:p w14:paraId="00000043" w14:textId="77777777" w:rsidR="00720402" w:rsidRDefault="00000000">
      <w:pPr>
        <w:spacing w:line="480" w:lineRule="auto"/>
        <w:ind w:hanging="284"/>
        <w:rPr>
          <w:color w:val="222222"/>
          <w:highlight w:val="white"/>
        </w:rPr>
      </w:pPr>
      <w:proofErr w:type="spellStart"/>
      <w:r>
        <w:rPr>
          <w:color w:val="222222"/>
          <w:highlight w:val="white"/>
        </w:rPr>
        <w:t>Hanioglu</w:t>
      </w:r>
      <w:proofErr w:type="spellEnd"/>
      <w:r>
        <w:rPr>
          <w:color w:val="222222"/>
          <w:highlight w:val="white"/>
        </w:rPr>
        <w:t>, M.N. (2022) </w:t>
      </w:r>
      <w:r>
        <w:rPr>
          <w:i/>
          <w:highlight w:val="white"/>
        </w:rPr>
        <w:t>A Cost Based Approach to Project Management: Planning and Controlling Construction Project Costs</w:t>
      </w:r>
      <w:r>
        <w:rPr>
          <w:highlight w:val="white"/>
        </w:rPr>
        <w:t>. Taylor &amp; Francis.</w:t>
      </w:r>
    </w:p>
    <w:p w14:paraId="00000044" w14:textId="77777777" w:rsidR="00720402" w:rsidRDefault="00000000">
      <w:pPr>
        <w:spacing w:line="480" w:lineRule="auto"/>
        <w:ind w:hanging="284"/>
        <w:rPr>
          <w:color w:val="222222"/>
          <w:highlight w:val="white"/>
        </w:rPr>
      </w:pPr>
      <w:r>
        <w:rPr>
          <w:color w:val="222222"/>
          <w:highlight w:val="white"/>
        </w:rPr>
        <w:t>Harris, R. (2022) A space for connection in King’s Cross, Google. Available at: https://blog.google/around-the-globe/google-europe/united-kingdom/kings-cross/ (Accessed: 26 November 2023).</w:t>
      </w:r>
    </w:p>
    <w:p w14:paraId="00000045" w14:textId="77777777" w:rsidR="00720402" w:rsidRDefault="00000000">
      <w:pPr>
        <w:spacing w:line="480" w:lineRule="auto"/>
        <w:ind w:hanging="284"/>
        <w:rPr>
          <w:color w:val="222222"/>
          <w:highlight w:val="white"/>
        </w:rPr>
      </w:pPr>
      <w:r>
        <w:rPr>
          <w:color w:val="222222"/>
          <w:highlight w:val="white"/>
        </w:rPr>
        <w:t>Hern, A. (2017) Google submits plans for ‘</w:t>
      </w:r>
      <w:proofErr w:type="spellStart"/>
      <w:r>
        <w:rPr>
          <w:color w:val="222222"/>
          <w:highlight w:val="white"/>
        </w:rPr>
        <w:t>landscraper</w:t>
      </w:r>
      <w:proofErr w:type="spellEnd"/>
      <w:r>
        <w:rPr>
          <w:color w:val="222222"/>
          <w:highlight w:val="white"/>
        </w:rPr>
        <w:t xml:space="preserve">’ London headquarters, The Guardian. Available at: https://www.theguardian.com/technology/2017/jun/01/google-submits-plans-million-sq-ft-london-hq-construction-kings-cross (Accessed: 26 November 2023). </w:t>
      </w:r>
    </w:p>
    <w:p w14:paraId="00000046" w14:textId="77777777" w:rsidR="00720402" w:rsidRDefault="00000000">
      <w:pPr>
        <w:spacing w:line="480" w:lineRule="auto"/>
        <w:ind w:hanging="284"/>
        <w:rPr>
          <w:color w:val="222222"/>
          <w:highlight w:val="white"/>
        </w:rPr>
      </w:pPr>
      <w:r>
        <w:rPr>
          <w:color w:val="222222"/>
          <w:highlight w:val="white"/>
        </w:rPr>
        <w:t xml:space="preserve">Hern , A. and Davies, R. (2016) Google commits to massive New London headquarters, The Guardian. Available at: https://www.theguardian.com/technology/2016/nov/15/google-commits-to-massive-new-london-hq (Accessed: 26 November 2023). </w:t>
      </w:r>
    </w:p>
    <w:p w14:paraId="00000047" w14:textId="77777777" w:rsidR="00720402" w:rsidRDefault="00000000">
      <w:pPr>
        <w:spacing w:line="480" w:lineRule="auto"/>
        <w:ind w:hanging="284"/>
      </w:pPr>
      <w:r>
        <w:t>Kerzner, H.R. (2017) Project Management. John Wiley &amp;amp; Sons.</w:t>
      </w:r>
    </w:p>
    <w:p w14:paraId="00000048" w14:textId="77777777" w:rsidR="00720402" w:rsidRDefault="00000000">
      <w:pPr>
        <w:spacing w:line="480" w:lineRule="auto"/>
        <w:ind w:hanging="284"/>
        <w:rPr>
          <w:color w:val="222222"/>
          <w:highlight w:val="white"/>
        </w:rPr>
      </w:pPr>
      <w:r>
        <w:t xml:space="preserve">Larson, E. and Gray, C. (2018) Project Management: </w:t>
      </w:r>
      <w:r>
        <w:rPr>
          <w:i/>
        </w:rPr>
        <w:t>The Managerial Process 7</w:t>
      </w:r>
      <w:r>
        <w:rPr>
          <w:i/>
          <w:vertAlign w:val="superscript"/>
        </w:rPr>
        <w:t>th</w:t>
      </w:r>
      <w:r>
        <w:rPr>
          <w:i/>
        </w:rPr>
        <w:t xml:space="preserve"> Edition,</w:t>
      </w:r>
    </w:p>
    <w:p w14:paraId="00000049" w14:textId="77777777" w:rsidR="00720402" w:rsidRDefault="00000000">
      <w:pPr>
        <w:spacing w:line="480" w:lineRule="auto"/>
        <w:ind w:firstLine="720"/>
      </w:pPr>
      <w:r>
        <w:t>McGraw Hill.</w:t>
      </w:r>
    </w:p>
    <w:p w14:paraId="0000004A" w14:textId="77777777" w:rsidR="00720402" w:rsidRDefault="00000000">
      <w:pPr>
        <w:spacing w:line="480" w:lineRule="auto"/>
        <w:ind w:hanging="284"/>
        <w:rPr>
          <w:color w:val="222222"/>
          <w:highlight w:val="white"/>
        </w:rPr>
      </w:pPr>
      <w:r>
        <w:rPr>
          <w:color w:val="222222"/>
          <w:highlight w:val="white"/>
        </w:rPr>
        <w:t xml:space="preserve">Lukhele, T.M., Botha, B. and </w:t>
      </w:r>
      <w:proofErr w:type="spellStart"/>
      <w:r>
        <w:rPr>
          <w:color w:val="222222"/>
          <w:highlight w:val="white"/>
        </w:rPr>
        <w:t>Mbanga</w:t>
      </w:r>
      <w:proofErr w:type="spellEnd"/>
      <w:r>
        <w:rPr>
          <w:color w:val="222222"/>
          <w:highlight w:val="white"/>
        </w:rPr>
        <w:t>, S., 2022. A Conceptual Framework for Systematic Project Planning Towards the Successful Delivery of Infrastructure Development Projects in the Public Sector. </w:t>
      </w:r>
      <w:r>
        <w:rPr>
          <w:i/>
          <w:color w:val="222222"/>
          <w:highlight w:val="white"/>
        </w:rPr>
        <w:t>Journal of Public Administration</w:t>
      </w:r>
      <w:r>
        <w:rPr>
          <w:color w:val="222222"/>
          <w:highlight w:val="white"/>
        </w:rPr>
        <w:t>, </w:t>
      </w:r>
      <w:r>
        <w:rPr>
          <w:i/>
          <w:color w:val="222222"/>
          <w:highlight w:val="white"/>
        </w:rPr>
        <w:t>57</w:t>
      </w:r>
      <w:r>
        <w:rPr>
          <w:color w:val="222222"/>
          <w:highlight w:val="white"/>
        </w:rPr>
        <w:t>(3), pp.544-557.</w:t>
      </w:r>
    </w:p>
    <w:p w14:paraId="0000004B" w14:textId="77777777" w:rsidR="00720402" w:rsidRDefault="00000000">
      <w:pPr>
        <w:spacing w:line="480" w:lineRule="auto"/>
        <w:ind w:hanging="284"/>
        <w:rPr>
          <w:color w:val="222222"/>
          <w:highlight w:val="white"/>
        </w:rPr>
      </w:pPr>
      <w:bookmarkStart w:id="10" w:name="_2s8eyo1" w:colFirst="0" w:colLast="0"/>
      <w:bookmarkEnd w:id="10"/>
      <w:r>
        <w:lastRenderedPageBreak/>
        <w:t>Murray-Webster, R., Simon, P.2007. Starting Out in Project Management: A Study Guide for</w:t>
      </w:r>
    </w:p>
    <w:p w14:paraId="0000004C" w14:textId="77777777" w:rsidR="00720402" w:rsidRDefault="00000000">
      <w:pPr>
        <w:spacing w:line="480" w:lineRule="auto"/>
        <w:ind w:left="720"/>
      </w:pPr>
      <w:r>
        <w:t>the APM Introductory Certificate in Project Management, 2nd Ed., Association for Project Management (APM): Beds</w:t>
      </w:r>
    </w:p>
    <w:p w14:paraId="0000004D" w14:textId="77777777" w:rsidR="00720402" w:rsidRDefault="00000000">
      <w:pPr>
        <w:spacing w:line="480" w:lineRule="auto"/>
        <w:ind w:hanging="284"/>
      </w:pPr>
      <w:proofErr w:type="spellStart"/>
      <w:r>
        <w:t>Musarat</w:t>
      </w:r>
      <w:proofErr w:type="spellEnd"/>
      <w:r>
        <w:t xml:space="preserve">, M.A., </w:t>
      </w:r>
      <w:proofErr w:type="spellStart"/>
      <w:r>
        <w:t>Alaloul</w:t>
      </w:r>
      <w:proofErr w:type="spellEnd"/>
      <w:r>
        <w:t>, W.S. and Liew, M.S. (2021) ‘Impact of inflation rate on Construction Projects Budget: A Review’, Ain Shams Engineering Journal, 12(1), pp. 407–414. doi:10.1016/j.asej.2020.04.009.</w:t>
      </w:r>
    </w:p>
    <w:p w14:paraId="0000004E" w14:textId="77777777" w:rsidR="00720402" w:rsidRDefault="00000000">
      <w:pPr>
        <w:spacing w:line="480" w:lineRule="auto"/>
        <w:ind w:hanging="284"/>
      </w:pPr>
      <w:r>
        <w:t>Office Reality (2023) Googles new HQ costs 1 billion pounds but is it enough to tempt people back in to the office?, Office Reality. Available at: https://www.officereality.co.uk/blog/googles-new-landscaper-hq-at-kings-cross-london-costs-1-billion-pounds-but-is-it-enough-to-tempt-people-back-in-to-the-office (Accessed: 26 November 2023).</w:t>
      </w:r>
    </w:p>
    <w:p w14:paraId="0000004F" w14:textId="77777777" w:rsidR="00720402" w:rsidRDefault="00000000">
      <w:pPr>
        <w:spacing w:line="480" w:lineRule="auto"/>
        <w:ind w:hanging="284"/>
        <w:rPr>
          <w:color w:val="222222"/>
          <w:highlight w:val="white"/>
        </w:rPr>
      </w:pPr>
      <w:proofErr w:type="spellStart"/>
      <w:r>
        <w:rPr>
          <w:color w:val="222222"/>
          <w:highlight w:val="white"/>
        </w:rPr>
        <w:t>Rozsas</w:t>
      </w:r>
      <w:proofErr w:type="spellEnd"/>
      <w:r>
        <w:rPr>
          <w:color w:val="222222"/>
          <w:highlight w:val="white"/>
        </w:rPr>
        <w:t>, T. (2018) Project Management in the private and public sectors, LinkedIn. Available at: https://www.linkedin.com/pulse/project-management-private-public-sectors-tamas-rozsas/ (Accessed: 25 November 2023).</w:t>
      </w:r>
    </w:p>
    <w:p w14:paraId="00000050" w14:textId="77777777" w:rsidR="00720402" w:rsidRDefault="00000000">
      <w:pPr>
        <w:spacing w:line="480" w:lineRule="auto"/>
        <w:ind w:hanging="284"/>
      </w:pPr>
      <w:r>
        <w:t>Smith, N.J., Merna, T. and Jobling, P. (2014) Managing risk in construction projects. John Wiley &amp; Sons.</w:t>
      </w:r>
    </w:p>
    <w:p w14:paraId="00000051" w14:textId="77777777" w:rsidR="00720402" w:rsidRDefault="00000000">
      <w:pPr>
        <w:spacing w:line="480" w:lineRule="auto"/>
        <w:ind w:hanging="284"/>
      </w:pPr>
      <w:r>
        <w:t xml:space="preserve">Waite, R. (2017) Heatherwick and </w:t>
      </w:r>
      <w:proofErr w:type="spellStart"/>
      <w:r>
        <w:t>big’s</w:t>
      </w:r>
      <w:proofErr w:type="spellEnd"/>
      <w:r>
        <w:t xml:space="preserve"> £600m Google HQ at King’s Cross set for approval, The Architects’ Journal. Available at: https://www.architectsjournal.co.uk/news/heatherwick-and-bigs-600m-google-hq-at-kings-cross-set-for-approval (Accessed: 26 November 2023).</w:t>
      </w:r>
    </w:p>
    <w:p w14:paraId="00000052" w14:textId="77777777" w:rsidR="00720402" w:rsidRDefault="00000000">
      <w:pPr>
        <w:spacing w:line="480" w:lineRule="auto"/>
        <w:ind w:hanging="284"/>
      </w:pPr>
      <w:r>
        <w:t>Wideman, R.M. (2022) Project and program risk management a guide to managing project risks and opportunities. Project Management Institute, Inc.</w:t>
      </w:r>
    </w:p>
    <w:sectPr w:rsidR="00720402">
      <w:headerReference w:type="default" r:id="rId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4DBD2" w14:textId="77777777" w:rsidR="00775FAA" w:rsidRDefault="00775FAA">
      <w:pPr>
        <w:spacing w:after="0" w:line="240" w:lineRule="auto"/>
      </w:pPr>
      <w:r>
        <w:separator/>
      </w:r>
    </w:p>
  </w:endnote>
  <w:endnote w:type="continuationSeparator" w:id="0">
    <w:p w14:paraId="0FF587E8" w14:textId="77777777" w:rsidR="00775FAA" w:rsidRDefault="00775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FA63B" w14:textId="77777777" w:rsidR="00775FAA" w:rsidRDefault="00775FAA">
      <w:pPr>
        <w:spacing w:after="0" w:line="240" w:lineRule="auto"/>
      </w:pPr>
      <w:r>
        <w:separator/>
      </w:r>
    </w:p>
  </w:footnote>
  <w:footnote w:type="continuationSeparator" w:id="0">
    <w:p w14:paraId="6A0C8FA4" w14:textId="77777777" w:rsidR="00775FAA" w:rsidRDefault="00775F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3" w14:textId="35A708C5" w:rsidR="00720402"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34A9A">
      <w:rPr>
        <w:noProof/>
        <w:color w:val="000000"/>
      </w:rPr>
      <w:t>1</w:t>
    </w:r>
    <w:r>
      <w:rPr>
        <w:color w:val="000000"/>
      </w:rPr>
      <w:fldChar w:fldCharType="end"/>
    </w:r>
  </w:p>
  <w:p w14:paraId="00000054" w14:textId="77777777" w:rsidR="00720402" w:rsidRDefault="00720402">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402"/>
    <w:rsid w:val="00720402"/>
    <w:rsid w:val="00775FAA"/>
    <w:rsid w:val="00834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9E0298"/>
  <w15:docId w15:val="{D675755B-B18C-4900-ABDB-280E32F97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4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outlineLvl w:val="3"/>
    </w:pPr>
    <w:rPr>
      <w:b/>
    </w:rPr>
  </w:style>
  <w:style w:type="paragraph" w:styleId="Heading5">
    <w:name w:val="heading 5"/>
    <w:basedOn w:val="Normal"/>
    <w:next w:val="Normal"/>
    <w:uiPriority w:val="9"/>
    <w:semiHidden/>
    <w:unhideWhenUsed/>
    <w:qFormat/>
    <w:pPr>
      <w:keepNext/>
      <w:keepLines/>
      <w:spacing w:before="220"/>
      <w:outlineLvl w:val="4"/>
    </w:pPr>
    <w:rPr>
      <w:b/>
      <w:sz w:val="22"/>
      <w:szCs w:val="22"/>
    </w:rPr>
  </w:style>
  <w:style w:type="paragraph" w:styleId="Heading6">
    <w:name w:val="heading 6"/>
    <w:basedOn w:val="Normal"/>
    <w:next w:val="Normal"/>
    <w:uiPriority w:val="9"/>
    <w:semiHidden/>
    <w:unhideWhenUsed/>
    <w:qFormat/>
    <w:pPr>
      <w:keepNext/>
      <w:keepLines/>
      <w:spacing w:before="20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2937</Words>
  <Characters>17041</Characters>
  <Application>Microsoft Office Word</Application>
  <DocSecurity>0</DocSecurity>
  <Lines>284</Lines>
  <Paragraphs>78</Paragraphs>
  <ScaleCrop>false</ScaleCrop>
  <Company/>
  <LinksUpToDate>false</LinksUpToDate>
  <CharactersWithSpaces>19900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Ivan Gunchev</cp:lastModifiedBy>
  <cp:revision>2</cp:revision>
  <dcterms:created xsi:type="dcterms:W3CDTF">2023-12-02T16:29:00Z</dcterms:created>
  <dcterms:modified xsi:type="dcterms:W3CDTF">2023-12-02T16:31:00Z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cbbd0464bda75e4f55312c5f27683e6605faa9e5991bfab61b0ab53e627a14ff</vt:lpwstr>
  </property>
</Properties>
</file>