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29A1715F" w:rsidP="32349C05" w:rsidRDefault="29A1715F" w14:paraId="6F46DAE7" w14:textId="4B16EB0B">
      <w:pPr>
        <w:jc w:val="center"/>
        <w:rPr>
          <w:rFonts w:ascii="Times New Roman" w:hAnsi="Times New Roman" w:eastAsia="Times New Roman" w:cs="Times New Roman"/>
          <w:b w:val="1"/>
          <w:bCs w:val="1"/>
          <w:color w:val="auto"/>
        </w:rPr>
      </w:pPr>
      <w:r w:rsidRPr="10A6307F" w:rsidR="32349C05">
        <w:rPr>
          <w:rFonts w:ascii="Times New Roman" w:hAnsi="Times New Roman" w:eastAsia="Times New Roman" w:cs="Times New Roman"/>
          <w:b w:val="1"/>
          <w:bCs w:val="1"/>
          <w:color w:val="auto"/>
        </w:rPr>
        <w:t>Multilingualism</w:t>
      </w:r>
      <w:r w:rsidRPr="10A6307F" w:rsidR="32349C05">
        <w:rPr>
          <w:rFonts w:ascii="Times New Roman" w:hAnsi="Times New Roman" w:eastAsia="Times New Roman" w:cs="Times New Roman"/>
          <w:b w:val="1"/>
          <w:bCs w:val="1"/>
          <w:color w:val="auto"/>
        </w:rPr>
        <w:t xml:space="preserve"> </w:t>
      </w:r>
      <w:r w:rsidRPr="10A6307F" w:rsidR="32349C05">
        <w:rPr>
          <w:rFonts w:ascii="Times New Roman" w:hAnsi="Times New Roman" w:eastAsia="Times New Roman" w:cs="Times New Roman"/>
          <w:b w:val="1"/>
          <w:bCs w:val="1"/>
          <w:color w:val="auto"/>
        </w:rPr>
        <w:t>Presentation</w:t>
      </w:r>
      <w:r w:rsidRPr="10A6307F" w:rsidR="32349C05">
        <w:rPr>
          <w:rFonts w:ascii="Times New Roman" w:hAnsi="Times New Roman" w:eastAsia="Times New Roman" w:cs="Times New Roman"/>
          <w:b w:val="1"/>
          <w:bCs w:val="1"/>
          <w:color w:val="auto"/>
        </w:rPr>
        <w:t xml:space="preserve"> Reference List</w:t>
      </w:r>
    </w:p>
    <w:p w:rsidR="29A1715F" w:rsidP="29A1715F" w:rsidRDefault="29A1715F" w14:paraId="19A0F5D9" w14:textId="4557858B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  <w:color w:val="auto"/>
        </w:rPr>
      </w:pPr>
    </w:p>
    <w:p w:rsidR="039F7988" w:rsidP="7C97B7E9" w:rsidRDefault="039F7988" w14:paraId="56775589" w14:textId="6610C8DF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none"/>
        </w:rPr>
      </w:pPr>
      <w:r w:rsidRPr="7C97B7E9" w:rsidR="039F798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Ah-Young et al. </w:t>
      </w:r>
      <w:r w:rsidRPr="7C97B7E9" w:rsidR="6B59868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(2018) ‘</w:t>
      </w:r>
      <w:r w:rsidRPr="7C97B7E9" w:rsidR="039F798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US"/>
        </w:rPr>
        <w:t>Simultaneous vs. Successive Bilingualism Among Preschool-Aged</w:t>
      </w:r>
      <w:r w:rsidRPr="7C97B7E9" w:rsidR="039F7988">
        <w:rPr>
          <w:rFonts w:ascii="Times New Roman" w:hAnsi="Times New Roman" w:eastAsia="Times New Roman" w:cs="Times New Roman"/>
          <w:b w:val="0"/>
          <w:bCs w:val="0"/>
          <w:noProof w:val="0"/>
          <w:color w:val="333333"/>
          <w:sz w:val="24"/>
          <w:szCs w:val="24"/>
          <w:lang w:val="en-US"/>
        </w:rPr>
        <w:t xml:space="preserve"> </w:t>
      </w:r>
      <w:r w:rsidRPr="7C97B7E9" w:rsidR="039F798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US"/>
        </w:rPr>
        <w:t xml:space="preserve">Children: Study of Four-Year-Old Korean–English Bilinguals in the </w:t>
      </w:r>
      <w:r w:rsidRPr="7C97B7E9" w:rsidR="039F798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u w:val="none"/>
          <w:lang w:val="en-US"/>
        </w:rPr>
        <w:t>USA</w:t>
      </w:r>
      <w:r w:rsidRPr="7C97B7E9" w:rsidR="6E62E632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u w:val="none"/>
          <w:lang w:val="en-US"/>
        </w:rPr>
        <w:t>’,</w:t>
      </w:r>
      <w:r w:rsidRPr="7C97B7E9" w:rsidR="5CA87760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C97B7E9" w:rsidR="5CA87760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>International Journal of Bilingual Education and Bilingualism</w:t>
      </w:r>
      <w:r w:rsidRPr="7C97B7E9" w:rsidR="461B2B7C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>,</w:t>
      </w:r>
      <w:r w:rsidRPr="7C97B7E9" w:rsidR="1B45C20A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 xml:space="preserve"> </w:t>
      </w:r>
      <w:r w:rsidRPr="7C97B7E9" w:rsidR="5CA8776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none"/>
        </w:rPr>
        <w:t>21</w:t>
      </w:r>
      <w:hyperlink r:id="R3cba78bdc63b4763">
        <w:r w:rsidRPr="7C97B7E9" w:rsidR="70EA9575">
          <w:rPr>
            <w:rStyle w:val="Hyperlink"/>
            <w:rFonts w:ascii="Times New Roman" w:hAnsi="Times New Roman" w:eastAsia="Times New Roman" w:cs="Times New Roman"/>
            <w:b w:val="0"/>
            <w:bCs w:val="0"/>
            <w:color w:val="auto"/>
            <w:sz w:val="24"/>
            <w:szCs w:val="24"/>
            <w:u w:val="none"/>
          </w:rPr>
          <w:t>(</w:t>
        </w:r>
        <w:r w:rsidRPr="7C97B7E9" w:rsidR="5CA87760">
          <w:rPr>
            <w:rStyle w:val="Hyperlink"/>
            <w:rFonts w:ascii="Times New Roman" w:hAnsi="Times New Roman" w:eastAsia="Times New Roman" w:cs="Times New Roman"/>
            <w:b w:val="0"/>
            <w:bCs w:val="0"/>
            <w:color w:val="auto"/>
            <w:sz w:val="24"/>
            <w:szCs w:val="24"/>
            <w:u w:val="none"/>
          </w:rPr>
          <w:t>2</w:t>
        </w:r>
      </w:hyperlink>
      <w:r w:rsidRPr="7C97B7E9" w:rsidR="75551C7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none"/>
        </w:rPr>
        <w:t>)</w:t>
      </w:r>
      <w:r w:rsidRPr="7C97B7E9" w:rsidR="1898FC8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none"/>
        </w:rPr>
        <w:t>, DOI: 10.1080/13670050.2016.1145186</w:t>
      </w:r>
    </w:p>
    <w:p w:rsidR="22B41821" w:rsidP="7C97B7E9" w:rsidRDefault="22B41821" w14:paraId="7443CE9F" w14:textId="46769976">
      <w:pPr>
        <w:pStyle w:val="Normal"/>
        <w:spacing w:before="240" w:after="0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C97B7E9" w:rsidR="6701B5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Baker, C. (2011) </w:t>
      </w:r>
      <w:r w:rsidRPr="7C97B7E9" w:rsidR="6701B58B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Foundations of Bilingual Education and Bilingualism</w:t>
      </w:r>
      <w:r w:rsidRPr="7C97B7E9" w:rsidR="6701B5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5th ed. </w:t>
      </w:r>
      <w:proofErr w:type="spellStart"/>
      <w:r w:rsidRPr="7C97B7E9" w:rsidR="6701B5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Clevedon</w:t>
      </w:r>
      <w:proofErr w:type="spellEnd"/>
      <w:r w:rsidRPr="7C97B7E9" w:rsidR="6701B5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: Multilingual Matters.</w:t>
      </w:r>
    </w:p>
    <w:p w:rsidR="22B41821" w:rsidP="7C97B7E9" w:rsidRDefault="22B41821" w14:paraId="1694A5C3" w14:textId="0DF65E57">
      <w:pPr>
        <w:pStyle w:val="Normal"/>
        <w:spacing w:before="240" w:after="0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C97B7E9" w:rsidR="22B4182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BBC Wales News (2018)</w:t>
      </w:r>
      <w:r w:rsidRPr="7C97B7E9" w:rsidR="22B41821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 xml:space="preserve"> 'Encour</w:t>
      </w:r>
      <w:r w:rsidRPr="7C97B7E9" w:rsidR="22B41821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aging' Survey Suggests Rise in Welsh Language Speakers.</w:t>
      </w:r>
      <w:r w:rsidRPr="7C97B7E9" w:rsidR="22B4182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Available at:</w:t>
      </w:r>
      <w:r w:rsidRPr="7C97B7E9" w:rsidR="011AD82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hyperlink r:id="Rf1a5f4c2aab74f53">
        <w:r w:rsidRPr="7C97B7E9" w:rsidR="6701B58B">
          <w:rPr>
            <w:rStyle w:val="Hyperlink"/>
            <w:rFonts w:ascii="Times New Roman" w:hAnsi="Times New Roman" w:eastAsia="Times New Roman" w:cs="Times New Roman"/>
            <w:noProof w:val="0"/>
            <w:color w:val="0563C1"/>
            <w:sz w:val="24"/>
            <w:szCs w:val="24"/>
            <w:u w:val="single"/>
            <w:lang w:val="en-GB"/>
          </w:rPr>
          <w:t>https://www.bbc.co.uk/news/uk-wales-45611374</w:t>
        </w:r>
      </w:hyperlink>
      <w:r w:rsidRPr="7C97B7E9" w:rsidR="400A97C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GB"/>
        </w:rPr>
        <w:t>(</w:t>
      </w:r>
      <w:r w:rsidRPr="7C97B7E9" w:rsidR="6701B5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GB"/>
        </w:rPr>
        <w:t>Accesse</w:t>
      </w:r>
      <w:r w:rsidRPr="7C97B7E9" w:rsidR="6701B5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GB"/>
        </w:rPr>
        <w:t>d</w:t>
      </w:r>
      <w:r w:rsidRPr="7C97B7E9" w:rsidR="6701B5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GB"/>
        </w:rPr>
        <w:t xml:space="preserve">: </w:t>
      </w:r>
      <w:r w:rsidRPr="7C97B7E9" w:rsidR="6701B5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GB"/>
        </w:rPr>
        <w:t>2</w:t>
      </w:r>
      <w:r w:rsidRPr="7C97B7E9" w:rsidR="6701B5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GB"/>
        </w:rPr>
        <w:t>2 February 2020</w:t>
      </w:r>
      <w:r w:rsidRPr="7C97B7E9" w:rsidR="1149ACF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GB"/>
        </w:rPr>
        <w:t>)</w:t>
      </w:r>
    </w:p>
    <w:p w:rsidR="05680889" w:rsidP="7C97B7E9" w:rsidRDefault="05680889" w14:paraId="4FB20749" w14:textId="5553E5CD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714FD1F0" w:rsidR="0568088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Butzkamm</w:t>
      </w:r>
      <w:r w:rsidRPr="714FD1F0" w:rsidR="0568088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(2010) </w:t>
      </w:r>
      <w:r w:rsidRPr="714FD1F0" w:rsidR="05680889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 xml:space="preserve">The </w:t>
      </w:r>
      <w:r w:rsidRPr="714FD1F0" w:rsidR="69912CDB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Sandwich</w:t>
      </w:r>
      <w:r w:rsidRPr="714FD1F0" w:rsidR="05680889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714FD1F0" w:rsidR="23FDC051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Technique</w:t>
      </w:r>
      <w:r w:rsidRPr="714FD1F0" w:rsidR="559AA395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. Foreign Language Education in the 21</w:t>
      </w:r>
      <w:r w:rsidRPr="714FD1F0" w:rsidR="559AA395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vertAlign w:val="superscript"/>
          <w:lang w:val="en-US"/>
        </w:rPr>
        <w:t>st</w:t>
      </w:r>
      <w:r w:rsidRPr="714FD1F0" w:rsidR="559AA395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 xml:space="preserve"> Century.</w:t>
      </w:r>
      <w:r w:rsidRPr="714FD1F0" w:rsidR="0568088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714FD1F0" w:rsidR="6C4D2CC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Available</w:t>
      </w:r>
      <w:r w:rsidRPr="714FD1F0" w:rsidR="0568088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at: </w:t>
      </w:r>
      <w:hyperlink r:id="Ree38dffe9c464864">
        <w:r w:rsidRPr="714FD1F0" w:rsidR="05680889">
          <w:rPr>
            <w:rStyle w:val="Hyperlink"/>
            <w:rFonts w:ascii="Times New Roman" w:hAnsi="Times New Roman" w:eastAsia="Times New Roman" w:cs="Times New Roman"/>
            <w:noProof w:val="0"/>
            <w:color w:val="0070C0"/>
            <w:sz w:val="24"/>
            <w:szCs w:val="24"/>
            <w:lang w:val="en-US"/>
          </w:rPr>
          <w:t>https://juergenkurtz.wordpress.com/2010/12/22/the-sandwich-technique/</w:t>
        </w:r>
      </w:hyperlink>
      <w:r w:rsidRPr="714FD1F0" w:rsidR="0568088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14FD1F0" w:rsidR="1F8CA41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714FD1F0" w:rsidR="0568088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Accessed: 26 March 2020</w:t>
      </w:r>
      <w:r w:rsidRPr="714FD1F0" w:rsidR="4CBC449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)</w:t>
      </w:r>
    </w:p>
    <w:p w:rsidR="6701B58B" w:rsidP="7C97B7E9" w:rsidRDefault="6701B58B" w14:paraId="201ADB15" w14:textId="7A933A30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7C97B7E9" w:rsidR="6701B5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Devarakonda, C. (2013) </w:t>
      </w:r>
      <w:r w:rsidRPr="7C97B7E9" w:rsidR="6701B58B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Diversity and Inclusion in Early Childhood</w:t>
      </w:r>
      <w:r w:rsidRPr="7C97B7E9" w:rsidR="678E4A76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: An Introduction</w:t>
      </w:r>
      <w:r w:rsidRPr="7C97B7E9" w:rsidR="6701B58B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 xml:space="preserve">. </w:t>
      </w:r>
      <w:r w:rsidRPr="7C97B7E9" w:rsidR="6701B5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London: Sage Publications Ltd.</w:t>
      </w:r>
    </w:p>
    <w:p w:rsidR="2AF345F0" w:rsidP="7C97B7E9" w:rsidRDefault="2AF345F0" w14:paraId="7567A572" w14:textId="7496ECAA">
      <w:pPr>
        <w:pStyle w:val="Normal"/>
        <w:spacing w:line="360" w:lineRule="auto"/>
        <w:jc w:val="both"/>
      </w:pPr>
      <w:r w:rsidRPr="7C97B7E9" w:rsidR="6701B5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Dictionary.com Bilingualism Definition. Available at: </w:t>
      </w:r>
      <w:hyperlink r:id="Raaea33026e8d41f4">
        <w:r w:rsidRPr="7C97B7E9" w:rsidR="6701B58B">
          <w:rPr>
            <w:rStyle w:val="Hyperlink"/>
            <w:rFonts w:ascii="Times New Roman" w:hAnsi="Times New Roman" w:eastAsia="Times New Roman" w:cs="Times New Roman"/>
            <w:noProof w:val="0"/>
            <w:color w:val="0070C0"/>
            <w:sz w:val="24"/>
            <w:szCs w:val="24"/>
            <w:lang w:val="en-US"/>
          </w:rPr>
          <w:t>https://www.dictionary.com/browse/bilingualism?s=t</w:t>
        </w:r>
      </w:hyperlink>
      <w:r w:rsidRPr="7C97B7E9" w:rsidR="6701B58B">
        <w:rPr>
          <w:rFonts w:ascii="Times New Roman" w:hAnsi="Times New Roman" w:eastAsia="Times New Roman" w:cs="Times New Roman"/>
          <w:noProof w:val="0"/>
          <w:color w:val="0070C0"/>
          <w:sz w:val="24"/>
          <w:szCs w:val="24"/>
          <w:lang w:val="en-US"/>
        </w:rPr>
        <w:t xml:space="preserve"> </w:t>
      </w:r>
      <w:r w:rsidRPr="7C97B7E9" w:rsidR="4CF6E4C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(</w:t>
      </w:r>
      <w:r w:rsidRPr="7C97B7E9" w:rsidR="6701B5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</w:t>
      </w:r>
      <w:r w:rsidRPr="7C97B7E9" w:rsidR="6701B5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ccessed: 11 March 2020</w:t>
      </w:r>
      <w:r w:rsidRPr="7C97B7E9" w:rsidR="706B32C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)</w:t>
      </w:r>
    </w:p>
    <w:p w:rsidR="460ABBAB" w:rsidP="2E21CD92" w:rsidRDefault="460ABBAB" w14:paraId="5B71F2E5" w14:textId="34488D58">
      <w:pPr>
        <w:pStyle w:val="Normal"/>
        <w:spacing w:after="160" w:line="360" w:lineRule="auto"/>
        <w:jc w:val="both"/>
      </w:pPr>
      <w:r w:rsidRPr="2E21CD92" w:rsidR="460ABBA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Flying Start (2017)</w:t>
      </w:r>
      <w:r w:rsidRPr="2E21CD92" w:rsidR="460ABBAB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 xml:space="preserve"> Flying Start Transition: Guidance for Professionals</w:t>
      </w:r>
      <w:r w:rsidRPr="2E21CD92" w:rsidR="460ABBA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 Available at:</w:t>
      </w:r>
      <w:r w:rsidRPr="2E21CD92" w:rsidR="460ABB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hyperlink r:id="Rf6e55817a48b45df">
        <w:r w:rsidRPr="2E21CD92" w:rsidR="460ABBAB">
          <w:rPr>
            <w:rStyle w:val="Hyperlink"/>
            <w:rFonts w:ascii="Times New Roman" w:hAnsi="Times New Roman" w:eastAsia="Times New Roman" w:cs="Times New Roman"/>
            <w:noProof w:val="0"/>
            <w:color w:val="0563C1"/>
            <w:sz w:val="24"/>
            <w:szCs w:val="24"/>
            <w:lang w:val="en-GB"/>
          </w:rPr>
          <w:t>https://gov.wales/sites/default/files/publications/2019-07/flying-start-transition-guidance-for-professionals.pdf</w:t>
        </w:r>
      </w:hyperlink>
      <w:r w:rsidRPr="2E21CD92" w:rsidR="460ABBAB">
        <w:rPr>
          <w:rFonts w:ascii="Times New Roman" w:hAnsi="Times New Roman" w:eastAsia="Times New Roman" w:cs="Times New Roman"/>
          <w:noProof w:val="0"/>
          <w:color w:val="0563C1"/>
          <w:sz w:val="24"/>
          <w:szCs w:val="24"/>
          <w:lang w:val="en-GB"/>
        </w:rPr>
        <w:t xml:space="preserve"> </w:t>
      </w:r>
      <w:r w:rsidRPr="2E21CD92" w:rsidR="460ABBA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(Accessed: 9 November 2019)</w:t>
      </w:r>
    </w:p>
    <w:p w:rsidR="6701B58B" w:rsidP="6701B58B" w:rsidRDefault="6701B58B" w14:paraId="1ADB1348" w14:textId="4AFA32D8">
      <w:pPr>
        <w:spacing w:after="160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14FD1F0" w:rsidR="6701B5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Foundation Phase (2015) </w:t>
      </w:r>
      <w:r w:rsidRPr="714FD1F0" w:rsidR="6701B58B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Foundation Phase Framework</w:t>
      </w:r>
      <w:r w:rsidRPr="714FD1F0" w:rsidR="6701B5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 Available at:</w:t>
      </w:r>
      <w:r w:rsidRPr="714FD1F0" w:rsidR="6701B5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hyperlink r:id="Rc53222983c944424">
        <w:r w:rsidRPr="714FD1F0" w:rsidR="6701B58B">
          <w:rPr>
            <w:rStyle w:val="Hyperlink"/>
            <w:rFonts w:ascii="Times New Roman" w:hAnsi="Times New Roman" w:eastAsia="Times New Roman" w:cs="Times New Roman"/>
            <w:noProof w:val="0"/>
            <w:color w:val="0563C1"/>
            <w:sz w:val="24"/>
            <w:szCs w:val="24"/>
            <w:u w:val="single"/>
            <w:lang w:val="en-GB"/>
          </w:rPr>
          <w:t>https://hwb.gov.wales/storage/d5d8e39c-b534-40cb-a3f5-7e2e126d8077/foundation-phase-framework.pdf</w:t>
        </w:r>
      </w:hyperlink>
      <w:r w:rsidRPr="714FD1F0" w:rsidR="6701B58B">
        <w:rPr>
          <w:rFonts w:ascii="Times New Roman" w:hAnsi="Times New Roman" w:eastAsia="Times New Roman" w:cs="Times New Roman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714FD1F0" w:rsidR="312C121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714FD1F0" w:rsidR="312C121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single"/>
          <w:lang w:val="en-GB"/>
        </w:rPr>
        <w:t>(</w:t>
      </w:r>
      <w:r w:rsidRPr="714FD1F0" w:rsidR="6701B5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GB"/>
        </w:rPr>
        <w:t>Accessed: 19 February 2020</w:t>
      </w:r>
      <w:r w:rsidRPr="714FD1F0" w:rsidR="7DA444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GB"/>
        </w:rPr>
        <w:t>)</w:t>
      </w:r>
    </w:p>
    <w:p w:rsidR="6EEDCA6E" w:rsidP="7C97B7E9" w:rsidRDefault="6EEDCA6E" w14:paraId="34E301A2" w14:textId="0C5A254C">
      <w:pPr>
        <w:pStyle w:val="Normal"/>
        <w:spacing w:line="360" w:lineRule="auto"/>
        <w:jc w:val="both"/>
      </w:pPr>
      <w:r w:rsidRPr="7C97B7E9" w:rsidR="6EEDCA6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Government (2010) </w:t>
      </w:r>
      <w:r w:rsidRPr="7C97B7E9" w:rsidR="6EEDCA6E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The Equality Act</w:t>
      </w:r>
      <w:r w:rsidRPr="7C97B7E9" w:rsidR="6EEDCA6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. Available at: </w:t>
      </w:r>
      <w:hyperlink r:id="R08ccb269ada640ee">
        <w:r w:rsidRPr="7C97B7E9" w:rsidR="6EEDCA6E">
          <w:rPr>
            <w:rStyle w:val="Hyperlink"/>
            <w:rFonts w:ascii="Times New Roman" w:hAnsi="Times New Roman" w:eastAsia="Times New Roman" w:cs="Times New Roman"/>
            <w:noProof w:val="0"/>
            <w:color w:val="0070C0"/>
            <w:sz w:val="24"/>
            <w:szCs w:val="24"/>
            <w:lang w:val="en-US"/>
          </w:rPr>
          <w:t>https://www.gov.uk/guidance/equality-act-2010-guidance</w:t>
        </w:r>
      </w:hyperlink>
      <w:r w:rsidRPr="7C97B7E9" w:rsidR="6EEDCA6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C97B7E9" w:rsidR="2E0EDEA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(</w:t>
      </w:r>
      <w:r w:rsidRPr="7C97B7E9" w:rsidR="6EEDCA6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Accessed: 26 March 2020</w:t>
      </w:r>
      <w:r w:rsidRPr="7C97B7E9" w:rsidR="144DC30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)</w:t>
      </w:r>
    </w:p>
    <w:p w:rsidR="6FDD6F46" w:rsidP="7C97B7E9" w:rsidRDefault="6FDD6F46" w14:paraId="5846C28F" w14:textId="46116B86">
      <w:pPr>
        <w:pStyle w:val="Normal"/>
        <w:spacing w:line="360" w:lineRule="auto"/>
        <w:jc w:val="both"/>
      </w:pPr>
      <w:r w:rsidRPr="7C97B7E9" w:rsidR="6FDD6F4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Government (1993) </w:t>
      </w:r>
      <w:r w:rsidRPr="7C97B7E9" w:rsidR="6FDD6F46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The Welsh Language Act.</w:t>
      </w:r>
      <w:r w:rsidRPr="7C97B7E9" w:rsidR="6FDD6F4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7C97B7E9" w:rsidR="6FDD6F4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Available</w:t>
      </w:r>
      <w:r w:rsidRPr="7C97B7E9" w:rsidR="6FDD6F4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at: </w:t>
      </w:r>
      <w:hyperlink r:id="Rc3d319eb5be04cdf">
        <w:r w:rsidRPr="7C97B7E9" w:rsidR="6FDD6F46">
          <w:rPr>
            <w:rStyle w:val="Hyperlink"/>
            <w:rFonts w:ascii="Times New Roman" w:hAnsi="Times New Roman" w:eastAsia="Times New Roman" w:cs="Times New Roman"/>
            <w:noProof w:val="0"/>
            <w:color w:val="0070C0"/>
            <w:sz w:val="24"/>
            <w:szCs w:val="24"/>
            <w:lang w:val="en-US"/>
          </w:rPr>
          <w:t>http://www.legislation.gov.uk/ukpga/1993/38/contents</w:t>
        </w:r>
      </w:hyperlink>
      <w:r w:rsidRPr="7C97B7E9" w:rsidR="6FDD6F46">
        <w:rPr>
          <w:rFonts w:ascii="Times New Roman" w:hAnsi="Times New Roman" w:eastAsia="Times New Roman" w:cs="Times New Roman"/>
          <w:noProof w:val="0"/>
          <w:color w:val="0070C0"/>
          <w:sz w:val="24"/>
          <w:szCs w:val="24"/>
          <w:lang w:val="en-US"/>
        </w:rPr>
        <w:t xml:space="preserve"> </w:t>
      </w:r>
      <w:r w:rsidRPr="7C97B7E9" w:rsidR="7D7EBED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(</w:t>
      </w:r>
      <w:r w:rsidRPr="7C97B7E9" w:rsidR="6FDD6F4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Accessed: 26 March 2020</w:t>
      </w:r>
      <w:r w:rsidRPr="7C97B7E9" w:rsidR="1212C20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)</w:t>
      </w:r>
    </w:p>
    <w:p w:rsidR="3A210C6D" w:rsidP="7C97B7E9" w:rsidRDefault="3A210C6D" w14:paraId="4F8356FE" w14:textId="77835529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proofErr w:type="spellStart"/>
      <w:r w:rsidRPr="7C97B7E9" w:rsidR="4E90E57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Johnes</w:t>
      </w:r>
      <w:proofErr w:type="spellEnd"/>
      <w:r w:rsidRPr="7C97B7E9" w:rsidR="4E90E57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, M</w:t>
      </w:r>
      <w:r w:rsidRPr="7C97B7E9" w:rsidR="5448996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.</w:t>
      </w:r>
      <w:r w:rsidRPr="7C97B7E9" w:rsidR="4E90E57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7C97B7E9" w:rsidR="5242576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(</w:t>
      </w:r>
      <w:r w:rsidRPr="7C97B7E9" w:rsidR="4E90E57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2019</w:t>
      </w:r>
      <w:r w:rsidRPr="7C97B7E9" w:rsidR="1AF3623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)</w:t>
      </w:r>
      <w:r w:rsidRPr="7C97B7E9" w:rsidR="4E90E57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7C97B7E9" w:rsidR="4E90E57D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Wales: England’s Colony?</w:t>
      </w:r>
      <w:r w:rsidRPr="7C97B7E9" w:rsidR="4E90E57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7C97B7E9" w:rsidR="2AA17A3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Hockley:</w:t>
      </w:r>
      <w:r w:rsidRPr="7C97B7E9" w:rsidR="42D6BCF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7C97B7E9" w:rsidR="6C02DBE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W</w:t>
      </w:r>
      <w:r w:rsidRPr="7C97B7E9" w:rsidR="42D6BCF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elsh </w:t>
      </w:r>
      <w:r w:rsidRPr="7C97B7E9" w:rsidR="6FB589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B</w:t>
      </w:r>
      <w:r w:rsidRPr="7C97B7E9" w:rsidR="42D6BCF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ook </w:t>
      </w:r>
      <w:r w:rsidRPr="7C97B7E9" w:rsidR="74B5CDA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C</w:t>
      </w:r>
      <w:r w:rsidRPr="7C97B7E9" w:rsidR="42D6BCF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ouncil</w:t>
      </w:r>
      <w:r w:rsidRPr="7C97B7E9" w:rsidR="6DE6FBD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.</w:t>
      </w:r>
      <w:proofErr w:type="spellStart"/>
      <w:proofErr w:type="spellEnd"/>
    </w:p>
    <w:p w:rsidR="3A210C6D" w:rsidP="7C97B7E9" w:rsidRDefault="3A210C6D" w14:paraId="71856676" w14:textId="2C7D41FC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7C97B7E9" w:rsidR="3A210C6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Kovacs and Mehler </w:t>
      </w:r>
      <w:r w:rsidRPr="7C97B7E9" w:rsidR="759C349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(</w:t>
      </w:r>
      <w:r w:rsidRPr="7C97B7E9" w:rsidR="3A210C6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2008</w:t>
      </w:r>
      <w:r w:rsidRPr="7C97B7E9" w:rsidR="0FC396C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)</w:t>
      </w:r>
      <w:r w:rsidRPr="7C97B7E9" w:rsidR="3A210C6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7C97B7E9" w:rsidR="4DB1A87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‘</w:t>
      </w:r>
      <w:r w:rsidRPr="7C97B7E9" w:rsidR="5F52660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Cognitive Gains in </w:t>
      </w:r>
      <w:r w:rsidRPr="7C97B7E9" w:rsidR="2766E854">
        <w:rPr>
          <w:rFonts w:ascii="Times New Roman" w:hAnsi="Times New Roman" w:eastAsia="Times New Roman" w:cs="Times New Roman"/>
          <w:color w:val="auto"/>
          <w:sz w:val="24"/>
          <w:szCs w:val="24"/>
        </w:rPr>
        <w:t>Seven-Month-Old</w:t>
      </w:r>
      <w:r w:rsidRPr="7C97B7E9" w:rsidR="5F52660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Bilingual Infants</w:t>
      </w:r>
      <w:r w:rsidRPr="7C97B7E9" w:rsidR="1227A352">
        <w:rPr>
          <w:rFonts w:ascii="Times New Roman" w:hAnsi="Times New Roman" w:eastAsia="Times New Roman" w:cs="Times New Roman"/>
          <w:color w:val="auto"/>
          <w:sz w:val="24"/>
          <w:szCs w:val="24"/>
        </w:rPr>
        <w:t>’,</w:t>
      </w:r>
      <w:r w:rsidRPr="7C97B7E9" w:rsidR="3499AE4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7C97B7E9" w:rsidR="5C6428CD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Proceedings of the National Academy of Sciences</w:t>
      </w:r>
      <w:r w:rsidRPr="7C97B7E9" w:rsidR="5C6428C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, 10(16) DOI: 10.1073/</w:t>
      </w:r>
      <w:r w:rsidRPr="7C97B7E9" w:rsidR="5C6428C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0811323106</w:t>
      </w:r>
    </w:p>
    <w:p w:rsidR="29A1715F" w:rsidP="7C97B7E9" w:rsidRDefault="29A1715F" w14:paraId="47706068" w14:textId="20DFAC0C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7C97B7E9" w:rsidR="27BA8C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Kamenetz (2016) </w:t>
      </w:r>
      <w:r w:rsidRPr="7C97B7E9" w:rsidR="27BA8CEF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Six Potential Brain Benefits of Bilingual Education.</w:t>
      </w:r>
      <w:r w:rsidRPr="7C97B7E9" w:rsidR="27BA8C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Available at: </w:t>
      </w:r>
      <w:hyperlink r:id="Rbdcef0053d2d4748">
        <w:r w:rsidRPr="7C97B7E9" w:rsidR="27BA8CEF">
          <w:rPr>
            <w:rStyle w:val="Hyperlink"/>
            <w:rFonts w:ascii="Times New Roman" w:hAnsi="Times New Roman" w:eastAsia="Times New Roman" w:cs="Times New Roman"/>
            <w:noProof w:val="0"/>
            <w:color w:val="0070C0"/>
            <w:sz w:val="24"/>
            <w:szCs w:val="24"/>
            <w:lang w:val="en-US"/>
          </w:rPr>
          <w:t>https://www.npr.org/sections/ed/2016/11/29/497943749/6-potential-brain-benefits-of-bilingual-education?t=1583674542571</w:t>
        </w:r>
      </w:hyperlink>
      <w:r w:rsidRPr="7C97B7E9" w:rsidR="27BA8CEF">
        <w:rPr>
          <w:rFonts w:ascii="Times New Roman" w:hAnsi="Times New Roman" w:eastAsia="Times New Roman" w:cs="Times New Roman"/>
          <w:noProof w:val="0"/>
          <w:color w:val="00B0F0"/>
          <w:sz w:val="24"/>
          <w:szCs w:val="24"/>
          <w:lang w:val="en-US"/>
        </w:rPr>
        <w:t xml:space="preserve"> </w:t>
      </w:r>
      <w:r w:rsidRPr="7C97B7E9" w:rsidR="544EC22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(</w:t>
      </w:r>
      <w:r w:rsidRPr="7C97B7E9" w:rsidR="27BA8C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Acc</w:t>
      </w:r>
      <w:r w:rsidRPr="7C97B7E9" w:rsidR="27BA8C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essed 8 March 2020</w:t>
      </w:r>
      <w:r w:rsidRPr="7C97B7E9" w:rsidR="30C18E4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)</w:t>
      </w:r>
    </w:p>
    <w:p w:rsidR="2AF345F0" w:rsidP="7C97B7E9" w:rsidRDefault="2AF345F0" w14:paraId="061BACDE" w14:textId="7043E965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proofErr w:type="spellStart"/>
      <w:r w:rsidRPr="7C97B7E9" w:rsidR="27BA8C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Lightbown</w:t>
      </w:r>
      <w:proofErr w:type="spellEnd"/>
      <w:r w:rsidRPr="7C97B7E9" w:rsidR="27BA8C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and Spada </w:t>
      </w:r>
      <w:r w:rsidRPr="7C97B7E9" w:rsidR="657969F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(</w:t>
      </w:r>
      <w:r w:rsidRPr="7C97B7E9" w:rsidR="27BA8C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2013</w:t>
      </w:r>
      <w:r w:rsidRPr="7C97B7E9" w:rsidR="0FFA5C6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)</w:t>
      </w:r>
      <w:r w:rsidRPr="7C97B7E9" w:rsidR="27BA8C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7C97B7E9" w:rsidR="27BA8CEF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How Language</w:t>
      </w:r>
      <w:r w:rsidRPr="7C97B7E9" w:rsidR="336B8ED9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s</w:t>
      </w:r>
      <w:r w:rsidRPr="7C97B7E9" w:rsidR="27BA8CEF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 xml:space="preserve"> are Learned</w:t>
      </w:r>
      <w:r w:rsidRPr="7C97B7E9" w:rsidR="27BA8C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4</w:t>
      </w:r>
      <w:r w:rsidRPr="7C97B7E9" w:rsidR="27BA8C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7C97B7E9" w:rsidR="27BA8C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Ed</w:t>
      </w:r>
      <w:r w:rsidRPr="7C97B7E9" w:rsidR="788F457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.</w:t>
      </w:r>
      <w:r w:rsidRPr="7C97B7E9" w:rsidR="27BA8C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Oxford</w:t>
      </w:r>
      <w:r w:rsidRPr="7C97B7E9" w:rsidR="070D721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:</w:t>
      </w:r>
      <w:r w:rsidRPr="7C97B7E9" w:rsidR="27BA8C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University Press.</w:t>
      </w:r>
    </w:p>
    <w:p w:rsidR="6701B58B" w:rsidP="7C97B7E9" w:rsidRDefault="6701B58B" w14:paraId="702D849D" w14:textId="3E17F53B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proofErr w:type="spellStart"/>
      <w:r w:rsidRPr="7C97B7E9" w:rsidR="6701B5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Luk</w:t>
      </w:r>
      <w:proofErr w:type="spellEnd"/>
      <w:r w:rsidRPr="7C97B7E9" w:rsidR="6701B5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et al. (2011) </w:t>
      </w:r>
      <w:r w:rsidRPr="7C97B7E9" w:rsidR="6D41BF2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‘</w:t>
      </w:r>
      <w:r w:rsidRPr="7C97B7E9" w:rsidR="6701B5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Is there a Relation Between Onset Age of Bilingualism and Enhancement of Cognitive Control?</w:t>
      </w:r>
      <w:r w:rsidRPr="7C97B7E9" w:rsidR="2424EC6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’, </w:t>
      </w:r>
      <w:r w:rsidRPr="7C97B7E9" w:rsidR="6701B58B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Bilingualism: Language and Cognition</w:t>
      </w:r>
      <w:r w:rsidRPr="7C97B7E9" w:rsidR="6701B5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, 14, </w:t>
      </w:r>
      <w:r w:rsidRPr="7C97B7E9" w:rsidR="39D0C37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DOI</w:t>
      </w:r>
      <w:r w:rsidRPr="7C97B7E9" w:rsidR="6701B5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:10.1017/S1366728911000010</w:t>
      </w:r>
    </w:p>
    <w:p w:rsidR="6701B58B" w:rsidP="7C97B7E9" w:rsidRDefault="6701B58B" w14:paraId="020D9599" w14:textId="53901268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7C97B7E9" w:rsidR="6701B5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MacBlain</w:t>
      </w:r>
      <w:r w:rsidRPr="7C97B7E9" w:rsidR="6701B5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, S</w:t>
      </w:r>
      <w:r w:rsidRPr="7C97B7E9" w:rsidR="48CECC1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.</w:t>
      </w:r>
      <w:r w:rsidRPr="7C97B7E9" w:rsidR="6701B5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7C97B7E9" w:rsidR="1049E85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(</w:t>
      </w:r>
      <w:r w:rsidRPr="7C97B7E9" w:rsidR="6701B5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2018</w:t>
      </w:r>
      <w:r w:rsidRPr="7C97B7E9" w:rsidR="7B6D576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)</w:t>
      </w:r>
      <w:r w:rsidRPr="7C97B7E9" w:rsidR="6701B5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7C97B7E9" w:rsidR="6701B58B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Learning Theories for Early Years Practice</w:t>
      </w:r>
      <w:r w:rsidRPr="7C97B7E9" w:rsidR="49D2630D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.</w:t>
      </w:r>
      <w:r w:rsidRPr="7C97B7E9" w:rsidR="6701B5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7C97B7E9" w:rsidR="63FCCD4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London: </w:t>
      </w:r>
      <w:r w:rsidRPr="7C97B7E9" w:rsidR="6701B5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Sage Publications</w:t>
      </w:r>
    </w:p>
    <w:p w:rsidR="121C8FF4" w:rsidP="7C97B7E9" w:rsidRDefault="121C8FF4" w14:paraId="44ABFC53" w14:textId="415A46AB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color w:val="181817"/>
          <w:sz w:val="24"/>
          <w:szCs w:val="24"/>
          <w:lang w:val="en-US"/>
        </w:rPr>
      </w:pPr>
      <w:r w:rsidRPr="7C97B7E9" w:rsidR="121C8FF4">
        <w:rPr>
          <w:rFonts w:ascii="Times New Roman" w:hAnsi="Times New Roman" w:eastAsia="Times New Roman" w:cs="Times New Roman"/>
          <w:noProof w:val="0"/>
          <w:color w:val="181817"/>
          <w:sz w:val="24"/>
          <w:szCs w:val="24"/>
          <w:lang w:val="en-US"/>
        </w:rPr>
        <w:t xml:space="preserve">Malakoff, M. and </w:t>
      </w:r>
      <w:proofErr w:type="spellStart"/>
      <w:r w:rsidRPr="7C97B7E9" w:rsidR="121C8FF4">
        <w:rPr>
          <w:rFonts w:ascii="Times New Roman" w:hAnsi="Times New Roman" w:eastAsia="Times New Roman" w:cs="Times New Roman"/>
          <w:noProof w:val="0"/>
          <w:color w:val="181817"/>
          <w:sz w:val="24"/>
          <w:szCs w:val="24"/>
          <w:lang w:val="en-US"/>
        </w:rPr>
        <w:t>Hakuta</w:t>
      </w:r>
      <w:proofErr w:type="spellEnd"/>
      <w:r w:rsidRPr="7C97B7E9" w:rsidR="121C8FF4">
        <w:rPr>
          <w:rFonts w:ascii="Times New Roman" w:hAnsi="Times New Roman" w:eastAsia="Times New Roman" w:cs="Times New Roman"/>
          <w:noProof w:val="0"/>
          <w:color w:val="181817"/>
          <w:sz w:val="24"/>
          <w:szCs w:val="24"/>
          <w:lang w:val="en-US"/>
        </w:rPr>
        <w:t xml:space="preserve">, K. (1991) “Translation skill and metalinguistic awareness in bilinguals,” In Bialystok, E. (ed.), </w:t>
      </w:r>
      <w:r w:rsidRPr="7C97B7E9" w:rsidR="121C8FF4">
        <w:rPr>
          <w:rFonts w:ascii="Times New Roman" w:hAnsi="Times New Roman" w:eastAsia="Times New Roman" w:cs="Times New Roman"/>
          <w:i w:val="1"/>
          <w:iCs w:val="1"/>
          <w:noProof w:val="0"/>
          <w:color w:val="181817"/>
          <w:sz w:val="24"/>
          <w:szCs w:val="24"/>
          <w:lang w:val="en-US"/>
        </w:rPr>
        <w:t>Language Processing in Bilingual Children</w:t>
      </w:r>
      <w:r w:rsidRPr="7C97B7E9" w:rsidR="121C8FF4">
        <w:rPr>
          <w:rFonts w:ascii="Times New Roman" w:hAnsi="Times New Roman" w:eastAsia="Times New Roman" w:cs="Times New Roman"/>
          <w:noProof w:val="0"/>
          <w:color w:val="181817"/>
          <w:sz w:val="24"/>
          <w:szCs w:val="24"/>
          <w:lang w:val="en-US"/>
        </w:rPr>
        <w:t>, chapter, Cambridge, Cambridge University Press</w:t>
      </w:r>
      <w:proofErr w:type="spellStart"/>
      <w:proofErr w:type="spellEnd"/>
    </w:p>
    <w:p w:rsidR="0F3F5198" w:rsidP="7C97B7E9" w:rsidRDefault="0F3F5198" w14:paraId="12A28688" w14:textId="3E10B401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7C97B7E9" w:rsidR="0F3F519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McLeod, et al. (2016) ‘Multilingualism and Speech-Language Competence in Early </w:t>
      </w:r>
      <w:r w:rsidRPr="7C97B7E9" w:rsidR="386BF18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C</w:t>
      </w:r>
      <w:r w:rsidRPr="7C97B7E9" w:rsidR="0F3F519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hildhood: Impact on </w:t>
      </w:r>
      <w:r w:rsidRPr="7C97B7E9" w:rsidR="324060D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</w:t>
      </w:r>
      <w:r w:rsidRPr="7C97B7E9" w:rsidR="0F3F519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cademic and </w:t>
      </w:r>
      <w:r w:rsidRPr="7C97B7E9" w:rsidR="2D685A0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S</w:t>
      </w:r>
      <w:r w:rsidRPr="7C97B7E9" w:rsidR="0F3F519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ocial-</w:t>
      </w:r>
      <w:r w:rsidRPr="7C97B7E9" w:rsidR="53741F9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E</w:t>
      </w:r>
      <w:r w:rsidRPr="7C97B7E9" w:rsidR="0F3F519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motional </w:t>
      </w:r>
      <w:r w:rsidRPr="7C97B7E9" w:rsidR="144F78F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O</w:t>
      </w:r>
      <w:r w:rsidRPr="7C97B7E9" w:rsidR="0F3F519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utcomes at </w:t>
      </w:r>
      <w:r w:rsidRPr="7C97B7E9" w:rsidR="6BAE89E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S</w:t>
      </w:r>
      <w:r w:rsidRPr="7C97B7E9" w:rsidR="0F3F519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chool</w:t>
      </w:r>
      <w:r w:rsidRPr="7C97B7E9" w:rsidR="0EB5A22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’,</w:t>
      </w:r>
      <w:r w:rsidRPr="7C97B7E9" w:rsidR="0F3F519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7C97B7E9" w:rsidR="0F3F5198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Early Childhood Research Quarterly, 34,</w:t>
      </w:r>
      <w:r w:rsidRPr="7C97B7E9" w:rsidR="0F3F519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7C97B7E9" w:rsidR="4D7D17A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DOI:</w:t>
      </w:r>
      <w:r w:rsidRPr="7C97B7E9" w:rsidR="77C26B3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10.1016/j.ecresq.2015.08.00</w:t>
      </w:r>
    </w:p>
    <w:p w:rsidR="27BA8CEF" w:rsidP="7C97B7E9" w:rsidRDefault="27BA8CEF" w14:paraId="207DF45B" w14:textId="66E7F598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proofErr w:type="spellStart"/>
      <w:r w:rsidRPr="7C97B7E9" w:rsidR="27BA8C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Mechelli</w:t>
      </w:r>
      <w:proofErr w:type="spellEnd"/>
      <w:r w:rsidRPr="7C97B7E9" w:rsidR="27BA8C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et al. (2004). </w:t>
      </w:r>
      <w:r w:rsidRPr="7C97B7E9" w:rsidR="1A2B7F1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‘</w:t>
      </w:r>
      <w:r w:rsidRPr="7C97B7E9" w:rsidR="27BA8C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Neurolinguistics: Structural Plasticity in the Bilingual Brain</w:t>
      </w:r>
      <w:r w:rsidRPr="7C97B7E9" w:rsidR="6B94CAF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’</w:t>
      </w:r>
      <w:r w:rsidRPr="7C97B7E9" w:rsidR="12EC46C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,</w:t>
      </w:r>
      <w:r w:rsidRPr="7C97B7E9" w:rsidR="27BA8C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7C97B7E9" w:rsidR="27BA8CEF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Nature</w:t>
      </w:r>
      <w:r w:rsidRPr="7C97B7E9" w:rsidR="3A74BE18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,</w:t>
      </w:r>
      <w:r w:rsidRPr="7C97B7E9" w:rsidR="27BA8C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7C97B7E9" w:rsidR="75E955A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DOI:</w:t>
      </w:r>
      <w:r w:rsidRPr="7C97B7E9" w:rsidR="27BA8C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431. 757. 10.1038/431757a.</w:t>
      </w:r>
    </w:p>
    <w:p w:rsidR="57E86DD2" w:rsidP="7C97B7E9" w:rsidRDefault="57E86DD2" w14:paraId="77DEDF98" w14:textId="0F306EAE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7C97B7E9" w:rsidR="57E86DD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Nasir and Inayah (2018) </w:t>
      </w:r>
      <w:r w:rsidRPr="7C97B7E9" w:rsidR="4F0A1D3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‘</w:t>
      </w:r>
      <w:r w:rsidRPr="7C97B7E9" w:rsidR="57E86DD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Tell us Stories, Please! Storytelling for Young Learners of English</w:t>
      </w:r>
      <w:r w:rsidRPr="7C97B7E9" w:rsidR="6C6BF6D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’,</w:t>
      </w:r>
      <w:r w:rsidRPr="7C97B7E9" w:rsidR="5EEC2F2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7C97B7E9" w:rsidR="5EEC2F2C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Department of English Education</w:t>
      </w:r>
      <w:r w:rsidRPr="7C97B7E9" w:rsidR="5EEC2F2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, University </w:t>
      </w:r>
      <w:proofErr w:type="spellStart"/>
      <w:r w:rsidRPr="7C97B7E9" w:rsidR="5EEC2F2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Siyah</w:t>
      </w:r>
      <w:proofErr w:type="spellEnd"/>
      <w:r w:rsidRPr="7C97B7E9" w:rsidR="5EEC2F2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Kuala, Indonesia</w:t>
      </w:r>
      <w:r w:rsidRPr="7C97B7E9" w:rsidR="5C0EF5B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, DOI: 10.13140/RG.2.2.25329.07521.</w:t>
      </w:r>
    </w:p>
    <w:p w:rsidR="7C432CC5" w:rsidP="7C97B7E9" w:rsidRDefault="7C432CC5" w14:paraId="687F460B" w14:textId="26CE2FED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7C97B7E9" w:rsidR="7C432CC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National Assembly of Wales (2011) </w:t>
      </w:r>
      <w:r w:rsidRPr="7C97B7E9" w:rsidR="7C432CC5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The Welsh Language Measure.</w:t>
      </w:r>
      <w:r w:rsidRPr="7C97B7E9" w:rsidR="7C432CC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7C97B7E9" w:rsidR="7C432CC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Available</w:t>
      </w:r>
      <w:r w:rsidRPr="7C97B7E9" w:rsidR="7C432CC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at:</w:t>
      </w:r>
      <w:r w:rsidRPr="7C97B7E9" w:rsidR="7C432CC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hyperlink r:id="R1ac8e604bde948f3">
        <w:r w:rsidRPr="7C97B7E9" w:rsidR="7C432CC5">
          <w:rPr>
            <w:rStyle w:val="Hyperlink"/>
            <w:rFonts w:ascii="Times New Roman" w:hAnsi="Times New Roman" w:eastAsia="Times New Roman" w:cs="Times New Roman"/>
            <w:noProof w:val="0"/>
            <w:color w:val="0070C0"/>
            <w:sz w:val="24"/>
            <w:szCs w:val="24"/>
            <w:lang w:val="en-US"/>
          </w:rPr>
          <w:t>http://www.legislation.gov.uk/mwa/2011/1/contents/enacted</w:t>
        </w:r>
      </w:hyperlink>
      <w:r w:rsidRPr="7C97B7E9" w:rsidR="7C432CC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C97B7E9" w:rsidR="47A3D41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(</w:t>
      </w:r>
      <w:r w:rsidRPr="7C97B7E9" w:rsidR="7C432CC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Accessed: 26 March 2020</w:t>
      </w:r>
      <w:r w:rsidRPr="7C97B7E9" w:rsidR="578173A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)</w:t>
      </w:r>
    </w:p>
    <w:p w:rsidR="32349C05" w:rsidP="7C97B7E9" w:rsidRDefault="32349C05" w14:paraId="1E4DC9A2" w14:textId="77C87157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7C97B7E9" w:rsidR="27BA8C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Pacey (no date) </w:t>
      </w:r>
      <w:r w:rsidRPr="7C97B7E9" w:rsidR="27BA8CEF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Welsh Language Development.</w:t>
      </w:r>
      <w:r w:rsidRPr="7C97B7E9" w:rsidR="27BA8C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Available at:</w:t>
      </w:r>
      <w:r w:rsidRPr="7C97B7E9" w:rsidR="27BA8C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hyperlink r:id="R84f50bd9cc734154">
        <w:r w:rsidRPr="7C97B7E9" w:rsidR="27BA8CEF">
          <w:rPr>
            <w:rStyle w:val="Hyperlink"/>
            <w:rFonts w:ascii="Times New Roman" w:hAnsi="Times New Roman" w:eastAsia="Times New Roman" w:cs="Times New Roman"/>
            <w:noProof w:val="0"/>
            <w:color w:val="0563C1"/>
            <w:sz w:val="24"/>
            <w:szCs w:val="24"/>
            <w:lang w:val="en-US"/>
          </w:rPr>
          <w:t>https://www.pacey.org.uk/welsh-language-development/</w:t>
        </w:r>
      </w:hyperlink>
      <w:r w:rsidRPr="7C97B7E9" w:rsidR="27BA8C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7C97B7E9" w:rsidR="1210817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(</w:t>
      </w:r>
      <w:r w:rsidRPr="7C97B7E9" w:rsidR="27BA8C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Accessed: 22 February 2020</w:t>
      </w:r>
      <w:r w:rsidRPr="7C97B7E9" w:rsidR="3DF05EB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)</w:t>
      </w:r>
    </w:p>
    <w:p w:rsidR="22B41821" w:rsidP="22B41821" w:rsidRDefault="22B41821" w14:paraId="0227D658" w14:textId="1D44EFD2">
      <w:pPr>
        <w:spacing w:after="160"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</w:pPr>
      <w:r w:rsidRPr="7C97B7E9" w:rsidR="27BA8C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Rogers (2018) </w:t>
      </w:r>
      <w:r w:rsidRPr="7C97B7E9" w:rsidR="27BA8CEF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The Benefits of Being a Bilingual Child.</w:t>
      </w:r>
      <w:r w:rsidRPr="7C97B7E9" w:rsidR="27BA8C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Available at:</w:t>
      </w:r>
      <w:r w:rsidRPr="7C97B7E9" w:rsidR="27BA8C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hyperlink r:id="R06c41a4f0aae459c">
        <w:r w:rsidRPr="7C97B7E9" w:rsidR="27BA8CEF">
          <w:rPr>
            <w:rStyle w:val="Hyperlink"/>
            <w:rFonts w:ascii="Times New Roman" w:hAnsi="Times New Roman" w:eastAsia="Times New Roman" w:cs="Times New Roman"/>
            <w:noProof w:val="0"/>
            <w:color w:val="0563C1"/>
            <w:sz w:val="24"/>
            <w:szCs w:val="24"/>
            <w:u w:val="single"/>
            <w:lang w:val="en-GB"/>
          </w:rPr>
          <w:t>https://www.abc.net.au/kidslisten/ideas/earlylearning/benefits-of-being-a-bilingual-child/9442508</w:t>
        </w:r>
      </w:hyperlink>
      <w:r w:rsidRPr="7C97B7E9" w:rsidR="27BA8C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7C97B7E9" w:rsidR="4C77D62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GB"/>
        </w:rPr>
        <w:t>(</w:t>
      </w:r>
      <w:r w:rsidRPr="7C97B7E9" w:rsidR="27BA8C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GB"/>
        </w:rPr>
        <w:t>Accessed: 22 February 2020</w:t>
      </w:r>
      <w:r w:rsidRPr="7C97B7E9" w:rsidR="21F17AD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GB"/>
        </w:rPr>
        <w:t>)</w:t>
      </w:r>
    </w:p>
    <w:p w:rsidR="4F427480" w:rsidP="7C97B7E9" w:rsidRDefault="4F427480" w14:paraId="4B707020" w14:textId="2E332C6C">
      <w:pPr>
        <w:pStyle w:val="Normal"/>
        <w:spacing w:line="360" w:lineRule="auto"/>
        <w:jc w:val="both"/>
      </w:pPr>
      <w:r w:rsidRPr="7C97B7E9" w:rsidR="4F42748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Rosetta Stone (no date) </w:t>
      </w:r>
      <w:r w:rsidRPr="7C97B7E9" w:rsidR="4F427480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Rosetta Stone Immersion-Based Learning Method</w:t>
      </w:r>
      <w:r w:rsidRPr="7C97B7E9" w:rsidR="4F42748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. Available at:</w:t>
      </w:r>
      <w:r w:rsidRPr="7C97B7E9" w:rsidR="4F42748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hyperlink r:id="R039f320fa0d4403c">
        <w:r w:rsidRPr="7C97B7E9" w:rsidR="4F427480">
          <w:rPr>
            <w:rStyle w:val="Hyperlink"/>
            <w:rFonts w:ascii="Times New Roman" w:hAnsi="Times New Roman" w:eastAsia="Times New Roman" w:cs="Times New Roman"/>
            <w:noProof w:val="0"/>
            <w:color w:val="0070C0"/>
            <w:sz w:val="24"/>
            <w:szCs w:val="24"/>
            <w:lang w:val="en-US"/>
          </w:rPr>
          <w:t>https://support.rosettastone.com/en/language-learning/articles/What-is-Dynamic-Immersion</w:t>
        </w:r>
      </w:hyperlink>
      <w:r w:rsidRPr="7C97B7E9" w:rsidR="4F42748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C97B7E9" w:rsidR="4E42411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(</w:t>
      </w:r>
      <w:r w:rsidRPr="7C97B7E9" w:rsidR="4F42748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</w:t>
      </w:r>
      <w:r w:rsidRPr="7C97B7E9" w:rsidR="4F42748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ccessed: 29 March 2020</w:t>
      </w:r>
      <w:r w:rsidRPr="7C97B7E9" w:rsidR="331FE2F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)</w:t>
      </w:r>
    </w:p>
    <w:p w:rsidR="22B41821" w:rsidP="7C97B7E9" w:rsidRDefault="22B41821" w14:paraId="5381CD0F" w14:textId="6A06ABCC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color w:val="0563C1"/>
          <w:sz w:val="24"/>
          <w:szCs w:val="24"/>
          <w:lang w:val="en-US"/>
        </w:rPr>
      </w:pPr>
      <w:r w:rsidRPr="7C97B7E9" w:rsidR="27BA8C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Smidt, S</w:t>
      </w:r>
      <w:r w:rsidRPr="7C97B7E9" w:rsidR="421871F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.</w:t>
      </w:r>
      <w:r w:rsidRPr="7C97B7E9" w:rsidR="27BA8C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7C97B7E9" w:rsidR="0ED306E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(</w:t>
      </w:r>
      <w:r w:rsidRPr="7C97B7E9" w:rsidR="27BA8C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2008</w:t>
      </w:r>
      <w:r w:rsidRPr="7C97B7E9" w:rsidR="72FA1BF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)</w:t>
      </w:r>
      <w:r w:rsidRPr="7C97B7E9" w:rsidR="27BA8CEF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 xml:space="preserve"> Supporting Multilingual Learners in the Early Years: Many Languages – Many Children</w:t>
      </w:r>
      <w:r w:rsidRPr="7C97B7E9" w:rsidR="27BA8C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. </w:t>
      </w:r>
      <w:r w:rsidRPr="7C97B7E9" w:rsidR="1BE06D8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Oxon:</w:t>
      </w:r>
      <w:r w:rsidRPr="7C97B7E9" w:rsidR="27BA8C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Routledge.</w:t>
      </w:r>
      <w:r w:rsidRPr="7C97B7E9" w:rsidR="7A135ED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</w:p>
    <w:p w:rsidR="33EA6CBB" w:rsidP="7C97B7E9" w:rsidRDefault="33EA6CBB" w14:paraId="1C586879" w14:textId="0954D547">
      <w:pPr>
        <w:pStyle w:val="Normal"/>
        <w:spacing w:line="360" w:lineRule="auto"/>
        <w:jc w:val="both"/>
      </w:pPr>
      <w:r w:rsidRPr="7C97B7E9" w:rsidR="33EA6CB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United Nations</w:t>
      </w:r>
      <w:r w:rsidRPr="7C97B7E9" w:rsidR="5863999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(1990)</w:t>
      </w:r>
      <w:r w:rsidRPr="7C97B7E9" w:rsidR="33EA6CB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7C97B7E9" w:rsidR="33EA6CBB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The United Nations Convention on the Rights of the Child</w:t>
      </w:r>
      <w:r w:rsidRPr="7C97B7E9" w:rsidR="33EA6CB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. Available at:</w:t>
      </w:r>
      <w:r w:rsidRPr="7C97B7E9" w:rsidR="33EA6C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hyperlink r:id="Rd1d370e038f44a5f">
        <w:r w:rsidRPr="7C97B7E9" w:rsidR="33EA6CBB">
          <w:rPr>
            <w:rStyle w:val="Hyperlink"/>
            <w:rFonts w:ascii="Times New Roman" w:hAnsi="Times New Roman" w:eastAsia="Times New Roman" w:cs="Times New Roman"/>
            <w:noProof w:val="0"/>
            <w:color w:val="0070C0"/>
            <w:sz w:val="24"/>
            <w:szCs w:val="24"/>
            <w:lang w:val="en-US"/>
          </w:rPr>
          <w:t>https://downloads.unicef.org.uk/wp-co</w:t>
        </w:r>
        <w:r w:rsidRPr="7C97B7E9" w:rsidR="33EA6CBB">
          <w:rPr>
            <w:rStyle w:val="Hyperlink"/>
            <w:rFonts w:ascii="Times New Roman" w:hAnsi="Times New Roman" w:eastAsia="Times New Roman" w:cs="Times New Roman"/>
            <w:noProof w:val="0"/>
            <w:color w:val="0070C0"/>
            <w:sz w:val="24"/>
            <w:szCs w:val="24"/>
            <w:lang w:val="en-US"/>
          </w:rPr>
          <w:t>ntent/uploads/2010/05/UNCRC_united_nations_convention_on_the_rights_of_the_child.pdf?_ga=2.55135788.646232289.1570651225-430023955.1570289486</w:t>
        </w:r>
      </w:hyperlink>
      <w:r w:rsidRPr="7C97B7E9" w:rsidR="33EA6C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C97B7E9" w:rsidR="6608D9D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(</w:t>
      </w:r>
      <w:r w:rsidRPr="7C97B7E9" w:rsidR="33EA6CB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Accessed: </w:t>
      </w:r>
      <w:r w:rsidRPr="7C97B7E9" w:rsidR="4B49920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20 October 2019</w:t>
      </w:r>
      <w:r w:rsidRPr="7C97B7E9" w:rsidR="1FB1D2F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)</w:t>
      </w:r>
    </w:p>
    <w:p w:rsidR="29A1715F" w:rsidP="7C97B7E9" w:rsidRDefault="29A1715F" w14:paraId="203DBB36" w14:textId="09B83A12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7C97B7E9" w:rsidR="7A2D27F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Wales Online (2016) </w:t>
      </w:r>
      <w:r w:rsidRPr="7C97B7E9" w:rsidR="7A2D27FA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Why Speaking Welsh is Good for Your Health and the Language Must be Saved</w:t>
      </w:r>
      <w:r w:rsidRPr="7C97B7E9" w:rsidR="7A2D27F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. Available at: </w:t>
      </w:r>
      <w:hyperlink r:id="Raf4d26890d954858">
        <w:r w:rsidRPr="7C97B7E9" w:rsidR="7A2D27FA">
          <w:rPr>
            <w:rStyle w:val="Hyperlink"/>
            <w:rFonts w:ascii="Times New Roman" w:hAnsi="Times New Roman" w:eastAsia="Times New Roman" w:cs="Times New Roman"/>
            <w:noProof w:val="0"/>
            <w:color w:val="0070C0"/>
            <w:sz w:val="24"/>
            <w:szCs w:val="24"/>
            <w:lang w:val="en-US"/>
          </w:rPr>
          <w:t>https://www.walesonline.co.uk/news/health/speaking-welsh-good-your-health-10890612</w:t>
        </w:r>
      </w:hyperlink>
      <w:r w:rsidRPr="7C97B7E9" w:rsidR="7A2D27F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7C97B7E9" w:rsidR="17D30BA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(</w:t>
      </w:r>
      <w:r w:rsidRPr="7C97B7E9" w:rsidR="7A2D27F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Accessed: 21 February 2020</w:t>
      </w:r>
      <w:r w:rsidRPr="7C97B7E9" w:rsidR="6841A9F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)</w:t>
      </w:r>
    </w:p>
    <w:p w:rsidR="7A2D27FA" w:rsidP="7C97B7E9" w:rsidRDefault="7A2D27FA" w14:paraId="2238EDAF" w14:textId="243C3244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7C97B7E9" w:rsidR="7A2D27F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Welsh Government (2017) </w:t>
      </w:r>
      <w:proofErr w:type="spellStart"/>
      <w:r w:rsidRPr="7C97B7E9" w:rsidR="7A2D27FA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Cymraeg</w:t>
      </w:r>
      <w:proofErr w:type="spellEnd"/>
      <w:r w:rsidRPr="7C97B7E9" w:rsidR="7A2D27FA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 xml:space="preserve"> 2050: A Million Welsh Speakers. </w:t>
      </w:r>
      <w:r w:rsidRPr="7C97B7E9" w:rsidR="7A2D27F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Available at:</w:t>
      </w:r>
      <w:r w:rsidRPr="7C97B7E9" w:rsidR="7A2D27F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hyperlink r:id="R8043b2ce8ab8400e">
        <w:r w:rsidRPr="7C97B7E9" w:rsidR="7A2D27FA">
          <w:rPr>
            <w:rStyle w:val="Hyperlink"/>
            <w:rFonts w:ascii="Times New Roman" w:hAnsi="Times New Roman" w:eastAsia="Times New Roman" w:cs="Times New Roman"/>
            <w:noProof w:val="0"/>
            <w:color w:val="0070C0"/>
            <w:sz w:val="24"/>
            <w:szCs w:val="24"/>
            <w:lang w:val="en-US"/>
          </w:rPr>
          <w:t>https://gov.wales/sites/default/files/publications/2018-12/cymraeg-2050-welsh-language-strategy.pdf</w:t>
        </w:r>
      </w:hyperlink>
      <w:r w:rsidRPr="7C97B7E9" w:rsidR="7A2D27F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C97B7E9" w:rsidR="0CF60D5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(</w:t>
      </w:r>
      <w:r w:rsidRPr="7C97B7E9" w:rsidR="7A2D27F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Accessed: 10 March 2020</w:t>
      </w:r>
      <w:r w:rsidRPr="7C97B7E9" w:rsidR="54F7D3E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)</w:t>
      </w:r>
    </w:p>
    <w:p w:rsidR="29A1715F" w:rsidP="7C97B7E9" w:rsidRDefault="29A1715F" w14:paraId="5D8D299D" w14:textId="523BC728">
      <w:pPr>
        <w:pStyle w:val="Normal"/>
        <w:spacing w:line="360" w:lineRule="auto"/>
        <w:jc w:val="both"/>
      </w:pPr>
    </w:p>
    <w:sectPr w:rsidR="00D03AC1" w:rsidSect="00C64CDA">
      <w:footerReference w:type="default" r:id="rId7"/>
      <w:pgSz w:w="11906" w:h="16838" w:orient="portrait" w:code="9"/>
      <w:pgMar w:top="1440" w:right="1440" w:bottom="1800" w:left="1440" w:header="720" w:footer="1008" w:gutter="0"/>
      <w:cols w:space="720"/>
      <w:titlePg/>
      <w:docGrid w:linePitch="408"/>
      <w:headerReference w:type="default" r:id="Rd89ba860ccd94e85"/>
      <w:headerReference w:type="first" r:id="R625bc53557ec4c87"/>
      <w:footerReference w:type="first" r:id="R971936f13a304cf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4A56" w:rsidRDefault="00674A56" w14:paraId="492A6E3A" w14:textId="77777777">
      <w:r>
        <w:separator/>
      </w:r>
    </w:p>
    <w:p w:rsidR="00674A56" w:rsidRDefault="00674A56" w14:paraId="7BD3797D" w14:textId="77777777"/>
  </w:endnote>
  <w:endnote w:type="continuationSeparator" w:id="0">
    <w:p w:rsidR="00674A56" w:rsidRDefault="00674A56" w14:paraId="4AACD5B7" w14:textId="77777777">
      <w:r>
        <w:continuationSeparator/>
      </w:r>
    </w:p>
    <w:p w:rsidR="00674A56" w:rsidRDefault="00674A56" w14:paraId="638FA405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7041" w:rsidRDefault="00D03AC1" w14:paraId="083BC093" w14:textId="0D1E3907">
    <w:pPr>
      <w:pStyle w:val="Footer"/>
    </w:pPr>
    <w:r>
      <w:rPr>
        <w:lang w:val="en-GB" w:bidi="en-GB"/>
      </w:rPr>
      <w:fldChar w:fldCharType="begin"/>
    </w:r>
    <w:r>
      <w:rPr>
        <w:lang w:val="en-GB" w:bidi="en-GB"/>
      </w:rPr>
      <w:instrText xml:space="preserve"> PAGE   \* MERGEFORMAT </w:instrText>
    </w:r>
    <w:r>
      <w:rPr>
        <w:lang w:val="en-GB" w:bidi="en-GB"/>
      </w:rPr>
      <w:fldChar w:fldCharType="separate"/>
    </w:r>
    <w:r w:rsidR="00EE3E7C">
      <w:rPr>
        <w:noProof/>
        <w:lang w:val="en-GB" w:bidi="en-GB"/>
      </w:rPr>
      <w:t>2</w:t>
    </w:r>
    <w:r>
      <w:rPr>
        <w:noProof/>
        <w:lang w:val="en-GB" w:bidi="en-GB"/>
      </w:rPr>
      <w:fldChar w:fldCharType="end"/>
    </w: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55D7A684" w:rsidTr="55D7A684" w14:paraId="44700A02">
      <w:tc>
        <w:tcPr>
          <w:tcW w:w="3009" w:type="dxa"/>
          <w:tcMar/>
        </w:tcPr>
        <w:p w:rsidR="55D7A684" w:rsidP="55D7A684" w:rsidRDefault="55D7A684" w14:paraId="1BBAD7B8" w14:textId="75ADE654">
          <w:pPr>
            <w:pStyle w:val="Header"/>
            <w:bidi w:val="0"/>
            <w:ind w:left="-115"/>
            <w:jc w:val="left"/>
          </w:pPr>
        </w:p>
      </w:tc>
      <w:tc>
        <w:tcPr>
          <w:tcW w:w="3009" w:type="dxa"/>
          <w:tcMar/>
        </w:tcPr>
        <w:p w:rsidR="55D7A684" w:rsidP="55D7A684" w:rsidRDefault="55D7A684" w14:paraId="0BEE5EB0" w14:textId="7AA82DB1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55D7A684" w:rsidP="55D7A684" w:rsidRDefault="55D7A684" w14:paraId="2C174C31" w14:textId="6388695B">
          <w:pPr>
            <w:pStyle w:val="Header"/>
            <w:bidi w:val="0"/>
            <w:ind w:right="-115"/>
            <w:jc w:val="right"/>
          </w:pPr>
        </w:p>
      </w:tc>
    </w:tr>
  </w:tbl>
  <w:p w:rsidR="55D7A684" w:rsidP="55D7A684" w:rsidRDefault="55D7A684" w14:paraId="181851C0" w14:textId="36AA1C16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4A56" w:rsidRDefault="00674A56" w14:paraId="0399198A" w14:textId="77777777">
      <w:r>
        <w:separator/>
      </w:r>
    </w:p>
    <w:p w:rsidR="00674A56" w:rsidRDefault="00674A56" w14:paraId="23756527" w14:textId="77777777"/>
  </w:footnote>
  <w:footnote w:type="continuationSeparator" w:id="0">
    <w:p w:rsidR="00674A56" w:rsidRDefault="00674A56" w14:paraId="11ED78D6" w14:textId="77777777">
      <w:r>
        <w:continuationSeparator/>
      </w:r>
    </w:p>
    <w:p w:rsidR="00674A56" w:rsidRDefault="00674A56" w14:paraId="5E416D67" w14:textId="77777777"/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55D7A684" w:rsidTr="55D7A684" w14:paraId="403A4B7E">
      <w:tc>
        <w:tcPr>
          <w:tcW w:w="3009" w:type="dxa"/>
          <w:tcMar/>
        </w:tcPr>
        <w:p w:rsidR="55D7A684" w:rsidP="55D7A684" w:rsidRDefault="55D7A684" w14:paraId="284CE3BD" w14:textId="3F3A12AF">
          <w:pPr>
            <w:pStyle w:val="Header"/>
            <w:bidi w:val="0"/>
            <w:ind w:left="-115"/>
            <w:jc w:val="left"/>
          </w:pPr>
        </w:p>
      </w:tc>
      <w:tc>
        <w:tcPr>
          <w:tcW w:w="3009" w:type="dxa"/>
          <w:tcMar/>
        </w:tcPr>
        <w:p w:rsidR="55D7A684" w:rsidP="55D7A684" w:rsidRDefault="55D7A684" w14:paraId="5A13F3EC" w14:textId="78355B62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55D7A684" w:rsidP="55D7A684" w:rsidRDefault="55D7A684" w14:paraId="398452B2" w14:textId="2515ED0C">
          <w:pPr>
            <w:pStyle w:val="Header"/>
            <w:bidi w:val="0"/>
            <w:ind w:right="-115"/>
            <w:jc w:val="right"/>
          </w:pPr>
        </w:p>
      </w:tc>
    </w:tr>
  </w:tbl>
  <w:p w:rsidR="55D7A684" w:rsidP="55D7A684" w:rsidRDefault="55D7A684" w14:paraId="266A9B2C" w14:textId="4B18F2F7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55D7A684" w:rsidTr="55D7A684" w14:paraId="4800A946">
      <w:tc>
        <w:tcPr>
          <w:tcW w:w="3009" w:type="dxa"/>
          <w:tcMar/>
        </w:tcPr>
        <w:p w:rsidR="55D7A684" w:rsidP="55D7A684" w:rsidRDefault="55D7A684" w14:paraId="17398AFF" w14:textId="7B78B83F">
          <w:pPr>
            <w:pStyle w:val="Header"/>
            <w:bidi w:val="0"/>
            <w:ind w:left="-115"/>
            <w:jc w:val="left"/>
            <w:rPr>
              <w:rFonts w:ascii="Times New Roman" w:hAnsi="Times New Roman" w:eastAsia="Times New Roman" w:cs="Times New Roman"/>
              <w:color w:val="auto"/>
              <w:sz w:val="24"/>
              <w:szCs w:val="24"/>
            </w:rPr>
          </w:pPr>
          <w:r w:rsidRPr="55D7A684" w:rsidR="55D7A684">
            <w:rPr>
              <w:rFonts w:ascii="Times New Roman" w:hAnsi="Times New Roman" w:eastAsia="Times New Roman" w:cs="Times New Roman"/>
              <w:color w:val="auto"/>
              <w:sz w:val="24"/>
              <w:szCs w:val="24"/>
            </w:rPr>
            <w:t>1903611</w:t>
          </w:r>
        </w:p>
      </w:tc>
      <w:tc>
        <w:tcPr>
          <w:tcW w:w="3009" w:type="dxa"/>
          <w:tcMar/>
        </w:tcPr>
        <w:p w:rsidR="55D7A684" w:rsidP="55D7A684" w:rsidRDefault="55D7A684" w14:paraId="6CEDC4E6" w14:textId="2BC160A7">
          <w:pPr>
            <w:pStyle w:val="Header"/>
            <w:bidi w:val="0"/>
            <w:jc w:val="center"/>
            <w:rPr>
              <w:rFonts w:ascii="Times New Roman" w:hAnsi="Times New Roman" w:eastAsia="Times New Roman" w:cs="Times New Roman"/>
              <w:color w:val="auto"/>
              <w:sz w:val="24"/>
              <w:szCs w:val="24"/>
            </w:rPr>
          </w:pPr>
          <w:r w:rsidRPr="55D7A684" w:rsidR="55D7A684">
            <w:rPr>
              <w:rFonts w:ascii="Times New Roman" w:hAnsi="Times New Roman" w:eastAsia="Times New Roman" w:cs="Times New Roman"/>
              <w:color w:val="auto"/>
              <w:sz w:val="24"/>
              <w:szCs w:val="24"/>
            </w:rPr>
            <w:t xml:space="preserve">Multilingualism, </w:t>
          </w:r>
          <w:r w:rsidRPr="55D7A684" w:rsidR="55D7A684">
            <w:rPr>
              <w:rFonts w:ascii="Times New Roman" w:hAnsi="Times New Roman" w:eastAsia="Times New Roman" w:cs="Times New Roman"/>
              <w:color w:val="auto"/>
              <w:sz w:val="24"/>
              <w:szCs w:val="24"/>
            </w:rPr>
            <w:t>Multi-thinking</w:t>
          </w:r>
        </w:p>
      </w:tc>
      <w:tc>
        <w:tcPr>
          <w:tcW w:w="3009" w:type="dxa"/>
          <w:tcMar/>
        </w:tcPr>
        <w:p w:rsidR="55D7A684" w:rsidP="55D7A684" w:rsidRDefault="55D7A684" w14:paraId="1118C4F8" w14:textId="533FA4F9">
          <w:pPr>
            <w:pStyle w:val="Header"/>
            <w:bidi w:val="0"/>
            <w:ind w:right="-115"/>
            <w:jc w:val="right"/>
            <w:rPr>
              <w:rFonts w:ascii="Times New Roman" w:hAnsi="Times New Roman" w:eastAsia="Times New Roman" w:cs="Times New Roman"/>
              <w:color w:val="auto"/>
              <w:sz w:val="24"/>
              <w:szCs w:val="24"/>
            </w:rPr>
          </w:pPr>
          <w:r w:rsidRPr="55D7A684" w:rsidR="55D7A684">
            <w:rPr>
              <w:rFonts w:ascii="Times New Roman" w:hAnsi="Times New Roman" w:eastAsia="Times New Roman" w:cs="Times New Roman"/>
              <w:color w:val="auto"/>
              <w:sz w:val="24"/>
              <w:szCs w:val="24"/>
            </w:rPr>
            <w:t>EAEE4006</w:t>
          </w:r>
        </w:p>
      </w:tc>
    </w:tr>
  </w:tbl>
  <w:p w:rsidR="55D7A684" w:rsidP="55D7A684" w:rsidRDefault="55D7A684" w14:paraId="65D0C821" w14:textId="40D96E51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9E206F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06B9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7560AF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94AAC7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BC857D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00786354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24C4FEA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1ABCEB7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930A86D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682D62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041"/>
    <w:rsid w:val="00233CAE"/>
    <w:rsid w:val="00447041"/>
    <w:rsid w:val="0058464E"/>
    <w:rsid w:val="00674A56"/>
    <w:rsid w:val="00733795"/>
    <w:rsid w:val="007532E3"/>
    <w:rsid w:val="007962A0"/>
    <w:rsid w:val="009D2B19"/>
    <w:rsid w:val="00B045AF"/>
    <w:rsid w:val="00C00CB4"/>
    <w:rsid w:val="00C64CDA"/>
    <w:rsid w:val="00C922B4"/>
    <w:rsid w:val="00D03AC1"/>
    <w:rsid w:val="00DC274F"/>
    <w:rsid w:val="00DC2CF0"/>
    <w:rsid w:val="00EE3E7C"/>
    <w:rsid w:val="011AD824"/>
    <w:rsid w:val="021F704B"/>
    <w:rsid w:val="039F7988"/>
    <w:rsid w:val="03A0C038"/>
    <w:rsid w:val="04F77B9C"/>
    <w:rsid w:val="05680889"/>
    <w:rsid w:val="062CF230"/>
    <w:rsid w:val="070D7214"/>
    <w:rsid w:val="079B5E93"/>
    <w:rsid w:val="0A27C2D6"/>
    <w:rsid w:val="0A7E376E"/>
    <w:rsid w:val="0A84A145"/>
    <w:rsid w:val="0B5415DC"/>
    <w:rsid w:val="0BCA7558"/>
    <w:rsid w:val="0BDCAE3E"/>
    <w:rsid w:val="0CB2DBD9"/>
    <w:rsid w:val="0CB8D8FF"/>
    <w:rsid w:val="0CF60D52"/>
    <w:rsid w:val="0D53F05E"/>
    <w:rsid w:val="0D620D96"/>
    <w:rsid w:val="0EB5A22A"/>
    <w:rsid w:val="0ED306E8"/>
    <w:rsid w:val="0F3F5198"/>
    <w:rsid w:val="0FC396C2"/>
    <w:rsid w:val="0FFA5C6D"/>
    <w:rsid w:val="1049E85E"/>
    <w:rsid w:val="10A6307F"/>
    <w:rsid w:val="110B83C5"/>
    <w:rsid w:val="111D49FD"/>
    <w:rsid w:val="1149ACFB"/>
    <w:rsid w:val="11E23645"/>
    <w:rsid w:val="1210817D"/>
    <w:rsid w:val="1212C201"/>
    <w:rsid w:val="121C8FF4"/>
    <w:rsid w:val="1227A352"/>
    <w:rsid w:val="12EC46C5"/>
    <w:rsid w:val="144DC309"/>
    <w:rsid w:val="144F78F8"/>
    <w:rsid w:val="14991FB5"/>
    <w:rsid w:val="14D0DE77"/>
    <w:rsid w:val="162FFE0D"/>
    <w:rsid w:val="16A0533D"/>
    <w:rsid w:val="173E72F0"/>
    <w:rsid w:val="17D30BA6"/>
    <w:rsid w:val="1898FC89"/>
    <w:rsid w:val="193859AB"/>
    <w:rsid w:val="1A2B7F16"/>
    <w:rsid w:val="1AF36235"/>
    <w:rsid w:val="1B45C20A"/>
    <w:rsid w:val="1BE06D8E"/>
    <w:rsid w:val="1C64A7E6"/>
    <w:rsid w:val="1CA66EBD"/>
    <w:rsid w:val="1D4025B8"/>
    <w:rsid w:val="1DE491E0"/>
    <w:rsid w:val="1E1EF959"/>
    <w:rsid w:val="1E5B4FE2"/>
    <w:rsid w:val="1F23C872"/>
    <w:rsid w:val="1F8CA41C"/>
    <w:rsid w:val="1FA5D485"/>
    <w:rsid w:val="1FB1D2F6"/>
    <w:rsid w:val="2141CFBF"/>
    <w:rsid w:val="21C23E9B"/>
    <w:rsid w:val="21F17AD2"/>
    <w:rsid w:val="22B41821"/>
    <w:rsid w:val="23B1B4E6"/>
    <w:rsid w:val="23FDC051"/>
    <w:rsid w:val="2424EC6E"/>
    <w:rsid w:val="243BD6E0"/>
    <w:rsid w:val="2515342C"/>
    <w:rsid w:val="26FA71D7"/>
    <w:rsid w:val="2766E854"/>
    <w:rsid w:val="27BA8CEF"/>
    <w:rsid w:val="29A1715F"/>
    <w:rsid w:val="29F1CC4A"/>
    <w:rsid w:val="2AA17A32"/>
    <w:rsid w:val="2AF345F0"/>
    <w:rsid w:val="2B81F76E"/>
    <w:rsid w:val="2D685A0F"/>
    <w:rsid w:val="2E0EDEA2"/>
    <w:rsid w:val="2E21CD92"/>
    <w:rsid w:val="2E85EED4"/>
    <w:rsid w:val="2EF29F96"/>
    <w:rsid w:val="2F9840C5"/>
    <w:rsid w:val="306DF328"/>
    <w:rsid w:val="30C18E48"/>
    <w:rsid w:val="3102B294"/>
    <w:rsid w:val="312C121F"/>
    <w:rsid w:val="3152A7E0"/>
    <w:rsid w:val="32349C05"/>
    <w:rsid w:val="324060DA"/>
    <w:rsid w:val="330045D4"/>
    <w:rsid w:val="331FE2F8"/>
    <w:rsid w:val="336B8ED9"/>
    <w:rsid w:val="33EA6CBB"/>
    <w:rsid w:val="3499AE46"/>
    <w:rsid w:val="353E1FA6"/>
    <w:rsid w:val="36A317D1"/>
    <w:rsid w:val="386BF18E"/>
    <w:rsid w:val="38810C34"/>
    <w:rsid w:val="39B3F623"/>
    <w:rsid w:val="39D0C370"/>
    <w:rsid w:val="39D4B493"/>
    <w:rsid w:val="3A210C6D"/>
    <w:rsid w:val="3A41AFEF"/>
    <w:rsid w:val="3A74BE18"/>
    <w:rsid w:val="3B1FE221"/>
    <w:rsid w:val="3B5EDB4B"/>
    <w:rsid w:val="3B6C14D1"/>
    <w:rsid w:val="3C28BC44"/>
    <w:rsid w:val="3C94A074"/>
    <w:rsid w:val="3D488BE4"/>
    <w:rsid w:val="3DF05EB9"/>
    <w:rsid w:val="3E42E0C1"/>
    <w:rsid w:val="3F106D6D"/>
    <w:rsid w:val="400A97CF"/>
    <w:rsid w:val="421871F5"/>
    <w:rsid w:val="4222D791"/>
    <w:rsid w:val="42D6BCF0"/>
    <w:rsid w:val="42EE5DCF"/>
    <w:rsid w:val="44C8D0BB"/>
    <w:rsid w:val="4590F342"/>
    <w:rsid w:val="459B4075"/>
    <w:rsid w:val="45D29399"/>
    <w:rsid w:val="460ABBAB"/>
    <w:rsid w:val="461B2B7C"/>
    <w:rsid w:val="4716FFDD"/>
    <w:rsid w:val="47A3D419"/>
    <w:rsid w:val="4825A4AD"/>
    <w:rsid w:val="485575C9"/>
    <w:rsid w:val="48CECC16"/>
    <w:rsid w:val="49CBCB66"/>
    <w:rsid w:val="49D2630D"/>
    <w:rsid w:val="49D6B61F"/>
    <w:rsid w:val="4A953D73"/>
    <w:rsid w:val="4B499205"/>
    <w:rsid w:val="4BF3EC4F"/>
    <w:rsid w:val="4C54DC51"/>
    <w:rsid w:val="4C77D629"/>
    <w:rsid w:val="4CB26C46"/>
    <w:rsid w:val="4CBC4492"/>
    <w:rsid w:val="4CE390C5"/>
    <w:rsid w:val="4CF6E4CE"/>
    <w:rsid w:val="4D10D43A"/>
    <w:rsid w:val="4D7D17A7"/>
    <w:rsid w:val="4DB1A87E"/>
    <w:rsid w:val="4E299ABE"/>
    <w:rsid w:val="4E42411A"/>
    <w:rsid w:val="4E4EB20D"/>
    <w:rsid w:val="4E90E57D"/>
    <w:rsid w:val="4EB9DE75"/>
    <w:rsid w:val="4F0A1D3D"/>
    <w:rsid w:val="4F427480"/>
    <w:rsid w:val="50B42F30"/>
    <w:rsid w:val="51BFA74A"/>
    <w:rsid w:val="52425762"/>
    <w:rsid w:val="52DD67D2"/>
    <w:rsid w:val="53741F9D"/>
    <w:rsid w:val="54489965"/>
    <w:rsid w:val="544EC223"/>
    <w:rsid w:val="54D4A551"/>
    <w:rsid w:val="54F7D3EE"/>
    <w:rsid w:val="559AA395"/>
    <w:rsid w:val="55D62BC8"/>
    <w:rsid w:val="55D7A684"/>
    <w:rsid w:val="578173A1"/>
    <w:rsid w:val="57E86DD2"/>
    <w:rsid w:val="58639991"/>
    <w:rsid w:val="588066AC"/>
    <w:rsid w:val="58B9A2B7"/>
    <w:rsid w:val="58F32B5A"/>
    <w:rsid w:val="5A1D66A9"/>
    <w:rsid w:val="5A1E05C5"/>
    <w:rsid w:val="5A553D4F"/>
    <w:rsid w:val="5A62DEA3"/>
    <w:rsid w:val="5C0EF5BF"/>
    <w:rsid w:val="5C6428CD"/>
    <w:rsid w:val="5CA87760"/>
    <w:rsid w:val="5D0CC7C3"/>
    <w:rsid w:val="5EEC2F2C"/>
    <w:rsid w:val="5F526608"/>
    <w:rsid w:val="60C881FA"/>
    <w:rsid w:val="610946CB"/>
    <w:rsid w:val="612B67AC"/>
    <w:rsid w:val="61C61539"/>
    <w:rsid w:val="61F12BE6"/>
    <w:rsid w:val="62BBA7CF"/>
    <w:rsid w:val="62EF3773"/>
    <w:rsid w:val="63FCCD43"/>
    <w:rsid w:val="6458FBC8"/>
    <w:rsid w:val="64D766EC"/>
    <w:rsid w:val="6573389F"/>
    <w:rsid w:val="657969F1"/>
    <w:rsid w:val="65D1E4DC"/>
    <w:rsid w:val="6608D9D5"/>
    <w:rsid w:val="66C7A116"/>
    <w:rsid w:val="66FFB5F3"/>
    <w:rsid w:val="6701B58B"/>
    <w:rsid w:val="678E4A76"/>
    <w:rsid w:val="682F736C"/>
    <w:rsid w:val="6841A9FD"/>
    <w:rsid w:val="69513086"/>
    <w:rsid w:val="695C268D"/>
    <w:rsid w:val="69912CDB"/>
    <w:rsid w:val="6A763333"/>
    <w:rsid w:val="6B4D7ABA"/>
    <w:rsid w:val="6B59868E"/>
    <w:rsid w:val="6B94CAF9"/>
    <w:rsid w:val="6BAA8221"/>
    <w:rsid w:val="6BAE89E8"/>
    <w:rsid w:val="6C02DBEE"/>
    <w:rsid w:val="6C106B1A"/>
    <w:rsid w:val="6C4D2CC7"/>
    <w:rsid w:val="6C6BF6D5"/>
    <w:rsid w:val="6D41BF26"/>
    <w:rsid w:val="6DE6FBD6"/>
    <w:rsid w:val="6DEF9C59"/>
    <w:rsid w:val="6E1F68EF"/>
    <w:rsid w:val="6E2F0226"/>
    <w:rsid w:val="6E62E632"/>
    <w:rsid w:val="6EEDCA6E"/>
    <w:rsid w:val="6FA1F2CD"/>
    <w:rsid w:val="6FB589BE"/>
    <w:rsid w:val="6FDD6F46"/>
    <w:rsid w:val="705A838F"/>
    <w:rsid w:val="706B32CA"/>
    <w:rsid w:val="70EA9575"/>
    <w:rsid w:val="714FD1F0"/>
    <w:rsid w:val="721F769C"/>
    <w:rsid w:val="72F23EBC"/>
    <w:rsid w:val="72FA1BF9"/>
    <w:rsid w:val="731AE947"/>
    <w:rsid w:val="7397C593"/>
    <w:rsid w:val="743F23FB"/>
    <w:rsid w:val="74B5CDA4"/>
    <w:rsid w:val="75551C73"/>
    <w:rsid w:val="759C3493"/>
    <w:rsid w:val="75E955AE"/>
    <w:rsid w:val="77C26B3C"/>
    <w:rsid w:val="78802433"/>
    <w:rsid w:val="788F457E"/>
    <w:rsid w:val="7914E9F0"/>
    <w:rsid w:val="794F8C65"/>
    <w:rsid w:val="7A0779AC"/>
    <w:rsid w:val="7A135EDC"/>
    <w:rsid w:val="7A2D27FA"/>
    <w:rsid w:val="7A588073"/>
    <w:rsid w:val="7AB2D1EF"/>
    <w:rsid w:val="7B4720FD"/>
    <w:rsid w:val="7B6D5760"/>
    <w:rsid w:val="7C432CC5"/>
    <w:rsid w:val="7C97B7E9"/>
    <w:rsid w:val="7D7EBEDB"/>
    <w:rsid w:val="7DA444E3"/>
    <w:rsid w:val="7DD78DC2"/>
    <w:rsid w:val="7EC08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C106B1A"/>
  <w15:chartTrackingRefBased/>
  <w15:docId w15:val="{5c5e5317-d1ae-4e4e-95fe-b6b8ad3ec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color w:val="595959" w:themeColor="text1" w:themeTint="A6"/>
        <w:sz w:val="30"/>
        <w:szCs w:val="30"/>
        <w:lang w:val="en-US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semiHidden="1" w:unhideWhenUsed="1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unhideWhenUsed="1" w:qFormat="1"/>
    <w:lsdException w:name="Emphasis" w:uiPriority="20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 w:qFormat="1"/>
    <w:lsdException w:name="Quote" w:uiPriority="29" w:semiHidden="1" w:unhideWhenUsed="1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58464E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60"/>
      <w:outlineLvl w:val="0"/>
    </w:pPr>
    <w:rPr>
      <w:rFonts w:asciiTheme="majorHAnsi" w:hAnsiTheme="majorHAnsi" w:eastAsiaTheme="majorEastAsia" w:cstheme="majorBidi"/>
      <w:color w:val="262626" w:themeColor="text1" w:themeTint="D9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60"/>
      <w:outlineLvl w:val="1"/>
    </w:pPr>
    <w:rPr>
      <w:rFonts w:asciiTheme="majorHAnsi" w:hAnsiTheme="majorHAnsi" w:eastAsiaTheme="majorEastAsia" w:cstheme="majorBidi"/>
      <w:i/>
      <w:color w:val="262626" w:themeColor="text1" w:themeTint="D9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hAnsiTheme="majorHAnsi" w:eastAsiaTheme="majorEastAsia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hAnsiTheme="majorHAnsi" w:eastAsiaTheme="majorEastAsia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hAnsiTheme="majorHAnsi" w:eastAsiaTheme="majorEastAsia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hAnsiTheme="majorHAnsi" w:eastAsiaTheme="majorEastAsia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hAnsiTheme="majorHAnsi" w:eastAsiaTheme="majorEastAsia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hAnsiTheme="majorHAnsi" w:eastAsiaTheme="majorEastAsia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hAnsiTheme="majorHAnsi" w:eastAsiaTheme="majorEastAsia" w:cstheme="majorBidi"/>
      <w:iCs/>
      <w:color w:val="262626" w:themeColor="text1" w:themeTint="D9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1"/>
      </w:numPr>
    </w:p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62626" w:themeColor="text1" w:themeTint="D9"/>
      <w:sz w:val="48"/>
      <w:szCs w:val="32"/>
    </w:rPr>
  </w:style>
  <w:style w:type="paragraph" w:styleId="ListNumber">
    <w:name w:val="List Number"/>
    <w:basedOn w:val="Normal"/>
    <w:uiPriority w:val="9"/>
    <w:qFormat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sid w:val="00DC2CF0"/>
    <w:rPr>
      <w:color w:val="595959" w:themeColor="text1" w:themeTint="A6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</w:rPr>
  </w:style>
  <w:style w:type="character" w:styleId="TitleChar" w:customStyle="1">
    <w:name w:val="Title Char"/>
    <w:basedOn w:val="DefaultParagraphFont"/>
    <w:link w:val="Title"/>
    <w:uiPriority w:val="10"/>
    <w:semiHidden/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styleId="SubtitleChar" w:customStyle="1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semiHidden/>
    <w:rPr>
      <w:rFonts w:asciiTheme="majorHAnsi" w:hAnsiTheme="majorHAnsi" w:eastAsiaTheme="majorEastAsia" w:cstheme="majorBidi"/>
      <w:i/>
      <w:color w:val="262626" w:themeColor="text1" w:themeTint="D9"/>
      <w:sz w:val="40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Pr>
      <w:rFonts w:asciiTheme="majorHAnsi" w:hAnsiTheme="majorHAnsi" w:eastAsiaTheme="majorEastAsia" w:cstheme="majorBidi"/>
      <w:sz w:val="40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semiHidden/>
    <w:rPr>
      <w:rFonts w:asciiTheme="majorHAnsi" w:hAnsiTheme="majorHAnsi" w:eastAsiaTheme="majorEastAsia" w:cstheme="majorBidi"/>
      <w:i/>
      <w:iCs/>
      <w:sz w:val="40"/>
    </w:rPr>
  </w:style>
  <w:style w:type="character" w:styleId="Heading5Char" w:customStyle="1">
    <w:name w:val="Heading 5 Char"/>
    <w:basedOn w:val="DefaultParagraphFont"/>
    <w:link w:val="Heading5"/>
    <w:uiPriority w:val="9"/>
    <w:semiHidden/>
    <w:rPr>
      <w:rFonts w:asciiTheme="majorHAnsi" w:hAnsiTheme="majorHAnsi" w:eastAsiaTheme="majorEastAsia" w:cstheme="majorBidi"/>
      <w:color w:val="262626" w:themeColor="text1" w:themeTint="D9"/>
      <w:sz w:val="34"/>
    </w:rPr>
  </w:style>
  <w:style w:type="character" w:styleId="Heading6Char" w:customStyle="1">
    <w:name w:val="Heading 6 Char"/>
    <w:basedOn w:val="DefaultParagraphFont"/>
    <w:link w:val="Heading6"/>
    <w:uiPriority w:val="9"/>
    <w:semiHidden/>
    <w:rPr>
      <w:rFonts w:asciiTheme="majorHAnsi" w:hAnsiTheme="majorHAnsi" w:eastAsiaTheme="majorEastAsia" w:cstheme="majorBidi"/>
      <w:i/>
      <w:color w:val="262626" w:themeColor="text1" w:themeTint="D9"/>
      <w:sz w:val="34"/>
    </w:rPr>
  </w:style>
  <w:style w:type="character" w:styleId="Heading7Char" w:customStyle="1">
    <w:name w:val="Heading 7 Char"/>
    <w:basedOn w:val="DefaultParagraphFont"/>
    <w:link w:val="Heading7"/>
    <w:uiPriority w:val="9"/>
    <w:semiHidden/>
    <w:rPr>
      <w:rFonts w:asciiTheme="majorHAnsi" w:hAnsiTheme="majorHAnsi" w:eastAsiaTheme="majorEastAsia" w:cstheme="majorBidi"/>
      <w:iCs/>
      <w:sz w:val="34"/>
    </w:rPr>
  </w:style>
  <w:style w:type="character" w:styleId="Heading8Char" w:customStyle="1">
    <w:name w:val="Heading 8 Char"/>
    <w:basedOn w:val="DefaultParagraphFont"/>
    <w:link w:val="Heading8"/>
    <w:uiPriority w:val="9"/>
    <w:semiHidden/>
    <w:rPr>
      <w:rFonts w:asciiTheme="majorHAnsi" w:hAnsiTheme="majorHAnsi" w:eastAsiaTheme="majorEastAsia" w:cstheme="majorBidi"/>
      <w:i/>
      <w:sz w:val="34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/>
    <w:rPr>
      <w:rFonts w:asciiTheme="majorHAnsi" w:hAnsiTheme="majorHAnsi" w:eastAsiaTheme="majorEastAsia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styleId="QuoteChar" w:customStyle="1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DC2CF0"/>
    <w:rPr>
      <w:rFonts w:ascii="Segoe UI" w:hAnsi="Segoe UI" w:cs="Segoe UI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DC2CF0"/>
  </w:style>
  <w:style w:type="paragraph" w:styleId="BlockText">
    <w:name w:val="Block Text"/>
    <w:basedOn w:val="Normal"/>
    <w:uiPriority w:val="99"/>
    <w:semiHidden/>
    <w:unhideWhenUsed/>
    <w:rsid w:val="00DC2CF0"/>
    <w:pPr>
      <w:pBdr>
        <w:top w:val="single" w:color="214C5E" w:themeColor="accent1" w:sz="2" w:space="10" w:frame="1"/>
        <w:left w:val="single" w:color="214C5E" w:themeColor="accent1" w:sz="2" w:space="10" w:frame="1"/>
        <w:bottom w:val="single" w:color="214C5E" w:themeColor="accent1" w:sz="2" w:space="10" w:frame="1"/>
        <w:right w:val="single" w:color="214C5E" w:themeColor="accent1" w:sz="2" w:space="10" w:frame="1"/>
      </w:pBdr>
      <w:ind w:left="1152" w:right="1152"/>
    </w:pPr>
    <w:rPr>
      <w:rFonts w:eastAsiaTheme="minorEastAsia"/>
      <w:i/>
      <w:iCs/>
      <w:color w:val="214C5E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DC2CF0"/>
  </w:style>
  <w:style w:type="character" w:styleId="BodyTextChar" w:customStyle="1">
    <w:name w:val="Body Text Char"/>
    <w:basedOn w:val="DefaultParagraphFont"/>
    <w:link w:val="BodyText"/>
    <w:uiPriority w:val="99"/>
    <w:semiHidden/>
    <w:rsid w:val="00DC2CF0"/>
  </w:style>
  <w:style w:type="paragraph" w:styleId="BodyText2">
    <w:name w:val="Body Text 2"/>
    <w:basedOn w:val="Normal"/>
    <w:link w:val="BodyText2Char"/>
    <w:uiPriority w:val="99"/>
    <w:semiHidden/>
    <w:unhideWhenUsed/>
    <w:rsid w:val="00DC2CF0"/>
    <w:pPr>
      <w:spacing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semiHidden/>
    <w:rsid w:val="00DC2CF0"/>
  </w:style>
  <w:style w:type="paragraph" w:styleId="BodyText3">
    <w:name w:val="Body Text 3"/>
    <w:basedOn w:val="Normal"/>
    <w:link w:val="BodyText3Char"/>
    <w:uiPriority w:val="99"/>
    <w:semiHidden/>
    <w:unhideWhenUsed/>
    <w:rsid w:val="00DC2CF0"/>
    <w:rPr>
      <w:sz w:val="22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DC2CF0"/>
    <w:rPr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DC2CF0"/>
    <w:pPr>
      <w:ind w:firstLine="360"/>
    </w:pPr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  <w:rsid w:val="00DC2CF0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C2CF0"/>
    <w:pPr>
      <w:ind w:left="283"/>
    </w:p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rsid w:val="00DC2CF0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DC2CF0"/>
    <w:pPr>
      <w:ind w:left="360" w:firstLine="360"/>
    </w:pPr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rsid w:val="00DC2CF0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C2CF0"/>
    <w:pPr>
      <w:spacing w:line="480" w:lineRule="auto"/>
      <w:ind w:left="283"/>
    </w:p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rsid w:val="00DC2CF0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C2CF0"/>
    <w:pPr>
      <w:ind w:left="283"/>
    </w:pPr>
    <w:rPr>
      <w:sz w:val="22"/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DC2CF0"/>
    <w:rPr>
      <w:sz w:val="22"/>
      <w:szCs w:val="16"/>
    </w:rPr>
  </w:style>
  <w:style w:type="paragraph" w:styleId="Closing">
    <w:name w:val="Closing"/>
    <w:basedOn w:val="Normal"/>
    <w:link w:val="ClosingChar"/>
    <w:uiPriority w:val="99"/>
    <w:semiHidden/>
    <w:unhideWhenUsed/>
    <w:rsid w:val="00DC2CF0"/>
    <w:pPr>
      <w:spacing w:after="0" w:line="240" w:lineRule="auto"/>
      <w:ind w:left="4252"/>
    </w:pPr>
  </w:style>
  <w:style w:type="character" w:styleId="ClosingChar" w:customStyle="1">
    <w:name w:val="Closing Char"/>
    <w:basedOn w:val="DefaultParagraphFont"/>
    <w:link w:val="Closing"/>
    <w:uiPriority w:val="99"/>
    <w:semiHidden/>
    <w:rsid w:val="00DC2CF0"/>
  </w:style>
  <w:style w:type="table" w:styleId="ColorfulGrid">
    <w:name w:val="Colorful Grid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6E0EB" w:themeFill="accent1" w:themeFillTint="33"/>
    </w:tcPr>
    <w:tblStylePr w:type="firstRow">
      <w:rPr>
        <w:b/>
        <w:bCs/>
      </w:rPr>
      <w:tblPr/>
      <w:tcPr>
        <w:shd w:val="clear" w:color="auto" w:fill="8DC1D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DC1D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8DADA" w:themeFill="accent2" w:themeFillTint="33"/>
    </w:tcPr>
    <w:tblStylePr w:type="firstRow">
      <w:rPr>
        <w:b/>
        <w:bCs/>
      </w:rPr>
      <w:tblPr/>
      <w:tcPr>
        <w:shd w:val="clear" w:color="auto" w:fill="F1B5B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B5B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FF3EE" w:themeFill="accent3" w:themeFillTint="33"/>
    </w:tcPr>
    <w:tblStylePr w:type="firstRow">
      <w:rPr>
        <w:b/>
        <w:bCs/>
      </w:rPr>
      <w:tblPr/>
      <w:tcPr>
        <w:shd w:val="clear" w:color="auto" w:fill="C0E8DE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0E8DE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0C3D5" w:themeFill="accent4" w:themeFillTint="33"/>
    </w:tcPr>
    <w:tblStylePr w:type="firstRow">
      <w:rPr>
        <w:b/>
        <w:bCs/>
      </w:rPr>
      <w:tblPr/>
      <w:tcPr>
        <w:shd w:val="clear" w:color="auto" w:fill="E288A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288A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7E2D5" w:themeFill="accent5" w:themeFillTint="33"/>
    </w:tcPr>
    <w:tblStylePr w:type="firstRow">
      <w:rPr>
        <w:b/>
        <w:bCs/>
      </w:rPr>
      <w:tblPr/>
      <w:tcPr>
        <w:shd w:val="clear" w:color="auto" w:fill="EFC6A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FC6A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8F1DC" w:themeFill="accent6" w:themeFillTint="33"/>
    </w:tcPr>
    <w:tblStylePr w:type="firstRow">
      <w:rPr>
        <w:b/>
        <w:bCs/>
      </w:rPr>
      <w:tblPr/>
      <w:tcPr>
        <w:shd w:val="clear" w:color="auto" w:fill="F1E4BA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E4BA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3EFF5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ECE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FF9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5B1632" w:themeFill="accent4" w:themeFillShade="CC"/>
      </w:tcPr>
    </w:tblStylePr>
    <w:tblStylePr w:type="lastRow">
      <w:rPr>
        <w:b/>
        <w:bCs/>
        <w:color w:val="5B163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2EA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EAE91" w:themeFill="accent3" w:themeFillShade="CC"/>
      </w:tcPr>
    </w:tblStylePr>
    <w:tblStylePr w:type="lastRow">
      <w:rPr>
        <w:b/>
        <w:bCs/>
        <w:color w:val="3EAE91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1EA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CA327" w:themeFill="accent6" w:themeFillShade="CC"/>
      </w:tcPr>
    </w:tblStylePr>
    <w:tblStylePr w:type="lastRow">
      <w:rPr>
        <w:b/>
        <w:bCs/>
        <w:color w:val="CCA327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8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B15A21" w:themeFill="accent5" w:themeFillShade="CC"/>
      </w:tcPr>
    </w:tblStylePr>
    <w:tblStylePr w:type="lastRow">
      <w:rPr>
        <w:b/>
        <w:bCs/>
        <w:color w:val="B15A21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214C5E" w:themeColor="accent1" w:sz="4" w:space="0"/>
        <w:bottom w:val="single" w:color="214C5E" w:themeColor="accent1" w:sz="4" w:space="0"/>
        <w:right w:val="single" w:color="214C5E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3EFF5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132D3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132D38" w:themeColor="accent1" w:themeShade="99" w:sz="4" w:space="0"/>
          <w:insideV w:val="nil"/>
        </w:tcBorders>
        <w:shd w:val="clear" w:color="auto" w:fill="132D3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D38" w:themeFill="accent1" w:themeFillShade="99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71B2C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DE4948" w:themeColor="accent2" w:sz="4" w:space="0"/>
        <w:bottom w:val="single" w:color="DE4948" w:themeColor="accent2" w:sz="4" w:space="0"/>
        <w:right w:val="single" w:color="DE4948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ECE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951B1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951B1B" w:themeColor="accent2" w:themeShade="99" w:sz="4" w:space="0"/>
          <w:insideV w:val="nil"/>
        </w:tcBorders>
        <w:shd w:val="clear" w:color="auto" w:fill="951B1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1B1B" w:themeFill="accent2" w:themeFillShade="99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EEA3A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31C3F" w:themeColor="accent4" w:sz="24" w:space="0"/>
        <w:left w:val="single" w:color="62C7AD" w:themeColor="accent3" w:sz="4" w:space="0"/>
        <w:bottom w:val="single" w:color="62C7AD" w:themeColor="accent3" w:sz="4" w:space="0"/>
        <w:right w:val="single" w:color="62C7AD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FF9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731C3F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E836D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E836D" w:themeColor="accent3" w:themeShade="99" w:sz="4" w:space="0"/>
          <w:insideV w:val="nil"/>
        </w:tcBorders>
        <w:shd w:val="clear" w:color="auto" w:fill="2E836D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836D" w:themeFill="accent3" w:themeFillShade="99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2C7AD" w:themeColor="accent3" w:sz="24" w:space="0"/>
        <w:left w:val="single" w:color="731C3F" w:themeColor="accent4" w:sz="4" w:space="0"/>
        <w:bottom w:val="single" w:color="731C3F" w:themeColor="accent4" w:sz="4" w:space="0"/>
        <w:right w:val="single" w:color="731C3F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2EA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62C7AD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4102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41025" w:themeColor="accent4" w:themeShade="99" w:sz="4" w:space="0"/>
          <w:insideV w:val="nil"/>
        </w:tcBorders>
        <w:shd w:val="clear" w:color="auto" w:fill="44102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1025" w:themeFill="accent4" w:themeFillShade="99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DB6B98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BC53" w:themeColor="accent6" w:sz="24" w:space="0"/>
        <w:left w:val="single" w:color="D87330" w:themeColor="accent5" w:sz="4" w:space="0"/>
        <w:bottom w:val="single" w:color="D87330" w:themeColor="accent5" w:sz="4" w:space="0"/>
        <w:right w:val="single" w:color="D87330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F1EA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BC53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85431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854319" w:themeColor="accent5" w:themeShade="99" w:sz="4" w:space="0"/>
          <w:insideV w:val="nil"/>
        </w:tcBorders>
        <w:shd w:val="clear" w:color="auto" w:fill="85431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4319" w:themeFill="accent5" w:themeFillShade="99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BB897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87330" w:themeColor="accent5" w:sz="24" w:space="0"/>
        <w:left w:val="single" w:color="DEBC53" w:themeColor="accent6" w:sz="4" w:space="0"/>
        <w:bottom w:val="single" w:color="DEBC53" w:themeColor="accent6" w:sz="4" w:space="0"/>
        <w:right w:val="single" w:color="DEBC53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F8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87330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997A1D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997A1D" w:themeColor="accent6" w:themeShade="99" w:sz="4" w:space="0"/>
          <w:insideV w:val="nil"/>
        </w:tcBorders>
        <w:shd w:val="clear" w:color="auto" w:fill="997A1D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A1D" w:themeFill="accent6" w:themeFillShade="99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EEDDA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DC2CF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2CF0"/>
    <w:pPr>
      <w:spacing w:line="240" w:lineRule="auto"/>
    </w:pPr>
    <w:rPr>
      <w:sz w:val="22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DC2CF0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2CF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DC2CF0"/>
    <w:rPr>
      <w:b/>
      <w:bCs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10252E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183846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B1616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A2221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76C5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AA388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90E1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6152F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E381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A6541F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F6518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F9924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DC2CF0"/>
  </w:style>
  <w:style w:type="character" w:styleId="DateChar" w:customStyle="1">
    <w:name w:val="Date Char"/>
    <w:basedOn w:val="DefaultParagraphFont"/>
    <w:link w:val="Date"/>
    <w:uiPriority w:val="99"/>
    <w:semiHidden/>
    <w:rsid w:val="00DC2CF0"/>
  </w:style>
  <w:style w:type="paragraph" w:styleId="DocumentMap">
    <w:name w:val="Document Map"/>
    <w:basedOn w:val="Normal"/>
    <w:link w:val="DocumentMap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DC2CF0"/>
    <w:rPr>
      <w:rFonts w:ascii="Segoe UI" w:hAnsi="Segoe UI" w:cs="Segoe UI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DC2CF0"/>
    <w:pPr>
      <w:spacing w:after="0" w:line="240" w:lineRule="auto"/>
    </w:pPr>
  </w:style>
  <w:style w:type="character" w:styleId="E-mailSignatureChar" w:customStyle="1">
    <w:name w:val="E-mail Signature Char"/>
    <w:basedOn w:val="DefaultParagraphFont"/>
    <w:link w:val="E-mailSignature"/>
    <w:uiPriority w:val="99"/>
    <w:semiHidden/>
    <w:rsid w:val="00DC2CF0"/>
  </w:style>
  <w:style w:type="character" w:styleId="EndnoteReference">
    <w:name w:val="end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DC2CF0"/>
    <w:rPr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DC2CF0"/>
    <w:pPr>
      <w:framePr w:w="7920" w:h="1980" w:hSpace="180" w:wrap="auto" w:hAnchor="page" w:xAlign="center" w:yAlign="bottom" w:hRule="exact"/>
      <w:spacing w:after="0" w:line="240" w:lineRule="auto"/>
      <w:ind w:left="2880"/>
    </w:pPr>
    <w:rPr>
      <w:rFonts w:asciiTheme="majorHAnsi" w:hAnsiTheme="majorHAnsi" w:eastAsiaTheme="majorEastAsia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DC2CF0"/>
    <w:rPr>
      <w:color w:val="895F96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DC2CF0"/>
    <w:rPr>
      <w:sz w:val="22"/>
      <w:szCs w:val="20"/>
    </w:rPr>
  </w:style>
  <w:style w:type="table" w:styleId="GridTable1Light">
    <w:name w:val="Grid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8DC1D7" w:themeColor="accent1" w:themeTint="66" w:sz="4" w:space="0"/>
        <w:left w:val="single" w:color="8DC1D7" w:themeColor="accent1" w:themeTint="66" w:sz="4" w:space="0"/>
        <w:bottom w:val="single" w:color="8DC1D7" w:themeColor="accent1" w:themeTint="66" w:sz="4" w:space="0"/>
        <w:right w:val="single" w:color="8DC1D7" w:themeColor="accent1" w:themeTint="66" w:sz="4" w:space="0"/>
        <w:insideH w:val="single" w:color="8DC1D7" w:themeColor="accent1" w:themeTint="66" w:sz="4" w:space="0"/>
        <w:insideV w:val="single" w:color="8DC1D7" w:themeColor="accent1" w:themeTint="66" w:sz="4" w:space="0"/>
      </w:tblBorders>
    </w:tblPr>
    <w:tblStylePr w:type="firstRow">
      <w:rPr>
        <w:b/>
        <w:bCs/>
      </w:rPr>
      <w:tblPr/>
      <w:tcPr>
        <w:tcBorders>
          <w:bottom w:val="single" w:color="54A2C3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F1B5B5" w:themeColor="accent2" w:themeTint="66" w:sz="4" w:space="0"/>
        <w:left w:val="single" w:color="F1B5B5" w:themeColor="accent2" w:themeTint="66" w:sz="4" w:space="0"/>
        <w:bottom w:val="single" w:color="F1B5B5" w:themeColor="accent2" w:themeTint="66" w:sz="4" w:space="0"/>
        <w:right w:val="single" w:color="F1B5B5" w:themeColor="accent2" w:themeTint="66" w:sz="4" w:space="0"/>
        <w:insideH w:val="single" w:color="F1B5B5" w:themeColor="accent2" w:themeTint="66" w:sz="4" w:space="0"/>
        <w:insideV w:val="single" w:color="F1B5B5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EB9191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C0E8DE" w:themeColor="accent3" w:themeTint="66" w:sz="4" w:space="0"/>
        <w:left w:val="single" w:color="C0E8DE" w:themeColor="accent3" w:themeTint="66" w:sz="4" w:space="0"/>
        <w:bottom w:val="single" w:color="C0E8DE" w:themeColor="accent3" w:themeTint="66" w:sz="4" w:space="0"/>
        <w:right w:val="single" w:color="C0E8DE" w:themeColor="accent3" w:themeTint="66" w:sz="4" w:space="0"/>
        <w:insideH w:val="single" w:color="C0E8DE" w:themeColor="accent3" w:themeTint="66" w:sz="4" w:space="0"/>
        <w:insideV w:val="single" w:color="C0E8DE" w:themeColor="accent3" w:themeTint="66" w:sz="4" w:space="0"/>
      </w:tblBorders>
    </w:tblPr>
    <w:tblStylePr w:type="firstRow">
      <w:rPr>
        <w:b/>
        <w:bCs/>
      </w:rPr>
      <w:tblPr/>
      <w:tcPr>
        <w:tcBorders>
          <w:bottom w:val="single" w:color="A0DDCD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E288AC" w:themeColor="accent4" w:themeTint="66" w:sz="4" w:space="0"/>
        <w:left w:val="single" w:color="E288AC" w:themeColor="accent4" w:themeTint="66" w:sz="4" w:space="0"/>
        <w:bottom w:val="single" w:color="E288AC" w:themeColor="accent4" w:themeTint="66" w:sz="4" w:space="0"/>
        <w:right w:val="single" w:color="E288AC" w:themeColor="accent4" w:themeTint="66" w:sz="4" w:space="0"/>
        <w:insideH w:val="single" w:color="E288AC" w:themeColor="accent4" w:themeTint="66" w:sz="4" w:space="0"/>
        <w:insideV w:val="single" w:color="E288AC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D34D83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EFC6AC" w:themeColor="accent5" w:themeTint="66" w:sz="4" w:space="0"/>
        <w:left w:val="single" w:color="EFC6AC" w:themeColor="accent5" w:themeTint="66" w:sz="4" w:space="0"/>
        <w:bottom w:val="single" w:color="EFC6AC" w:themeColor="accent5" w:themeTint="66" w:sz="4" w:space="0"/>
        <w:right w:val="single" w:color="EFC6AC" w:themeColor="accent5" w:themeTint="66" w:sz="4" w:space="0"/>
        <w:insideH w:val="single" w:color="EFC6AC" w:themeColor="accent5" w:themeTint="66" w:sz="4" w:space="0"/>
        <w:insideV w:val="single" w:color="EFC6AC" w:themeColor="accent5" w:themeTint="66" w:sz="4" w:space="0"/>
      </w:tblBorders>
    </w:tblPr>
    <w:tblStylePr w:type="firstRow">
      <w:rPr>
        <w:b/>
        <w:bCs/>
      </w:rPr>
      <w:tblPr/>
      <w:tcPr>
        <w:tcBorders>
          <w:bottom w:val="single" w:color="E7AA82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F1E4BA" w:themeColor="accent6" w:themeTint="66" w:sz="4" w:space="0"/>
        <w:left w:val="single" w:color="F1E4BA" w:themeColor="accent6" w:themeTint="66" w:sz="4" w:space="0"/>
        <w:bottom w:val="single" w:color="F1E4BA" w:themeColor="accent6" w:themeTint="66" w:sz="4" w:space="0"/>
        <w:right w:val="single" w:color="F1E4BA" w:themeColor="accent6" w:themeTint="66" w:sz="4" w:space="0"/>
        <w:insideH w:val="single" w:color="F1E4BA" w:themeColor="accent6" w:themeTint="66" w:sz="4" w:space="0"/>
        <w:insideV w:val="single" w:color="F1E4BA" w:themeColor="accent6" w:themeTint="66" w:sz="4" w:space="0"/>
      </w:tblBorders>
    </w:tblPr>
    <w:tblStylePr w:type="firstRow">
      <w:rPr>
        <w:b/>
        <w:bCs/>
      </w:rPr>
      <w:tblPr/>
      <w:tcPr>
        <w:tcBorders>
          <w:bottom w:val="single" w:color="EBD697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2" w:space="0"/>
        <w:bottom w:val="single" w:color="54A2C3" w:themeColor="accent1" w:themeTint="99" w:sz="2" w:space="0"/>
        <w:insideH w:val="single" w:color="54A2C3" w:themeColor="accent1" w:themeTint="99" w:sz="2" w:space="0"/>
        <w:insideV w:val="single" w:color="54A2C3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54A2C3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2" w:space="0"/>
        <w:bottom w:val="single" w:color="EB9191" w:themeColor="accent2" w:themeTint="99" w:sz="2" w:space="0"/>
        <w:insideH w:val="single" w:color="EB9191" w:themeColor="accent2" w:themeTint="99" w:sz="2" w:space="0"/>
        <w:insideV w:val="single" w:color="EB9191" w:themeColor="accent2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B9191" w:themeColor="accent2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2" w:space="0"/>
        <w:bottom w:val="single" w:color="A0DDCD" w:themeColor="accent3" w:themeTint="99" w:sz="2" w:space="0"/>
        <w:insideH w:val="single" w:color="A0DDCD" w:themeColor="accent3" w:themeTint="99" w:sz="2" w:space="0"/>
        <w:insideV w:val="single" w:color="A0DDCD" w:themeColor="accent3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A0DDCD" w:themeColor="accent3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2" w:space="0"/>
        <w:bottom w:val="single" w:color="D34D83" w:themeColor="accent4" w:themeTint="99" w:sz="2" w:space="0"/>
        <w:insideH w:val="single" w:color="D34D83" w:themeColor="accent4" w:themeTint="99" w:sz="2" w:space="0"/>
        <w:insideV w:val="single" w:color="D34D83" w:themeColor="accent4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D34D83" w:themeColor="accent4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2" w:space="0"/>
        <w:bottom w:val="single" w:color="E7AA82" w:themeColor="accent5" w:themeTint="99" w:sz="2" w:space="0"/>
        <w:insideH w:val="single" w:color="E7AA82" w:themeColor="accent5" w:themeTint="99" w:sz="2" w:space="0"/>
        <w:insideV w:val="single" w:color="E7AA82" w:themeColor="accent5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7AA82" w:themeColor="accent5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2" w:space="0"/>
        <w:bottom w:val="single" w:color="EBD697" w:themeColor="accent6" w:themeTint="99" w:sz="2" w:space="0"/>
        <w:insideH w:val="single" w:color="EBD697" w:themeColor="accent6" w:themeTint="99" w:sz="2" w:space="0"/>
        <w:insideV w:val="single" w:color="EBD697" w:themeColor="accent6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BD697" w:themeColor="accent6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3">
    <w:name w:val="Grid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3-Accent1">
    <w:name w:val="Grid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color="54A2C3" w:themeColor="accent1" w:themeTint="99" w:sz="4" w:space="0"/>
        </w:tcBorders>
      </w:tcPr>
    </w:tblStylePr>
    <w:tblStylePr w:type="nwCell">
      <w:tblPr/>
      <w:tcPr>
        <w:tcBorders>
          <w:bottom w:val="single" w:color="54A2C3" w:themeColor="accent1" w:themeTint="99" w:sz="4" w:space="0"/>
        </w:tcBorders>
      </w:tcPr>
    </w:tblStylePr>
    <w:tblStylePr w:type="seCell">
      <w:tblPr/>
      <w:tcPr>
        <w:tcBorders>
          <w:top w:val="single" w:color="54A2C3" w:themeColor="accent1" w:themeTint="99" w:sz="4" w:space="0"/>
        </w:tcBorders>
      </w:tcPr>
    </w:tblStylePr>
    <w:tblStylePr w:type="swCell">
      <w:tblPr/>
      <w:tcPr>
        <w:tcBorders>
          <w:top w:val="single" w:color="54A2C3" w:themeColor="accent1" w:themeTint="99" w:sz="4" w:space="0"/>
        </w:tcBorders>
      </w:tcPr>
    </w:tblStylePr>
  </w:style>
  <w:style w:type="table" w:styleId="GridTable3-Accent2">
    <w:name w:val="Grid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color="EB9191" w:themeColor="accent2" w:themeTint="99" w:sz="4" w:space="0"/>
        </w:tcBorders>
      </w:tcPr>
    </w:tblStylePr>
    <w:tblStylePr w:type="nwCell">
      <w:tblPr/>
      <w:tcPr>
        <w:tcBorders>
          <w:bottom w:val="single" w:color="EB9191" w:themeColor="accent2" w:themeTint="99" w:sz="4" w:space="0"/>
        </w:tcBorders>
      </w:tcPr>
    </w:tblStylePr>
    <w:tblStylePr w:type="seCell">
      <w:tblPr/>
      <w:tcPr>
        <w:tcBorders>
          <w:top w:val="single" w:color="EB9191" w:themeColor="accent2" w:themeTint="99" w:sz="4" w:space="0"/>
        </w:tcBorders>
      </w:tcPr>
    </w:tblStylePr>
    <w:tblStylePr w:type="swCell">
      <w:tblPr/>
      <w:tcPr>
        <w:tcBorders>
          <w:top w:val="single" w:color="EB9191" w:themeColor="accent2" w:themeTint="99" w:sz="4" w:space="0"/>
        </w:tcBorders>
      </w:tcPr>
    </w:tblStylePr>
  </w:style>
  <w:style w:type="table" w:styleId="GridTable3-Accent3">
    <w:name w:val="Grid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color="A0DDCD" w:themeColor="accent3" w:themeTint="99" w:sz="4" w:space="0"/>
        </w:tcBorders>
      </w:tcPr>
    </w:tblStylePr>
    <w:tblStylePr w:type="nwCell">
      <w:tblPr/>
      <w:tcPr>
        <w:tcBorders>
          <w:bottom w:val="single" w:color="A0DDCD" w:themeColor="accent3" w:themeTint="99" w:sz="4" w:space="0"/>
        </w:tcBorders>
      </w:tcPr>
    </w:tblStylePr>
    <w:tblStylePr w:type="seCell">
      <w:tblPr/>
      <w:tcPr>
        <w:tcBorders>
          <w:top w:val="single" w:color="A0DDCD" w:themeColor="accent3" w:themeTint="99" w:sz="4" w:space="0"/>
        </w:tcBorders>
      </w:tcPr>
    </w:tblStylePr>
    <w:tblStylePr w:type="swCell">
      <w:tblPr/>
      <w:tcPr>
        <w:tcBorders>
          <w:top w:val="single" w:color="A0DDCD" w:themeColor="accent3" w:themeTint="99" w:sz="4" w:space="0"/>
        </w:tcBorders>
      </w:tcPr>
    </w:tblStylePr>
  </w:style>
  <w:style w:type="table" w:styleId="GridTable3-Accent4">
    <w:name w:val="Grid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color="D34D83" w:themeColor="accent4" w:themeTint="99" w:sz="4" w:space="0"/>
        </w:tcBorders>
      </w:tcPr>
    </w:tblStylePr>
    <w:tblStylePr w:type="nwCell">
      <w:tblPr/>
      <w:tcPr>
        <w:tcBorders>
          <w:bottom w:val="single" w:color="D34D83" w:themeColor="accent4" w:themeTint="99" w:sz="4" w:space="0"/>
        </w:tcBorders>
      </w:tcPr>
    </w:tblStylePr>
    <w:tblStylePr w:type="seCell">
      <w:tblPr/>
      <w:tcPr>
        <w:tcBorders>
          <w:top w:val="single" w:color="D34D83" w:themeColor="accent4" w:themeTint="99" w:sz="4" w:space="0"/>
        </w:tcBorders>
      </w:tcPr>
    </w:tblStylePr>
    <w:tblStylePr w:type="swCell">
      <w:tblPr/>
      <w:tcPr>
        <w:tcBorders>
          <w:top w:val="single" w:color="D34D83" w:themeColor="accent4" w:themeTint="99" w:sz="4" w:space="0"/>
        </w:tcBorders>
      </w:tcPr>
    </w:tblStylePr>
  </w:style>
  <w:style w:type="table" w:styleId="GridTable3-Accent5">
    <w:name w:val="Grid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color="E7AA82" w:themeColor="accent5" w:themeTint="99" w:sz="4" w:space="0"/>
        </w:tcBorders>
      </w:tcPr>
    </w:tblStylePr>
    <w:tblStylePr w:type="nwCell">
      <w:tblPr/>
      <w:tcPr>
        <w:tcBorders>
          <w:bottom w:val="single" w:color="E7AA82" w:themeColor="accent5" w:themeTint="99" w:sz="4" w:space="0"/>
        </w:tcBorders>
      </w:tcPr>
    </w:tblStylePr>
    <w:tblStylePr w:type="seCell">
      <w:tblPr/>
      <w:tcPr>
        <w:tcBorders>
          <w:top w:val="single" w:color="E7AA82" w:themeColor="accent5" w:themeTint="99" w:sz="4" w:space="0"/>
        </w:tcBorders>
      </w:tcPr>
    </w:tblStylePr>
    <w:tblStylePr w:type="swCell">
      <w:tblPr/>
      <w:tcPr>
        <w:tcBorders>
          <w:top w:val="single" w:color="E7AA82" w:themeColor="accent5" w:themeTint="99" w:sz="4" w:space="0"/>
        </w:tcBorders>
      </w:tcPr>
    </w:tblStylePr>
  </w:style>
  <w:style w:type="table" w:styleId="GridTable3-Accent6">
    <w:name w:val="Grid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color="EBD697" w:themeColor="accent6" w:themeTint="99" w:sz="4" w:space="0"/>
        </w:tcBorders>
      </w:tcPr>
    </w:tblStylePr>
    <w:tblStylePr w:type="nwCell">
      <w:tblPr/>
      <w:tcPr>
        <w:tcBorders>
          <w:bottom w:val="single" w:color="EBD697" w:themeColor="accent6" w:themeTint="99" w:sz="4" w:space="0"/>
        </w:tcBorders>
      </w:tcPr>
    </w:tblStylePr>
    <w:tblStylePr w:type="seCell">
      <w:tblPr/>
      <w:tcPr>
        <w:tcBorders>
          <w:top w:val="single" w:color="EBD697" w:themeColor="accent6" w:themeTint="99" w:sz="4" w:space="0"/>
        </w:tcBorders>
      </w:tcPr>
    </w:tblStylePr>
    <w:tblStylePr w:type="swCell">
      <w:tblPr/>
      <w:tcPr>
        <w:tcBorders>
          <w:top w:val="single" w:color="EBD697" w:themeColor="accent6" w:themeTint="99" w:sz="4" w:space="0"/>
        </w:tcBorders>
      </w:tcPr>
    </w:tblStylePr>
  </w:style>
  <w:style w:type="table" w:styleId="GridTable4">
    <w:name w:val="Grid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14C5E" w:themeColor="accent1" w:sz="4" w:space="0"/>
          <w:left w:val="single" w:color="214C5E" w:themeColor="accent1" w:sz="4" w:space="0"/>
          <w:bottom w:val="single" w:color="214C5E" w:themeColor="accent1" w:sz="4" w:space="0"/>
          <w:right w:val="single" w:color="214C5E" w:themeColor="accent1" w:sz="4" w:space="0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4948" w:themeColor="accent2" w:sz="4" w:space="0"/>
          <w:left w:val="single" w:color="DE4948" w:themeColor="accent2" w:sz="4" w:space="0"/>
          <w:bottom w:val="single" w:color="DE4948" w:themeColor="accent2" w:sz="4" w:space="0"/>
          <w:right w:val="single" w:color="DE4948" w:themeColor="accent2" w:sz="4" w:space="0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62C7AD" w:themeColor="accent3" w:sz="4" w:space="0"/>
          <w:left w:val="single" w:color="62C7AD" w:themeColor="accent3" w:sz="4" w:space="0"/>
          <w:bottom w:val="single" w:color="62C7AD" w:themeColor="accent3" w:sz="4" w:space="0"/>
          <w:right w:val="single" w:color="62C7AD" w:themeColor="accent3" w:sz="4" w:space="0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31C3F" w:themeColor="accent4" w:sz="4" w:space="0"/>
          <w:left w:val="single" w:color="731C3F" w:themeColor="accent4" w:sz="4" w:space="0"/>
          <w:bottom w:val="single" w:color="731C3F" w:themeColor="accent4" w:sz="4" w:space="0"/>
          <w:right w:val="single" w:color="731C3F" w:themeColor="accent4" w:sz="4" w:space="0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87330" w:themeColor="accent5" w:sz="4" w:space="0"/>
          <w:left w:val="single" w:color="D87330" w:themeColor="accent5" w:sz="4" w:space="0"/>
          <w:bottom w:val="single" w:color="D87330" w:themeColor="accent5" w:sz="4" w:space="0"/>
          <w:right w:val="single" w:color="D87330" w:themeColor="accent5" w:sz="4" w:space="0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BC53" w:themeColor="accent6" w:sz="4" w:space="0"/>
          <w:left w:val="single" w:color="DEBC53" w:themeColor="accent6" w:sz="4" w:space="0"/>
          <w:bottom w:val="single" w:color="DEBC53" w:themeColor="accent6" w:sz="4" w:space="0"/>
          <w:right w:val="single" w:color="DEBC53" w:themeColor="accent6" w:sz="4" w:space="0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5Dark">
    <w:name w:val="Grid Table 5 Dark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6E0E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14C5E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214C5E" w:themeFill="accent1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8DC1D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DAD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4948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E4948" w:themeFill="accent2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F1B5B5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FF3EE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62C7AD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62C7AD" w:themeFill="accent3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C0E8DE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0C3D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31C3F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731C3F" w:themeFill="accent4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E288AC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7E2D5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87330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87330" w:themeFill="accent5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FC6A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F1D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BC53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EBC53" w:themeFill="accent6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F1E4BA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54A2C3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bottom w:val="single" w:color="EB9191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bottom w:val="single" w:color="A0DDCD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bottom w:val="single" w:color="D34D83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bottom w:val="single" w:color="E7AA82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bottom w:val="single" w:color="EBD697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color="54A2C3" w:themeColor="accent1" w:themeTint="99" w:sz="4" w:space="0"/>
        </w:tcBorders>
      </w:tcPr>
    </w:tblStylePr>
    <w:tblStylePr w:type="nwCell">
      <w:tblPr/>
      <w:tcPr>
        <w:tcBorders>
          <w:bottom w:val="single" w:color="54A2C3" w:themeColor="accent1" w:themeTint="99" w:sz="4" w:space="0"/>
        </w:tcBorders>
      </w:tcPr>
    </w:tblStylePr>
    <w:tblStylePr w:type="seCell">
      <w:tblPr/>
      <w:tcPr>
        <w:tcBorders>
          <w:top w:val="single" w:color="54A2C3" w:themeColor="accent1" w:themeTint="99" w:sz="4" w:space="0"/>
        </w:tcBorders>
      </w:tcPr>
    </w:tblStylePr>
    <w:tblStylePr w:type="swCell">
      <w:tblPr/>
      <w:tcPr>
        <w:tcBorders>
          <w:top w:val="single" w:color="54A2C3" w:themeColor="accent1" w:themeTint="99" w:sz="4" w:space="0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color="EB9191" w:themeColor="accent2" w:themeTint="99" w:sz="4" w:space="0"/>
        </w:tcBorders>
      </w:tcPr>
    </w:tblStylePr>
    <w:tblStylePr w:type="nwCell">
      <w:tblPr/>
      <w:tcPr>
        <w:tcBorders>
          <w:bottom w:val="single" w:color="EB9191" w:themeColor="accent2" w:themeTint="99" w:sz="4" w:space="0"/>
        </w:tcBorders>
      </w:tcPr>
    </w:tblStylePr>
    <w:tblStylePr w:type="seCell">
      <w:tblPr/>
      <w:tcPr>
        <w:tcBorders>
          <w:top w:val="single" w:color="EB9191" w:themeColor="accent2" w:themeTint="99" w:sz="4" w:space="0"/>
        </w:tcBorders>
      </w:tcPr>
    </w:tblStylePr>
    <w:tblStylePr w:type="swCell">
      <w:tblPr/>
      <w:tcPr>
        <w:tcBorders>
          <w:top w:val="single" w:color="EB9191" w:themeColor="accent2" w:themeTint="99" w:sz="4" w:space="0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color="A0DDCD" w:themeColor="accent3" w:themeTint="99" w:sz="4" w:space="0"/>
        </w:tcBorders>
      </w:tcPr>
    </w:tblStylePr>
    <w:tblStylePr w:type="nwCell">
      <w:tblPr/>
      <w:tcPr>
        <w:tcBorders>
          <w:bottom w:val="single" w:color="A0DDCD" w:themeColor="accent3" w:themeTint="99" w:sz="4" w:space="0"/>
        </w:tcBorders>
      </w:tcPr>
    </w:tblStylePr>
    <w:tblStylePr w:type="seCell">
      <w:tblPr/>
      <w:tcPr>
        <w:tcBorders>
          <w:top w:val="single" w:color="A0DDCD" w:themeColor="accent3" w:themeTint="99" w:sz="4" w:space="0"/>
        </w:tcBorders>
      </w:tcPr>
    </w:tblStylePr>
    <w:tblStylePr w:type="swCell">
      <w:tblPr/>
      <w:tcPr>
        <w:tcBorders>
          <w:top w:val="single" w:color="A0DDCD" w:themeColor="accent3" w:themeTint="99" w:sz="4" w:space="0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color="D34D83" w:themeColor="accent4" w:themeTint="99" w:sz="4" w:space="0"/>
        </w:tcBorders>
      </w:tcPr>
    </w:tblStylePr>
    <w:tblStylePr w:type="nwCell">
      <w:tblPr/>
      <w:tcPr>
        <w:tcBorders>
          <w:bottom w:val="single" w:color="D34D83" w:themeColor="accent4" w:themeTint="99" w:sz="4" w:space="0"/>
        </w:tcBorders>
      </w:tcPr>
    </w:tblStylePr>
    <w:tblStylePr w:type="seCell">
      <w:tblPr/>
      <w:tcPr>
        <w:tcBorders>
          <w:top w:val="single" w:color="D34D83" w:themeColor="accent4" w:themeTint="99" w:sz="4" w:space="0"/>
        </w:tcBorders>
      </w:tcPr>
    </w:tblStylePr>
    <w:tblStylePr w:type="swCell">
      <w:tblPr/>
      <w:tcPr>
        <w:tcBorders>
          <w:top w:val="single" w:color="D34D83" w:themeColor="accent4" w:themeTint="99" w:sz="4" w:space="0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color="E7AA82" w:themeColor="accent5" w:themeTint="99" w:sz="4" w:space="0"/>
        </w:tcBorders>
      </w:tcPr>
    </w:tblStylePr>
    <w:tblStylePr w:type="nwCell">
      <w:tblPr/>
      <w:tcPr>
        <w:tcBorders>
          <w:bottom w:val="single" w:color="E7AA82" w:themeColor="accent5" w:themeTint="99" w:sz="4" w:space="0"/>
        </w:tcBorders>
      </w:tcPr>
    </w:tblStylePr>
    <w:tblStylePr w:type="seCell">
      <w:tblPr/>
      <w:tcPr>
        <w:tcBorders>
          <w:top w:val="single" w:color="E7AA82" w:themeColor="accent5" w:themeTint="99" w:sz="4" w:space="0"/>
        </w:tcBorders>
      </w:tcPr>
    </w:tblStylePr>
    <w:tblStylePr w:type="swCell">
      <w:tblPr/>
      <w:tcPr>
        <w:tcBorders>
          <w:top w:val="single" w:color="E7AA82" w:themeColor="accent5" w:themeTint="99" w:sz="4" w:space="0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color="EBD697" w:themeColor="accent6" w:themeTint="99" w:sz="4" w:space="0"/>
        </w:tcBorders>
      </w:tcPr>
    </w:tblStylePr>
    <w:tblStylePr w:type="nwCell">
      <w:tblPr/>
      <w:tcPr>
        <w:tcBorders>
          <w:bottom w:val="single" w:color="EBD697" w:themeColor="accent6" w:themeTint="99" w:sz="4" w:space="0"/>
        </w:tcBorders>
      </w:tcPr>
    </w:tblStylePr>
    <w:tblStylePr w:type="seCell">
      <w:tblPr/>
      <w:tcPr>
        <w:tcBorders>
          <w:top w:val="single" w:color="EBD697" w:themeColor="accent6" w:themeTint="99" w:sz="4" w:space="0"/>
        </w:tcBorders>
      </w:tcPr>
    </w:tblStylePr>
    <w:tblStylePr w:type="swCell">
      <w:tblPr/>
      <w:tcPr>
        <w:tcBorders>
          <w:top w:val="single" w:color="EBD697" w:themeColor="accent6" w:themeTint="99" w:sz="4" w:space="0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character" w:styleId="HTMLAcronym">
    <w:name w:val="HTML Acronym"/>
    <w:basedOn w:val="DefaultParagraphFont"/>
    <w:uiPriority w:val="99"/>
    <w:semiHidden/>
    <w:unhideWhenUsed/>
    <w:rsid w:val="00DC2CF0"/>
  </w:style>
  <w:style w:type="paragraph" w:styleId="HTMLAddress">
    <w:name w:val="HTML Address"/>
    <w:basedOn w:val="Normal"/>
    <w:link w:val="HTMLAddressChar"/>
    <w:uiPriority w:val="99"/>
    <w:semiHidden/>
    <w:unhideWhenUsed/>
    <w:rsid w:val="00DC2CF0"/>
    <w:pPr>
      <w:spacing w:after="0" w:line="240" w:lineRule="auto"/>
    </w:pPr>
    <w:rPr>
      <w:i/>
      <w:iCs/>
    </w:rPr>
  </w:style>
  <w:style w:type="character" w:styleId="HTMLAddressChar" w:customStyle="1">
    <w:name w:val="HTML Address Char"/>
    <w:basedOn w:val="DefaultParagraphFont"/>
    <w:link w:val="HTMLAddress"/>
    <w:uiPriority w:val="99"/>
    <w:semiHidden/>
    <w:rsid w:val="00DC2CF0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DC2CF0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DC2CF0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DC2CF0"/>
    <w:rPr>
      <w:rFonts w:ascii="Consolas" w:hAnsi="Consolas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DC2CF0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DC2CF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C2CF0"/>
    <w:rPr>
      <w:color w:val="276D5B" w:themeColor="accent3" w:themeShade="80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300" w:hanging="3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600" w:hanging="3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900" w:hanging="3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200" w:hanging="3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500" w:hanging="3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800" w:hanging="3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100" w:hanging="3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400" w:hanging="3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700" w:hanging="30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DC2CF0"/>
    <w:rPr>
      <w:rFonts w:asciiTheme="majorHAnsi" w:hAnsiTheme="majorHAnsi" w:eastAsiaTheme="majorEastAsia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  <w:insideH w:val="single" w:color="214C5E" w:themeColor="accent1" w:sz="8" w:space="0"/>
        <w:insideV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18" w:space="0"/>
          <w:right w:val="single" w:color="214C5E" w:themeColor="accent1" w:sz="8" w:space="0"/>
          <w:insideH w:val="nil"/>
          <w:insideV w:val="single" w:color="214C5E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214C5E" w:themeColor="accent1" w:sz="6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H w:val="nil"/>
          <w:insideV w:val="single" w:color="214C5E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band1Vert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V w:val="single" w:color="214C5E" w:themeColor="accent1" w:sz="8" w:space="0"/>
        </w:tcBorders>
        <w:shd w:val="clear" w:color="auto" w:fill="B8D8E6" w:themeFill="accent1" w:themeFillTint="3F"/>
      </w:tcPr>
    </w:tblStylePr>
    <w:tblStylePr w:type="band2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V w:val="single" w:color="214C5E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  <w:insideH w:val="single" w:color="DE4948" w:themeColor="accent2" w:sz="8" w:space="0"/>
        <w:insideV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18" w:space="0"/>
          <w:right w:val="single" w:color="DE4948" w:themeColor="accent2" w:sz="8" w:space="0"/>
          <w:insideH w:val="nil"/>
          <w:insideV w:val="single" w:color="DE4948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E4948" w:themeColor="accent2" w:sz="6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H w:val="nil"/>
          <w:insideV w:val="single" w:color="DE4948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band1Vert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V w:val="single" w:color="DE4948" w:themeColor="accent2" w:sz="8" w:space="0"/>
        </w:tcBorders>
        <w:shd w:val="clear" w:color="auto" w:fill="F6D1D1" w:themeFill="accent2" w:themeFillTint="3F"/>
      </w:tcPr>
    </w:tblStylePr>
    <w:tblStylePr w:type="band2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V w:val="single" w:color="DE4948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  <w:insideH w:val="single" w:color="62C7AD" w:themeColor="accent3" w:sz="8" w:space="0"/>
        <w:insideV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18" w:space="0"/>
          <w:right w:val="single" w:color="62C7AD" w:themeColor="accent3" w:sz="8" w:space="0"/>
          <w:insideH w:val="nil"/>
          <w:insideV w:val="single" w:color="62C7AD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62C7AD" w:themeColor="accent3" w:sz="6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H w:val="nil"/>
          <w:insideV w:val="single" w:color="62C7AD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band1Vert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V w:val="single" w:color="62C7AD" w:themeColor="accent3" w:sz="8" w:space="0"/>
        </w:tcBorders>
        <w:shd w:val="clear" w:color="auto" w:fill="D8F1EA" w:themeFill="accent3" w:themeFillTint="3F"/>
      </w:tcPr>
    </w:tblStylePr>
    <w:tblStylePr w:type="band2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V w:val="single" w:color="62C7AD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  <w:insideH w:val="single" w:color="731C3F" w:themeColor="accent4" w:sz="8" w:space="0"/>
        <w:insideV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18" w:space="0"/>
          <w:right w:val="single" w:color="731C3F" w:themeColor="accent4" w:sz="8" w:space="0"/>
          <w:insideH w:val="nil"/>
          <w:insideV w:val="single" w:color="731C3F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731C3F" w:themeColor="accent4" w:sz="6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H w:val="nil"/>
          <w:insideV w:val="single" w:color="731C3F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band1Vert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V w:val="single" w:color="731C3F" w:themeColor="accent4" w:sz="8" w:space="0"/>
        </w:tcBorders>
        <w:shd w:val="clear" w:color="auto" w:fill="EDB5CB" w:themeFill="accent4" w:themeFillTint="3F"/>
      </w:tcPr>
    </w:tblStylePr>
    <w:tblStylePr w:type="band2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V w:val="single" w:color="731C3F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  <w:insideH w:val="single" w:color="D87330" w:themeColor="accent5" w:sz="8" w:space="0"/>
        <w:insideV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18" w:space="0"/>
          <w:right w:val="single" w:color="D87330" w:themeColor="accent5" w:sz="8" w:space="0"/>
          <w:insideH w:val="nil"/>
          <w:insideV w:val="single" w:color="D87330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87330" w:themeColor="accent5" w:sz="6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H w:val="nil"/>
          <w:insideV w:val="single" w:color="D87330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band1Vert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V w:val="single" w:color="D87330" w:themeColor="accent5" w:sz="8" w:space="0"/>
        </w:tcBorders>
        <w:shd w:val="clear" w:color="auto" w:fill="F5DCCB" w:themeFill="accent5" w:themeFillTint="3F"/>
      </w:tcPr>
    </w:tblStylePr>
    <w:tblStylePr w:type="band2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V w:val="single" w:color="D87330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  <w:insideH w:val="single" w:color="DEBC53" w:themeColor="accent6" w:sz="8" w:space="0"/>
        <w:insideV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18" w:space="0"/>
          <w:right w:val="single" w:color="DEBC53" w:themeColor="accent6" w:sz="8" w:space="0"/>
          <w:insideH w:val="nil"/>
          <w:insideV w:val="single" w:color="DEBC53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EBC53" w:themeColor="accent6" w:sz="6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H w:val="nil"/>
          <w:insideV w:val="single" w:color="DEBC53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band1Vert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V w:val="single" w:color="DEBC53" w:themeColor="accent6" w:sz="8" w:space="0"/>
        </w:tcBorders>
        <w:shd w:val="clear" w:color="auto" w:fill="F7EED4" w:themeFill="accent6" w:themeFillTint="3F"/>
      </w:tcPr>
    </w:tblStylePr>
    <w:tblStylePr w:type="band2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V w:val="single" w:color="DEBC53" w:themeColor="accent6" w:sz="8" w:space="0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214C5E" w:themeColor="accent1" w:sz="6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band1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E4948" w:themeColor="accent2" w:sz="6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band1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62C7AD" w:themeColor="accent3" w:sz="6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band1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31C3F" w:themeColor="accent4" w:sz="6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band1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87330" w:themeColor="accent5" w:sz="6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band1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EBC53" w:themeColor="accent6" w:sz="6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band1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DC2CF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214C5E" w:themeColor="accent1" w:sz="8" w:space="0"/>
        <w:bottom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214C5E" w:themeColor="accent1" w:sz="8" w:space="0"/>
          <w:left w:val="nil"/>
          <w:bottom w:val="single" w:color="214C5E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214C5E" w:themeColor="accent1" w:sz="8" w:space="0"/>
          <w:left w:val="nil"/>
          <w:bottom w:val="single" w:color="214C5E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DE4948" w:themeColor="accent2" w:sz="8" w:space="0"/>
        <w:bottom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E4948" w:themeColor="accent2" w:sz="8" w:space="0"/>
          <w:left w:val="nil"/>
          <w:bottom w:val="single" w:color="DE4948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E4948" w:themeColor="accent2" w:sz="8" w:space="0"/>
          <w:left w:val="nil"/>
          <w:bottom w:val="single" w:color="DE4948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62C7AD" w:themeColor="accent3" w:sz="8" w:space="0"/>
        <w:bottom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62C7AD" w:themeColor="accent3" w:sz="8" w:space="0"/>
          <w:left w:val="nil"/>
          <w:bottom w:val="single" w:color="62C7AD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62C7AD" w:themeColor="accent3" w:sz="8" w:space="0"/>
          <w:left w:val="nil"/>
          <w:bottom w:val="single" w:color="62C7AD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731C3F" w:themeColor="accent4" w:sz="8" w:space="0"/>
        <w:bottom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731C3F" w:themeColor="accent4" w:sz="8" w:space="0"/>
          <w:left w:val="nil"/>
          <w:bottom w:val="single" w:color="731C3F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731C3F" w:themeColor="accent4" w:sz="8" w:space="0"/>
          <w:left w:val="nil"/>
          <w:bottom w:val="single" w:color="731C3F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D87330" w:themeColor="accent5" w:sz="8" w:space="0"/>
        <w:bottom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87330" w:themeColor="accent5" w:sz="8" w:space="0"/>
          <w:left w:val="nil"/>
          <w:bottom w:val="single" w:color="D87330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87330" w:themeColor="accent5" w:sz="8" w:space="0"/>
          <w:left w:val="nil"/>
          <w:bottom w:val="single" w:color="D87330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DEBC53" w:themeColor="accent6" w:sz="8" w:space="0"/>
        <w:bottom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EBC53" w:themeColor="accent6" w:sz="8" w:space="0"/>
          <w:left w:val="nil"/>
          <w:bottom w:val="single" w:color="DEBC53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EBC53" w:themeColor="accent6" w:sz="8" w:space="0"/>
          <w:left w:val="nil"/>
          <w:bottom w:val="single" w:color="DEBC53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DC2CF0"/>
  </w:style>
  <w:style w:type="paragraph" w:styleId="List">
    <w:name w:val="List"/>
    <w:basedOn w:val="Normal"/>
    <w:uiPriority w:val="99"/>
    <w:semiHidden/>
    <w:unhideWhenUsed/>
    <w:rsid w:val="00DC2CF0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DC2CF0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DC2CF0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DC2CF0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DC2CF0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DC2CF0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DC2CF0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DC2CF0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DC2CF0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DC2CF0"/>
    <w:pPr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DC2CF0"/>
    <w:pPr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DC2CF0"/>
    <w:pPr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DC2CF0"/>
    <w:pPr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DC2CF0"/>
    <w:pPr>
      <w:ind w:left="1415"/>
      <w:contextualSpacing/>
    </w:pPr>
  </w:style>
  <w:style w:type="paragraph" w:styleId="ListNumber2">
    <w:name w:val="List Number 2"/>
    <w:basedOn w:val="Normal"/>
    <w:uiPriority w:val="99"/>
    <w:semiHidden/>
    <w:unhideWhenUsed/>
    <w:rsid w:val="00DC2CF0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DC2CF0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DC2CF0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DC2CF0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DC2CF0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666666" w:themeColor="tex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54A2C3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B9191" w:themeColor="accent2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A0DDCD" w:themeColor="accent3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D34D83" w:themeColor="accent4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7AA82" w:themeColor="accent5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BD697" w:themeColor="accent6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2">
    <w:name w:val="List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bottom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bottom w:val="single" w:color="54A2C3" w:themeColor="accent1" w:themeTint="99" w:sz="4" w:space="0"/>
        <w:insideH w:val="single" w:color="54A2C3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bottom w:val="single" w:color="EB9191" w:themeColor="accent2" w:themeTint="99" w:sz="4" w:space="0"/>
        <w:insideH w:val="single" w:color="EB9191" w:themeColor="accent2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bottom w:val="single" w:color="A0DDCD" w:themeColor="accent3" w:themeTint="99" w:sz="4" w:space="0"/>
        <w:insideH w:val="single" w:color="A0DDCD" w:themeColor="accent3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bottom w:val="single" w:color="D34D83" w:themeColor="accent4" w:themeTint="99" w:sz="4" w:space="0"/>
        <w:insideH w:val="single" w:color="D34D83" w:themeColor="accent4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bottom w:val="single" w:color="E7AA82" w:themeColor="accent5" w:themeTint="99" w:sz="4" w:space="0"/>
        <w:insideH w:val="single" w:color="E7AA82" w:themeColor="accent5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bottom w:val="single" w:color="EBD697" w:themeColor="accent6" w:themeTint="99" w:sz="4" w:space="0"/>
        <w:insideH w:val="single" w:color="EBD697" w:themeColor="accent6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3">
    <w:name w:val="List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000000" w:themeColor="text1" w:sz="4" w:space="0"/>
          <w:left w:val="nil"/>
        </w:tcBorders>
      </w:tcPr>
    </w:tblStylePr>
    <w:tblStylePr w:type="swCell">
      <w:tblPr/>
      <w:tcPr>
        <w:tcBorders>
          <w:top w:val="double" w:color="000000" w:themeColor="text1" w:sz="4" w:space="0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4" w:space="0"/>
        <w:left w:val="single" w:color="214C5E" w:themeColor="accent1" w:sz="4" w:space="0"/>
        <w:bottom w:val="single" w:color="214C5E" w:themeColor="accent1" w:sz="4" w:space="0"/>
        <w:right w:val="single" w:color="214C5E" w:themeColor="accen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214C5E" w:themeColor="accent1" w:sz="4" w:space="0"/>
          <w:right w:val="single" w:color="214C5E" w:themeColor="accent1" w:sz="4" w:space="0"/>
        </w:tcBorders>
      </w:tcPr>
    </w:tblStylePr>
    <w:tblStylePr w:type="band1Horz">
      <w:tblPr/>
      <w:tcPr>
        <w:tcBorders>
          <w:top w:val="single" w:color="214C5E" w:themeColor="accent1" w:sz="4" w:space="0"/>
          <w:bottom w:val="single" w:color="214C5E" w:themeColor="accen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214C5E" w:themeColor="accent1" w:sz="4" w:space="0"/>
          <w:left w:val="nil"/>
        </w:tcBorders>
      </w:tcPr>
    </w:tblStylePr>
    <w:tblStylePr w:type="swCell">
      <w:tblPr/>
      <w:tcPr>
        <w:tcBorders>
          <w:top w:val="double" w:color="214C5E" w:themeColor="accent1" w:sz="4" w:space="0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4" w:space="0"/>
        <w:left w:val="single" w:color="DE4948" w:themeColor="accent2" w:sz="4" w:space="0"/>
        <w:bottom w:val="single" w:color="DE4948" w:themeColor="accent2" w:sz="4" w:space="0"/>
        <w:right w:val="single" w:color="DE4948" w:themeColor="accent2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E4948" w:themeColor="accent2" w:sz="4" w:space="0"/>
          <w:right w:val="single" w:color="DE4948" w:themeColor="accent2" w:sz="4" w:space="0"/>
        </w:tcBorders>
      </w:tcPr>
    </w:tblStylePr>
    <w:tblStylePr w:type="band1Horz">
      <w:tblPr/>
      <w:tcPr>
        <w:tcBorders>
          <w:top w:val="single" w:color="DE4948" w:themeColor="accent2" w:sz="4" w:space="0"/>
          <w:bottom w:val="single" w:color="DE4948" w:themeColor="accent2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E4948" w:themeColor="accent2" w:sz="4" w:space="0"/>
          <w:left w:val="nil"/>
        </w:tcBorders>
      </w:tcPr>
    </w:tblStylePr>
    <w:tblStylePr w:type="swCell">
      <w:tblPr/>
      <w:tcPr>
        <w:tcBorders>
          <w:top w:val="double" w:color="DE4948" w:themeColor="accent2" w:sz="4" w:space="0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4" w:space="0"/>
        <w:left w:val="single" w:color="62C7AD" w:themeColor="accent3" w:sz="4" w:space="0"/>
        <w:bottom w:val="single" w:color="62C7AD" w:themeColor="accent3" w:sz="4" w:space="0"/>
        <w:right w:val="single" w:color="62C7AD" w:themeColor="accent3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62C7AD" w:themeColor="accent3" w:sz="4" w:space="0"/>
          <w:right w:val="single" w:color="62C7AD" w:themeColor="accent3" w:sz="4" w:space="0"/>
        </w:tcBorders>
      </w:tcPr>
    </w:tblStylePr>
    <w:tblStylePr w:type="band1Horz">
      <w:tblPr/>
      <w:tcPr>
        <w:tcBorders>
          <w:top w:val="single" w:color="62C7AD" w:themeColor="accent3" w:sz="4" w:space="0"/>
          <w:bottom w:val="single" w:color="62C7AD" w:themeColor="accent3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62C7AD" w:themeColor="accent3" w:sz="4" w:space="0"/>
          <w:left w:val="nil"/>
        </w:tcBorders>
      </w:tcPr>
    </w:tblStylePr>
    <w:tblStylePr w:type="swCell">
      <w:tblPr/>
      <w:tcPr>
        <w:tcBorders>
          <w:top w:val="double" w:color="62C7AD" w:themeColor="accent3" w:sz="4" w:space="0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4" w:space="0"/>
        <w:left w:val="single" w:color="731C3F" w:themeColor="accent4" w:sz="4" w:space="0"/>
        <w:bottom w:val="single" w:color="731C3F" w:themeColor="accent4" w:sz="4" w:space="0"/>
        <w:right w:val="single" w:color="731C3F" w:themeColor="accent4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731C3F" w:themeColor="accent4" w:sz="4" w:space="0"/>
          <w:right w:val="single" w:color="731C3F" w:themeColor="accent4" w:sz="4" w:space="0"/>
        </w:tcBorders>
      </w:tcPr>
    </w:tblStylePr>
    <w:tblStylePr w:type="band1Horz">
      <w:tblPr/>
      <w:tcPr>
        <w:tcBorders>
          <w:top w:val="single" w:color="731C3F" w:themeColor="accent4" w:sz="4" w:space="0"/>
          <w:bottom w:val="single" w:color="731C3F" w:themeColor="accent4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731C3F" w:themeColor="accent4" w:sz="4" w:space="0"/>
          <w:left w:val="nil"/>
        </w:tcBorders>
      </w:tcPr>
    </w:tblStylePr>
    <w:tblStylePr w:type="swCell">
      <w:tblPr/>
      <w:tcPr>
        <w:tcBorders>
          <w:top w:val="double" w:color="731C3F" w:themeColor="accent4" w:sz="4" w:space="0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4" w:space="0"/>
        <w:left w:val="single" w:color="D87330" w:themeColor="accent5" w:sz="4" w:space="0"/>
        <w:bottom w:val="single" w:color="D87330" w:themeColor="accent5" w:sz="4" w:space="0"/>
        <w:right w:val="single" w:color="D87330" w:themeColor="accent5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87330" w:themeColor="accent5" w:sz="4" w:space="0"/>
          <w:right w:val="single" w:color="D87330" w:themeColor="accent5" w:sz="4" w:space="0"/>
        </w:tcBorders>
      </w:tcPr>
    </w:tblStylePr>
    <w:tblStylePr w:type="band1Horz">
      <w:tblPr/>
      <w:tcPr>
        <w:tcBorders>
          <w:top w:val="single" w:color="D87330" w:themeColor="accent5" w:sz="4" w:space="0"/>
          <w:bottom w:val="single" w:color="D87330" w:themeColor="accent5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87330" w:themeColor="accent5" w:sz="4" w:space="0"/>
          <w:left w:val="nil"/>
        </w:tcBorders>
      </w:tcPr>
    </w:tblStylePr>
    <w:tblStylePr w:type="swCell">
      <w:tblPr/>
      <w:tcPr>
        <w:tcBorders>
          <w:top w:val="double" w:color="D87330" w:themeColor="accent5" w:sz="4" w:space="0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4" w:space="0"/>
        <w:left w:val="single" w:color="DEBC53" w:themeColor="accent6" w:sz="4" w:space="0"/>
        <w:bottom w:val="single" w:color="DEBC53" w:themeColor="accent6" w:sz="4" w:space="0"/>
        <w:right w:val="single" w:color="DEBC53" w:themeColor="accent6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EBC53" w:themeColor="accent6" w:sz="4" w:space="0"/>
          <w:right w:val="single" w:color="DEBC53" w:themeColor="accent6" w:sz="4" w:space="0"/>
        </w:tcBorders>
      </w:tcPr>
    </w:tblStylePr>
    <w:tblStylePr w:type="band1Horz">
      <w:tblPr/>
      <w:tcPr>
        <w:tcBorders>
          <w:top w:val="single" w:color="DEBC53" w:themeColor="accent6" w:sz="4" w:space="0"/>
          <w:bottom w:val="single" w:color="DEBC53" w:themeColor="accent6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EBC53" w:themeColor="accent6" w:sz="4" w:space="0"/>
          <w:left w:val="nil"/>
        </w:tcBorders>
      </w:tcPr>
    </w:tblStylePr>
    <w:tblStylePr w:type="swCell">
      <w:tblPr/>
      <w:tcPr>
        <w:tcBorders>
          <w:top w:val="double" w:color="DEBC53" w:themeColor="accent6" w:sz="4" w:space="0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14C5E" w:themeColor="accent1" w:sz="4" w:space="0"/>
          <w:left w:val="single" w:color="214C5E" w:themeColor="accent1" w:sz="4" w:space="0"/>
          <w:bottom w:val="single" w:color="214C5E" w:themeColor="accent1" w:sz="4" w:space="0"/>
          <w:right w:val="single" w:color="214C5E" w:themeColor="accent1" w:sz="4" w:space="0"/>
          <w:insideH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4948" w:themeColor="accent2" w:sz="4" w:space="0"/>
          <w:left w:val="single" w:color="DE4948" w:themeColor="accent2" w:sz="4" w:space="0"/>
          <w:bottom w:val="single" w:color="DE4948" w:themeColor="accent2" w:sz="4" w:space="0"/>
          <w:right w:val="single" w:color="DE4948" w:themeColor="accent2" w:sz="4" w:space="0"/>
          <w:insideH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62C7AD" w:themeColor="accent3" w:sz="4" w:space="0"/>
          <w:left w:val="single" w:color="62C7AD" w:themeColor="accent3" w:sz="4" w:space="0"/>
          <w:bottom w:val="single" w:color="62C7AD" w:themeColor="accent3" w:sz="4" w:space="0"/>
          <w:right w:val="single" w:color="62C7AD" w:themeColor="accent3" w:sz="4" w:space="0"/>
          <w:insideH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31C3F" w:themeColor="accent4" w:sz="4" w:space="0"/>
          <w:left w:val="single" w:color="731C3F" w:themeColor="accent4" w:sz="4" w:space="0"/>
          <w:bottom w:val="single" w:color="731C3F" w:themeColor="accent4" w:sz="4" w:space="0"/>
          <w:right w:val="single" w:color="731C3F" w:themeColor="accent4" w:sz="4" w:space="0"/>
          <w:insideH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87330" w:themeColor="accent5" w:sz="4" w:space="0"/>
          <w:left w:val="single" w:color="D87330" w:themeColor="accent5" w:sz="4" w:space="0"/>
          <w:bottom w:val="single" w:color="D87330" w:themeColor="accent5" w:sz="4" w:space="0"/>
          <w:right w:val="single" w:color="D87330" w:themeColor="accent5" w:sz="4" w:space="0"/>
          <w:insideH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BC53" w:themeColor="accent6" w:sz="4" w:space="0"/>
          <w:left w:val="single" w:color="DEBC53" w:themeColor="accent6" w:sz="4" w:space="0"/>
          <w:bottom w:val="single" w:color="DEBC53" w:themeColor="accent6" w:sz="4" w:space="0"/>
          <w:right w:val="single" w:color="DEBC53" w:themeColor="accent6" w:sz="4" w:space="0"/>
          <w:insideH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5Dark">
    <w:name w:val="List Table 5 Dark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000000" w:themeColor="text1" w:sz="24" w:space="0"/>
        <w:left w:val="single" w:color="000000" w:themeColor="text1" w:sz="24" w:space="0"/>
        <w:bottom w:val="single" w:color="000000" w:themeColor="text1" w:sz="24" w:space="0"/>
        <w:right w:val="single" w:color="000000" w:themeColor="text1" w:sz="24" w:space="0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214C5E" w:themeColor="accent1" w:sz="24" w:space="0"/>
        <w:left w:val="single" w:color="214C5E" w:themeColor="accent1" w:sz="24" w:space="0"/>
        <w:bottom w:val="single" w:color="214C5E" w:themeColor="accent1" w:sz="24" w:space="0"/>
        <w:right w:val="single" w:color="214C5E" w:themeColor="accent1" w:sz="24" w:space="0"/>
      </w:tblBorders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E4948" w:themeColor="accent2" w:sz="24" w:space="0"/>
        <w:left w:val="single" w:color="DE4948" w:themeColor="accent2" w:sz="24" w:space="0"/>
        <w:bottom w:val="single" w:color="DE4948" w:themeColor="accent2" w:sz="24" w:space="0"/>
        <w:right w:val="single" w:color="DE4948" w:themeColor="accent2" w:sz="24" w:space="0"/>
      </w:tblBorders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62C7AD" w:themeColor="accent3" w:sz="24" w:space="0"/>
        <w:left w:val="single" w:color="62C7AD" w:themeColor="accent3" w:sz="24" w:space="0"/>
        <w:bottom w:val="single" w:color="62C7AD" w:themeColor="accent3" w:sz="24" w:space="0"/>
        <w:right w:val="single" w:color="62C7AD" w:themeColor="accent3" w:sz="24" w:space="0"/>
      </w:tblBorders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731C3F" w:themeColor="accent4" w:sz="24" w:space="0"/>
        <w:left w:val="single" w:color="731C3F" w:themeColor="accent4" w:sz="24" w:space="0"/>
        <w:bottom w:val="single" w:color="731C3F" w:themeColor="accent4" w:sz="24" w:space="0"/>
        <w:right w:val="single" w:color="731C3F" w:themeColor="accent4" w:sz="24" w:space="0"/>
      </w:tblBorders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87330" w:themeColor="accent5" w:sz="24" w:space="0"/>
        <w:left w:val="single" w:color="D87330" w:themeColor="accent5" w:sz="24" w:space="0"/>
        <w:bottom w:val="single" w:color="D87330" w:themeColor="accent5" w:sz="24" w:space="0"/>
        <w:right w:val="single" w:color="D87330" w:themeColor="accent5" w:sz="24" w:space="0"/>
      </w:tblBorders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EBC53" w:themeColor="accent6" w:sz="24" w:space="0"/>
        <w:left w:val="single" w:color="DEBC53" w:themeColor="accent6" w:sz="24" w:space="0"/>
        <w:bottom w:val="single" w:color="DEBC53" w:themeColor="accent6" w:sz="24" w:space="0"/>
        <w:right w:val="single" w:color="DEBC53" w:themeColor="accent6" w:sz="24" w:space="0"/>
      </w:tblBorders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4" w:space="0"/>
        <w:bottom w:val="single" w:color="000000" w:themeColor="text1" w:sz="4" w:space="0"/>
      </w:tblBorders>
    </w:tblPr>
    <w:tblStylePr w:type="firstRow">
      <w:rPr>
        <w:b/>
        <w:bCs/>
      </w:rPr>
      <w:tblPr/>
      <w:tcPr>
        <w:tcBorders>
          <w:bottom w:val="single" w:color="000000" w:themeColor="text1" w:sz="4" w:space="0"/>
        </w:tcBorders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214C5E" w:themeColor="accent1" w:sz="4" w:space="0"/>
        <w:bottom w:val="single" w:color="214C5E" w:themeColor="accent1" w:sz="4" w:space="0"/>
      </w:tblBorders>
    </w:tblPr>
    <w:tblStylePr w:type="firstRow">
      <w:rPr>
        <w:b/>
        <w:bCs/>
      </w:rPr>
      <w:tblPr/>
      <w:tcPr>
        <w:tcBorders>
          <w:bottom w:val="single" w:color="214C5E" w:themeColor="accent1" w:sz="4" w:space="0"/>
        </w:tcBorders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DE4948" w:themeColor="accent2" w:sz="4" w:space="0"/>
        <w:bottom w:val="single" w:color="DE4948" w:themeColor="accent2" w:sz="4" w:space="0"/>
      </w:tblBorders>
    </w:tblPr>
    <w:tblStylePr w:type="firstRow">
      <w:rPr>
        <w:b/>
        <w:bCs/>
      </w:rPr>
      <w:tblPr/>
      <w:tcPr>
        <w:tcBorders>
          <w:bottom w:val="single" w:color="DE4948" w:themeColor="accent2" w:sz="4" w:space="0"/>
        </w:tcBorders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62C7AD" w:themeColor="accent3" w:sz="4" w:space="0"/>
        <w:bottom w:val="single" w:color="62C7AD" w:themeColor="accent3" w:sz="4" w:space="0"/>
      </w:tblBorders>
    </w:tblPr>
    <w:tblStylePr w:type="firstRow">
      <w:rPr>
        <w:b/>
        <w:bCs/>
      </w:rPr>
      <w:tblPr/>
      <w:tcPr>
        <w:tcBorders>
          <w:bottom w:val="single" w:color="62C7AD" w:themeColor="accent3" w:sz="4" w:space="0"/>
        </w:tcBorders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731C3F" w:themeColor="accent4" w:sz="4" w:space="0"/>
        <w:bottom w:val="single" w:color="731C3F" w:themeColor="accent4" w:sz="4" w:space="0"/>
      </w:tblBorders>
    </w:tblPr>
    <w:tblStylePr w:type="firstRow">
      <w:rPr>
        <w:b/>
        <w:bCs/>
      </w:rPr>
      <w:tblPr/>
      <w:tcPr>
        <w:tcBorders>
          <w:bottom w:val="single" w:color="731C3F" w:themeColor="accent4" w:sz="4" w:space="0"/>
        </w:tcBorders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D87330" w:themeColor="accent5" w:sz="4" w:space="0"/>
        <w:bottom w:val="single" w:color="D87330" w:themeColor="accent5" w:sz="4" w:space="0"/>
      </w:tblBorders>
    </w:tblPr>
    <w:tblStylePr w:type="firstRow">
      <w:rPr>
        <w:b/>
        <w:bCs/>
      </w:rPr>
      <w:tblPr/>
      <w:tcPr>
        <w:tcBorders>
          <w:bottom w:val="single" w:color="D87330" w:themeColor="accent5" w:sz="4" w:space="0"/>
        </w:tcBorders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DEBC53" w:themeColor="accent6" w:sz="4" w:space="0"/>
        <w:bottom w:val="single" w:color="DEBC53" w:themeColor="accent6" w:sz="4" w:space="0"/>
      </w:tblBorders>
    </w:tblPr>
    <w:tblStylePr w:type="firstRow">
      <w:rPr>
        <w:b/>
        <w:bCs/>
      </w:rPr>
      <w:tblPr/>
      <w:tcPr>
        <w:tcBorders>
          <w:bottom w:val="single" w:color="DEBC53" w:themeColor="accent6" w:sz="4" w:space="0"/>
        </w:tcBorders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000000" w:themeColor="tex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000000" w:themeColor="tex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000000" w:themeColor="tex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000000" w:themeColor="tex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214C5E" w:themeColor="accen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214C5E" w:themeColor="accen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214C5E" w:themeColor="accen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214C5E" w:themeColor="accen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E4948" w:themeColor="accent2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E4948" w:themeColor="accent2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E4948" w:themeColor="accent2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E4948" w:themeColor="accent2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62C7AD" w:themeColor="accent3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62C7AD" w:themeColor="accent3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62C7AD" w:themeColor="accent3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62C7AD" w:themeColor="accent3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31C3F" w:themeColor="accent4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31C3F" w:themeColor="accent4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31C3F" w:themeColor="accent4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31C3F" w:themeColor="accent4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87330" w:themeColor="accent5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87330" w:themeColor="accent5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87330" w:themeColor="accent5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87330" w:themeColor="accent5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EBC53" w:themeColor="accent6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EBC53" w:themeColor="accent6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EBC53" w:themeColor="accent6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EBC53" w:themeColor="accent6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DC2CF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semiHidden/>
    <w:rsid w:val="00DC2CF0"/>
    <w:rPr>
      <w:rFonts w:ascii="Consolas" w:hAnsi="Consolas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3A85A4" w:themeColor="accent1" w:themeTint="BF" w:sz="8" w:space="0"/>
        <w:left w:val="single" w:color="3A85A4" w:themeColor="accent1" w:themeTint="BF" w:sz="8" w:space="0"/>
        <w:bottom w:val="single" w:color="3A85A4" w:themeColor="accent1" w:themeTint="BF" w:sz="8" w:space="0"/>
        <w:right w:val="single" w:color="3A85A4" w:themeColor="accent1" w:themeTint="BF" w:sz="8" w:space="0"/>
        <w:insideH w:val="single" w:color="3A85A4" w:themeColor="accent1" w:themeTint="BF" w:sz="8" w:space="0"/>
        <w:insideV w:val="single" w:color="3A85A4" w:themeColor="accent1" w:themeTint="BF" w:sz="8" w:space="0"/>
      </w:tblBorders>
    </w:tblPr>
    <w:tcPr>
      <w:shd w:val="clear" w:color="auto" w:fill="B8D8E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A85A4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7675" w:themeColor="accent2" w:themeTint="BF" w:sz="8" w:space="0"/>
        <w:left w:val="single" w:color="E67675" w:themeColor="accent2" w:themeTint="BF" w:sz="8" w:space="0"/>
        <w:bottom w:val="single" w:color="E67675" w:themeColor="accent2" w:themeTint="BF" w:sz="8" w:space="0"/>
        <w:right w:val="single" w:color="E67675" w:themeColor="accent2" w:themeTint="BF" w:sz="8" w:space="0"/>
        <w:insideH w:val="single" w:color="E67675" w:themeColor="accent2" w:themeTint="BF" w:sz="8" w:space="0"/>
        <w:insideV w:val="single" w:color="E67675" w:themeColor="accent2" w:themeTint="BF" w:sz="8" w:space="0"/>
      </w:tblBorders>
    </w:tblPr>
    <w:tcPr>
      <w:shd w:val="clear" w:color="auto" w:fill="F6D1D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67675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89D5C1" w:themeColor="accent3" w:themeTint="BF" w:sz="8" w:space="0"/>
        <w:left w:val="single" w:color="89D5C1" w:themeColor="accent3" w:themeTint="BF" w:sz="8" w:space="0"/>
        <w:bottom w:val="single" w:color="89D5C1" w:themeColor="accent3" w:themeTint="BF" w:sz="8" w:space="0"/>
        <w:right w:val="single" w:color="89D5C1" w:themeColor="accent3" w:themeTint="BF" w:sz="8" w:space="0"/>
        <w:insideH w:val="single" w:color="89D5C1" w:themeColor="accent3" w:themeTint="BF" w:sz="8" w:space="0"/>
        <w:insideV w:val="single" w:color="89D5C1" w:themeColor="accent3" w:themeTint="BF" w:sz="8" w:space="0"/>
      </w:tblBorders>
    </w:tblPr>
    <w:tcPr>
      <w:shd w:val="clear" w:color="auto" w:fill="D8F1E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89D5C1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BC2E67" w:themeColor="accent4" w:themeTint="BF" w:sz="8" w:space="0"/>
        <w:left w:val="single" w:color="BC2E67" w:themeColor="accent4" w:themeTint="BF" w:sz="8" w:space="0"/>
        <w:bottom w:val="single" w:color="BC2E67" w:themeColor="accent4" w:themeTint="BF" w:sz="8" w:space="0"/>
        <w:right w:val="single" w:color="BC2E67" w:themeColor="accent4" w:themeTint="BF" w:sz="8" w:space="0"/>
        <w:insideH w:val="single" w:color="BC2E67" w:themeColor="accent4" w:themeTint="BF" w:sz="8" w:space="0"/>
        <w:insideV w:val="single" w:color="BC2E67" w:themeColor="accent4" w:themeTint="BF" w:sz="8" w:space="0"/>
      </w:tblBorders>
    </w:tblPr>
    <w:tcPr>
      <w:shd w:val="clear" w:color="auto" w:fill="EDB5CB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C2E67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19563" w:themeColor="accent5" w:themeTint="BF" w:sz="8" w:space="0"/>
        <w:left w:val="single" w:color="E19563" w:themeColor="accent5" w:themeTint="BF" w:sz="8" w:space="0"/>
        <w:bottom w:val="single" w:color="E19563" w:themeColor="accent5" w:themeTint="BF" w:sz="8" w:space="0"/>
        <w:right w:val="single" w:color="E19563" w:themeColor="accent5" w:themeTint="BF" w:sz="8" w:space="0"/>
        <w:insideH w:val="single" w:color="E19563" w:themeColor="accent5" w:themeTint="BF" w:sz="8" w:space="0"/>
        <w:insideV w:val="single" w:color="E19563" w:themeColor="accent5" w:themeTint="BF" w:sz="8" w:space="0"/>
      </w:tblBorders>
    </w:tblPr>
    <w:tcPr>
      <w:shd w:val="clear" w:color="auto" w:fill="F5DCCB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19563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CC7E" w:themeColor="accent6" w:themeTint="BF" w:sz="8" w:space="0"/>
        <w:left w:val="single" w:color="E6CC7E" w:themeColor="accent6" w:themeTint="BF" w:sz="8" w:space="0"/>
        <w:bottom w:val="single" w:color="E6CC7E" w:themeColor="accent6" w:themeTint="BF" w:sz="8" w:space="0"/>
        <w:right w:val="single" w:color="E6CC7E" w:themeColor="accent6" w:themeTint="BF" w:sz="8" w:space="0"/>
        <w:insideH w:val="single" w:color="E6CC7E" w:themeColor="accent6" w:themeTint="BF" w:sz="8" w:space="0"/>
        <w:insideV w:val="single" w:color="E6CC7E" w:themeColor="accent6" w:themeTint="BF" w:sz="8" w:space="0"/>
      </w:tblBorders>
    </w:tblPr>
    <w:tcPr>
      <w:shd w:val="clear" w:color="auto" w:fill="F7EED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6CC7E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  <w:insideH w:val="single" w:color="214C5E" w:themeColor="accent1" w:sz="8" w:space="0"/>
        <w:insideV w:val="single" w:color="214C5E" w:themeColor="accent1" w:sz="8" w:space="0"/>
      </w:tblBorders>
    </w:tblPr>
    <w:tcPr>
      <w:shd w:val="clear" w:color="auto" w:fill="B8D8E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3EFF5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E0EB" w:themeFill="accent1" w:themeFillTint="33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tcBorders>
          <w:insideH w:val="single" w:color="214C5E" w:themeColor="accent1" w:sz="6" w:space="0"/>
          <w:insideV w:val="single" w:color="214C5E" w:themeColor="accent1" w:sz="6" w:space="0"/>
        </w:tcBorders>
        <w:shd w:val="clear" w:color="auto" w:fill="71B2C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  <w:insideH w:val="single" w:color="DE4948" w:themeColor="accent2" w:sz="8" w:space="0"/>
        <w:insideV w:val="single" w:color="DE4948" w:themeColor="accent2" w:sz="8" w:space="0"/>
      </w:tblBorders>
    </w:tblPr>
    <w:tcPr>
      <w:shd w:val="clear" w:color="auto" w:fill="F6D1D1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ECE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ADA" w:themeFill="accent2" w:themeFillTint="33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tcBorders>
          <w:insideH w:val="single" w:color="DE4948" w:themeColor="accent2" w:sz="6" w:space="0"/>
          <w:insideV w:val="single" w:color="DE4948" w:themeColor="accent2" w:sz="6" w:space="0"/>
        </w:tcBorders>
        <w:shd w:val="clear" w:color="auto" w:fill="EEA3A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  <w:insideH w:val="single" w:color="62C7AD" w:themeColor="accent3" w:sz="8" w:space="0"/>
        <w:insideV w:val="single" w:color="62C7AD" w:themeColor="accent3" w:sz="8" w:space="0"/>
      </w:tblBorders>
    </w:tblPr>
    <w:tcPr>
      <w:shd w:val="clear" w:color="auto" w:fill="D8F1E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F9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F3EE" w:themeFill="accent3" w:themeFillTint="33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tcBorders>
          <w:insideH w:val="single" w:color="62C7AD" w:themeColor="accent3" w:sz="6" w:space="0"/>
          <w:insideV w:val="single" w:color="62C7AD" w:themeColor="accent3" w:sz="6" w:space="0"/>
        </w:tcBorders>
        <w:shd w:val="clear" w:color="auto" w:fill="B0E3D6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  <w:insideH w:val="single" w:color="731C3F" w:themeColor="accent4" w:sz="8" w:space="0"/>
        <w:insideV w:val="single" w:color="731C3F" w:themeColor="accent4" w:sz="8" w:space="0"/>
      </w:tblBorders>
    </w:tblPr>
    <w:tcPr>
      <w:shd w:val="clear" w:color="auto" w:fill="EDB5CB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8E2EA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C3D5" w:themeFill="accent4" w:themeFillTint="33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tcBorders>
          <w:insideH w:val="single" w:color="731C3F" w:themeColor="accent4" w:sz="6" w:space="0"/>
          <w:insideV w:val="single" w:color="731C3F" w:themeColor="accent4" w:sz="6" w:space="0"/>
        </w:tcBorders>
        <w:shd w:val="clear" w:color="auto" w:fill="DB6B98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  <w:insideH w:val="single" w:color="D87330" w:themeColor="accent5" w:sz="8" w:space="0"/>
        <w:insideV w:val="single" w:color="D87330" w:themeColor="accent5" w:sz="8" w:space="0"/>
      </w:tblBorders>
    </w:tblPr>
    <w:tcPr>
      <w:shd w:val="clear" w:color="auto" w:fill="F5DCCB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BF1EA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2D5" w:themeFill="accent5" w:themeFillTint="33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tcBorders>
          <w:insideH w:val="single" w:color="D87330" w:themeColor="accent5" w:sz="6" w:space="0"/>
          <w:insideV w:val="single" w:color="D87330" w:themeColor="accent5" w:sz="6" w:space="0"/>
        </w:tcBorders>
        <w:shd w:val="clear" w:color="auto" w:fill="EBB897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  <w:insideH w:val="single" w:color="DEBC53" w:themeColor="accent6" w:sz="8" w:space="0"/>
        <w:insideV w:val="single" w:color="DEBC53" w:themeColor="accent6" w:sz="8" w:space="0"/>
      </w:tblBorders>
    </w:tblPr>
    <w:tcPr>
      <w:shd w:val="clear" w:color="auto" w:fill="F7EED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BF8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1DC" w:themeFill="accent6" w:themeFillTint="33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tcBorders>
          <w:insideH w:val="single" w:color="DEBC53" w:themeColor="accent6" w:sz="6" w:space="0"/>
          <w:insideV w:val="single" w:color="DEBC53" w:themeColor="accent6" w:sz="6" w:space="0"/>
        </w:tcBorders>
        <w:shd w:val="clear" w:color="auto" w:fill="EEDDA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8D8E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14C5E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14C5E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1B2CD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71B2CD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6D1D1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4948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4948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EA3A3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EA3A3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8F1E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62C7AD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62C7AD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0E3D6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0E3D6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DB5CB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31C3F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31C3F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B6B98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B6B98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5DCCB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87330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87330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BB897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BB897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7EED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BC53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BC53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EDDA9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EDDA9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bottom w:val="single" w:color="214C5E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214C5E" w:themeColor="accent1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214C5E" w:themeColor="accent1" w:sz="8" w:space="0"/>
          <w:bottom w:val="single" w:color="214C5E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214C5E" w:themeColor="accent1" w:sz="8" w:space="0"/>
          <w:bottom w:val="single" w:color="214C5E" w:themeColor="accent1" w:sz="8" w:space="0"/>
        </w:tcBorders>
      </w:tc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shd w:val="clear" w:color="auto" w:fill="B8D8E6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bottom w:val="single" w:color="DE4948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E4948" w:themeColor="accent2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E4948" w:themeColor="accent2" w:sz="8" w:space="0"/>
          <w:bottom w:val="single" w:color="DE4948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E4948" w:themeColor="accent2" w:sz="8" w:space="0"/>
          <w:bottom w:val="single" w:color="DE4948" w:themeColor="accent2" w:sz="8" w:space="0"/>
        </w:tcBorders>
      </w:tc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shd w:val="clear" w:color="auto" w:fill="F6D1D1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bottom w:val="single" w:color="62C7AD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62C7AD" w:themeColor="accent3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62C7AD" w:themeColor="accent3" w:sz="8" w:space="0"/>
          <w:bottom w:val="single" w:color="62C7AD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62C7AD" w:themeColor="accent3" w:sz="8" w:space="0"/>
          <w:bottom w:val="single" w:color="62C7AD" w:themeColor="accent3" w:sz="8" w:space="0"/>
        </w:tcBorders>
      </w:tc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shd w:val="clear" w:color="auto" w:fill="D8F1EA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bottom w:val="single" w:color="731C3F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731C3F" w:themeColor="accent4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731C3F" w:themeColor="accent4" w:sz="8" w:space="0"/>
          <w:bottom w:val="single" w:color="731C3F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731C3F" w:themeColor="accent4" w:sz="8" w:space="0"/>
          <w:bottom w:val="single" w:color="731C3F" w:themeColor="accent4" w:sz="8" w:space="0"/>
        </w:tcBorders>
      </w:tc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shd w:val="clear" w:color="auto" w:fill="EDB5CB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bottom w:val="single" w:color="D87330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87330" w:themeColor="accent5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87330" w:themeColor="accent5" w:sz="8" w:space="0"/>
          <w:bottom w:val="single" w:color="D87330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87330" w:themeColor="accent5" w:sz="8" w:space="0"/>
          <w:bottom w:val="single" w:color="D87330" w:themeColor="accent5" w:sz="8" w:space="0"/>
        </w:tcBorders>
      </w:tc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shd w:val="clear" w:color="auto" w:fill="F5DCCB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bottom w:val="single" w:color="DEBC53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EBC53" w:themeColor="accent6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EBC53" w:themeColor="accent6" w:sz="8" w:space="0"/>
          <w:bottom w:val="single" w:color="DEBC53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EBC53" w:themeColor="accent6" w:sz="8" w:space="0"/>
          <w:bottom w:val="single" w:color="DEBC53" w:themeColor="accent6" w:sz="8" w:space="0"/>
        </w:tcBorders>
      </w:tc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shd w:val="clear" w:color="auto" w:fill="F7EED4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214C5E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214C5E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214C5E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8D8E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E4948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E4948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D1D1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62C7AD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62C7AD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62C7AD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8F1E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731C3F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731C3F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731C3F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B5CB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87330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87330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87330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DCCB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EBC53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EBC53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EBC53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EED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DC2CF0"/>
    <w:pPr>
      <w:spacing w:after="0" w:line="240" w:lineRule="auto"/>
    </w:pPr>
    <w:tblPr>
      <w:tblStyleRowBandSize w:val="1"/>
      <w:tblStyleColBandSize w:val="1"/>
      <w:tblBorders>
        <w:top w:val="single" w:color="3A85A4" w:themeColor="accent1" w:themeTint="BF" w:sz="8" w:space="0"/>
        <w:left w:val="single" w:color="3A85A4" w:themeColor="accent1" w:themeTint="BF" w:sz="8" w:space="0"/>
        <w:bottom w:val="single" w:color="3A85A4" w:themeColor="accent1" w:themeTint="BF" w:sz="8" w:space="0"/>
        <w:right w:val="single" w:color="3A85A4" w:themeColor="accent1" w:themeTint="BF" w:sz="8" w:space="0"/>
        <w:insideH w:val="single" w:color="3A85A4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3A85A4" w:themeColor="accent1" w:themeTint="BF" w:sz="8" w:space="0"/>
          <w:left w:val="single" w:color="3A85A4" w:themeColor="accent1" w:themeTint="BF" w:sz="8" w:space="0"/>
          <w:bottom w:val="single" w:color="3A85A4" w:themeColor="accent1" w:themeTint="BF" w:sz="8" w:space="0"/>
          <w:right w:val="single" w:color="3A85A4" w:themeColor="accent1" w:themeTint="BF" w:sz="8" w:space="0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A85A4" w:themeColor="accent1" w:themeTint="BF" w:sz="6" w:space="0"/>
          <w:left w:val="single" w:color="3A85A4" w:themeColor="accent1" w:themeTint="BF" w:sz="8" w:space="0"/>
          <w:bottom w:val="single" w:color="3A85A4" w:themeColor="accent1" w:themeTint="BF" w:sz="8" w:space="0"/>
          <w:right w:val="single" w:color="3A85A4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8D8E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7675" w:themeColor="accent2" w:themeTint="BF" w:sz="8" w:space="0"/>
        <w:left w:val="single" w:color="E67675" w:themeColor="accent2" w:themeTint="BF" w:sz="8" w:space="0"/>
        <w:bottom w:val="single" w:color="E67675" w:themeColor="accent2" w:themeTint="BF" w:sz="8" w:space="0"/>
        <w:right w:val="single" w:color="E67675" w:themeColor="accent2" w:themeTint="BF" w:sz="8" w:space="0"/>
        <w:insideH w:val="single" w:color="E67675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67675" w:themeColor="accent2" w:themeTint="BF" w:sz="8" w:space="0"/>
          <w:left w:val="single" w:color="E67675" w:themeColor="accent2" w:themeTint="BF" w:sz="8" w:space="0"/>
          <w:bottom w:val="single" w:color="E67675" w:themeColor="accent2" w:themeTint="BF" w:sz="8" w:space="0"/>
          <w:right w:val="single" w:color="E67675" w:themeColor="accent2" w:themeTint="BF" w:sz="8" w:space="0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67675" w:themeColor="accent2" w:themeTint="BF" w:sz="6" w:space="0"/>
          <w:left w:val="single" w:color="E67675" w:themeColor="accent2" w:themeTint="BF" w:sz="8" w:space="0"/>
          <w:bottom w:val="single" w:color="E67675" w:themeColor="accent2" w:themeTint="BF" w:sz="8" w:space="0"/>
          <w:right w:val="single" w:color="E67675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D1D1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89D5C1" w:themeColor="accent3" w:themeTint="BF" w:sz="8" w:space="0"/>
        <w:left w:val="single" w:color="89D5C1" w:themeColor="accent3" w:themeTint="BF" w:sz="8" w:space="0"/>
        <w:bottom w:val="single" w:color="89D5C1" w:themeColor="accent3" w:themeTint="BF" w:sz="8" w:space="0"/>
        <w:right w:val="single" w:color="89D5C1" w:themeColor="accent3" w:themeTint="BF" w:sz="8" w:space="0"/>
        <w:insideH w:val="single" w:color="89D5C1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89D5C1" w:themeColor="accent3" w:themeTint="BF" w:sz="8" w:space="0"/>
          <w:left w:val="single" w:color="89D5C1" w:themeColor="accent3" w:themeTint="BF" w:sz="8" w:space="0"/>
          <w:bottom w:val="single" w:color="89D5C1" w:themeColor="accent3" w:themeTint="BF" w:sz="8" w:space="0"/>
          <w:right w:val="single" w:color="89D5C1" w:themeColor="accent3" w:themeTint="BF" w:sz="8" w:space="0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9D5C1" w:themeColor="accent3" w:themeTint="BF" w:sz="6" w:space="0"/>
          <w:left w:val="single" w:color="89D5C1" w:themeColor="accent3" w:themeTint="BF" w:sz="8" w:space="0"/>
          <w:bottom w:val="single" w:color="89D5C1" w:themeColor="accent3" w:themeTint="BF" w:sz="8" w:space="0"/>
          <w:right w:val="single" w:color="89D5C1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8F1E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BC2E67" w:themeColor="accent4" w:themeTint="BF" w:sz="8" w:space="0"/>
        <w:left w:val="single" w:color="BC2E67" w:themeColor="accent4" w:themeTint="BF" w:sz="8" w:space="0"/>
        <w:bottom w:val="single" w:color="BC2E67" w:themeColor="accent4" w:themeTint="BF" w:sz="8" w:space="0"/>
        <w:right w:val="single" w:color="BC2E67" w:themeColor="accent4" w:themeTint="BF" w:sz="8" w:space="0"/>
        <w:insideH w:val="single" w:color="BC2E67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C2E67" w:themeColor="accent4" w:themeTint="BF" w:sz="8" w:space="0"/>
          <w:left w:val="single" w:color="BC2E67" w:themeColor="accent4" w:themeTint="BF" w:sz="8" w:space="0"/>
          <w:bottom w:val="single" w:color="BC2E67" w:themeColor="accent4" w:themeTint="BF" w:sz="8" w:space="0"/>
          <w:right w:val="single" w:color="BC2E67" w:themeColor="accent4" w:themeTint="BF" w:sz="8" w:space="0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C2E67" w:themeColor="accent4" w:themeTint="BF" w:sz="6" w:space="0"/>
          <w:left w:val="single" w:color="BC2E67" w:themeColor="accent4" w:themeTint="BF" w:sz="8" w:space="0"/>
          <w:bottom w:val="single" w:color="BC2E67" w:themeColor="accent4" w:themeTint="BF" w:sz="8" w:space="0"/>
          <w:right w:val="single" w:color="BC2E67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B5CB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19563" w:themeColor="accent5" w:themeTint="BF" w:sz="8" w:space="0"/>
        <w:left w:val="single" w:color="E19563" w:themeColor="accent5" w:themeTint="BF" w:sz="8" w:space="0"/>
        <w:bottom w:val="single" w:color="E19563" w:themeColor="accent5" w:themeTint="BF" w:sz="8" w:space="0"/>
        <w:right w:val="single" w:color="E19563" w:themeColor="accent5" w:themeTint="BF" w:sz="8" w:space="0"/>
        <w:insideH w:val="single" w:color="E19563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19563" w:themeColor="accent5" w:themeTint="BF" w:sz="8" w:space="0"/>
          <w:left w:val="single" w:color="E19563" w:themeColor="accent5" w:themeTint="BF" w:sz="8" w:space="0"/>
          <w:bottom w:val="single" w:color="E19563" w:themeColor="accent5" w:themeTint="BF" w:sz="8" w:space="0"/>
          <w:right w:val="single" w:color="E19563" w:themeColor="accent5" w:themeTint="BF" w:sz="8" w:space="0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19563" w:themeColor="accent5" w:themeTint="BF" w:sz="6" w:space="0"/>
          <w:left w:val="single" w:color="E19563" w:themeColor="accent5" w:themeTint="BF" w:sz="8" w:space="0"/>
          <w:bottom w:val="single" w:color="E19563" w:themeColor="accent5" w:themeTint="BF" w:sz="8" w:space="0"/>
          <w:right w:val="single" w:color="E19563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DCCB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CC7E" w:themeColor="accent6" w:themeTint="BF" w:sz="8" w:space="0"/>
        <w:left w:val="single" w:color="E6CC7E" w:themeColor="accent6" w:themeTint="BF" w:sz="8" w:space="0"/>
        <w:bottom w:val="single" w:color="E6CC7E" w:themeColor="accent6" w:themeTint="BF" w:sz="8" w:space="0"/>
        <w:right w:val="single" w:color="E6CC7E" w:themeColor="accent6" w:themeTint="BF" w:sz="8" w:space="0"/>
        <w:insideH w:val="single" w:color="E6CC7E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6CC7E" w:themeColor="accent6" w:themeTint="BF" w:sz="8" w:space="0"/>
          <w:left w:val="single" w:color="E6CC7E" w:themeColor="accent6" w:themeTint="BF" w:sz="8" w:space="0"/>
          <w:bottom w:val="single" w:color="E6CC7E" w:themeColor="accent6" w:themeTint="BF" w:sz="8" w:space="0"/>
          <w:right w:val="single" w:color="E6CC7E" w:themeColor="accent6" w:themeTint="BF" w:sz="8" w:space="0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6CC7E" w:themeColor="accent6" w:themeTint="BF" w:sz="6" w:space="0"/>
          <w:left w:val="single" w:color="E6CC7E" w:themeColor="accent6" w:themeTint="BF" w:sz="8" w:space="0"/>
          <w:bottom w:val="single" w:color="E6CC7E" w:themeColor="accent6" w:themeTint="BF" w:sz="8" w:space="0"/>
          <w:right w:val="single" w:color="E6CC7E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EED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DC2CF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 w:line="240" w:lineRule="auto"/>
      <w:ind w:left="1134" w:hanging="1134"/>
    </w:pPr>
    <w:rPr>
      <w:rFonts w:asciiTheme="majorHAnsi" w:hAnsiTheme="majorHAnsi" w:eastAsiaTheme="majorEastAsia" w:cstheme="majorBidi"/>
      <w:sz w:val="24"/>
      <w:szCs w:val="24"/>
    </w:rPr>
  </w:style>
  <w:style w:type="character" w:styleId="MessageHeaderChar" w:customStyle="1">
    <w:name w:val="Message Header Char"/>
    <w:basedOn w:val="DefaultParagraphFont"/>
    <w:link w:val="MessageHeader"/>
    <w:uiPriority w:val="99"/>
    <w:semiHidden/>
    <w:rsid w:val="00DC2CF0"/>
    <w:rPr>
      <w:rFonts w:asciiTheme="majorHAnsi" w:hAnsiTheme="majorHAnsi" w:eastAsiaTheme="majorEastAsia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DC2CF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2CF0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DC2CF0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C2CF0"/>
    <w:pPr>
      <w:spacing w:after="0" w:line="240" w:lineRule="auto"/>
    </w:pPr>
  </w:style>
  <w:style w:type="character" w:styleId="NoteHeadingChar" w:customStyle="1">
    <w:name w:val="Note Heading Char"/>
    <w:basedOn w:val="DefaultParagraphFont"/>
    <w:link w:val="NoteHeading"/>
    <w:uiPriority w:val="99"/>
    <w:semiHidden/>
    <w:rsid w:val="00DC2CF0"/>
  </w:style>
  <w:style w:type="character" w:styleId="PageNumber">
    <w:name w:val="page number"/>
    <w:basedOn w:val="DefaultParagraphFont"/>
    <w:uiPriority w:val="99"/>
    <w:semiHidden/>
    <w:unhideWhenUsed/>
    <w:rsid w:val="00DC2CF0"/>
  </w:style>
  <w:style w:type="table" w:styleId="PlainTable1">
    <w:name w:val="Plain Table 1"/>
    <w:basedOn w:val="TableNormal"/>
    <w:uiPriority w:val="41"/>
    <w:rsid w:val="00DC2CF0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DC2CF0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table" w:styleId="PlainTable3">
    <w:name w:val="Plain Table 3"/>
    <w:basedOn w:val="TableNormal"/>
    <w:uiPriority w:val="43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F7F7F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F7F7F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F7F7F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F7F7F" w:themeColor="text1" w:themeTint="80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DC2CF0"/>
    <w:rPr>
      <w:rFonts w:ascii="Consolas" w:hAnsi="Consolas"/>
      <w:sz w:val="22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DC2CF0"/>
  </w:style>
  <w:style w:type="character" w:styleId="SalutationChar" w:customStyle="1">
    <w:name w:val="Salutation Char"/>
    <w:basedOn w:val="DefaultParagraphFont"/>
    <w:link w:val="Salutation"/>
    <w:uiPriority w:val="99"/>
    <w:semiHidden/>
    <w:rsid w:val="00DC2CF0"/>
  </w:style>
  <w:style w:type="paragraph" w:styleId="Signature">
    <w:name w:val="Signature"/>
    <w:basedOn w:val="Normal"/>
    <w:link w:val="SignatureChar"/>
    <w:uiPriority w:val="99"/>
    <w:semiHidden/>
    <w:unhideWhenUsed/>
    <w:rsid w:val="00DC2CF0"/>
    <w:pPr>
      <w:spacing w:after="0" w:line="240" w:lineRule="auto"/>
      <w:ind w:left="4252"/>
    </w:pPr>
  </w:style>
  <w:style w:type="character" w:styleId="SignatureChar" w:customStyle="1">
    <w:name w:val="Signature Char"/>
    <w:basedOn w:val="DefaultParagraphFont"/>
    <w:link w:val="Signature"/>
    <w:uiPriority w:val="99"/>
    <w:semiHidden/>
    <w:rsid w:val="00DC2CF0"/>
  </w:style>
  <w:style w:type="character" w:styleId="SmartHyperlink">
    <w:name w:val="Smart Hyperlink"/>
    <w:basedOn w:val="DefaultParagraphFont"/>
    <w:uiPriority w:val="99"/>
    <w:semiHidden/>
    <w:unhideWhenUsed/>
    <w:rsid w:val="00DC2CF0"/>
    <w:rPr>
      <w:u w:val="dotted"/>
    </w:rPr>
  </w:style>
  <w:style w:type="table" w:styleId="Table3Deffects1">
    <w:name w:val="Table 3D effects 1"/>
    <w:basedOn w:val="TableNormal"/>
    <w:uiPriority w:val="99"/>
    <w:semiHidden/>
    <w:unhideWhenUsed/>
    <w:rsid w:val="00DC2CF0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DC2CF0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DC2CF0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DC2CF0"/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DC2CF0"/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DC2CF0"/>
    <w:rPr>
      <w:color w:val="auto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DC2CF0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DC2CF0"/>
    <w:rPr>
      <w:color w:val="auto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DC2CF0"/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DC2CF0"/>
    <w:rPr>
      <w:color w:val="auto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DC2CF0"/>
    <w:rPr>
      <w:color w:val="auto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DC2CF0"/>
    <w:rPr>
      <w:color w:val="auto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DC2CF0"/>
    <w:rPr>
      <w:b/>
      <w:bCs/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Light">
    <w:name w:val="Grid Table Light"/>
    <w:basedOn w:val="TableNormal"/>
    <w:uiPriority w:val="40"/>
    <w:rsid w:val="00DC2CF0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TableList1">
    <w:name w:val="Table List 1"/>
    <w:basedOn w:val="TableNormal"/>
    <w:uiPriority w:val="99"/>
    <w:semiHidden/>
    <w:unhideWhenUsed/>
    <w:rsid w:val="00DC2CF0"/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DC2CF0"/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DC2CF0"/>
    <w:rPr>
      <w:color w:val="auto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DC2CF0"/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DC2CF0"/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DC2CF0"/>
    <w:pPr>
      <w:spacing w:after="0"/>
      <w:ind w:left="300" w:hanging="30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DC2CF0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DC2CF0"/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DC2CF0"/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Subtle2">
    <w:name w:val="Table Subtle 2"/>
    <w:basedOn w:val="TableNormal"/>
    <w:uiPriority w:val="99"/>
    <w:rsid w:val="00DC2CF0"/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DC2CF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Web1">
    <w:name w:val="Table Web 1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3">
    <w:name w:val="Table Web 3"/>
    <w:basedOn w:val="TableNormal"/>
    <w:uiPriority w:val="99"/>
    <w:rsid w:val="00DC2CF0"/>
    <w:rPr>
      <w:color w:val="auto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DC2CF0"/>
    <w:pPr>
      <w:spacing w:before="120"/>
    </w:pPr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DC2CF0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DC2CF0"/>
    <w:pPr>
      <w:spacing w:after="100"/>
      <w:ind w:left="30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DC2CF0"/>
    <w:pPr>
      <w:spacing w:after="100"/>
      <w:ind w:left="60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DC2CF0"/>
    <w:pPr>
      <w:spacing w:after="100"/>
      <w:ind w:left="90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DC2CF0"/>
    <w:pPr>
      <w:spacing w:after="100"/>
      <w:ind w:left="120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DC2CF0"/>
    <w:pPr>
      <w:spacing w:after="100"/>
      <w:ind w:left="15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DC2CF0"/>
    <w:pPr>
      <w:spacing w:after="100"/>
      <w:ind w:left="180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DC2CF0"/>
    <w:pPr>
      <w:spacing w:after="100"/>
      <w:ind w:left="210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DC2CF0"/>
    <w:pPr>
      <w:spacing w:after="100"/>
      <w:ind w:left="2400"/>
    </w:pPr>
  </w:style>
  <w:style w:type="character" w:styleId="UnresolvedMention">
    <w:name w:val="Unresolved Mention"/>
    <w:basedOn w:val="DefaultParagraphFont"/>
    <w:uiPriority w:val="99"/>
    <w:semiHidden/>
    <w:unhideWhenUsed/>
    <w:rsid w:val="00DC2CF0"/>
    <w:rPr>
      <w:color w:val="595959" w:themeColor="text1" w:themeTint="A6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hyperlink" Target="https://gov.wales/sites/default/files/publications/2019-07/flying-start-transition-guidance-for-professionals.pdf" TargetMode="External" Id="Rf6e55817a48b45df" /><Relationship Type="http://schemas.openxmlformats.org/officeDocument/2006/relationships/hyperlink" Target="https://www-tandfonline-com.ezproxy.uwtsd.ac.uk/toc/rbeb20/21/2" TargetMode="External" Id="R3cba78bdc63b4763" /><Relationship Type="http://schemas.openxmlformats.org/officeDocument/2006/relationships/hyperlink" Target="https://www.bbc.co.uk/news/uk-wales-45611374" TargetMode="External" Id="Rf1a5f4c2aab74f53" /><Relationship Type="http://schemas.openxmlformats.org/officeDocument/2006/relationships/hyperlink" Target="https://www.dictionary.com/browse/bilingualism?s=t" TargetMode="External" Id="Raaea33026e8d41f4" /><Relationship Type="http://schemas.openxmlformats.org/officeDocument/2006/relationships/hyperlink" Target="https://www.gov.uk/guidance/equality-act-2010-guidance" TargetMode="External" Id="R08ccb269ada640ee" /><Relationship Type="http://schemas.openxmlformats.org/officeDocument/2006/relationships/hyperlink" Target="http://www.legislation.gov.uk/ukpga/1993/38/contents" TargetMode="External" Id="Rc3d319eb5be04cdf" /><Relationship Type="http://schemas.openxmlformats.org/officeDocument/2006/relationships/hyperlink" Target="https://www.npr.org/sections/ed/2016/11/29/497943749/6-potential-brain-benefits-of-bilingual-education?t=1583674542571" TargetMode="External" Id="Rbdcef0053d2d4748" /><Relationship Type="http://schemas.openxmlformats.org/officeDocument/2006/relationships/hyperlink" Target="http://www.legislation.gov.uk/mwa/2011/1/contents/enacted" TargetMode="External" Id="R1ac8e604bde948f3" /><Relationship Type="http://schemas.openxmlformats.org/officeDocument/2006/relationships/hyperlink" Target="https://www.pacey.org.uk/welsh-language-development/" TargetMode="External" Id="R84f50bd9cc734154" /><Relationship Type="http://schemas.openxmlformats.org/officeDocument/2006/relationships/hyperlink" Target="https://www.abc.net.au/kidslisten/ideas/earlylearning/benefits-of-being-a-bilingual-child/9442508" TargetMode="External" Id="R06c41a4f0aae459c" /><Relationship Type="http://schemas.openxmlformats.org/officeDocument/2006/relationships/hyperlink" Target="https://support.rosettastone.com/en/language-learning/articles/What-is-Dynamic-Immersion" TargetMode="External" Id="R039f320fa0d4403c" /><Relationship Type="http://schemas.openxmlformats.org/officeDocument/2006/relationships/hyperlink" Target="https://downloads.unicef.org.uk/wp-content/uploads/2010/05/UNCRC_united_nations_convention_on_the_rights_of_the_child.pdf?_ga=2.55135788.646232289.1570651225-430023955.1570289486" TargetMode="External" Id="Rd1d370e038f44a5f" /><Relationship Type="http://schemas.openxmlformats.org/officeDocument/2006/relationships/hyperlink" Target="https://www.walesonline.co.uk/news/health/speaking-welsh-good-your-health-10890612" TargetMode="External" Id="Raf4d26890d954858" /><Relationship Type="http://schemas.openxmlformats.org/officeDocument/2006/relationships/hyperlink" Target="https://gov.wales/sites/default/files/publications/2018-12/cymraeg-2050-welsh-language-strategy.pdf" TargetMode="External" Id="R8043b2ce8ab8400e" /><Relationship Type="http://schemas.openxmlformats.org/officeDocument/2006/relationships/hyperlink" Target="https://juergenkurtz.wordpress.com/2010/12/22/the-sandwich-technique/" TargetMode="External" Id="Ree38dffe9c464864" /><Relationship Type="http://schemas.openxmlformats.org/officeDocument/2006/relationships/hyperlink" Target="https://hwb.gov.wales/storage/d5d8e39c-b534-40cb-a3f5-7e2e126d8077/foundation-phase-framework.pdf" TargetMode="External" Id="Rc53222983c944424" /><Relationship Type="http://schemas.openxmlformats.org/officeDocument/2006/relationships/header" Target="/word/header.xml" Id="Rd89ba860ccd94e85" /><Relationship Type="http://schemas.openxmlformats.org/officeDocument/2006/relationships/header" Target="/word/header2.xml" Id="R625bc53557ec4c87" /><Relationship Type="http://schemas.openxmlformats.org/officeDocument/2006/relationships/footer" Target="/word/footer2.xml" Id="R971936f13a304cf2" /></Relationships>
</file>

<file path=word/theme/theme1.xml><?xml version="1.0" encoding="utf-8"?>
<a:theme xmlns:a="http://schemas.openxmlformats.org/drawingml/2006/main" name="Office Theme">
  <a:themeElements>
    <a:clrScheme name="Custom 55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214C5E"/>
      </a:accent1>
      <a:accent2>
        <a:srgbClr val="DE4948"/>
      </a:accent2>
      <a:accent3>
        <a:srgbClr val="62C7AD"/>
      </a:accent3>
      <a:accent4>
        <a:srgbClr val="731C3F"/>
      </a:accent4>
      <a:accent5>
        <a:srgbClr val="D87330"/>
      </a:accent5>
      <a:accent6>
        <a:srgbClr val="DEBC53"/>
      </a:accent6>
      <a:hlink>
        <a:srgbClr val="62C7AD"/>
      </a:hlink>
      <a:folHlink>
        <a:srgbClr val="895F9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lastModifiedBy>Elizabeth Barnsby (1903611)</lastModifiedBy>
  <revision>19</revision>
  <dcterms:created xsi:type="dcterms:W3CDTF">2020-03-08T13:18:57.0356160Z</dcterms:created>
  <dcterms:modified xsi:type="dcterms:W3CDTF">2020-03-31T13:38:22.6977381Z</dcterms:modified>
  <dc:creator>Elizabeth Barnsby (1903611)</dc:creator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