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990.9585571289062" w:right="0" w:firstLine="0"/>
        <w:jc w:val="left"/>
        <w:rPr>
          <w:rFonts w:ascii="Arial" w:cs="Arial" w:eastAsia="Arial" w:hAnsi="Arial"/>
          <w:b w:val="0"/>
          <w:bCs w:val="0"/>
          <w:i w:val="0"/>
          <w:iCs w:val="0"/>
          <w:smallCaps w:val="0"/>
          <w:strike w:val="0"/>
          <w:color w:val="806000"/>
          <w:sz w:val="96.05000305175781"/>
          <w:szCs w:val="96.05000305175781"/>
          <w:u w:val="none"/>
          <w:shd w:fill="auto" w:val="clear"/>
          <w:vertAlign w:val="baseline"/>
        </w:rPr>
      </w:pPr>
      <w:r w:rsidDel="00000000" w:rsidR="00000000" w:rsidRPr="00000000">
        <w:rPr>
          <w:rFonts w:ascii="Arial" w:cs="Arial" w:eastAsia="Arial" w:hAnsi="Arial"/>
          <w:b w:val="0"/>
          <w:bCs w:val="0"/>
          <w:i w:val="0"/>
          <w:iCs w:val="0"/>
          <w:smallCaps w:val="0"/>
          <w:strike w:val="0"/>
          <w:color w:val="806000"/>
          <w:sz w:val="96.05000305175781"/>
          <w:szCs w:val="96.05000305175781"/>
          <w:u w:val="none"/>
          <w:shd w:fill="auto" w:val="clear"/>
          <w:vertAlign w:val="baseline"/>
          <w:rtl w:val="0"/>
        </w:rPr>
        <w:t xml:space="preserve">Portfolio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806000"/>
          <w:sz w:val="96.05000305175781"/>
          <w:szCs w:val="96.05000305175781"/>
        </w:rPr>
      </w:pP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76243591308594" w:lineRule="auto"/>
        <w:ind w:left="1641.199951171875" w:right="1895.92041015625" w:firstLine="0"/>
        <w:jc w:val="center"/>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Student name: </w:t>
      </w:r>
      <w:r w:rsidDel="00000000" w:rsidR="00000000" w:rsidRPr="00000000">
        <w:rPr>
          <w:sz w:val="40"/>
          <w:szCs w:val="40"/>
          <w:rtl w:val="0"/>
        </w:rPr>
        <w:t xml:space="preserve">Tsion Abiyo</w:t>
      </w: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76243591308594" w:lineRule="auto"/>
        <w:ind w:left="1641.199951171875" w:right="1895.92041015625" w:firstLine="0"/>
        <w:jc w:val="center"/>
        <w:rPr>
          <w:sz w:val="40"/>
          <w:szCs w:val="40"/>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Student number: 2328768</w:t>
      </w: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76243591308594" w:lineRule="auto"/>
        <w:ind w:left="1641.199951171875" w:right="1895.92041015625" w:firstLine="0"/>
        <w:jc w:val="center"/>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Module code: BMHP5014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0.662841796875" w:line="240" w:lineRule="auto"/>
        <w:ind w:left="4068.4002685546875" w:right="0" w:firstLine="0"/>
        <w:jc w:val="left"/>
        <w:rPr>
          <w:sz w:val="40"/>
          <w:szCs w:val="40"/>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0.662841796875" w:line="240" w:lineRule="auto"/>
        <w:ind w:left="4068.4002685546875" w:right="0" w:firstLine="0"/>
        <w:jc w:val="left"/>
        <w:rPr>
          <w:sz w:val="40"/>
          <w:szCs w:val="40"/>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0.662841796875" w:line="240" w:lineRule="auto"/>
        <w:ind w:left="4068.4002685546875" w:right="0" w:firstLine="0"/>
        <w:jc w:val="left"/>
        <w:rPr>
          <w:sz w:val="40"/>
          <w:szCs w:val="40"/>
        </w:rPr>
      </w:pP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0.662841796875" w:line="240" w:lineRule="auto"/>
        <w:ind w:left="4068.4002685546875" w:right="0" w:firstLine="0"/>
        <w:jc w:val="left"/>
        <w:rPr>
          <w:sz w:val="40"/>
          <w:szCs w:val="40"/>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0.662841796875" w:line="240" w:lineRule="auto"/>
        <w:ind w:left="4068.4002685546875" w:right="0" w:firstLine="0"/>
        <w:jc w:val="left"/>
        <w:rPr>
          <w:sz w:val="40"/>
          <w:szCs w:val="40"/>
        </w:rPr>
      </w:pP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0.662841796875" w:line="240" w:lineRule="auto"/>
        <w:ind w:left="0" w:right="0" w:firstLine="0"/>
        <w:jc w:val="left"/>
        <w:rPr>
          <w:sz w:val="40"/>
          <w:szCs w:val="40"/>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53.1600952148438" w:right="0" w:firstLine="0"/>
        <w:jc w:val="left"/>
        <w:rPr>
          <w:color w:val="806000"/>
          <w:sz w:val="72"/>
          <w:szCs w:val="72"/>
        </w:rPr>
      </w:pP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53.1600952148438" w:right="0" w:firstLine="0"/>
        <w:jc w:val="left"/>
        <w:rPr>
          <w:rFonts w:ascii="Arial" w:cs="Arial" w:eastAsia="Arial" w:hAnsi="Arial"/>
          <w:b w:val="0"/>
          <w:bCs w:val="0"/>
          <w:i w:val="0"/>
          <w:iCs w:val="0"/>
          <w:smallCaps w:val="0"/>
          <w:strike w:val="0"/>
          <w:color w:val="806000"/>
          <w:sz w:val="72"/>
          <w:szCs w:val="72"/>
          <w:u w:val="none"/>
          <w:shd w:fill="auto" w:val="clear"/>
          <w:vertAlign w:val="baseline"/>
        </w:rPr>
      </w:pPr>
      <w:r w:rsidDel="00000000" w:rsidR="00000000" w:rsidRPr="00000000">
        <w:rPr>
          <w:rFonts w:ascii="Arial" w:cs="Arial" w:eastAsia="Arial" w:hAnsi="Arial"/>
          <w:b w:val="0"/>
          <w:bCs w:val="0"/>
          <w:i w:val="0"/>
          <w:iCs w:val="0"/>
          <w:smallCaps w:val="0"/>
          <w:strike w:val="0"/>
          <w:color w:val="806000"/>
          <w:sz w:val="72"/>
          <w:szCs w:val="72"/>
          <w:u w:val="none"/>
          <w:shd w:fill="auto" w:val="clear"/>
          <w:vertAlign w:val="baseline"/>
          <w:rtl w:val="0"/>
        </w:rPr>
        <w:t xml:space="preserve">Table of Contents  </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70.360107421875" w:line="240" w:lineRule="auto"/>
        <w:ind w:left="0.500030517578125" w:right="0" w:firstLine="0"/>
        <w:jc w:val="left"/>
        <w:rPr>
          <w:rFonts w:ascii="Arial" w:cs="Arial" w:eastAsia="Arial" w:hAnsi="Arial"/>
          <w:b w:val="0"/>
          <w:bCs w:val="0"/>
          <w:i w:val="0"/>
          <w:iCs w:val="0"/>
          <w:smallCaps w:val="0"/>
          <w:strike w:val="0"/>
          <w:color w:val="806000"/>
          <w:sz w:val="72"/>
          <w:szCs w:val="72"/>
          <w:u w:val="none"/>
          <w:shd w:fill="auto" w:val="clear"/>
          <w:vertAlign w:val="baseline"/>
        </w:rPr>
      </w:pPr>
      <w:r w:rsidDel="00000000" w:rsidR="00000000" w:rsidRPr="00000000">
        <w:rPr>
          <w:rFonts w:ascii="Arial" w:cs="Arial" w:eastAsia="Arial" w:hAnsi="Arial"/>
          <w:b w:val="0"/>
          <w:bCs w:val="0"/>
          <w:i w:val="0"/>
          <w:iCs w:val="0"/>
          <w:smallCaps w:val="0"/>
          <w:strike w:val="0"/>
          <w:color w:val="806000"/>
          <w:sz w:val="72"/>
          <w:szCs w:val="72"/>
          <w:u w:val="none"/>
          <w:shd w:fill="auto" w:val="clear"/>
          <w:vertAlign w:val="baseline"/>
          <w:rtl w:val="0"/>
        </w:rPr>
        <w:t xml:space="preserve">  </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4.840087890625" w:line="407.8223991394043" w:lineRule="auto"/>
        <w:ind w:left="5.7000732421875" w:right="388.720703125" w:firstLine="38.39996337890625"/>
        <w:jc w:val="both"/>
        <w:rPr>
          <w:rFonts w:ascii="Arial" w:cs="Arial" w:eastAsia="Arial" w:hAnsi="Arial"/>
          <w:b w:val="0"/>
          <w:bCs w:val="0"/>
          <w:i w:val="0"/>
          <w:iCs w:val="0"/>
          <w:smallCaps w:val="0"/>
          <w:strike w:val="0"/>
          <w:color w:val="000000"/>
          <w:sz w:val="40"/>
          <w:szCs w:val="40"/>
          <w:highlight w:val="white"/>
          <w:u w:val="none"/>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1.Concept Map.........................................................1 2.Self-Reflection of Group Activity ...........................1 3. Case Study of a UK innovation.............................2 4.Research Task ......................................................3 5. Podcast</w:t>
      </w:r>
      <w:r w:rsidDel="00000000" w:rsidR="00000000" w:rsidRPr="00000000">
        <w:rPr>
          <w:rFonts w:ascii="Arial" w:cs="Arial" w:eastAsia="Arial" w:hAnsi="Arial"/>
          <w:b w:val="0"/>
          <w:bCs w:val="0"/>
          <w:i w:val="0"/>
          <w:iCs w:val="0"/>
          <w:smallCaps w:val="0"/>
          <w:strike w:val="0"/>
          <w:color w:val="000000"/>
          <w:sz w:val="40"/>
          <w:szCs w:val="40"/>
          <w:highlight w:val="white"/>
          <w:u w:val="none"/>
          <w:vertAlign w:val="baseline"/>
          <w:rtl w:val="0"/>
        </w:rPr>
        <w:t xml:space="preserve"> ………………………………...……………</w:t>
      </w: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4 </w:t>
      </w:r>
      <w:r w:rsidDel="00000000" w:rsidR="00000000" w:rsidRPr="00000000">
        <w:rPr>
          <w:rFonts w:ascii="Arial" w:cs="Arial" w:eastAsia="Arial" w:hAnsi="Arial"/>
          <w:b w:val="0"/>
          <w:bCs w:val="0"/>
          <w:i w:val="0"/>
          <w:iCs w:val="0"/>
          <w:smallCaps w:val="0"/>
          <w:strike w:val="0"/>
          <w:color w:val="000000"/>
          <w:sz w:val="40"/>
          <w:szCs w:val="40"/>
          <w:highlight w:val="white"/>
          <w:u w:val="none"/>
          <w:vertAlign w:val="baseline"/>
          <w:rtl w:val="0"/>
        </w:rPr>
        <w:t xml:space="preserve">6.</w:t>
      </w: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 NHS Leadership Framework Analysis </w:t>
      </w:r>
      <w:r w:rsidDel="00000000" w:rsidR="00000000" w:rsidRPr="00000000">
        <w:rPr>
          <w:rFonts w:ascii="Arial" w:cs="Arial" w:eastAsia="Arial" w:hAnsi="Arial"/>
          <w:b w:val="0"/>
          <w:bCs w:val="0"/>
          <w:i w:val="0"/>
          <w:iCs w:val="0"/>
          <w:smallCaps w:val="0"/>
          <w:strike w:val="0"/>
          <w:color w:val="000000"/>
          <w:sz w:val="40"/>
          <w:szCs w:val="40"/>
          <w:highlight w:val="white"/>
          <w:u w:val="none"/>
          <w:vertAlign w:val="baseline"/>
          <w:rtl w:val="0"/>
        </w:rPr>
        <w:t xml:space="preserve">…...………</w:t>
      </w: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5 </w:t>
      </w:r>
      <w:r w:rsidDel="00000000" w:rsidR="00000000" w:rsidRPr="00000000">
        <w:rPr>
          <w:rFonts w:ascii="Arial" w:cs="Arial" w:eastAsia="Arial" w:hAnsi="Arial"/>
          <w:b w:val="0"/>
          <w:bCs w:val="0"/>
          <w:i w:val="0"/>
          <w:iCs w:val="0"/>
          <w:smallCaps w:val="0"/>
          <w:strike w:val="0"/>
          <w:color w:val="000000"/>
          <w:sz w:val="40"/>
          <w:szCs w:val="40"/>
          <w:highlight w:val="white"/>
          <w:u w:val="none"/>
          <w:vertAlign w:val="baseline"/>
          <w:rtl w:val="0"/>
        </w:rPr>
        <w:t xml:space="preserve">7.</w:t>
      </w: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 Self-Reflection Journal Entry……………….……. 6 </w:t>
      </w:r>
      <w:r w:rsidDel="00000000" w:rsidR="00000000" w:rsidRPr="00000000">
        <w:rPr>
          <w:rFonts w:ascii="Arial" w:cs="Arial" w:eastAsia="Arial" w:hAnsi="Arial"/>
          <w:b w:val="0"/>
          <w:bCs w:val="0"/>
          <w:i w:val="0"/>
          <w:iCs w:val="0"/>
          <w:smallCaps w:val="0"/>
          <w:strike w:val="0"/>
          <w:color w:val="000000"/>
          <w:sz w:val="40"/>
          <w:szCs w:val="40"/>
          <w:highlight w:val="white"/>
          <w:u w:val="none"/>
          <w:vertAlign w:val="baseline"/>
          <w:rtl w:val="0"/>
        </w:rPr>
        <w:t xml:space="preserve">8.</w:t>
      </w: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 Reference list</w:t>
      </w:r>
      <w:r w:rsidDel="00000000" w:rsidR="00000000" w:rsidRPr="00000000">
        <w:rPr>
          <w:rFonts w:ascii="Arial" w:cs="Arial" w:eastAsia="Arial" w:hAnsi="Arial"/>
          <w:b w:val="0"/>
          <w:bCs w:val="0"/>
          <w:i w:val="0"/>
          <w:iCs w:val="0"/>
          <w:smallCaps w:val="0"/>
          <w:strike w:val="0"/>
          <w:color w:val="000000"/>
          <w:sz w:val="40"/>
          <w:szCs w:val="40"/>
          <w:highlight w:val="white"/>
          <w:u w:val="none"/>
          <w:vertAlign w:val="baseline"/>
          <w:rtl w:val="0"/>
        </w:rPr>
        <w:t xml:space="preserve">……………..…………………………8</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4.840087890625" w:line="407.8223991394043" w:lineRule="auto"/>
        <w:ind w:left="5.7000732421875" w:right="388.720703125" w:firstLine="38.39996337890625"/>
        <w:jc w:val="both"/>
        <w:rPr>
          <w:sz w:val="40"/>
          <w:szCs w:val="40"/>
          <w:highlight w:val="white"/>
        </w:rPr>
      </w:pP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4.840087890625" w:line="407.8223991394043" w:lineRule="auto"/>
        <w:ind w:left="5.7000732421875" w:right="388.720703125" w:firstLine="38.39996337890625"/>
        <w:jc w:val="both"/>
        <w:rPr>
          <w:sz w:val="40"/>
          <w:szCs w:val="40"/>
          <w:highlight w:val="white"/>
        </w:rPr>
      </w:pPr>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4.840087890625" w:line="407.8223991394043" w:lineRule="auto"/>
        <w:ind w:left="5.7000732421875" w:right="388.720703125" w:firstLine="38.39996337890625"/>
        <w:jc w:val="both"/>
        <w:rPr>
          <w:sz w:val="40"/>
          <w:szCs w:val="40"/>
          <w:highlight w:val="white"/>
        </w:rPr>
      </w:pP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4.840087890625" w:line="407.8223991394043" w:lineRule="auto"/>
        <w:ind w:left="5.7000732421875" w:right="388.720703125" w:firstLine="38.39996337890625"/>
        <w:jc w:val="both"/>
        <w:rPr>
          <w:sz w:val="40"/>
          <w:szCs w:val="40"/>
          <w:highlight w:val="white"/>
        </w:rPr>
      </w:pPr>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40"/>
          <w:szCs w:val="40"/>
          <w:highlight w:val="white"/>
        </w:rPr>
      </w:pP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1. Concept Map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98.5986328125" w:line="345.45281410217285" w:lineRule="auto"/>
        <w:ind w:left="1.15997314453125" w:right="402.440185546875" w:firstLine="4.400024414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concept map shows how creativity, innovation, and value creation operate as a continuous  system within health and social care. Creativity is positioned as the starting point because it  generates new ways of thinking about persistent problems in care delivery, such as access,  workload, and inequality. The above strategy highlights that creativity is problem-driven thinking  influenced by patient realities rather than abstract ideas.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595458984375" w:line="345.3769111633301" w:lineRule="auto"/>
        <w:ind w:left="4.459991455078125" w:right="436.35986328125" w:firstLine="16.5000915527343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Innovation provides value when implemented modifications lead to greater results, more  efficiency, or an improved experience for both staff and patients. Shorter wait times, safer  options and more effective use of limited resources are what define value in health and social  care. The map illustrates how this value translates into better patient and system care rather  than discrete advantages. Better care then contributes to learning as employees and  organizations consider what went well, what didn't, and where there are still gaps. This learning  loop generates new creative thinking, restarting the cycle.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6644287109375" w:line="344.71049308776855" w:lineRule="auto"/>
        <w:ind w:left="0.500030517578125" w:right="364.359130859375" w:hanging="0.65994262695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single applied example is digital triage in primary care. With innovative thinking, the problem  was reframed as "appointments not matched to need" instead of "not enough appointments.  This reframing led to the development of digital triage systems that classify patients based on  symptoms. More equitable therapy distribution and faster access for patients are the two  methods for the persons who are more vulnerable. Based on staff experience and patient  outcomes, the system is continuously refined, which also helps reduce administrative burden for  clinicians.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4.0753173828125" w:line="240" w:lineRule="auto"/>
        <w:ind w:left="115.50003051757812"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19050" distT="19050" distL="19050" distR="19050">
            <wp:extent cx="4609338" cy="2643505"/>
            <wp:effectExtent b="0" l="0" r="0" t="0"/>
            <wp:docPr id="4"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4609338" cy="2643505"/>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543243408203125" w:line="240" w:lineRule="auto"/>
        <w:ind w:left="0" w:right="40.2001953125" w:firstLine="0"/>
        <w:jc w:val="right"/>
        <w:rPr>
          <w:rFonts w:ascii="Calibri" w:cs="Calibri" w:eastAsia="Calibri" w:hAnsi="Calibri"/>
          <w:b w:val="0"/>
          <w:bCs w:val="0"/>
          <w:i w:val="0"/>
          <w:iCs w:val="0"/>
          <w:smallCaps w:val="0"/>
          <w:strike w:val="0"/>
          <w:color w:val="000000"/>
          <w:sz w:val="16"/>
          <w:szCs w:val="16"/>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1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100067138671875"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2. Self-Reflection of Group Activity </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8.5986328125" w:line="344.98595237731934" w:lineRule="auto"/>
        <w:ind w:left="3.3599853515625" w:right="373.819580078125" w:firstLine="17.600097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saw how the creative parts of the paperclip thinking group exercise were impacted by my  original way of thinking. I leaned heavily toward convergent thinking, as I quickly focused on  choosing one practical idea and improving it rather than exploring many options. This supported  the group’s progress but limited the early exploration of alternative ideas. Ideas were evaluated  and narrowed too quickly. This helped with efficiency and it limited divergent idea generation at  the start. Other group members contributed more exploratory suggestions, but these were often  cut short once we focused on feasibility. Group dynamics reinforced this pattern, as dominant  voices pushed the discussion toward closure, while less developed ideas were abandoned  before being explored. This demonstrated how a lack of structure can inadvertently hinder  rather than foster creativity. After thinking back on this incident, I realized that creating  something useful is not just about throwing ideas out there, but about knowing when to open  things up and when to narrow them down.  </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7.4224853515625" w:line="344.31675910949707" w:lineRule="auto"/>
        <w:ind w:left="7.98004150390625" w:right="412.900390625" w:firstLine="9.45999145507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Divergent thinking helps at the start, especially for reframing the problem and coming up with  different possible solutions, while convergent thinking becomes more important later when  decisions have to be made and ideas tested for real value. Some studies suggest that creativity  actually works better when idea generation and judgment are kept separate, instead of  happening at the same time (Bate and Robert, 2007).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7.6361083984375" w:line="345.4071235656738" w:lineRule="auto"/>
        <w:ind w:left="4.459991455078125" w:right="435.63720703125" w:firstLine="12.10006713867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Because of this experience, I would handle future group work differently by clearly setting aside  time for idea generation and reflection before moving into evaluation.. I think this approach  makes it easier for creativity to turn into real innovation, particularly in health and social care  settings where value creation really matters. I recognize this tendency in myself during time  pressured group or clinical discussions.</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57.73681640625" w:line="240" w:lineRule="auto"/>
        <w:ind w:left="0" w:right="40.2001953125" w:firstLine="0"/>
        <w:jc w:val="right"/>
        <w:rPr>
          <w:rFonts w:ascii="Calibri" w:cs="Calibri" w:eastAsia="Calibri" w:hAnsi="Calibri"/>
          <w:b w:val="0"/>
          <w:bCs w:val="0"/>
          <w:i w:val="0"/>
          <w:iCs w:val="0"/>
          <w:smallCaps w:val="0"/>
          <w:strike w:val="0"/>
          <w:color w:val="000000"/>
          <w:sz w:val="16"/>
          <w:szCs w:val="16"/>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2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299957275390625"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3. Case Study of a UK innovation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8.5986328125" w:line="344.31690216064453" w:lineRule="auto"/>
        <w:ind w:left="4.459991455078125" w:right="571.77978515625" w:firstLine="1.10000610351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massive demand for primary care from individuals with non-medical needs remains a  persistent concern in the NHS. Loneliness and long-term illnesses exacerbated by social  circumstances are common among patients seen by general practitioners. Traditional medical  treatments to these issues are ineffective and fail to address root causes, perpetuating rather  than alleviating health disparities.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7.63671875" w:line="344.989070892334" w:lineRule="auto"/>
        <w:ind w:left="5.55999755859375" w:right="515.040283203125" w:hanging="2.86010742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innovative concept behind social prescribing was to redefine "care" by defining health  issues as social, behavioral, and clinical. Instead of relying on medication or recurrent  appointments, the model proposed a different approach: connect individuals to non-clinical  community services such as fitness groups, welfare assistance, or social support. This  innovative reframe questioned the notion that health improvement must take place in clinical  areas. The practical application of this approach throughout the NHS transformed the idea into  an operational model. Social prescribing link workers were embedded within primary care  networks to act as connectors between patients and community services. GPs refer eligible  patients to link workers, who co-produce personalized plans based on individual needs. This  application transformed an abstract idea into an operational system integrated into everyday  NHS practice.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7.020263671875" w:line="345.4071235656738" w:lineRule="auto"/>
        <w:ind w:left="1.15997314453125" w:right="644.197998046875" w:firstLine="4.400024414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value created operates at both patient and system levels. For patients, social prescribing  improves wellbeing, self-management, and access to support that is culturally and socially  relevant. It reduces unnecessary GP appointments and increases efficiency by concentrating  clinical time on medical needs. Significantly, it addresses inequality by supporting patients  whose health is influenced more by social adversity than by sickness.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2.23663330078125" w:line="345.3163719177246" w:lineRule="auto"/>
        <w:ind w:left="8.42010498046875" w:right="379.22119140625" w:firstLine="9.6798706054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However, social prescribing has several limitations. Its performance is heavily dependent on the  availability and funding of community services, which vary widely among regions.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719970703125" w:line="345.46783447265625" w:lineRule="auto"/>
        <w:ind w:left="9.080047607421875" w:right="500.098876953125" w:firstLine="1.97998046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Outcomes are also difficult to quantify using standard clinical criteria, making it difficult to  consistently demonstrate benefit. Furthermore, link workers may become overburdened, which  can recreate the workload pressures the system was designed to reduce. Without continued  investment and evaluation, social prescribing risks becoming an under-resourced afterthought.</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41.58111572265625" w:line="240" w:lineRule="auto"/>
        <w:ind w:left="0" w:right="40.2001953125" w:firstLine="0"/>
        <w:jc w:val="right"/>
        <w:rPr>
          <w:rFonts w:ascii="Calibri" w:cs="Calibri" w:eastAsia="Calibri" w:hAnsi="Calibri"/>
          <w:b w:val="0"/>
          <w:bCs w:val="0"/>
          <w:i w:val="0"/>
          <w:iCs w:val="0"/>
          <w:smallCaps w:val="0"/>
          <w:strike w:val="0"/>
          <w:color w:val="000000"/>
          <w:sz w:val="16"/>
          <w:szCs w:val="16"/>
          <w:u w:val="none"/>
          <w:shd w:fill="auto" w:val="clear"/>
          <w:vertAlign w:val="baseline"/>
        </w:rPr>
        <w:sectPr>
          <w:pgSz w:h="15840" w:w="12240" w:orient="portrait"/>
          <w:pgMar w:bottom="1095.5000305175781" w:top="1415.6005859375" w:left="1440" w:right="1049.27978515625" w:header="0" w:footer="720"/>
          <w:pgNumType w:start="1"/>
        </w:sect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3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512.351016998291" w:lineRule="auto"/>
        <w:ind w:left="0" w:right="0" w:firstLine="0"/>
        <w:jc w:val="left"/>
        <w:rPr>
          <w:rFonts w:ascii="Calibri" w:cs="Calibri" w:eastAsia="Calibri" w:hAnsi="Calibri"/>
          <w:b w:val="0"/>
          <w:bCs w:val="0"/>
          <w:i w:val="0"/>
          <w:iCs w:val="0"/>
          <w:smallCaps w:val="0"/>
          <w:strike w:val="0"/>
          <w:color w:val="000000"/>
          <w:sz w:val="16"/>
          <w:szCs w:val="16"/>
          <w:u w:val="none"/>
          <w:shd w:fill="auto" w:val="clear"/>
          <w:vertAlign w:val="baseline"/>
        </w:rPr>
        <w:sectPr>
          <w:type w:val="continuous"/>
          <w:pgSz w:h="15840" w:w="12240" w:orient="portrait"/>
          <w:pgMar w:bottom="1095.5000305175781" w:top="1415.6005859375" w:left="1440" w:right="1440" w:header="0" w:footer="720"/>
          <w:cols w:equalWidth="0" w:num="1">
            <w:col w:space="0" w:w="9360"/>
          </w:cols>
        </w:sect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Pr>
        <w:drawing>
          <wp:inline distB="19050" distT="19050" distL="19050" distR="19050">
            <wp:extent cx="401637" cy="430212"/>
            <wp:effectExtent b="0" l="0" r="0" t="0"/>
            <wp:docPr id="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01637" cy="430212"/>
                    </a:xfrm>
                    <a:prstGeom prst="rect"/>
                    <a:ln/>
                  </pic:spPr>
                </pic:pic>
              </a:graphicData>
            </a:graphic>
          </wp:inline>
        </w:drawing>
      </w: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Pr>
        <w:drawing>
          <wp:inline distB="19050" distT="19050" distL="19050" distR="19050">
            <wp:extent cx="1503299" cy="636588"/>
            <wp:effectExtent b="0" l="0" r="0" t="0"/>
            <wp:docPr id="5"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1503299" cy="636588"/>
                    </a:xfrm>
                    <a:prstGeom prst="rect"/>
                    <a:ln/>
                  </pic:spPr>
                </pic:pic>
              </a:graphicData>
            </a:graphic>
          </wp:inline>
        </w:drawing>
      </w: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Pr>
        <w:drawing>
          <wp:inline distB="19050" distT="19050" distL="19050" distR="19050">
            <wp:extent cx="5943600" cy="3256915"/>
            <wp:effectExtent b="0" l="0" r="0" t="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3256915"/>
                    </a:xfrm>
                    <a:prstGeom prst="rect"/>
                    <a:ln/>
                  </pic:spPr>
                </pic:pic>
              </a:graphicData>
            </a:graphic>
          </wp:inline>
        </w:drawing>
      </w: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4</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7000732421875"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4. Research Task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8.5986328125" w:line="345.04377365112305" w:lineRule="auto"/>
        <w:ind w:left="4.459991455078125" w:right="360.836181640625" w:firstLine="1.10000610351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is good proof that health outcomes follow a social variation, and health inequalities are  still a concern. According to Marmot et al. (2020), advances in life expectancy in England have  stopped and even reversed in the most economically disadvantaged areas. The researchers  showed higher rates of multimorbidity, mental illness, and premature mortality among lower  socioeconomic groups. Crucially, these outcomes were not explained by individual behavior alone but by systematic differences in living conditions, education, income security, and access  to services. The problem exists because people’s health is influenced long before they ever  come into contact with the NHS. Factors such as unstable housing and poor local services  increase stress and make it harder for individuals to take part in behaviors that protect their  health. However, the NHS frequently finds itself dealing with issues only after they already exist  due to long-term cuts to social care and prevention. This results in a system that responds to  disease rather than preventing it and enabling gaps to worsen until they become more severe to  treat than being treated at an early stage.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6.9696044921875" w:line="345.498104095459" w:lineRule="auto"/>
        <w:ind w:left="7.320098876953125" w:right="519.896240234375" w:firstLine="4.1799926757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Cookson et al. (2016) also found that NHS spending does not fully reflect levels of deprivation,  showing that areas with the greatest need do not always receive the most resources. In many  deprived communities, services struggle with staff shortages and rising demand, which affects  both access and continuity of care. As a result, people in these areas experience higher levels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5533447265625" w:line="345.3163719177246" w:lineRule="auto"/>
        <w:ind w:left="14.799957275390625" w:right="390.535888671875" w:hanging="7.0399475097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of illness while the services available to them are more limited, creating a cycle that is difficult to  break.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7.1197509765625" w:line="344.6499252319336" w:lineRule="auto"/>
        <w:ind w:left="1.15997314453125" w:right="479.7802734375" w:firstLine="9.90005493164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Overall, this data demonstrates that the healthcare system's poor alignment with the societal  causes of poor health contributes to the continuation of health disparities. Due to inadequate  finance and service design and unequal outcomes will continue .Therefore, in order to alleviate  inequity innovation beyond clinical care is required. This includes service models that prioritize  prevention in more needed regions and target resource allocation. In practice, the NHS often  manages the effects of inequality rather than reducing its root causes, particularly in areas  where demand consistently exceeds capacity.</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57.8309631347656" w:line="240" w:lineRule="auto"/>
        <w:ind w:left="0" w:right="40.2001953125" w:firstLine="0"/>
        <w:jc w:val="right"/>
        <w:rPr>
          <w:rFonts w:ascii="Calibri" w:cs="Calibri" w:eastAsia="Calibri" w:hAnsi="Calibri"/>
          <w:b w:val="0"/>
          <w:bCs w:val="0"/>
          <w:i w:val="0"/>
          <w:iCs w:val="0"/>
          <w:smallCaps w:val="0"/>
          <w:strike w:val="0"/>
          <w:color w:val="000000"/>
          <w:sz w:val="16"/>
          <w:szCs w:val="16"/>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5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299957275390625"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5. Podcast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299957275390625" w:right="0" w:firstLine="0"/>
        <w:jc w:val="left"/>
        <w:rPr>
          <w:sz w:val="40"/>
          <w:szCs w:val="40"/>
        </w:rPr>
      </w:pPr>
      <w:hyperlink r:id="rId10">
        <w:r w:rsidDel="00000000" w:rsidR="00000000" w:rsidRPr="00000000">
          <w:rPr>
            <w:color w:val="1155cc"/>
            <w:sz w:val="40"/>
            <w:szCs w:val="40"/>
            <w:u w:val="single"/>
            <w:rtl w:val="0"/>
          </w:rPr>
          <w:t xml:space="preserve">Tsion.m4a</w:t>
        </w:r>
      </w:hyperlink>
      <w:r w:rsidDel="00000000" w:rsidR="00000000" w:rsidRPr="00000000">
        <w:rPr>
          <w:sz w:val="40"/>
          <w:szCs w:val="40"/>
          <w:rtl w:val="0"/>
        </w:rPr>
        <w:t xml:space="preserve">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98.5986328125" w:line="240" w:lineRule="auto"/>
        <w:ind w:left="726.0600280761719"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issue </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63.260498046875" w:line="345.3163719177246" w:lineRule="auto"/>
        <w:ind w:left="1455.52001953125" w:right="651.9580078125" w:hanging="2.86010742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GP services are overburdened with patients whose requirements are not just  medical but also social, psychological, or financial.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320556640625" w:line="340.7727241516113" w:lineRule="auto"/>
        <w:ind w:left="1455.52001953125" w:right="502.120361328125" w:hanging="2.86010742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Clinical visits are used to treat long-term conditions shaped by deprivation and  moderate mental health problems. </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885009765625" w:line="240" w:lineRule="auto"/>
        <w:ind w:left="1452.659912109375"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This contributes to staff burnout and wastes clinical capacity. </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3.060302734375" w:line="345.86156845092773" w:lineRule="auto"/>
        <w:ind w:left="1448.4799194335938" w:right="585" w:firstLine="4.17999267578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Inequality in access to healthcare and support services for vulnerable persons due to lack of other variant support. </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2200927734375" w:line="240" w:lineRule="auto"/>
        <w:ind w:left="0" w:right="1176.1395263671875"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communication problem between patients and healthcare professionals. </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43.65966796875" w:line="240" w:lineRule="auto"/>
        <w:ind w:left="726.0600280761719"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concept </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63.2598876953125" w:line="240" w:lineRule="auto"/>
        <w:ind w:left="1452.659912109375"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Reframe care: not all health issues require medical attention. </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3.85986328125" w:line="240" w:lineRule="auto"/>
        <w:ind w:left="0" w:right="1335.7794189453125"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To connect patients with community-based and use social prescribing.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3.2598876953125" w:line="345.3163719177246" w:lineRule="auto"/>
        <w:ind w:left="1455.52001953125" w:right="652.178955078125" w:hanging="2.86010742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Incorporate link workers into primary care to transform GP recommendations  into tailored, practical help. </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719970703125" w:line="345.68020820617676" w:lineRule="auto"/>
        <w:ind w:left="1447.8201293945312" w:right="372.25830078125" w:firstLine="4.839782714843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Assigning some clinical staffs to guide vulnerable persons throughout the whole  system.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38641357421875" w:line="345.3163719177246" w:lineRule="auto"/>
        <w:ind w:left="1455.2999877929688" w:right="801.800537109375" w:hanging="2.640075683593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encourage simple teach back methods to confirm understanding or engage  bilingual volunteers to facilitate communication. </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2.3199462890625" w:line="240" w:lineRule="auto"/>
        <w:ind w:left="723.64013671875"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Who gains?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63.2598876953125" w:line="345.3163719177246" w:lineRule="auto"/>
        <w:ind w:left="1448.0401611328125" w:right="377.60009765625" w:firstLine="4.61975097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Instead of repeated follow-up appointments, patients with complex social needs  gain access to local support. </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12005615234375" w:line="240" w:lineRule="auto"/>
        <w:ind w:left="0" w:right="482.779541015625"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Physicians and practice personnel have more time to provide clinical treatment.</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13.3599853515625" w:line="240" w:lineRule="auto"/>
        <w:ind w:left="0" w:right="40.2001953125" w:firstLine="0"/>
        <w:jc w:val="right"/>
        <w:rPr>
          <w:rFonts w:ascii="Calibri" w:cs="Calibri" w:eastAsia="Calibri" w:hAnsi="Calibri"/>
          <w:b w:val="0"/>
          <w:bCs w:val="0"/>
          <w:i w:val="0"/>
          <w:iCs w:val="0"/>
          <w:smallCaps w:val="0"/>
          <w:strike w:val="0"/>
          <w:color w:val="000000"/>
          <w:sz w:val="16"/>
          <w:szCs w:val="16"/>
          <w:u w:val="none"/>
          <w:shd w:fill="auto" w:val="clear"/>
          <w:vertAlign w:val="baseline"/>
        </w:rPr>
        <w:sectPr>
          <w:type w:val="continuous"/>
          <w:pgSz w:h="15840" w:w="12240" w:orient="portrait"/>
          <w:pgMar w:bottom="1095.5000305175781" w:top="1415.6005859375" w:left="1440" w:right="1049.27978515625" w:header="0" w:footer="720"/>
          <w:cols w:equalWidth="0" w:num="1">
            <w:col w:space="0" w:w="9750.72021484375"/>
          </w:cols>
        </w:sect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6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316371917724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Better utilization of scarce resources and less strain on health care providers  help the entire healthcare system.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7.119140625" w:line="199.9200010299682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vulnerable persons who need healthcare services yet avoid accessing them. </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3.260498046875" w:line="345.316371917724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Patients and clinicians who minimize repeated visits caused by communication  problems. </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2.320556640625" w:line="199.9200010299682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Value produced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88.260498046875" w:line="199.9200010299682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Improved patient satisfaction through real-world-relevant care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3.260498046875" w:line="345.6790924072265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Enhanced equity and accessibility through assistance for patients impacted by  social disadvantage </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3873291015625" w:line="345.316371917724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Increased system effectiveness with fewer unnecessary doctor visits • Long-term benefits from planned treatment rather than reactive treatment. </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1.719970703125" w:line="345.67966461181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Lowers rate of mismedication, mistreatments and also avoids patent’s  complains.</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4.786376953125" w:line="288.01554679870605" w:lineRule="auto"/>
        <w:ind w:left="0" w:right="0" w:firstLine="0"/>
        <w:jc w:val="left"/>
        <w:rPr>
          <w:rFonts w:ascii="Calibri" w:cs="Calibri" w:eastAsia="Calibri" w:hAnsi="Calibri"/>
          <w:b w:val="0"/>
          <w:bCs w:val="0"/>
          <w:i w:val="0"/>
          <w:iCs w:val="0"/>
          <w:smallCaps w:val="0"/>
          <w:strike w:val="0"/>
          <w:color w:val="000000"/>
          <w:sz w:val="16"/>
          <w:szCs w:val="16"/>
          <w:u w:val="none"/>
          <w:shd w:fill="auto" w:val="clear"/>
          <w:vertAlign w:val="baseline"/>
        </w:rPr>
        <w:sectPr>
          <w:type w:val="continuous"/>
          <w:pgSz w:h="15840" w:w="12240" w:orient="portrait"/>
          <w:pgMar w:bottom="1095.5000305175781" w:top="1415.6005859375" w:left="1440" w:right="1440" w:header="0" w:footer="720"/>
          <w:cols w:equalWidth="0" w:num="1">
            <w:col w:space="0" w:w="9360"/>
          </w:cols>
        </w:sect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19050" distT="19050" distL="19050" distR="19050">
            <wp:extent cx="4295775" cy="3009900"/>
            <wp:effectExtent b="0" l="0" r="0" t="0"/>
            <wp:docPr id="1"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4295775" cy="3009900"/>
                    </a:xfrm>
                    <a:prstGeom prst="rect"/>
                    <a:ln/>
                  </pic:spPr>
                </pic:pic>
              </a:graphicData>
            </a:graphic>
          </wp:inline>
        </w:drawing>
      </w: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7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7000732421875"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6. NHS Leadership Framework Analysis </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8.5986328125" w:line="344.31690216064453" w:lineRule="auto"/>
        <w:ind w:left="8.639984130859375" w:right="528.47900390625" w:hanging="3.0799865722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behaviors needed to enhance care throughout various health and social care systems are  explained in the NHS Healthcare Leadership Model. Self-awareness is fundamental because  leaders are more capable to adjust and learn when they are aware of their own thought  patterns, prejudices, and limitations. Without this creativity gets restricted and leadership  becomes predictable.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63671875" w:line="345.4071807861328" w:lineRule="auto"/>
        <w:ind w:left="4.459991455078125" w:right="468.818359375" w:firstLine="7.0401000976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Collaboration across professional boundaries is the primary objective of working with others.  Successful leadership in health and social care depends on genuinely listening to a wide range  of voices, including those of partners and patients, because these systems are deeply  connected to people’s lives in complex ways. Diversity of opinions matters this is not just in  theory but in practice ideas rarely develop in isolation.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636962890625" w:line="344.7970676422119" w:lineRule="auto"/>
        <w:ind w:left="3.140106201171875" w:right="373.3984375" w:firstLine="8.3599853515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Creativity grows when different experiences and viewpoints are allowed to challenge each  other. Leadership also plays a key role in turning ideas into real improvement and value.  Effective leaders are willing to question them and support change. Instead of imposing solutions  they can create safe spaces where ideas can be tested and sometimes even fail, without  shutting down innovation. Providing clear direction gives teams a sense of purpose and focus.  When priorities are well defined, people understand what truly matters and where their efforts  should be directed. This helps ensure that creative energy is channeled into meaningful  outcomes, rather than being lost in unfocused activity.</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96.7962646484375" w:line="253.81072998046875" w:lineRule="auto"/>
        <w:ind w:left="9635.799560546875" w:right="40.2001953125" w:hanging="9635.799560546875"/>
        <w:jc w:val="left"/>
        <w:rPr>
          <w:rFonts w:ascii="Calibri" w:cs="Calibri" w:eastAsia="Calibri" w:hAnsi="Calibri"/>
          <w:b w:val="0"/>
          <w:bCs w:val="0"/>
          <w:i w:val="0"/>
          <w:iCs w:val="0"/>
          <w:smallCaps w:val="0"/>
          <w:strike w:val="0"/>
          <w:color w:val="000000"/>
          <w:sz w:val="16"/>
          <w:szCs w:val="1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19050" distT="19050" distL="19050" distR="19050">
            <wp:extent cx="5943600" cy="2171700"/>
            <wp:effectExtent b="0" l="0" r="0" t="0"/>
            <wp:docPr id="3"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943600" cy="2171700"/>
                    </a:xfrm>
                    <a:prstGeom prst="rect"/>
                    <a:ln/>
                  </pic:spPr>
                </pic:pic>
              </a:graphicData>
            </a:graphic>
          </wp:inline>
        </w:drawing>
      </w: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8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1.0000610351562" w:right="0" w:firstLine="0"/>
        <w:jc w:val="left"/>
        <w:rPr>
          <w:rFonts w:ascii="Arial" w:cs="Arial" w:eastAsia="Arial" w:hAnsi="Arial"/>
          <w:b w:val="0"/>
          <w:bCs w:val="0"/>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2"/>
          <w:szCs w:val="32"/>
          <w:u w:val="none"/>
          <w:shd w:fill="auto" w:val="clear"/>
          <w:vertAlign w:val="baseline"/>
          <w:rtl w:val="0"/>
        </w:rPr>
        <w:t xml:space="preserve">Application: Improving Services  </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26.959228515625" w:line="345.4255199432373" w:lineRule="auto"/>
        <w:ind w:left="5.55999755859375" w:right="485.159912109375" w:firstLine="11.8800354003906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Psychological safety is essential for improving services because it allows employees to  challenge current procedures and provide suggestions without worrying about being criticized.  This is vital in the health and social care sectors because frontline staff are impacted by  systemic problems. Without safety, creativity is suppressed and innovation stalls. For example,  a ward manager who invites junior staff to redesign handover processes actively applies this  principle in practice. </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7.01904296875" w:line="344.71924781799316" w:lineRule="auto"/>
        <w:ind w:left="4.459991455078125" w:right="390.318603515625" w:firstLine="12.10006713867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Leaders improve services by actively encouraging ideas and framing failure as learning rather  than incompetence. This allows divergent thinking to surface before convergent decisions are  made. Structured reflection and feedback loops turn creative ideas into applied innovation. Eliminating obstacles, such as inflexible hierarchies and unreasonable performance demands is  another way to promote creativity. When leaders prioritize progress over control, teams are  more open to experimenting in ways that yield benefits like improved patient experiences and  less inequity. As a result leadership directly fosters creativity, which in turn spurs innovation and  results in measurable improvements in care.</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214.36767578125" w:line="240" w:lineRule="auto"/>
        <w:ind w:left="0" w:right="40.2001953125" w:firstLine="0"/>
        <w:jc w:val="right"/>
        <w:rPr>
          <w:rFonts w:ascii="Calibri" w:cs="Calibri" w:eastAsia="Calibri" w:hAnsi="Calibri"/>
          <w:b w:val="0"/>
          <w:bCs w:val="0"/>
          <w:i w:val="0"/>
          <w:iCs w:val="0"/>
          <w:smallCaps w:val="0"/>
          <w:strike w:val="0"/>
          <w:color w:val="000000"/>
          <w:sz w:val="16"/>
          <w:szCs w:val="16"/>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9 </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9.300079345703125"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7. Self-Reflection Journal Entry </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8.5986328125" w:line="344.31690216064453" w:lineRule="auto"/>
        <w:ind w:left="7.760009765625" w:right="626.080322265625" w:firstLine="9.6800231933593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Prior to this semester (course), my understanding of creativity was that it was informal and  primarily related to having original ideas or ways of thinking. This actually meant that I saw  creativity as separate from "real" clinical or professional work and as optional. Value creation,  on the other hand, appeared mystical and was assumed to occur naturally provided services  performed well. </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63671875" w:line="345.3890132904053" w:lineRule="auto"/>
        <w:ind w:left="3.3599853515625" w:right="505.299072265625" w:firstLine="2.2000122070312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Throughout the module, my understanding evolved. I now see creativity as a systematic  process of developing different solutions to issues in the social and health care systems. More  importantly, I recognize that creativity only matters when it leads to innovation and measurable  value creation. Value is not intention or effort; it is improved outcomes, access, efficiency, or  experience for patients and staff. Without this link, creativity becomes noise rather than  improvement. </w:t>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67.05322265625" w:line="344.31675910949707" w:lineRule="auto"/>
        <w:ind w:left="1.15997314453125" w:right="436.517333984375" w:firstLine="15.6201171875"/>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My professional practice is immediately impacted by this shift. In the past, I put efficiency first,  which limited the range of possible solutions and their significance. In order to allow for concept  development before assessment, I usually deliberately separate divergent and convergent  thought. Furthermore, I assess concepts based on their benefits to patients and the system  rather than their degree of comfort or familiarity. </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6361083984375" w:line="345.49830436706543" w:lineRule="auto"/>
        <w:ind w:left="5.55999755859375" w:right="333.22021484375"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key shift is to see creativity as a tool for the system rather than as a way to express oneself.  This reframing sees creativity in health and social care as an obligation rather than an option  because it is essential for innovation and long-term care improvement.</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177.6531982421875" w:line="240" w:lineRule="auto"/>
        <w:ind w:left="0" w:right="0" w:firstLine="0"/>
        <w:jc w:val="right"/>
        <w:rPr>
          <w:rFonts w:ascii="Calibri" w:cs="Calibri" w:eastAsia="Calibri" w:hAnsi="Calibri"/>
          <w:b w:val="0"/>
          <w:bCs w:val="0"/>
          <w:i w:val="0"/>
          <w:iCs w:val="0"/>
          <w:smallCaps w:val="0"/>
          <w:strike w:val="0"/>
          <w:color w:val="000000"/>
          <w:sz w:val="16"/>
          <w:szCs w:val="16"/>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10 </w:t>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6.9000244140625"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8. Reference list </w:t>
      </w:r>
    </w:p>
    <w:p w:rsidR="00000000" w:rsidDel="00000000" w:rsidP="00000000" w:rsidRDefault="00000000" w:rsidRPr="00000000" w14:paraId="0000005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afterAutospacing="0" w:before="398.5986328125" w:line="345.3163719177246" w:lineRule="auto"/>
        <w:ind w:left="720" w:right="772.679443359375"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Bate, P. and Robert, G. (2007) Bringing user experience to healthcare improvement.  Oxford: Radcliffe Publishing. </w:t>
      </w:r>
    </w:p>
    <w:p w:rsidR="00000000" w:rsidDel="00000000" w:rsidP="00000000" w:rsidRDefault="00000000" w:rsidRPr="00000000" w14:paraId="0000005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44.51680183410645" w:lineRule="auto"/>
        <w:ind w:left="720" w:right="440.2001953125"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Cookson, R., Asaria, M. and Ali, S. (2016) ‘Using cost-effectiveness analysis to address  health equity concerns’, Health Economics, 25(S1), pp. 67–82. doi:10.1002/hec.3306. </w:t>
      </w:r>
    </w:p>
    <w:p w:rsidR="00000000" w:rsidDel="00000000" w:rsidP="00000000" w:rsidRDefault="00000000" w:rsidRPr="00000000" w14:paraId="0000005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44.51680183410645" w:lineRule="auto"/>
        <w:ind w:left="720" w:right="440.2001953125"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Marmot, M., Allen, J., Goldblatt, P., Boyce, T. and McNeish, D. (2020) Health equity in  England: The Marmot Review 10 years on. London: Institute of Health Equity.</w:t>
      </w:r>
    </w:p>
    <w:p w:rsidR="00000000" w:rsidDel="00000000" w:rsidP="00000000" w:rsidRDefault="00000000" w:rsidRPr="00000000" w14:paraId="0000005C">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44.51680183410645" w:lineRule="auto"/>
        <w:ind w:left="720" w:right="440.2001953125"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(2019) Virtual wards: Transforming hospital care at home. London: NHS  England. </w:t>
      </w:r>
    </w:p>
    <w:p w:rsidR="00000000" w:rsidDel="00000000" w:rsidP="00000000" w:rsidRDefault="00000000" w:rsidRPr="00000000" w14:paraId="0000005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45.31691551208496" w:lineRule="auto"/>
        <w:ind w:left="720" w:right="888.1787109375" w:hanging="36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(2021) The NHS long term plan. London: NHS England. Available at:  </w:t>
      </w:r>
      <w:r w:rsidDel="00000000" w:rsidR="00000000" w:rsidRPr="00000000">
        <w:rPr>
          <w:rFonts w:ascii="Arial" w:cs="Arial" w:eastAsia="Arial" w:hAnsi="Arial"/>
          <w:b w:val="0"/>
          <w:bCs w:val="0"/>
          <w:i w:val="0"/>
          <w:iCs w:val="0"/>
          <w:smallCaps w:val="0"/>
          <w:strike w:val="0"/>
          <w:color w:val="0000ff"/>
          <w:sz w:val="22"/>
          <w:szCs w:val="22"/>
          <w:u w:val="single"/>
          <w:shd w:fill="auto" w:val="clear"/>
          <w:vertAlign w:val="baseline"/>
          <w:rtl w:val="0"/>
        </w:rPr>
        <w:t xml:space="preserve">https://www.longtermplan.nhs.uk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(Accessed: 23 January 2026). </w:t>
      </w:r>
    </w:p>
    <w:p w:rsidR="00000000" w:rsidDel="00000000" w:rsidP="00000000" w:rsidRDefault="00000000" w:rsidRPr="00000000" w14:paraId="0000005E">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45.3163719177246" w:lineRule="auto"/>
        <w:ind w:left="720" w:right="1087.2772216796875"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NICE (2022) Multimorbidity: Assessment, prioritisation and management (NG56).  London: National Institute for Health and Care Excellence. </w:t>
      </w:r>
    </w:p>
    <w:p w:rsidR="00000000" w:rsidDel="00000000" w:rsidP="00000000" w:rsidRDefault="00000000" w:rsidRPr="00000000" w14:paraId="0000005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344.2712688446045" w:lineRule="auto"/>
        <w:ind w:left="720" w:right="496.798095703125"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Polley, M., Fleming, J., Anfilogoff, T. and Carpenter, A. (2017) A review of the evidence  assessing impact of social prescribing. London: University of Westminster. </w:t>
      </w:r>
    </w:p>
    <w:p w:rsidR="00000000" w:rsidDel="00000000" w:rsidP="00000000" w:rsidRDefault="00000000" w:rsidRPr="00000000" w14:paraId="00000060">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beforeAutospacing="0" w:line="344.2712688446045" w:lineRule="auto"/>
        <w:ind w:left="720" w:right="496.798095703125"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West, M., Armit, K., Loewenthal, L., Eckert, R., West, T. and Lee, A. (2015) Leadership  and leadership development in healthcare: The evidence base. London: Faculty of  Medical Leadership and Management.</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859.7784423828125" w:line="240" w:lineRule="auto"/>
        <w:ind w:left="0" w:right="0" w:firstLine="0"/>
        <w:jc w:val="right"/>
        <w:rPr>
          <w:rFonts w:ascii="Calibri" w:cs="Calibri" w:eastAsia="Calibri" w:hAnsi="Calibri"/>
          <w:b w:val="0"/>
          <w:bCs w:val="0"/>
          <w:i w:val="0"/>
          <w:iCs w:val="0"/>
          <w:smallCaps w:val="0"/>
          <w:strike w:val="0"/>
          <w:color w:val="000000"/>
          <w:sz w:val="16"/>
          <w:szCs w:val="16"/>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16"/>
          <w:szCs w:val="16"/>
          <w:u w:val="none"/>
          <w:shd w:fill="auto" w:val="clear"/>
          <w:vertAlign w:val="baseline"/>
          <w:rtl w:val="0"/>
        </w:rPr>
        <w:t xml:space="preserve">11 </w:t>
      </w:r>
    </w:p>
    <w:sectPr>
      <w:type w:val="continuous"/>
      <w:pgSz w:h="15840" w:w="12240" w:orient="portrait"/>
      <w:pgMar w:bottom="1095.5000305175781" w:top="1415.6005859375" w:left="1440" w:right="1049.27978515625" w:header="0" w:footer="720"/>
      <w:cols w:equalWidth="0" w:num="1">
        <w:col w:space="0" w:w="9750.72021484375"/>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hyperlink" Target="https://uowtsd-my.sharepoint.com/:u:/g/personal/2328768_student_uwtsd_ac_uk/IQBj5qtsizdOTJnnwY3IHCfCAbUvT3vU6fw0QP0hJjZ0e1M?nav=eyJyZWZlcnJhbEluZm8iOnsicmVmZXJyYWxBcHAiOiJPbmVEcml2ZUZvckJ1c2luZXNzIiwicmVmZXJyYWxBcHBQbGF0Zm9ybSI6IldlYiIsInJlZmVycmFsTW9kZSI6InZpZXciLCJyZWZlcnJhbFZpZXciOiJNeUZpbGVzTGlua0NvcHkifX0&amp;e=F0l8ko" TargetMode="External"/><Relationship Id="rId12" Type="http://schemas.openxmlformats.org/officeDocument/2006/relationships/image" Target="media/image2.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1.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