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29321482"/>
        <w:docPartObj>
          <w:docPartGallery w:val="Cover Pages"/>
          <w:docPartUnique/>
        </w:docPartObj>
      </w:sdtPr>
      <w:sdtEndPr>
        <w:rPr>
          <w:b/>
          <w:bCs/>
        </w:rPr>
      </w:sdtEndPr>
      <w:sdtContent>
        <w:p w14:paraId="1E62244F" w14:textId="77777777" w:rsidR="002675D4" w:rsidRPr="00BE26A6" w:rsidRDefault="002675D4" w:rsidP="002675D4">
          <w:pPr>
            <w:jc w:val="center"/>
          </w:pPr>
          <w:r w:rsidRPr="00BE26A6">
            <w:rPr>
              <w:rFonts w:ascii="Times New Roman"/>
              <w:noProof/>
              <w:sz w:val="20"/>
            </w:rPr>
            <w:drawing>
              <wp:inline distT="0" distB="0" distL="0" distR="0" wp14:anchorId="397E5101" wp14:editId="3DF67658">
                <wp:extent cx="1816670" cy="600075"/>
                <wp:effectExtent l="0" t="0" r="0" b="0"/>
                <wp:docPr id="7"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7" cstate="print"/>
                        <a:stretch>
                          <a:fillRect/>
                        </a:stretch>
                      </pic:blipFill>
                      <pic:spPr>
                        <a:xfrm>
                          <a:off x="0" y="0"/>
                          <a:ext cx="1816670" cy="600075"/>
                        </a:xfrm>
                        <a:prstGeom prst="rect">
                          <a:avLst/>
                        </a:prstGeom>
                      </pic:spPr>
                    </pic:pic>
                  </a:graphicData>
                </a:graphic>
              </wp:inline>
            </w:drawing>
          </w:r>
        </w:p>
        <w:p w14:paraId="36179CD4" w14:textId="192115CF" w:rsidR="00A45C51" w:rsidRPr="00BE26A6" w:rsidRDefault="00A45C51" w:rsidP="00A45C51">
          <w:pPr>
            <w:jc w:val="center"/>
            <w:rPr>
              <w:rFonts w:asciiTheme="minorBidi" w:hAnsiTheme="minorBidi"/>
              <w:b/>
              <w:bCs/>
              <w:sz w:val="28"/>
              <w:szCs w:val="28"/>
            </w:rPr>
          </w:pPr>
          <w:r w:rsidRPr="00BE26A6">
            <w:rPr>
              <w:rFonts w:asciiTheme="minorBidi" w:hAnsiTheme="minorBidi"/>
              <w:b/>
              <w:bCs/>
              <w:sz w:val="28"/>
              <w:szCs w:val="28"/>
            </w:rPr>
            <w:t>Student Name:</w:t>
          </w:r>
          <w:r w:rsidR="00BE26A6" w:rsidRPr="00BE26A6">
            <w:rPr>
              <w:rFonts w:asciiTheme="minorBidi" w:hAnsiTheme="minorBidi"/>
              <w:b/>
              <w:bCs/>
              <w:sz w:val="28"/>
              <w:szCs w:val="28"/>
            </w:rPr>
            <w:t xml:space="preserve"> Uttam Devshibhai Vaghamashi</w:t>
          </w:r>
        </w:p>
        <w:p w14:paraId="42E83859" w14:textId="77777777" w:rsidR="00A45C51" w:rsidRPr="00BE26A6" w:rsidRDefault="00A45C51" w:rsidP="00A45C51">
          <w:pPr>
            <w:jc w:val="center"/>
            <w:rPr>
              <w:rFonts w:asciiTheme="minorBidi" w:hAnsiTheme="minorBidi"/>
              <w:b/>
              <w:bCs/>
              <w:sz w:val="28"/>
              <w:szCs w:val="28"/>
            </w:rPr>
          </w:pPr>
        </w:p>
        <w:p w14:paraId="61C6852C" w14:textId="3EF28E10" w:rsidR="00A45C51" w:rsidRPr="00BE26A6" w:rsidRDefault="00A45C51" w:rsidP="00A45C51">
          <w:pPr>
            <w:jc w:val="center"/>
            <w:rPr>
              <w:rFonts w:asciiTheme="minorBidi" w:hAnsiTheme="minorBidi"/>
              <w:b/>
              <w:bCs/>
              <w:sz w:val="28"/>
              <w:szCs w:val="28"/>
            </w:rPr>
          </w:pPr>
          <w:r w:rsidRPr="00BE26A6">
            <w:rPr>
              <w:rFonts w:asciiTheme="minorBidi" w:hAnsiTheme="minorBidi"/>
              <w:b/>
              <w:bCs/>
              <w:sz w:val="28"/>
              <w:szCs w:val="28"/>
            </w:rPr>
            <w:t>Student ID:</w:t>
          </w:r>
          <w:r w:rsidR="00BE26A6" w:rsidRPr="00BE26A6">
            <w:rPr>
              <w:rFonts w:asciiTheme="minorBidi" w:hAnsiTheme="minorBidi"/>
              <w:b/>
              <w:bCs/>
              <w:sz w:val="28"/>
              <w:szCs w:val="28"/>
            </w:rPr>
            <w:t xml:space="preserve"> 2520138</w:t>
          </w:r>
        </w:p>
        <w:p w14:paraId="17EFD6D5" w14:textId="77777777" w:rsidR="00A45C51" w:rsidRPr="00BE26A6" w:rsidRDefault="00A45C51" w:rsidP="00A45C51">
          <w:pPr>
            <w:jc w:val="center"/>
            <w:rPr>
              <w:rFonts w:asciiTheme="minorBidi" w:hAnsiTheme="minorBidi"/>
              <w:sz w:val="28"/>
              <w:szCs w:val="28"/>
            </w:rPr>
          </w:pPr>
        </w:p>
        <w:p w14:paraId="671167CB" w14:textId="77777777" w:rsidR="00A45C51" w:rsidRPr="00BE26A6" w:rsidRDefault="00A45C51" w:rsidP="00A45C51">
          <w:pPr>
            <w:jc w:val="center"/>
            <w:rPr>
              <w:rFonts w:asciiTheme="minorBidi" w:hAnsiTheme="minorBidi"/>
              <w:sz w:val="28"/>
              <w:szCs w:val="28"/>
            </w:rPr>
          </w:pPr>
        </w:p>
        <w:p w14:paraId="21C7BC5A" w14:textId="77777777" w:rsidR="00A45C51" w:rsidRPr="00BE26A6" w:rsidRDefault="00A45C51" w:rsidP="00A45C51">
          <w:pPr>
            <w:jc w:val="center"/>
            <w:rPr>
              <w:rFonts w:asciiTheme="minorBidi" w:hAnsiTheme="minorBidi"/>
              <w:b/>
              <w:bCs/>
              <w:sz w:val="28"/>
              <w:szCs w:val="28"/>
            </w:rPr>
          </w:pPr>
          <w:r w:rsidRPr="00BE26A6">
            <w:rPr>
              <w:rFonts w:asciiTheme="minorBidi" w:hAnsiTheme="minorBidi"/>
              <w:b/>
              <w:bCs/>
              <w:sz w:val="28"/>
              <w:szCs w:val="28"/>
            </w:rPr>
            <w:t>Module Name: Marketing Management</w:t>
          </w:r>
        </w:p>
        <w:p w14:paraId="069187DD" w14:textId="77777777" w:rsidR="00A45C51" w:rsidRPr="00BE26A6" w:rsidRDefault="00A45C51" w:rsidP="00A45C51">
          <w:pPr>
            <w:jc w:val="center"/>
            <w:rPr>
              <w:rFonts w:asciiTheme="minorBidi" w:hAnsiTheme="minorBidi"/>
              <w:b/>
              <w:bCs/>
              <w:sz w:val="28"/>
              <w:szCs w:val="28"/>
            </w:rPr>
          </w:pPr>
        </w:p>
        <w:p w14:paraId="1815E17C" w14:textId="77777777" w:rsidR="00A45C51" w:rsidRPr="00BE26A6" w:rsidRDefault="00A45C51" w:rsidP="00A45C51">
          <w:pPr>
            <w:jc w:val="center"/>
            <w:rPr>
              <w:rFonts w:asciiTheme="minorBidi" w:hAnsiTheme="minorBidi"/>
              <w:b/>
              <w:bCs/>
              <w:sz w:val="28"/>
              <w:szCs w:val="28"/>
            </w:rPr>
          </w:pPr>
          <w:r w:rsidRPr="00BE26A6">
            <w:rPr>
              <w:rFonts w:asciiTheme="minorBidi" w:hAnsiTheme="minorBidi"/>
              <w:b/>
              <w:bCs/>
              <w:sz w:val="28"/>
              <w:szCs w:val="28"/>
            </w:rPr>
            <w:t>Module Code: LCMB7024</w:t>
          </w:r>
        </w:p>
        <w:p w14:paraId="1A780E5E" w14:textId="77777777" w:rsidR="00A45C51" w:rsidRPr="00BE26A6" w:rsidRDefault="00A45C51" w:rsidP="00A45C51">
          <w:pPr>
            <w:rPr>
              <w:rFonts w:asciiTheme="minorBidi" w:hAnsiTheme="minorBidi"/>
              <w:b/>
              <w:bCs/>
              <w:sz w:val="28"/>
              <w:szCs w:val="28"/>
            </w:rPr>
          </w:pPr>
        </w:p>
        <w:p w14:paraId="0ACBE818" w14:textId="1985F4CD" w:rsidR="00A45C51" w:rsidRPr="00BE26A6" w:rsidRDefault="00A45C51" w:rsidP="00A45C51">
          <w:pPr>
            <w:jc w:val="center"/>
            <w:rPr>
              <w:rFonts w:asciiTheme="minorBidi" w:hAnsiTheme="minorBidi"/>
              <w:b/>
              <w:bCs/>
              <w:sz w:val="28"/>
              <w:szCs w:val="28"/>
            </w:rPr>
          </w:pPr>
          <w:r w:rsidRPr="00BE26A6">
            <w:rPr>
              <w:rFonts w:asciiTheme="minorBidi" w:hAnsiTheme="minorBidi"/>
              <w:b/>
              <w:bCs/>
              <w:sz w:val="28"/>
              <w:szCs w:val="28"/>
            </w:rPr>
            <w:t>Lecturer’s Name:</w:t>
          </w:r>
          <w:r w:rsidR="00002F1D">
            <w:rPr>
              <w:rFonts w:asciiTheme="minorBidi" w:hAnsiTheme="minorBidi"/>
              <w:b/>
              <w:bCs/>
              <w:sz w:val="28"/>
              <w:szCs w:val="28"/>
            </w:rPr>
            <w:t xml:space="preserve"> </w:t>
          </w:r>
          <w:r w:rsidR="00002F1D" w:rsidRPr="00002F1D">
            <w:rPr>
              <w:rFonts w:asciiTheme="minorBidi" w:hAnsiTheme="minorBidi"/>
              <w:b/>
              <w:bCs/>
              <w:sz w:val="28"/>
              <w:szCs w:val="28"/>
            </w:rPr>
            <w:t xml:space="preserve">Laila </w:t>
          </w:r>
          <w:proofErr w:type="spellStart"/>
          <w:r w:rsidR="00002F1D" w:rsidRPr="00002F1D">
            <w:rPr>
              <w:rFonts w:asciiTheme="minorBidi" w:hAnsiTheme="minorBidi"/>
              <w:b/>
              <w:bCs/>
              <w:sz w:val="28"/>
              <w:szCs w:val="28"/>
            </w:rPr>
            <w:t>Maazouz</w:t>
          </w:r>
          <w:proofErr w:type="spellEnd"/>
          <w:r w:rsidR="00002F1D" w:rsidRPr="00002F1D">
            <w:rPr>
              <w:rFonts w:asciiTheme="minorBidi" w:hAnsiTheme="minorBidi"/>
              <w:b/>
              <w:bCs/>
              <w:sz w:val="28"/>
              <w:szCs w:val="28"/>
            </w:rPr>
            <w:t xml:space="preserve"> </w:t>
          </w:r>
          <w:r w:rsidR="00002F1D">
            <w:rPr>
              <w:rFonts w:asciiTheme="minorBidi" w:hAnsiTheme="minorBidi"/>
              <w:b/>
              <w:bCs/>
              <w:sz w:val="28"/>
              <w:szCs w:val="28"/>
            </w:rPr>
            <w:t xml:space="preserve">and </w:t>
          </w:r>
          <w:r w:rsidR="00002F1D" w:rsidRPr="00002F1D">
            <w:rPr>
              <w:rFonts w:asciiTheme="minorBidi" w:hAnsiTheme="minorBidi"/>
              <w:b/>
              <w:bCs/>
              <w:sz w:val="28"/>
              <w:szCs w:val="28"/>
            </w:rPr>
            <w:t xml:space="preserve">Dian </w:t>
          </w:r>
          <w:proofErr w:type="spellStart"/>
          <w:r w:rsidR="00002F1D" w:rsidRPr="00002F1D">
            <w:rPr>
              <w:rFonts w:asciiTheme="minorBidi" w:hAnsiTheme="minorBidi"/>
              <w:b/>
              <w:bCs/>
              <w:sz w:val="28"/>
              <w:szCs w:val="28"/>
            </w:rPr>
            <w:t>Mayasari</w:t>
          </w:r>
          <w:proofErr w:type="spellEnd"/>
        </w:p>
        <w:p w14:paraId="4B93A02F" w14:textId="77777777" w:rsidR="00A45C51" w:rsidRPr="00BE26A6" w:rsidRDefault="00A45C51" w:rsidP="00A45C51">
          <w:pPr>
            <w:jc w:val="center"/>
            <w:rPr>
              <w:rFonts w:asciiTheme="minorBidi" w:hAnsiTheme="minorBidi"/>
              <w:b/>
              <w:bCs/>
              <w:sz w:val="28"/>
              <w:szCs w:val="28"/>
            </w:rPr>
          </w:pPr>
        </w:p>
        <w:p w14:paraId="7974FF24" w14:textId="77777777" w:rsidR="00A45C51" w:rsidRPr="00BE26A6" w:rsidRDefault="00A45C51" w:rsidP="00A45C51">
          <w:pPr>
            <w:jc w:val="center"/>
            <w:rPr>
              <w:rFonts w:asciiTheme="minorBidi" w:hAnsiTheme="minorBidi"/>
              <w:b/>
              <w:bCs/>
              <w:sz w:val="28"/>
              <w:szCs w:val="28"/>
            </w:rPr>
          </w:pPr>
        </w:p>
        <w:p w14:paraId="186D00A4" w14:textId="77777777" w:rsidR="00A45C51" w:rsidRPr="00BE26A6" w:rsidRDefault="00A45C51" w:rsidP="00A45C51">
          <w:pPr>
            <w:rPr>
              <w:rFonts w:asciiTheme="minorBidi" w:hAnsiTheme="minorBidi"/>
              <w:b/>
              <w:bCs/>
              <w:sz w:val="28"/>
              <w:szCs w:val="28"/>
            </w:rPr>
          </w:pPr>
        </w:p>
        <w:p w14:paraId="28BE5119" w14:textId="6FE9B759" w:rsidR="00A45C51" w:rsidRPr="00BE26A6" w:rsidRDefault="00A45C51" w:rsidP="00A45C51">
          <w:pPr>
            <w:jc w:val="center"/>
            <w:rPr>
              <w:rFonts w:asciiTheme="minorBidi" w:hAnsiTheme="minorBidi"/>
              <w:b/>
              <w:bCs/>
              <w:sz w:val="28"/>
              <w:szCs w:val="28"/>
            </w:rPr>
          </w:pPr>
          <w:r w:rsidRPr="00BE26A6">
            <w:rPr>
              <w:rFonts w:asciiTheme="minorBidi" w:hAnsiTheme="minorBidi"/>
              <w:b/>
              <w:bCs/>
              <w:sz w:val="28"/>
              <w:szCs w:val="28"/>
            </w:rPr>
            <w:t>Work Count:</w:t>
          </w:r>
          <w:r w:rsidR="00AC0851" w:rsidRPr="00BE26A6">
            <w:rPr>
              <w:rFonts w:asciiTheme="minorBidi" w:hAnsiTheme="minorBidi"/>
              <w:b/>
              <w:bCs/>
              <w:sz w:val="28"/>
              <w:szCs w:val="28"/>
            </w:rPr>
            <w:t xml:space="preserve"> 2</w:t>
          </w:r>
          <w:r w:rsidR="006F4015">
            <w:rPr>
              <w:rFonts w:asciiTheme="minorBidi" w:hAnsiTheme="minorBidi"/>
              <w:b/>
              <w:bCs/>
              <w:sz w:val="28"/>
              <w:szCs w:val="28"/>
            </w:rPr>
            <w:t>8</w:t>
          </w:r>
          <w:r w:rsidR="00AC0851" w:rsidRPr="00BE26A6">
            <w:rPr>
              <w:rFonts w:asciiTheme="minorBidi" w:hAnsiTheme="minorBidi"/>
              <w:b/>
              <w:bCs/>
              <w:sz w:val="28"/>
              <w:szCs w:val="28"/>
            </w:rPr>
            <w:t>4</w:t>
          </w:r>
          <w:r w:rsidR="006F4015">
            <w:rPr>
              <w:rFonts w:asciiTheme="minorBidi" w:hAnsiTheme="minorBidi"/>
              <w:b/>
              <w:bCs/>
              <w:sz w:val="28"/>
              <w:szCs w:val="28"/>
            </w:rPr>
            <w:t>0</w:t>
          </w:r>
        </w:p>
        <w:p w14:paraId="2839E46E" w14:textId="77777777" w:rsidR="00A45C51" w:rsidRPr="00BE26A6" w:rsidRDefault="00A45C51" w:rsidP="00A45C51">
          <w:pPr>
            <w:jc w:val="center"/>
            <w:rPr>
              <w:rFonts w:asciiTheme="minorBidi" w:hAnsiTheme="minorBidi"/>
              <w:b/>
              <w:bCs/>
              <w:sz w:val="28"/>
              <w:szCs w:val="28"/>
            </w:rPr>
          </w:pPr>
        </w:p>
        <w:p w14:paraId="4FFD1A37" w14:textId="77777777" w:rsidR="00A45C51" w:rsidRPr="00BE26A6" w:rsidRDefault="00A45C51" w:rsidP="00A45C51">
          <w:pPr>
            <w:jc w:val="center"/>
            <w:rPr>
              <w:rFonts w:asciiTheme="minorBidi" w:hAnsiTheme="minorBidi"/>
              <w:b/>
              <w:bCs/>
              <w:sz w:val="28"/>
              <w:szCs w:val="28"/>
            </w:rPr>
          </w:pPr>
        </w:p>
        <w:p w14:paraId="3BE38A0B" w14:textId="77777777" w:rsidR="00A45C51" w:rsidRPr="00BE26A6" w:rsidRDefault="00A45C51" w:rsidP="00A45C51">
          <w:pPr>
            <w:rPr>
              <w:rFonts w:asciiTheme="minorBidi" w:hAnsiTheme="minorBidi"/>
              <w:b/>
              <w:bCs/>
              <w:sz w:val="28"/>
              <w:szCs w:val="28"/>
            </w:rPr>
          </w:pPr>
        </w:p>
        <w:p w14:paraId="2333AE93" w14:textId="77777777" w:rsidR="00A45C51" w:rsidRPr="00BE26A6" w:rsidRDefault="00A45C51" w:rsidP="00A45C51">
          <w:pPr>
            <w:jc w:val="center"/>
            <w:rPr>
              <w:rFonts w:asciiTheme="minorBidi" w:hAnsiTheme="minorBidi"/>
              <w:b/>
              <w:bCs/>
              <w:sz w:val="28"/>
              <w:szCs w:val="28"/>
            </w:rPr>
          </w:pPr>
        </w:p>
        <w:p w14:paraId="10BD0A6F" w14:textId="77777777" w:rsidR="00A45C51" w:rsidRPr="00BE26A6" w:rsidRDefault="00A45C51" w:rsidP="00A45C51">
          <w:pPr>
            <w:jc w:val="center"/>
            <w:rPr>
              <w:rFonts w:asciiTheme="minorBidi" w:hAnsiTheme="minorBidi"/>
              <w:b/>
              <w:bCs/>
              <w:sz w:val="28"/>
              <w:szCs w:val="28"/>
            </w:rPr>
          </w:pPr>
          <w:r w:rsidRPr="00BE26A6">
            <w:rPr>
              <w:rFonts w:asciiTheme="minorBidi" w:hAnsiTheme="minorBidi"/>
              <w:b/>
              <w:bCs/>
              <w:sz w:val="28"/>
              <w:szCs w:val="28"/>
            </w:rPr>
            <w:t>Term 1</w:t>
          </w:r>
        </w:p>
        <w:p w14:paraId="3F45ED4F" w14:textId="77777777" w:rsidR="002675D4" w:rsidRPr="00BE26A6" w:rsidRDefault="002675D4" w:rsidP="002675D4">
          <w:pPr>
            <w:jc w:val="center"/>
          </w:pPr>
        </w:p>
        <w:p w14:paraId="78ADD73F" w14:textId="77777777" w:rsidR="002675D4" w:rsidRPr="00BE26A6" w:rsidRDefault="002675D4">
          <w:pPr>
            <w:rPr>
              <w:b/>
              <w:bCs/>
            </w:rPr>
          </w:pPr>
          <w:r w:rsidRPr="00BE26A6">
            <w:rPr>
              <w:b/>
              <w:bCs/>
            </w:rPr>
            <w:br w:type="page"/>
          </w:r>
        </w:p>
      </w:sdtContent>
    </w:sdt>
    <w:sdt>
      <w:sdtPr>
        <w:rPr>
          <w:rFonts w:asciiTheme="minorHAnsi" w:eastAsiaTheme="minorHAnsi" w:hAnsiTheme="minorHAnsi" w:cstheme="minorBidi"/>
          <w:color w:val="auto"/>
          <w:kern w:val="2"/>
          <w:sz w:val="24"/>
          <w:szCs w:val="24"/>
          <w14:ligatures w14:val="standardContextual"/>
        </w:rPr>
        <w:id w:val="-594010677"/>
        <w:docPartObj>
          <w:docPartGallery w:val="Table of Contents"/>
          <w:docPartUnique/>
        </w:docPartObj>
      </w:sdtPr>
      <w:sdtEndPr>
        <w:rPr>
          <w:b/>
          <w:bCs/>
        </w:rPr>
      </w:sdtEndPr>
      <w:sdtContent>
        <w:p w14:paraId="40278D23" w14:textId="77777777" w:rsidR="00C86726" w:rsidRPr="00BE26A6" w:rsidRDefault="00C86726" w:rsidP="003A2FD4">
          <w:pPr>
            <w:pStyle w:val="TOCHeading"/>
            <w:spacing w:line="360" w:lineRule="auto"/>
            <w:rPr>
              <w:rFonts w:ascii="Arial" w:hAnsi="Arial" w:cs="Arial"/>
              <w:b/>
              <w:sz w:val="28"/>
              <w:szCs w:val="28"/>
            </w:rPr>
          </w:pPr>
          <w:r w:rsidRPr="00BE26A6">
            <w:rPr>
              <w:rFonts w:ascii="Arial" w:hAnsi="Arial" w:cs="Arial"/>
              <w:b/>
              <w:sz w:val="28"/>
              <w:szCs w:val="28"/>
            </w:rPr>
            <w:t>Contents</w:t>
          </w:r>
        </w:p>
        <w:p w14:paraId="485E5E4B" w14:textId="77777777" w:rsidR="00A45C51" w:rsidRPr="00BE26A6" w:rsidRDefault="00C86726">
          <w:pPr>
            <w:pStyle w:val="TOC1"/>
            <w:tabs>
              <w:tab w:val="right" w:leader="dot" w:pos="9350"/>
            </w:tabs>
            <w:rPr>
              <w:rFonts w:ascii="Arial" w:eastAsiaTheme="minorEastAsia" w:hAnsi="Arial" w:cs="Arial"/>
              <w:kern w:val="0"/>
              <w14:ligatures w14:val="none"/>
            </w:rPr>
          </w:pPr>
          <w:r w:rsidRPr="00BE26A6">
            <w:rPr>
              <w:rFonts w:ascii="Arial" w:hAnsi="Arial" w:cs="Arial"/>
            </w:rPr>
            <w:fldChar w:fldCharType="begin"/>
          </w:r>
          <w:r w:rsidRPr="00BE26A6">
            <w:rPr>
              <w:rFonts w:ascii="Arial" w:hAnsi="Arial" w:cs="Arial"/>
            </w:rPr>
            <w:instrText xml:space="preserve"> TOC \o "1-3" \h \z \u </w:instrText>
          </w:r>
          <w:r w:rsidRPr="00BE26A6">
            <w:rPr>
              <w:rFonts w:ascii="Arial" w:hAnsi="Arial" w:cs="Arial"/>
            </w:rPr>
            <w:fldChar w:fldCharType="separate"/>
          </w:r>
          <w:hyperlink w:anchor="_Toc225371866" w:history="1">
            <w:r w:rsidR="00A45C51" w:rsidRPr="00BE26A6">
              <w:rPr>
                <w:rStyle w:val="Hyperlink"/>
                <w:rFonts w:ascii="Arial" w:hAnsi="Arial" w:cs="Arial"/>
              </w:rPr>
              <w:t>1. Introduction</w:t>
            </w:r>
            <w:r w:rsidR="00A45C51" w:rsidRPr="00BE26A6">
              <w:rPr>
                <w:rFonts w:ascii="Arial" w:hAnsi="Arial" w:cs="Arial"/>
                <w:webHidden/>
              </w:rPr>
              <w:tab/>
            </w:r>
            <w:r w:rsidR="00A45C51" w:rsidRPr="00BE26A6">
              <w:rPr>
                <w:rFonts w:ascii="Arial" w:hAnsi="Arial" w:cs="Arial"/>
                <w:webHidden/>
              </w:rPr>
              <w:fldChar w:fldCharType="begin"/>
            </w:r>
            <w:r w:rsidR="00A45C51" w:rsidRPr="00BE26A6">
              <w:rPr>
                <w:rFonts w:ascii="Arial" w:hAnsi="Arial" w:cs="Arial"/>
                <w:webHidden/>
              </w:rPr>
              <w:instrText xml:space="preserve"> PAGEREF _Toc225371866 \h </w:instrText>
            </w:r>
            <w:r w:rsidR="00A45C51" w:rsidRPr="00BE26A6">
              <w:rPr>
                <w:rFonts w:ascii="Arial" w:hAnsi="Arial" w:cs="Arial"/>
                <w:webHidden/>
              </w:rPr>
            </w:r>
            <w:r w:rsidR="00A45C51" w:rsidRPr="00BE26A6">
              <w:rPr>
                <w:rFonts w:ascii="Arial" w:hAnsi="Arial" w:cs="Arial"/>
                <w:webHidden/>
              </w:rPr>
              <w:fldChar w:fldCharType="separate"/>
            </w:r>
            <w:r w:rsidR="00A45C51" w:rsidRPr="00BE26A6">
              <w:rPr>
                <w:rFonts w:ascii="Arial" w:hAnsi="Arial" w:cs="Arial"/>
                <w:webHidden/>
              </w:rPr>
              <w:t>3</w:t>
            </w:r>
            <w:r w:rsidR="00A45C51" w:rsidRPr="00BE26A6">
              <w:rPr>
                <w:rFonts w:ascii="Arial" w:hAnsi="Arial" w:cs="Arial"/>
                <w:webHidden/>
              </w:rPr>
              <w:fldChar w:fldCharType="end"/>
            </w:r>
          </w:hyperlink>
        </w:p>
        <w:p w14:paraId="67543045" w14:textId="77777777" w:rsidR="00A45C51" w:rsidRPr="00BE26A6" w:rsidRDefault="00A45C51">
          <w:pPr>
            <w:pStyle w:val="TOC2"/>
            <w:tabs>
              <w:tab w:val="right" w:leader="dot" w:pos="9350"/>
            </w:tabs>
            <w:rPr>
              <w:rFonts w:ascii="Arial" w:eastAsiaTheme="minorEastAsia" w:hAnsi="Arial" w:cs="Arial"/>
              <w:kern w:val="0"/>
              <w14:ligatures w14:val="none"/>
            </w:rPr>
          </w:pPr>
          <w:hyperlink w:anchor="_Toc225371867" w:history="1">
            <w:r w:rsidRPr="00BE26A6">
              <w:rPr>
                <w:rStyle w:val="Hyperlink"/>
                <w:rFonts w:ascii="Arial" w:hAnsi="Arial" w:cs="Arial"/>
              </w:rPr>
              <w:t>1.1 Macro Factor 1: Government Regulation and Environmental Policies</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_Toc225371867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4</w:t>
            </w:r>
            <w:r w:rsidRPr="00BE26A6">
              <w:rPr>
                <w:rFonts w:ascii="Arial" w:hAnsi="Arial" w:cs="Arial"/>
                <w:webHidden/>
              </w:rPr>
              <w:fldChar w:fldCharType="end"/>
            </w:r>
          </w:hyperlink>
        </w:p>
        <w:p w14:paraId="23CCBCC8" w14:textId="77777777" w:rsidR="00A45C51" w:rsidRPr="00BE26A6" w:rsidRDefault="00A45C51">
          <w:pPr>
            <w:pStyle w:val="TOC3"/>
            <w:tabs>
              <w:tab w:val="right" w:leader="dot" w:pos="9350"/>
            </w:tabs>
            <w:rPr>
              <w:rFonts w:ascii="Arial" w:eastAsiaTheme="minorEastAsia" w:hAnsi="Arial" w:cs="Arial"/>
              <w:kern w:val="0"/>
              <w14:ligatures w14:val="none"/>
            </w:rPr>
          </w:pPr>
          <w:hyperlink w:anchor="_Toc225371868" w:history="1">
            <w:r w:rsidRPr="00BE26A6">
              <w:rPr>
                <w:rStyle w:val="Hyperlink"/>
                <w:rFonts w:ascii="Arial" w:hAnsi="Arial" w:cs="Arial"/>
              </w:rPr>
              <w:t>1.1.1 Explanation</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_Toc225371868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4</w:t>
            </w:r>
            <w:r w:rsidRPr="00BE26A6">
              <w:rPr>
                <w:rFonts w:ascii="Arial" w:hAnsi="Arial" w:cs="Arial"/>
                <w:webHidden/>
              </w:rPr>
              <w:fldChar w:fldCharType="end"/>
            </w:r>
          </w:hyperlink>
        </w:p>
        <w:p w14:paraId="007305D9" w14:textId="77777777" w:rsidR="00A45C51" w:rsidRPr="00BE26A6" w:rsidRDefault="00A45C51">
          <w:pPr>
            <w:pStyle w:val="TOC3"/>
            <w:tabs>
              <w:tab w:val="right" w:leader="dot" w:pos="9350"/>
            </w:tabs>
            <w:rPr>
              <w:rFonts w:ascii="Arial" w:eastAsiaTheme="minorEastAsia" w:hAnsi="Arial" w:cs="Arial"/>
              <w:kern w:val="0"/>
              <w14:ligatures w14:val="none"/>
            </w:rPr>
          </w:pPr>
          <w:hyperlink w:anchor="_Toc225371869" w:history="1">
            <w:r w:rsidRPr="00BE26A6">
              <w:rPr>
                <w:rStyle w:val="Hyperlink"/>
                <w:rFonts w:ascii="Arial" w:hAnsi="Arial" w:cs="Arial"/>
              </w:rPr>
              <w:t>1.1.2 Impact on Pioneer (Tesla)</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_Toc225371869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4</w:t>
            </w:r>
            <w:r w:rsidRPr="00BE26A6">
              <w:rPr>
                <w:rFonts w:ascii="Arial" w:hAnsi="Arial" w:cs="Arial"/>
                <w:webHidden/>
              </w:rPr>
              <w:fldChar w:fldCharType="end"/>
            </w:r>
          </w:hyperlink>
        </w:p>
        <w:p w14:paraId="57B40A5B" w14:textId="77777777" w:rsidR="00A45C51" w:rsidRPr="00BE26A6" w:rsidRDefault="00A45C51">
          <w:pPr>
            <w:pStyle w:val="TOC3"/>
            <w:tabs>
              <w:tab w:val="right" w:leader="dot" w:pos="9350"/>
            </w:tabs>
            <w:rPr>
              <w:rFonts w:ascii="Arial" w:eastAsiaTheme="minorEastAsia" w:hAnsi="Arial" w:cs="Arial"/>
              <w:kern w:val="0"/>
              <w14:ligatures w14:val="none"/>
            </w:rPr>
          </w:pPr>
          <w:hyperlink w:anchor="_Toc225371870" w:history="1">
            <w:r w:rsidRPr="00BE26A6">
              <w:rPr>
                <w:rStyle w:val="Hyperlink"/>
                <w:rFonts w:ascii="Arial" w:hAnsi="Arial" w:cs="Arial"/>
              </w:rPr>
              <w:t>1.1.3 Impact on Follower (Ford)</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_Toc225371870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5</w:t>
            </w:r>
            <w:r w:rsidRPr="00BE26A6">
              <w:rPr>
                <w:rFonts w:ascii="Arial" w:hAnsi="Arial" w:cs="Arial"/>
                <w:webHidden/>
              </w:rPr>
              <w:fldChar w:fldCharType="end"/>
            </w:r>
          </w:hyperlink>
        </w:p>
        <w:p w14:paraId="30FE2B90" w14:textId="77777777" w:rsidR="00A45C51" w:rsidRPr="00BE26A6" w:rsidRDefault="00A45C51">
          <w:pPr>
            <w:pStyle w:val="TOC3"/>
            <w:tabs>
              <w:tab w:val="right" w:leader="dot" w:pos="9350"/>
            </w:tabs>
            <w:rPr>
              <w:rFonts w:ascii="Arial" w:eastAsiaTheme="minorEastAsia" w:hAnsi="Arial" w:cs="Arial"/>
              <w:kern w:val="0"/>
              <w14:ligatures w14:val="none"/>
            </w:rPr>
          </w:pPr>
          <w:hyperlink w:anchor="_Toc225371871" w:history="1">
            <w:r w:rsidRPr="00BE26A6">
              <w:rPr>
                <w:rStyle w:val="Hyperlink"/>
                <w:rFonts w:ascii="Arial" w:hAnsi="Arial" w:cs="Arial"/>
              </w:rPr>
              <w:t>1.1.4 Comparison</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_Toc225371871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5</w:t>
            </w:r>
            <w:r w:rsidRPr="00BE26A6">
              <w:rPr>
                <w:rFonts w:ascii="Arial" w:hAnsi="Arial" w:cs="Arial"/>
                <w:webHidden/>
              </w:rPr>
              <w:fldChar w:fldCharType="end"/>
            </w:r>
          </w:hyperlink>
        </w:p>
        <w:p w14:paraId="21DA04D6" w14:textId="77777777" w:rsidR="00A45C51" w:rsidRPr="00BE26A6" w:rsidRDefault="00A45C51">
          <w:pPr>
            <w:pStyle w:val="TOC2"/>
            <w:tabs>
              <w:tab w:val="right" w:leader="dot" w:pos="9350"/>
            </w:tabs>
            <w:rPr>
              <w:rFonts w:ascii="Arial" w:eastAsiaTheme="minorEastAsia" w:hAnsi="Arial" w:cs="Arial"/>
              <w:kern w:val="0"/>
              <w14:ligatures w14:val="none"/>
            </w:rPr>
          </w:pPr>
          <w:hyperlink w:anchor="_Toc225371872" w:history="1">
            <w:r w:rsidRPr="00BE26A6">
              <w:rPr>
                <w:rStyle w:val="Hyperlink"/>
                <w:rFonts w:ascii="Arial" w:hAnsi="Arial" w:cs="Arial"/>
              </w:rPr>
              <w:t>1.2 Macro Factor 2: Technological Advancement and Innovation</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_Toc225371872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6</w:t>
            </w:r>
            <w:r w:rsidRPr="00BE26A6">
              <w:rPr>
                <w:rFonts w:ascii="Arial" w:hAnsi="Arial" w:cs="Arial"/>
                <w:webHidden/>
              </w:rPr>
              <w:fldChar w:fldCharType="end"/>
            </w:r>
          </w:hyperlink>
        </w:p>
        <w:p w14:paraId="43F85132" w14:textId="77777777" w:rsidR="00A45C51" w:rsidRPr="00BE26A6" w:rsidRDefault="00A45C51">
          <w:pPr>
            <w:pStyle w:val="TOC3"/>
            <w:tabs>
              <w:tab w:val="right" w:leader="dot" w:pos="9350"/>
            </w:tabs>
            <w:rPr>
              <w:rFonts w:ascii="Arial" w:eastAsiaTheme="minorEastAsia" w:hAnsi="Arial" w:cs="Arial"/>
              <w:kern w:val="0"/>
              <w14:ligatures w14:val="none"/>
            </w:rPr>
          </w:pPr>
          <w:hyperlink w:anchor="_Toc225371873" w:history="1">
            <w:r w:rsidRPr="00BE26A6">
              <w:rPr>
                <w:rStyle w:val="Hyperlink"/>
                <w:rFonts w:ascii="Arial" w:hAnsi="Arial" w:cs="Arial"/>
              </w:rPr>
              <w:t>1.2.1 Explanation</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_Toc225371873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6</w:t>
            </w:r>
            <w:r w:rsidRPr="00BE26A6">
              <w:rPr>
                <w:rFonts w:ascii="Arial" w:hAnsi="Arial" w:cs="Arial"/>
                <w:webHidden/>
              </w:rPr>
              <w:fldChar w:fldCharType="end"/>
            </w:r>
          </w:hyperlink>
        </w:p>
        <w:p w14:paraId="284FC1A2" w14:textId="77777777" w:rsidR="00A45C51" w:rsidRPr="00BE26A6" w:rsidRDefault="00A45C51">
          <w:pPr>
            <w:pStyle w:val="TOC3"/>
            <w:tabs>
              <w:tab w:val="right" w:leader="dot" w:pos="9350"/>
            </w:tabs>
            <w:rPr>
              <w:rFonts w:ascii="Arial" w:eastAsiaTheme="minorEastAsia" w:hAnsi="Arial" w:cs="Arial"/>
              <w:kern w:val="0"/>
              <w14:ligatures w14:val="none"/>
            </w:rPr>
          </w:pPr>
          <w:hyperlink w:anchor="_Toc225371874" w:history="1">
            <w:r w:rsidRPr="00BE26A6">
              <w:rPr>
                <w:rStyle w:val="Hyperlink"/>
                <w:rFonts w:ascii="Arial" w:hAnsi="Arial" w:cs="Arial"/>
              </w:rPr>
              <w:t>1.2.2 Impact on Pioneer (Tesla)</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_Toc225371874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7</w:t>
            </w:r>
            <w:r w:rsidRPr="00BE26A6">
              <w:rPr>
                <w:rFonts w:ascii="Arial" w:hAnsi="Arial" w:cs="Arial"/>
                <w:webHidden/>
              </w:rPr>
              <w:fldChar w:fldCharType="end"/>
            </w:r>
          </w:hyperlink>
        </w:p>
        <w:p w14:paraId="16C42EDC" w14:textId="77777777" w:rsidR="00A45C51" w:rsidRPr="00BE26A6" w:rsidRDefault="00A45C51">
          <w:pPr>
            <w:pStyle w:val="TOC3"/>
            <w:tabs>
              <w:tab w:val="right" w:leader="dot" w:pos="9350"/>
            </w:tabs>
            <w:rPr>
              <w:rFonts w:ascii="Arial" w:eastAsiaTheme="minorEastAsia" w:hAnsi="Arial" w:cs="Arial"/>
              <w:kern w:val="0"/>
              <w14:ligatures w14:val="none"/>
            </w:rPr>
          </w:pPr>
          <w:hyperlink w:anchor="_Toc225371875" w:history="1">
            <w:r w:rsidRPr="00BE26A6">
              <w:rPr>
                <w:rStyle w:val="Hyperlink"/>
                <w:rFonts w:ascii="Arial" w:hAnsi="Arial" w:cs="Arial"/>
              </w:rPr>
              <w:t>1.2.3 Impact on Follower (Ford)</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_Toc225371875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7</w:t>
            </w:r>
            <w:r w:rsidRPr="00BE26A6">
              <w:rPr>
                <w:rFonts w:ascii="Arial" w:hAnsi="Arial" w:cs="Arial"/>
                <w:webHidden/>
              </w:rPr>
              <w:fldChar w:fldCharType="end"/>
            </w:r>
          </w:hyperlink>
        </w:p>
        <w:p w14:paraId="7F465A93" w14:textId="77777777" w:rsidR="00A45C51" w:rsidRPr="00BE26A6" w:rsidRDefault="00A45C51">
          <w:pPr>
            <w:pStyle w:val="TOC3"/>
            <w:tabs>
              <w:tab w:val="right" w:leader="dot" w:pos="9350"/>
            </w:tabs>
            <w:rPr>
              <w:rFonts w:ascii="Arial" w:eastAsiaTheme="minorEastAsia" w:hAnsi="Arial" w:cs="Arial"/>
              <w:kern w:val="0"/>
              <w14:ligatures w14:val="none"/>
            </w:rPr>
          </w:pPr>
          <w:hyperlink w:anchor="_Toc225371876" w:history="1">
            <w:r w:rsidRPr="00BE26A6">
              <w:rPr>
                <w:rStyle w:val="Hyperlink"/>
                <w:rFonts w:ascii="Arial" w:hAnsi="Arial" w:cs="Arial"/>
              </w:rPr>
              <w:t>1.2.4 Comparison</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_Toc225371876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8</w:t>
            </w:r>
            <w:r w:rsidRPr="00BE26A6">
              <w:rPr>
                <w:rFonts w:ascii="Arial" w:hAnsi="Arial" w:cs="Arial"/>
                <w:webHidden/>
              </w:rPr>
              <w:fldChar w:fldCharType="end"/>
            </w:r>
          </w:hyperlink>
        </w:p>
        <w:p w14:paraId="490DC37F" w14:textId="77777777" w:rsidR="00A45C51" w:rsidRPr="00BE26A6" w:rsidRDefault="00A45C51">
          <w:pPr>
            <w:pStyle w:val="TOC1"/>
            <w:tabs>
              <w:tab w:val="right" w:leader="dot" w:pos="9350"/>
            </w:tabs>
            <w:rPr>
              <w:rFonts w:ascii="Arial" w:eastAsiaTheme="minorEastAsia" w:hAnsi="Arial" w:cs="Arial"/>
              <w:kern w:val="0"/>
              <w14:ligatures w14:val="none"/>
            </w:rPr>
          </w:pPr>
          <w:hyperlink w:anchor="_Toc225371877" w:history="1">
            <w:r w:rsidRPr="00BE26A6">
              <w:rPr>
                <w:rStyle w:val="Hyperlink"/>
                <w:rFonts w:ascii="Arial" w:hAnsi="Arial" w:cs="Arial"/>
              </w:rPr>
              <w:t>2. Task 2 – Strategic Response</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_Toc225371877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9</w:t>
            </w:r>
            <w:r w:rsidRPr="00BE26A6">
              <w:rPr>
                <w:rFonts w:ascii="Arial" w:hAnsi="Arial" w:cs="Arial"/>
                <w:webHidden/>
              </w:rPr>
              <w:fldChar w:fldCharType="end"/>
            </w:r>
          </w:hyperlink>
        </w:p>
        <w:p w14:paraId="3011AFFC" w14:textId="77777777" w:rsidR="00A45C51" w:rsidRPr="00BE26A6" w:rsidRDefault="00A45C51">
          <w:pPr>
            <w:pStyle w:val="TOC2"/>
            <w:tabs>
              <w:tab w:val="right" w:leader="dot" w:pos="9350"/>
            </w:tabs>
            <w:rPr>
              <w:rFonts w:ascii="Arial" w:eastAsiaTheme="minorEastAsia" w:hAnsi="Arial" w:cs="Arial"/>
              <w:kern w:val="0"/>
              <w14:ligatures w14:val="none"/>
            </w:rPr>
          </w:pPr>
          <w:hyperlink w:anchor="_Toc225371878" w:history="1">
            <w:r w:rsidRPr="00BE26A6">
              <w:rPr>
                <w:rStyle w:val="Hyperlink"/>
                <w:rFonts w:ascii="Arial" w:hAnsi="Arial" w:cs="Arial"/>
              </w:rPr>
              <w:t>2.1 Porter’s Generic Strategies</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_Toc225371878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9</w:t>
            </w:r>
            <w:r w:rsidRPr="00BE26A6">
              <w:rPr>
                <w:rFonts w:ascii="Arial" w:hAnsi="Arial" w:cs="Arial"/>
                <w:webHidden/>
              </w:rPr>
              <w:fldChar w:fldCharType="end"/>
            </w:r>
          </w:hyperlink>
        </w:p>
        <w:p w14:paraId="31993003" w14:textId="77777777" w:rsidR="00A45C51" w:rsidRPr="00BE26A6" w:rsidRDefault="00A45C51">
          <w:pPr>
            <w:pStyle w:val="TOC3"/>
            <w:tabs>
              <w:tab w:val="right" w:leader="dot" w:pos="9350"/>
            </w:tabs>
            <w:rPr>
              <w:rFonts w:ascii="Arial" w:eastAsiaTheme="minorEastAsia" w:hAnsi="Arial" w:cs="Arial"/>
              <w:kern w:val="0"/>
              <w14:ligatures w14:val="none"/>
            </w:rPr>
          </w:pPr>
          <w:hyperlink w:anchor="_Toc225371879" w:history="1">
            <w:r w:rsidRPr="00BE26A6">
              <w:rPr>
                <w:rStyle w:val="Hyperlink"/>
                <w:rFonts w:ascii="Arial" w:hAnsi="Arial" w:cs="Arial"/>
              </w:rPr>
              <w:t>2.1.1 Pioneer Strategy (Tesla: Differentiation Strategy)</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_Toc225371879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9</w:t>
            </w:r>
            <w:r w:rsidRPr="00BE26A6">
              <w:rPr>
                <w:rFonts w:ascii="Arial" w:hAnsi="Arial" w:cs="Arial"/>
                <w:webHidden/>
              </w:rPr>
              <w:fldChar w:fldCharType="end"/>
            </w:r>
          </w:hyperlink>
        </w:p>
        <w:p w14:paraId="5CD3B848" w14:textId="77777777" w:rsidR="00A45C51" w:rsidRPr="00BE26A6" w:rsidRDefault="00A45C51">
          <w:pPr>
            <w:pStyle w:val="TOC3"/>
            <w:tabs>
              <w:tab w:val="right" w:leader="dot" w:pos="9350"/>
            </w:tabs>
            <w:rPr>
              <w:rFonts w:ascii="Arial" w:eastAsiaTheme="minorEastAsia" w:hAnsi="Arial" w:cs="Arial"/>
              <w:kern w:val="0"/>
              <w14:ligatures w14:val="none"/>
            </w:rPr>
          </w:pPr>
          <w:hyperlink w:anchor="_Toc225371880" w:history="1">
            <w:r w:rsidRPr="00BE26A6">
              <w:rPr>
                <w:rStyle w:val="Hyperlink"/>
                <w:rFonts w:ascii="Arial" w:hAnsi="Arial" w:cs="Arial"/>
              </w:rPr>
              <w:t>2.1.2 Follower Strategy (Ford: Cost Leadership + Differentiation Hybrid)</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_Toc225371880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11</w:t>
            </w:r>
            <w:r w:rsidRPr="00BE26A6">
              <w:rPr>
                <w:rFonts w:ascii="Arial" w:hAnsi="Arial" w:cs="Arial"/>
                <w:webHidden/>
              </w:rPr>
              <w:fldChar w:fldCharType="end"/>
            </w:r>
          </w:hyperlink>
        </w:p>
        <w:p w14:paraId="41519027" w14:textId="77777777" w:rsidR="00A45C51" w:rsidRPr="00BE26A6" w:rsidRDefault="00A45C51">
          <w:pPr>
            <w:pStyle w:val="TOC3"/>
            <w:tabs>
              <w:tab w:val="right" w:leader="dot" w:pos="9350"/>
            </w:tabs>
            <w:rPr>
              <w:rFonts w:ascii="Arial" w:eastAsiaTheme="minorEastAsia" w:hAnsi="Arial" w:cs="Arial"/>
              <w:kern w:val="0"/>
              <w14:ligatures w14:val="none"/>
            </w:rPr>
          </w:pPr>
          <w:hyperlink w:anchor="_Toc225371881" w:history="1">
            <w:r w:rsidRPr="00BE26A6">
              <w:rPr>
                <w:rStyle w:val="Hyperlink"/>
                <w:rFonts w:ascii="Arial" w:hAnsi="Arial" w:cs="Arial"/>
              </w:rPr>
              <w:t>2.1.3 Comparison</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_Toc225371881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11</w:t>
            </w:r>
            <w:r w:rsidRPr="00BE26A6">
              <w:rPr>
                <w:rFonts w:ascii="Arial" w:hAnsi="Arial" w:cs="Arial"/>
                <w:webHidden/>
              </w:rPr>
              <w:fldChar w:fldCharType="end"/>
            </w:r>
          </w:hyperlink>
        </w:p>
        <w:p w14:paraId="7113F484" w14:textId="77777777" w:rsidR="00A45C51" w:rsidRPr="00BE26A6" w:rsidRDefault="00A45C51">
          <w:pPr>
            <w:pStyle w:val="TOC2"/>
            <w:tabs>
              <w:tab w:val="right" w:leader="dot" w:pos="9350"/>
            </w:tabs>
            <w:rPr>
              <w:rFonts w:ascii="Arial" w:eastAsiaTheme="minorEastAsia" w:hAnsi="Arial" w:cs="Arial"/>
              <w:kern w:val="0"/>
              <w14:ligatures w14:val="none"/>
            </w:rPr>
          </w:pPr>
          <w:hyperlink w:anchor="_Toc225371882" w:history="1">
            <w:r w:rsidRPr="00BE26A6">
              <w:rPr>
                <w:rStyle w:val="Hyperlink"/>
                <w:rFonts w:ascii="Arial" w:hAnsi="Arial" w:cs="Arial"/>
              </w:rPr>
              <w:t>2.2 Ansoff Matrix</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_Toc225371882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12</w:t>
            </w:r>
            <w:r w:rsidRPr="00BE26A6">
              <w:rPr>
                <w:rFonts w:ascii="Arial" w:hAnsi="Arial" w:cs="Arial"/>
                <w:webHidden/>
              </w:rPr>
              <w:fldChar w:fldCharType="end"/>
            </w:r>
          </w:hyperlink>
        </w:p>
        <w:p w14:paraId="25986FAE" w14:textId="77777777" w:rsidR="00A45C51" w:rsidRPr="00BE26A6" w:rsidRDefault="00A45C51">
          <w:pPr>
            <w:pStyle w:val="TOC3"/>
            <w:tabs>
              <w:tab w:val="right" w:leader="dot" w:pos="9350"/>
            </w:tabs>
            <w:rPr>
              <w:rFonts w:ascii="Arial" w:eastAsiaTheme="minorEastAsia" w:hAnsi="Arial" w:cs="Arial"/>
              <w:kern w:val="0"/>
              <w14:ligatures w14:val="none"/>
            </w:rPr>
          </w:pPr>
          <w:hyperlink w:anchor="_Toc225371883" w:history="1">
            <w:r w:rsidRPr="00BE26A6">
              <w:rPr>
                <w:rStyle w:val="Hyperlink"/>
                <w:rFonts w:ascii="Arial" w:hAnsi="Arial" w:cs="Arial"/>
              </w:rPr>
              <w:t>2.2.1 Pioneer Growth Strategy (Tesla: Product Development and Market Development)</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_Toc225371883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12</w:t>
            </w:r>
            <w:r w:rsidRPr="00BE26A6">
              <w:rPr>
                <w:rFonts w:ascii="Arial" w:hAnsi="Arial" w:cs="Arial"/>
                <w:webHidden/>
              </w:rPr>
              <w:fldChar w:fldCharType="end"/>
            </w:r>
          </w:hyperlink>
        </w:p>
        <w:p w14:paraId="64012646" w14:textId="77777777" w:rsidR="00A45C51" w:rsidRPr="00BE26A6" w:rsidRDefault="00A45C51">
          <w:pPr>
            <w:pStyle w:val="TOC3"/>
            <w:tabs>
              <w:tab w:val="right" w:leader="dot" w:pos="9350"/>
            </w:tabs>
            <w:rPr>
              <w:rFonts w:ascii="Arial" w:eastAsiaTheme="minorEastAsia" w:hAnsi="Arial" w:cs="Arial"/>
              <w:kern w:val="0"/>
              <w14:ligatures w14:val="none"/>
            </w:rPr>
          </w:pPr>
          <w:hyperlink w:anchor="_Toc225371884" w:history="1">
            <w:r w:rsidRPr="00BE26A6">
              <w:rPr>
                <w:rStyle w:val="Hyperlink"/>
                <w:rFonts w:ascii="Arial" w:hAnsi="Arial" w:cs="Arial"/>
              </w:rPr>
              <w:t>2.2.2 Followers Growth Strategy (Ford: Market Penetration and Product Development)</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_Toc225371884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12</w:t>
            </w:r>
            <w:r w:rsidRPr="00BE26A6">
              <w:rPr>
                <w:rFonts w:ascii="Arial" w:hAnsi="Arial" w:cs="Arial"/>
                <w:webHidden/>
              </w:rPr>
              <w:fldChar w:fldCharType="end"/>
            </w:r>
          </w:hyperlink>
        </w:p>
        <w:p w14:paraId="1B2630E3" w14:textId="77777777" w:rsidR="00A45C51" w:rsidRPr="00BE26A6" w:rsidRDefault="00A45C51">
          <w:pPr>
            <w:pStyle w:val="TOC3"/>
            <w:tabs>
              <w:tab w:val="right" w:leader="dot" w:pos="9350"/>
            </w:tabs>
            <w:rPr>
              <w:rFonts w:ascii="Arial" w:eastAsiaTheme="minorEastAsia" w:hAnsi="Arial" w:cs="Arial"/>
              <w:kern w:val="0"/>
              <w14:ligatures w14:val="none"/>
            </w:rPr>
          </w:pPr>
          <w:hyperlink w:anchor="_Toc225371885" w:history="1">
            <w:r w:rsidRPr="00BE26A6">
              <w:rPr>
                <w:rStyle w:val="Hyperlink"/>
                <w:rFonts w:ascii="Arial" w:hAnsi="Arial" w:cs="Arial"/>
              </w:rPr>
              <w:t>2.2.3 Comparison</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_Toc225371885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12</w:t>
            </w:r>
            <w:r w:rsidRPr="00BE26A6">
              <w:rPr>
                <w:rFonts w:ascii="Arial" w:hAnsi="Arial" w:cs="Arial"/>
                <w:webHidden/>
              </w:rPr>
              <w:fldChar w:fldCharType="end"/>
            </w:r>
          </w:hyperlink>
        </w:p>
        <w:p w14:paraId="232E25B2" w14:textId="77777777" w:rsidR="00A45C51" w:rsidRPr="00BE26A6" w:rsidRDefault="00A45C51">
          <w:pPr>
            <w:pStyle w:val="TOC1"/>
            <w:tabs>
              <w:tab w:val="right" w:leader="dot" w:pos="9350"/>
            </w:tabs>
            <w:rPr>
              <w:rFonts w:ascii="Arial" w:eastAsiaTheme="minorEastAsia" w:hAnsi="Arial" w:cs="Arial"/>
              <w:kern w:val="0"/>
              <w14:ligatures w14:val="none"/>
            </w:rPr>
          </w:pPr>
          <w:hyperlink w:anchor="_Toc225371886" w:history="1">
            <w:r w:rsidRPr="00BE26A6">
              <w:rPr>
                <w:rStyle w:val="Hyperlink"/>
                <w:rFonts w:ascii="Arial" w:hAnsi="Arial" w:cs="Arial"/>
              </w:rPr>
              <w:t>3. Critical Evaluation</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_Toc225371886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13</w:t>
            </w:r>
            <w:r w:rsidRPr="00BE26A6">
              <w:rPr>
                <w:rFonts w:ascii="Arial" w:hAnsi="Arial" w:cs="Arial"/>
                <w:webHidden/>
              </w:rPr>
              <w:fldChar w:fldCharType="end"/>
            </w:r>
          </w:hyperlink>
        </w:p>
        <w:p w14:paraId="3C68DE1A" w14:textId="77777777" w:rsidR="00A45C51" w:rsidRPr="00BE26A6" w:rsidRDefault="00A45C51">
          <w:pPr>
            <w:pStyle w:val="TOC2"/>
            <w:tabs>
              <w:tab w:val="right" w:leader="dot" w:pos="9350"/>
            </w:tabs>
            <w:rPr>
              <w:rFonts w:ascii="Arial" w:eastAsiaTheme="minorEastAsia" w:hAnsi="Arial" w:cs="Arial"/>
              <w:kern w:val="0"/>
              <w14:ligatures w14:val="none"/>
            </w:rPr>
          </w:pPr>
          <w:hyperlink w:anchor="_Toc225371887" w:history="1">
            <w:r w:rsidRPr="00BE26A6">
              <w:rPr>
                <w:rStyle w:val="Hyperlink"/>
                <w:rFonts w:ascii="Arial" w:hAnsi="Arial" w:cs="Arial"/>
              </w:rPr>
              <w:t>3.1 Tesla vs Ford Comparative Performance.</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_Toc225371887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13</w:t>
            </w:r>
            <w:r w:rsidRPr="00BE26A6">
              <w:rPr>
                <w:rFonts w:ascii="Arial" w:hAnsi="Arial" w:cs="Arial"/>
                <w:webHidden/>
              </w:rPr>
              <w:fldChar w:fldCharType="end"/>
            </w:r>
          </w:hyperlink>
        </w:p>
        <w:p w14:paraId="1E1D6D61" w14:textId="77777777" w:rsidR="00A45C51" w:rsidRPr="00BE26A6" w:rsidRDefault="00A45C51">
          <w:pPr>
            <w:pStyle w:val="TOC2"/>
            <w:tabs>
              <w:tab w:val="right" w:leader="dot" w:pos="9350"/>
            </w:tabs>
            <w:rPr>
              <w:rFonts w:ascii="Arial" w:eastAsiaTheme="minorEastAsia" w:hAnsi="Arial" w:cs="Arial"/>
              <w:kern w:val="0"/>
              <w14:ligatures w14:val="none"/>
            </w:rPr>
          </w:pPr>
          <w:hyperlink w:anchor="_Toc225371888" w:history="1">
            <w:r w:rsidRPr="00BE26A6">
              <w:rPr>
                <w:rStyle w:val="Hyperlink"/>
                <w:rFonts w:ascii="Arial" w:hAnsi="Arial" w:cs="Arial"/>
              </w:rPr>
              <w:t>3.2 Strategic Advantages and Strengths.</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_Toc225371888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13</w:t>
            </w:r>
            <w:r w:rsidRPr="00BE26A6">
              <w:rPr>
                <w:rFonts w:ascii="Arial" w:hAnsi="Arial" w:cs="Arial"/>
                <w:webHidden/>
              </w:rPr>
              <w:fldChar w:fldCharType="end"/>
            </w:r>
          </w:hyperlink>
        </w:p>
        <w:p w14:paraId="69F9E539" w14:textId="77777777" w:rsidR="00A45C51" w:rsidRPr="00BE26A6" w:rsidRDefault="00A45C51">
          <w:pPr>
            <w:pStyle w:val="TOC2"/>
            <w:tabs>
              <w:tab w:val="right" w:leader="dot" w:pos="9350"/>
            </w:tabs>
            <w:rPr>
              <w:rFonts w:ascii="Arial" w:eastAsiaTheme="minorEastAsia" w:hAnsi="Arial" w:cs="Arial"/>
              <w:kern w:val="0"/>
              <w14:ligatures w14:val="none"/>
            </w:rPr>
          </w:pPr>
          <w:hyperlink w:anchor="_Toc225371889" w:history="1">
            <w:r w:rsidRPr="00BE26A6">
              <w:rPr>
                <w:rStyle w:val="Hyperlink"/>
                <w:rFonts w:ascii="Arial" w:hAnsi="Arial" w:cs="Arial"/>
              </w:rPr>
              <w:t>3.3 Strategic Limitations and Weaknesses.</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_Toc225371889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14</w:t>
            </w:r>
            <w:r w:rsidRPr="00BE26A6">
              <w:rPr>
                <w:rFonts w:ascii="Arial" w:hAnsi="Arial" w:cs="Arial"/>
                <w:webHidden/>
              </w:rPr>
              <w:fldChar w:fldCharType="end"/>
            </w:r>
          </w:hyperlink>
        </w:p>
        <w:p w14:paraId="32DBA462" w14:textId="77777777" w:rsidR="00A45C51" w:rsidRPr="00BE26A6" w:rsidRDefault="00A45C51">
          <w:pPr>
            <w:pStyle w:val="TOC1"/>
            <w:tabs>
              <w:tab w:val="right" w:leader="dot" w:pos="9350"/>
            </w:tabs>
            <w:rPr>
              <w:rFonts w:ascii="Arial" w:eastAsiaTheme="minorEastAsia" w:hAnsi="Arial" w:cs="Arial"/>
              <w:kern w:val="0"/>
              <w14:ligatures w14:val="none"/>
            </w:rPr>
          </w:pPr>
          <w:hyperlink w:anchor="_Toc225371890" w:history="1">
            <w:r w:rsidRPr="00BE26A6">
              <w:rPr>
                <w:rStyle w:val="Hyperlink"/>
                <w:rFonts w:ascii="Arial" w:hAnsi="Arial" w:cs="Arial"/>
              </w:rPr>
              <w:t>4. Conclusion</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_Toc225371890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14</w:t>
            </w:r>
            <w:r w:rsidRPr="00BE26A6">
              <w:rPr>
                <w:rFonts w:ascii="Arial" w:hAnsi="Arial" w:cs="Arial"/>
                <w:webHidden/>
              </w:rPr>
              <w:fldChar w:fldCharType="end"/>
            </w:r>
          </w:hyperlink>
        </w:p>
        <w:p w14:paraId="2F3E13ED" w14:textId="77777777" w:rsidR="00A45C51" w:rsidRPr="00BE26A6" w:rsidRDefault="00A45C51">
          <w:pPr>
            <w:pStyle w:val="TOC1"/>
            <w:tabs>
              <w:tab w:val="right" w:leader="dot" w:pos="9350"/>
            </w:tabs>
            <w:rPr>
              <w:rFonts w:ascii="Arial" w:eastAsiaTheme="minorEastAsia" w:hAnsi="Arial" w:cs="Arial"/>
              <w:kern w:val="0"/>
              <w14:ligatures w14:val="none"/>
            </w:rPr>
          </w:pPr>
          <w:hyperlink w:anchor="_Toc225371891" w:history="1">
            <w:r w:rsidRPr="00BE26A6">
              <w:rPr>
                <w:rStyle w:val="Hyperlink"/>
                <w:rFonts w:ascii="Arial" w:hAnsi="Arial" w:cs="Arial"/>
              </w:rPr>
              <w:t>References</w:t>
            </w:r>
            <w:r w:rsidRPr="00BE26A6">
              <w:rPr>
                <w:rFonts w:ascii="Arial" w:hAnsi="Arial" w:cs="Arial"/>
                <w:webHidden/>
              </w:rPr>
              <w:tab/>
            </w:r>
            <w:r w:rsidRPr="00BE26A6">
              <w:rPr>
                <w:rFonts w:ascii="Arial" w:hAnsi="Arial" w:cs="Arial"/>
                <w:webHidden/>
              </w:rPr>
              <w:fldChar w:fldCharType="begin"/>
            </w:r>
            <w:r w:rsidRPr="00BE26A6">
              <w:rPr>
                <w:rFonts w:ascii="Arial" w:hAnsi="Arial" w:cs="Arial"/>
                <w:webHidden/>
              </w:rPr>
              <w:instrText xml:space="preserve"> PAGEREF _Toc225371891 \h </w:instrText>
            </w:r>
            <w:r w:rsidRPr="00BE26A6">
              <w:rPr>
                <w:rFonts w:ascii="Arial" w:hAnsi="Arial" w:cs="Arial"/>
                <w:webHidden/>
              </w:rPr>
            </w:r>
            <w:r w:rsidRPr="00BE26A6">
              <w:rPr>
                <w:rFonts w:ascii="Arial" w:hAnsi="Arial" w:cs="Arial"/>
                <w:webHidden/>
              </w:rPr>
              <w:fldChar w:fldCharType="separate"/>
            </w:r>
            <w:r w:rsidRPr="00BE26A6">
              <w:rPr>
                <w:rFonts w:ascii="Arial" w:hAnsi="Arial" w:cs="Arial"/>
                <w:webHidden/>
              </w:rPr>
              <w:t>15</w:t>
            </w:r>
            <w:r w:rsidRPr="00BE26A6">
              <w:rPr>
                <w:rFonts w:ascii="Arial" w:hAnsi="Arial" w:cs="Arial"/>
                <w:webHidden/>
              </w:rPr>
              <w:fldChar w:fldCharType="end"/>
            </w:r>
          </w:hyperlink>
        </w:p>
        <w:p w14:paraId="7B8F3A25" w14:textId="77777777" w:rsidR="00C86726" w:rsidRPr="00BE26A6" w:rsidRDefault="00C86726" w:rsidP="003A2FD4">
          <w:pPr>
            <w:spacing w:line="360" w:lineRule="auto"/>
          </w:pPr>
          <w:r w:rsidRPr="00BE26A6">
            <w:rPr>
              <w:rFonts w:ascii="Arial" w:hAnsi="Arial" w:cs="Arial"/>
              <w:b/>
              <w:bCs/>
            </w:rPr>
            <w:fldChar w:fldCharType="end"/>
          </w:r>
        </w:p>
      </w:sdtContent>
    </w:sdt>
    <w:p w14:paraId="40B68F7C" w14:textId="77777777" w:rsidR="006412A7" w:rsidRPr="00BE26A6" w:rsidRDefault="006412A7" w:rsidP="00F10AAF">
      <w:pPr>
        <w:rPr>
          <w:b/>
          <w:bCs/>
        </w:rPr>
      </w:pPr>
    </w:p>
    <w:p w14:paraId="36AB4D35" w14:textId="77777777" w:rsidR="00F10AAF" w:rsidRPr="00BE26A6" w:rsidRDefault="006412A7" w:rsidP="006412A7">
      <w:pPr>
        <w:pStyle w:val="Heading1"/>
      </w:pPr>
      <w:bookmarkStart w:id="0" w:name="_Toc225371866"/>
      <w:r w:rsidRPr="00BE26A6">
        <w:lastRenderedPageBreak/>
        <w:t>1. Introduction</w:t>
      </w:r>
      <w:bookmarkEnd w:id="0"/>
    </w:p>
    <w:p w14:paraId="64BDB6D4" w14:textId="77777777" w:rsidR="000321CC" w:rsidRPr="00BE26A6" w:rsidRDefault="000321CC" w:rsidP="000321CC">
      <w:pPr>
        <w:spacing w:line="360" w:lineRule="auto"/>
        <w:jc w:val="both"/>
        <w:rPr>
          <w:rFonts w:ascii="Arial" w:hAnsi="Arial" w:cs="Arial"/>
        </w:rPr>
      </w:pPr>
      <w:r w:rsidRPr="00BE26A6">
        <w:rPr>
          <w:rFonts w:ascii="Arial" w:hAnsi="Arial" w:cs="Arial"/>
        </w:rPr>
        <w:t xml:space="preserve">Marketing environment is a set of external factors that determine the ability of an organisation to exist and compete successfully and they include technological, economic, political, and socio-cultural forces (Kotler and Keller, 2022). The forces of the macro-environment are growing more dynamic, and global technological change is the sole factor that adds above 50% to the disruptor of competitive elements across the industries (McKinsey, 2023). This change is more specifically observed in the automobile industry, with the electric vehicle (EV) market in the world expanding by a margin of over 35% in 2023 and selling over 14 million vehicles annually worldwide (IEA, 2023). These fast evolutions leave opportunities and threats behind </w:t>
      </w:r>
      <w:proofErr w:type="gramStart"/>
      <w:r w:rsidRPr="00BE26A6">
        <w:rPr>
          <w:rFonts w:ascii="Arial" w:hAnsi="Arial" w:cs="Arial"/>
        </w:rPr>
        <w:t>them</w:t>
      </w:r>
      <w:proofErr w:type="gramEnd"/>
      <w:r w:rsidRPr="00BE26A6">
        <w:rPr>
          <w:rFonts w:ascii="Arial" w:hAnsi="Arial" w:cs="Arial"/>
        </w:rPr>
        <w:t xml:space="preserve"> and firms need to keep on changing their strategies.</w:t>
      </w:r>
      <w:r w:rsidR="00AC0851" w:rsidRPr="00BE26A6">
        <w:rPr>
          <w:rFonts w:ascii="Arial" w:hAnsi="Arial" w:cs="Arial"/>
        </w:rPr>
        <w:t xml:space="preserve"> </w:t>
      </w:r>
      <w:r w:rsidRPr="00BE26A6">
        <w:rPr>
          <w:rFonts w:ascii="Arial" w:hAnsi="Arial" w:cs="Arial"/>
        </w:rPr>
        <w:t>These opposing standpoints offer a solid foundation of considering the influence of the external environment factors on the competitive advantage (Ford Annual Report, 2023).</w:t>
      </w:r>
    </w:p>
    <w:p w14:paraId="5D1BD548" w14:textId="77777777" w:rsidR="00F10AAF" w:rsidRPr="00BE26A6" w:rsidRDefault="000321CC" w:rsidP="000321CC">
      <w:pPr>
        <w:spacing w:line="360" w:lineRule="auto"/>
        <w:jc w:val="both"/>
        <w:rPr>
          <w:rFonts w:ascii="Arial" w:hAnsi="Arial" w:cs="Arial"/>
        </w:rPr>
      </w:pPr>
      <w:r w:rsidRPr="00BE26A6">
        <w:rPr>
          <w:rFonts w:ascii="Arial" w:hAnsi="Arial" w:cs="Arial"/>
        </w:rPr>
        <w:t xml:space="preserve">The report looks at how the selected macro factors present opportunities and threats to both the firms and measures their strategic response to them in terms of Porters Generic Strategies and Ansoff Growth Matrix. This facilitates a critical juxtaposition of the </w:t>
      </w:r>
      <w:proofErr w:type="gramStart"/>
      <w:r w:rsidRPr="00BE26A6">
        <w:rPr>
          <w:rFonts w:ascii="Arial" w:hAnsi="Arial" w:cs="Arial"/>
        </w:rPr>
        <w:t>manner in which</w:t>
      </w:r>
      <w:proofErr w:type="gramEnd"/>
      <w:r w:rsidRPr="00BE26A6">
        <w:rPr>
          <w:rFonts w:ascii="Arial" w:hAnsi="Arial" w:cs="Arial"/>
        </w:rPr>
        <w:t xml:space="preserve"> the pioneering and follower firms can maintain growth in a fast changing, and highly technological market.</w:t>
      </w:r>
    </w:p>
    <w:p w14:paraId="0FD20513" w14:textId="77777777" w:rsidR="00DE795C" w:rsidRPr="00BE26A6" w:rsidRDefault="000321CC" w:rsidP="006412A7">
      <w:pPr>
        <w:spacing w:line="360" w:lineRule="auto"/>
        <w:jc w:val="both"/>
        <w:rPr>
          <w:rFonts w:ascii="Arial" w:hAnsi="Arial" w:cs="Arial"/>
          <w:b/>
          <w:bCs/>
        </w:rPr>
      </w:pPr>
      <w:r w:rsidRPr="00BE26A6">
        <w:rPr>
          <w:rFonts w:ascii="Arial" w:hAnsi="Arial" w:cs="Arial"/>
          <w:b/>
          <w:bCs/>
        </w:rPr>
        <w:t>1. Task 1</w:t>
      </w:r>
      <w:r w:rsidR="00DE795C" w:rsidRPr="00BE26A6">
        <w:rPr>
          <w:rFonts w:ascii="Arial" w:hAnsi="Arial" w:cs="Arial"/>
          <w:b/>
          <w:bCs/>
        </w:rPr>
        <w:t xml:space="preserve"> Macro Environment Analysis</w:t>
      </w:r>
    </w:p>
    <w:p w14:paraId="07195C2F" w14:textId="77777777" w:rsidR="00DE795C" w:rsidRPr="00BE26A6" w:rsidRDefault="000321CC" w:rsidP="006412A7">
      <w:pPr>
        <w:spacing w:line="360" w:lineRule="auto"/>
        <w:jc w:val="both"/>
        <w:rPr>
          <w:rFonts w:ascii="Arial" w:hAnsi="Arial" w:cs="Arial"/>
        </w:rPr>
      </w:pPr>
      <w:r w:rsidRPr="00BE26A6">
        <w:rPr>
          <w:rFonts w:ascii="Arial" w:hAnsi="Arial" w:cs="Arial"/>
        </w:rPr>
        <w:t xml:space="preserve">The macro marketing environment is crucial in determining strategic marketing decisions by influencing the ability of firms, competitive positioning and sustainability in the </w:t>
      </w:r>
      <w:proofErr w:type="gramStart"/>
      <w:r w:rsidRPr="00BE26A6">
        <w:rPr>
          <w:rFonts w:ascii="Arial" w:hAnsi="Arial" w:cs="Arial"/>
        </w:rPr>
        <w:t>long-run</w:t>
      </w:r>
      <w:proofErr w:type="gramEnd"/>
      <w:r w:rsidRPr="00BE26A6">
        <w:rPr>
          <w:rFonts w:ascii="Arial" w:hAnsi="Arial" w:cs="Arial"/>
        </w:rPr>
        <w:t>. Two forces that dominate the current industry in the electric vehicle (EV) industry are environmental regulation and technological disruption, to which pioneer and follower firms are both exposed. This part is a critical evaluation of these factors to Tesla (pioneer) and Ford (follower).</w:t>
      </w:r>
    </w:p>
    <w:p w14:paraId="72F225FA" w14:textId="77777777" w:rsidR="00AC0851" w:rsidRPr="00BE26A6" w:rsidRDefault="00AC0851" w:rsidP="006412A7">
      <w:pPr>
        <w:spacing w:line="360" w:lineRule="auto"/>
        <w:jc w:val="both"/>
        <w:rPr>
          <w:rFonts w:ascii="Arial" w:hAnsi="Arial" w:cs="Arial"/>
        </w:rPr>
      </w:pPr>
    </w:p>
    <w:p w14:paraId="4EA7DCC8" w14:textId="77777777" w:rsidR="00AC0851" w:rsidRPr="00BE26A6" w:rsidRDefault="00AC0851" w:rsidP="006412A7">
      <w:pPr>
        <w:spacing w:line="360" w:lineRule="auto"/>
        <w:jc w:val="both"/>
        <w:rPr>
          <w:rFonts w:ascii="Arial" w:hAnsi="Arial" w:cs="Arial"/>
        </w:rPr>
      </w:pPr>
    </w:p>
    <w:p w14:paraId="18CDD354" w14:textId="77777777" w:rsidR="00AC0851" w:rsidRPr="00BE26A6" w:rsidRDefault="00AC0851" w:rsidP="006412A7">
      <w:pPr>
        <w:spacing w:line="360" w:lineRule="auto"/>
        <w:jc w:val="both"/>
        <w:rPr>
          <w:rFonts w:ascii="Arial" w:hAnsi="Arial" w:cs="Arial"/>
        </w:rPr>
      </w:pPr>
    </w:p>
    <w:p w14:paraId="2B30FBDC" w14:textId="77777777" w:rsidR="00DE795C" w:rsidRPr="00BE26A6" w:rsidRDefault="00DE795C" w:rsidP="006412A7">
      <w:pPr>
        <w:pStyle w:val="Heading2"/>
      </w:pPr>
      <w:bookmarkStart w:id="1" w:name="_Toc225371867"/>
      <w:r w:rsidRPr="00BE26A6">
        <w:lastRenderedPageBreak/>
        <w:t>1.1 Macro Factor 1: Government Regula</w:t>
      </w:r>
      <w:r w:rsidR="006412A7" w:rsidRPr="00BE26A6">
        <w:t>tion and Environmental Policies</w:t>
      </w:r>
      <w:bookmarkEnd w:id="1"/>
    </w:p>
    <w:p w14:paraId="113ADF32" w14:textId="77777777" w:rsidR="00DE795C" w:rsidRPr="00BE26A6" w:rsidRDefault="00A45C51" w:rsidP="00A45C51">
      <w:pPr>
        <w:pStyle w:val="Heading3"/>
      </w:pPr>
      <w:bookmarkStart w:id="2" w:name="_Toc225371868"/>
      <w:r w:rsidRPr="00BE26A6">
        <w:t xml:space="preserve">1.1.1 </w:t>
      </w:r>
      <w:r w:rsidR="00DE795C" w:rsidRPr="00BE26A6">
        <w:t>Explanation</w:t>
      </w:r>
      <w:bookmarkEnd w:id="2"/>
    </w:p>
    <w:p w14:paraId="1A914474" w14:textId="77777777" w:rsidR="00DE795C" w:rsidRPr="00BE26A6" w:rsidRDefault="000321CC" w:rsidP="006412A7">
      <w:pPr>
        <w:spacing w:line="360" w:lineRule="auto"/>
        <w:jc w:val="both"/>
        <w:rPr>
          <w:rFonts w:ascii="Arial" w:hAnsi="Arial" w:cs="Arial"/>
        </w:rPr>
      </w:pPr>
      <w:r w:rsidRPr="00BE26A6">
        <w:rPr>
          <w:rFonts w:ascii="Arial" w:hAnsi="Arial" w:cs="Arial"/>
        </w:rPr>
        <w:t xml:space="preserve">Electric mobility transition has been expedited by government policies that are meant to reduce carbon emissions. At a global level, transport generates about 24% of CO 2 emissions, and more than 130 countries have set net-zero targets (IEA, 2023). Besides the regulatory prohibitions, like the proposal to cancel petrol and diesel cars in the UK by 2035, the governments introduce more strict emission standards and develop EV infrastructure. As an example, the European Union has already set fleet-wide emission levels of 55 percent cut by 2030, and worldwide government expenditures on EV subsidies reached more than30 billion dollars in 2022 (IEA, 2023). </w:t>
      </w:r>
    </w:p>
    <w:p w14:paraId="51FBCDF6" w14:textId="77777777" w:rsidR="00DE795C" w:rsidRPr="00BE26A6" w:rsidRDefault="00A45C51" w:rsidP="00A45C51">
      <w:pPr>
        <w:pStyle w:val="Heading3"/>
      </w:pPr>
      <w:bookmarkStart w:id="3" w:name="_Toc225371869"/>
      <w:r w:rsidRPr="00BE26A6">
        <w:t xml:space="preserve">1.1.2 </w:t>
      </w:r>
      <w:r w:rsidR="00DE795C" w:rsidRPr="00BE26A6">
        <w:t>Impact on Pioneer (Tesla)</w:t>
      </w:r>
      <w:bookmarkEnd w:id="3"/>
    </w:p>
    <w:p w14:paraId="44193C92" w14:textId="77777777" w:rsidR="00DE795C" w:rsidRPr="00BE26A6" w:rsidRDefault="000321CC" w:rsidP="006412A7">
      <w:pPr>
        <w:spacing w:line="360" w:lineRule="auto"/>
        <w:jc w:val="both"/>
        <w:rPr>
          <w:rFonts w:ascii="Arial" w:hAnsi="Arial" w:cs="Arial"/>
        </w:rPr>
      </w:pPr>
      <w:r w:rsidRPr="00BE26A6">
        <w:rPr>
          <w:rFonts w:ascii="Arial" w:hAnsi="Arial" w:cs="Arial"/>
        </w:rPr>
        <w:t xml:space="preserve">Tesla has positioned itself to be in line with environmental regulation, where it has been enjoying the benefits of policy-based incentives and regulatory systems. In 2023, the company earned more than 1.8 billion regulatory </w:t>
      </w:r>
      <w:proofErr w:type="gramStart"/>
      <w:r w:rsidRPr="00BE26A6">
        <w:rPr>
          <w:rFonts w:ascii="Arial" w:hAnsi="Arial" w:cs="Arial"/>
        </w:rPr>
        <w:t>credit</w:t>
      </w:r>
      <w:proofErr w:type="gramEnd"/>
      <w:r w:rsidRPr="00BE26A6">
        <w:rPr>
          <w:rFonts w:ascii="Arial" w:hAnsi="Arial" w:cs="Arial"/>
        </w:rPr>
        <w:t xml:space="preserve"> in revenue which directly added to profitability (Tesla Annual Report, 2023). The global emission standards can be met with its fully electric portfolio of goods immediately, which means that Tesla can scale efficiently in regulated markets like in Europe and China. Moreover, Tesla has been investing in EV infrastructure, including charging networks, early, which helps the company gain its leading position in the market in </w:t>
      </w:r>
      <w:proofErr w:type="spellStart"/>
      <w:r w:rsidRPr="00BE26A6">
        <w:rPr>
          <w:rFonts w:ascii="Arial" w:hAnsi="Arial" w:cs="Arial"/>
        </w:rPr>
        <w:t>favorable</w:t>
      </w:r>
      <w:proofErr w:type="spellEnd"/>
      <w:r w:rsidRPr="00BE26A6">
        <w:rPr>
          <w:rFonts w:ascii="Arial" w:hAnsi="Arial" w:cs="Arial"/>
        </w:rPr>
        <w:t xml:space="preserve"> policy settings. Nevertheless, this benefit does not come without a price. Tesla might experience margin compression and differentiation in the future as the governments slowly remove subsidies and enhance competition by supporting new entrants to the market with policies. Hence, regulation helps Tesla to build leadership, but at the same time, it causes strategic uncertainty in the long-term.</w:t>
      </w:r>
    </w:p>
    <w:p w14:paraId="17357D97" w14:textId="77777777" w:rsidR="00DE795C" w:rsidRPr="00BE26A6" w:rsidRDefault="00A45C51" w:rsidP="00A45C51">
      <w:pPr>
        <w:pStyle w:val="Heading3"/>
      </w:pPr>
      <w:bookmarkStart w:id="4" w:name="_Toc225371870"/>
      <w:r w:rsidRPr="00BE26A6">
        <w:t xml:space="preserve">1.1.3 </w:t>
      </w:r>
      <w:r w:rsidR="00DE795C" w:rsidRPr="00BE26A6">
        <w:t>Impact on Follower (Ford)</w:t>
      </w:r>
      <w:bookmarkEnd w:id="4"/>
    </w:p>
    <w:p w14:paraId="7A1FC771" w14:textId="77777777" w:rsidR="00DE795C" w:rsidRPr="00BE26A6" w:rsidRDefault="000321CC" w:rsidP="006412A7">
      <w:pPr>
        <w:spacing w:line="360" w:lineRule="auto"/>
        <w:jc w:val="both"/>
        <w:rPr>
          <w:rFonts w:ascii="Arial" w:hAnsi="Arial" w:cs="Arial"/>
        </w:rPr>
      </w:pPr>
      <w:r w:rsidRPr="00BE26A6">
        <w:rPr>
          <w:rFonts w:ascii="Arial" w:hAnsi="Arial" w:cs="Arial"/>
        </w:rPr>
        <w:t xml:space="preserve">Ford also experiences a significant level of regulatory pressure because it has traditionally relied on internal combustion engine (ICE) vehicles. </w:t>
      </w:r>
      <w:proofErr w:type="gramStart"/>
      <w:r w:rsidRPr="00BE26A6">
        <w:rPr>
          <w:rFonts w:ascii="Arial" w:hAnsi="Arial" w:cs="Arial"/>
        </w:rPr>
        <w:t>In order to</w:t>
      </w:r>
      <w:proofErr w:type="gramEnd"/>
      <w:r w:rsidRPr="00BE26A6">
        <w:rPr>
          <w:rFonts w:ascii="Arial" w:hAnsi="Arial" w:cs="Arial"/>
        </w:rPr>
        <w:t xml:space="preserve"> adhere to environment policies, the company has invested more than 50billion in electrification by 2026 (Ford Annual Report, 2023). This shift comes with a heavy capital cost, reorganization costs, </w:t>
      </w:r>
      <w:r w:rsidRPr="00BE26A6">
        <w:rPr>
          <w:rFonts w:ascii="Arial" w:hAnsi="Arial" w:cs="Arial"/>
        </w:rPr>
        <w:lastRenderedPageBreak/>
        <w:t>and its operation risks especially because Ford should at the same time deal with the falling ICE revenues. Moreover, emission regulations enhance complexity in production and supply chain adaptation particularly in the battery supply. Nonetheless, the regulation also gives the strategic opportunities that would gain access to the market of EVs with Ford and allow the company to access the government incentives. Irrespective of this, Tesla has a privilege over Ford due to the late-mover factor, which restricts its capacity to reap the full benefits of its policies.</w:t>
      </w:r>
    </w:p>
    <w:p w14:paraId="30334618" w14:textId="77777777" w:rsidR="00DE795C" w:rsidRPr="00BE26A6" w:rsidRDefault="00A45C51" w:rsidP="00A45C51">
      <w:pPr>
        <w:pStyle w:val="Heading3"/>
      </w:pPr>
      <w:bookmarkStart w:id="5" w:name="_Toc225371871"/>
      <w:r w:rsidRPr="00BE26A6">
        <w:t xml:space="preserve">1.1.4 </w:t>
      </w:r>
      <w:r w:rsidR="00DE795C" w:rsidRPr="00BE26A6">
        <w:t>Comparison</w:t>
      </w:r>
      <w:bookmarkEnd w:id="5"/>
    </w:p>
    <w:p w14:paraId="3A14CCED" w14:textId="77777777" w:rsidR="000321CC" w:rsidRPr="00BE26A6" w:rsidRDefault="000321CC" w:rsidP="006412A7">
      <w:pPr>
        <w:spacing w:line="360" w:lineRule="auto"/>
        <w:jc w:val="both"/>
        <w:rPr>
          <w:rFonts w:ascii="Arial" w:hAnsi="Arial" w:cs="Arial"/>
        </w:rPr>
      </w:pPr>
      <w:r w:rsidRPr="00BE26A6">
        <w:rPr>
          <w:rFonts w:ascii="Arial" w:hAnsi="Arial" w:cs="Arial"/>
        </w:rPr>
        <w:t>Environmental regulation, as Table 1 demonstrates, strengthens the first-mover advantage of Tesla and presents structure- and money-related pressure on Ford. The identical macro factor generates asymmetric effects with Tesla gaining the advantages of alignment and efficiency, and Ford being forced to bear transition costs and strategic constraints. This shows that regulatory environments have tendencies to support pioneering firms who already have established capabilities hence increasing competitive distances in the industry.</w:t>
      </w:r>
    </w:p>
    <w:p w14:paraId="4B068181" w14:textId="77777777" w:rsidR="00DE795C" w:rsidRPr="00BE26A6" w:rsidRDefault="000321CC" w:rsidP="006412A7">
      <w:pPr>
        <w:spacing w:line="360" w:lineRule="auto"/>
        <w:jc w:val="both"/>
        <w:rPr>
          <w:rFonts w:ascii="Arial" w:hAnsi="Arial" w:cs="Arial"/>
          <w:b/>
          <w:bCs/>
        </w:rPr>
      </w:pPr>
      <w:r w:rsidRPr="00BE26A6">
        <w:rPr>
          <w:rFonts w:ascii="Arial" w:hAnsi="Arial" w:cs="Arial"/>
          <w:b/>
          <w:bCs/>
        </w:rPr>
        <w:t>Table 1: Tesla and Ford Compared in terms of the Effect of Environmental Regulation.</w:t>
      </w:r>
    </w:p>
    <w:tbl>
      <w:tblPr>
        <w:tblStyle w:val="GridTable5Dark-Accent1"/>
        <w:tblW w:w="9277" w:type="dxa"/>
        <w:tblLook w:val="04A0" w:firstRow="1" w:lastRow="0" w:firstColumn="1" w:lastColumn="0" w:noHBand="0" w:noVBand="1"/>
      </w:tblPr>
      <w:tblGrid>
        <w:gridCol w:w="2377"/>
        <w:gridCol w:w="3759"/>
        <w:gridCol w:w="3141"/>
      </w:tblGrid>
      <w:tr w:rsidR="00DE795C" w:rsidRPr="00BE26A6" w14:paraId="4F2263E7" w14:textId="77777777" w:rsidTr="006412A7">
        <w:trPr>
          <w:cnfStyle w:val="100000000000" w:firstRow="1" w:lastRow="0" w:firstColumn="0" w:lastColumn="0" w:oddVBand="0" w:evenVBand="0" w:oddHBand="0" w:evenHBand="0" w:firstRowFirstColumn="0" w:firstRowLastColumn="0" w:lastRowFirstColumn="0" w:lastRowLastColumn="0"/>
          <w:trHeight w:val="657"/>
        </w:trPr>
        <w:tc>
          <w:tcPr>
            <w:cnfStyle w:val="001000000000" w:firstRow="0" w:lastRow="0" w:firstColumn="1" w:lastColumn="0" w:oddVBand="0" w:evenVBand="0" w:oddHBand="0" w:evenHBand="0" w:firstRowFirstColumn="0" w:firstRowLastColumn="0" w:lastRowFirstColumn="0" w:lastRowLastColumn="0"/>
            <w:tcW w:w="0" w:type="auto"/>
            <w:hideMark/>
          </w:tcPr>
          <w:p w14:paraId="53A310CC" w14:textId="77777777" w:rsidR="00DE795C" w:rsidRPr="00BE26A6" w:rsidRDefault="00DE795C" w:rsidP="006412A7">
            <w:pPr>
              <w:spacing w:after="160"/>
              <w:rPr>
                <w:rFonts w:ascii="Arial" w:hAnsi="Arial" w:cs="Arial"/>
                <w:b w:val="0"/>
                <w:bCs w:val="0"/>
              </w:rPr>
            </w:pPr>
            <w:r w:rsidRPr="00BE26A6">
              <w:rPr>
                <w:rFonts w:ascii="Arial" w:hAnsi="Arial" w:cs="Arial"/>
              </w:rPr>
              <w:t>Aspect</w:t>
            </w:r>
          </w:p>
        </w:tc>
        <w:tc>
          <w:tcPr>
            <w:tcW w:w="0" w:type="auto"/>
            <w:hideMark/>
          </w:tcPr>
          <w:p w14:paraId="31C84145" w14:textId="77777777" w:rsidR="00DE795C" w:rsidRPr="00BE26A6" w:rsidRDefault="00DE795C" w:rsidP="006412A7">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BE26A6">
              <w:rPr>
                <w:rFonts w:ascii="Arial" w:hAnsi="Arial" w:cs="Arial"/>
              </w:rPr>
              <w:t>Tesla (Pioneer)</w:t>
            </w:r>
          </w:p>
        </w:tc>
        <w:tc>
          <w:tcPr>
            <w:tcW w:w="0" w:type="auto"/>
            <w:hideMark/>
          </w:tcPr>
          <w:p w14:paraId="6A7CC1C4" w14:textId="77777777" w:rsidR="00DE795C" w:rsidRPr="00BE26A6" w:rsidRDefault="00DE795C" w:rsidP="006412A7">
            <w:pPr>
              <w:spacing w:after="160"/>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BE26A6">
              <w:rPr>
                <w:rFonts w:ascii="Arial" w:hAnsi="Arial" w:cs="Arial"/>
              </w:rPr>
              <w:t>Ford (Follower)</w:t>
            </w:r>
          </w:p>
        </w:tc>
      </w:tr>
      <w:tr w:rsidR="00DE795C" w:rsidRPr="00BE26A6" w14:paraId="251C5DC3" w14:textId="77777777" w:rsidTr="006412A7">
        <w:trPr>
          <w:cnfStyle w:val="000000100000" w:firstRow="0" w:lastRow="0" w:firstColumn="0" w:lastColumn="0" w:oddVBand="0" w:evenVBand="0" w:oddHBand="1"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0" w:type="auto"/>
            <w:hideMark/>
          </w:tcPr>
          <w:p w14:paraId="755F7DBD" w14:textId="77777777" w:rsidR="00DE795C" w:rsidRPr="00BE26A6" w:rsidRDefault="00DE795C" w:rsidP="006412A7">
            <w:pPr>
              <w:spacing w:after="160"/>
              <w:rPr>
                <w:rFonts w:ascii="Arial" w:hAnsi="Arial" w:cs="Arial"/>
              </w:rPr>
            </w:pPr>
            <w:r w:rsidRPr="00BE26A6">
              <w:rPr>
                <w:rFonts w:ascii="Arial" w:hAnsi="Arial" w:cs="Arial"/>
              </w:rPr>
              <w:t>Business Alignment</w:t>
            </w:r>
          </w:p>
        </w:tc>
        <w:tc>
          <w:tcPr>
            <w:tcW w:w="0" w:type="auto"/>
            <w:shd w:val="clear" w:color="auto" w:fill="DAE9F7" w:themeFill="text2" w:themeFillTint="1A"/>
            <w:hideMark/>
          </w:tcPr>
          <w:p w14:paraId="6B67C048" w14:textId="77777777" w:rsidR="00DE795C" w:rsidRPr="00BE26A6" w:rsidRDefault="00DE795C" w:rsidP="006412A7">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Fully aligned with EV policies</w:t>
            </w:r>
          </w:p>
        </w:tc>
        <w:tc>
          <w:tcPr>
            <w:tcW w:w="0" w:type="auto"/>
            <w:shd w:val="clear" w:color="auto" w:fill="DAE9F7" w:themeFill="text2" w:themeFillTint="1A"/>
            <w:hideMark/>
          </w:tcPr>
          <w:p w14:paraId="0648777B" w14:textId="77777777" w:rsidR="00DE795C" w:rsidRPr="00BE26A6" w:rsidRDefault="00DE795C" w:rsidP="006412A7">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Transitioning from ICE vehicles</w:t>
            </w:r>
          </w:p>
        </w:tc>
      </w:tr>
      <w:tr w:rsidR="00DE795C" w:rsidRPr="00BE26A6" w14:paraId="1C9E9720" w14:textId="77777777" w:rsidTr="006412A7">
        <w:trPr>
          <w:trHeight w:val="1077"/>
        </w:trPr>
        <w:tc>
          <w:tcPr>
            <w:cnfStyle w:val="001000000000" w:firstRow="0" w:lastRow="0" w:firstColumn="1" w:lastColumn="0" w:oddVBand="0" w:evenVBand="0" w:oddHBand="0" w:evenHBand="0" w:firstRowFirstColumn="0" w:firstRowLastColumn="0" w:lastRowFirstColumn="0" w:lastRowLastColumn="0"/>
            <w:tcW w:w="0" w:type="auto"/>
            <w:hideMark/>
          </w:tcPr>
          <w:p w14:paraId="4C45BE88" w14:textId="77777777" w:rsidR="00DE795C" w:rsidRPr="00BE26A6" w:rsidRDefault="00DE795C" w:rsidP="006412A7">
            <w:pPr>
              <w:spacing w:after="160"/>
              <w:rPr>
                <w:rFonts w:ascii="Arial" w:hAnsi="Arial" w:cs="Arial"/>
              </w:rPr>
            </w:pPr>
            <w:r w:rsidRPr="00BE26A6">
              <w:rPr>
                <w:rFonts w:ascii="Arial" w:hAnsi="Arial" w:cs="Arial"/>
              </w:rPr>
              <w:t>Financial Impact</w:t>
            </w:r>
          </w:p>
        </w:tc>
        <w:tc>
          <w:tcPr>
            <w:tcW w:w="0" w:type="auto"/>
            <w:shd w:val="clear" w:color="auto" w:fill="DAE9F7" w:themeFill="text2" w:themeFillTint="1A"/>
            <w:hideMark/>
          </w:tcPr>
          <w:p w14:paraId="2AAB4631" w14:textId="77777777" w:rsidR="00DE795C" w:rsidRPr="00BE26A6" w:rsidRDefault="00DE795C" w:rsidP="006412A7">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$1.8 billion regulatory credit revenue</w:t>
            </w:r>
          </w:p>
        </w:tc>
        <w:tc>
          <w:tcPr>
            <w:tcW w:w="0" w:type="auto"/>
            <w:shd w:val="clear" w:color="auto" w:fill="DAE9F7" w:themeFill="text2" w:themeFillTint="1A"/>
            <w:hideMark/>
          </w:tcPr>
          <w:p w14:paraId="07B09707" w14:textId="77777777" w:rsidR="00DE795C" w:rsidRPr="00BE26A6" w:rsidRDefault="00DE795C" w:rsidP="006412A7">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$50+ billion investment cost</w:t>
            </w:r>
          </w:p>
        </w:tc>
      </w:tr>
      <w:tr w:rsidR="00DE795C" w:rsidRPr="00BE26A6" w14:paraId="50A42197" w14:textId="77777777" w:rsidTr="006412A7">
        <w:trPr>
          <w:cnfStyle w:val="000000100000" w:firstRow="0" w:lastRow="0" w:firstColumn="0" w:lastColumn="0" w:oddVBand="0" w:evenVBand="0" w:oddHBand="1" w:evenHBand="0" w:firstRowFirstColumn="0" w:firstRowLastColumn="0" w:lastRowFirstColumn="0" w:lastRowLastColumn="0"/>
          <w:trHeight w:val="1095"/>
        </w:trPr>
        <w:tc>
          <w:tcPr>
            <w:cnfStyle w:val="001000000000" w:firstRow="0" w:lastRow="0" w:firstColumn="1" w:lastColumn="0" w:oddVBand="0" w:evenVBand="0" w:oddHBand="0" w:evenHBand="0" w:firstRowFirstColumn="0" w:firstRowLastColumn="0" w:lastRowFirstColumn="0" w:lastRowLastColumn="0"/>
            <w:tcW w:w="0" w:type="auto"/>
            <w:hideMark/>
          </w:tcPr>
          <w:p w14:paraId="0B186737" w14:textId="77777777" w:rsidR="00DE795C" w:rsidRPr="00BE26A6" w:rsidRDefault="00DE795C" w:rsidP="006412A7">
            <w:pPr>
              <w:spacing w:after="160"/>
              <w:rPr>
                <w:rFonts w:ascii="Arial" w:hAnsi="Arial" w:cs="Arial"/>
              </w:rPr>
            </w:pPr>
            <w:r w:rsidRPr="00BE26A6">
              <w:rPr>
                <w:rFonts w:ascii="Arial" w:hAnsi="Arial" w:cs="Arial"/>
              </w:rPr>
              <w:t>Competitive Advantage</w:t>
            </w:r>
          </w:p>
        </w:tc>
        <w:tc>
          <w:tcPr>
            <w:tcW w:w="0" w:type="auto"/>
            <w:shd w:val="clear" w:color="auto" w:fill="DAE9F7" w:themeFill="text2" w:themeFillTint="1A"/>
            <w:hideMark/>
          </w:tcPr>
          <w:p w14:paraId="423C727C" w14:textId="77777777" w:rsidR="00DE795C" w:rsidRPr="00BE26A6" w:rsidRDefault="00DE795C" w:rsidP="006412A7">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Strengthened due to early adoption</w:t>
            </w:r>
          </w:p>
        </w:tc>
        <w:tc>
          <w:tcPr>
            <w:tcW w:w="0" w:type="auto"/>
            <w:shd w:val="clear" w:color="auto" w:fill="DAE9F7" w:themeFill="text2" w:themeFillTint="1A"/>
            <w:hideMark/>
          </w:tcPr>
          <w:p w14:paraId="2400E028" w14:textId="77777777" w:rsidR="00DE795C" w:rsidRPr="00BE26A6" w:rsidRDefault="00DE795C" w:rsidP="006412A7">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Weakened due to legacy constraints</w:t>
            </w:r>
          </w:p>
        </w:tc>
      </w:tr>
      <w:tr w:rsidR="00DE795C" w:rsidRPr="00BE26A6" w14:paraId="4D74CD15" w14:textId="77777777" w:rsidTr="006412A7">
        <w:trPr>
          <w:trHeight w:val="1077"/>
        </w:trPr>
        <w:tc>
          <w:tcPr>
            <w:cnfStyle w:val="001000000000" w:firstRow="0" w:lastRow="0" w:firstColumn="1" w:lastColumn="0" w:oddVBand="0" w:evenVBand="0" w:oddHBand="0" w:evenHBand="0" w:firstRowFirstColumn="0" w:firstRowLastColumn="0" w:lastRowFirstColumn="0" w:lastRowLastColumn="0"/>
            <w:tcW w:w="0" w:type="auto"/>
            <w:hideMark/>
          </w:tcPr>
          <w:p w14:paraId="43A98D80" w14:textId="77777777" w:rsidR="00DE795C" w:rsidRPr="00BE26A6" w:rsidRDefault="00DE795C" w:rsidP="006412A7">
            <w:pPr>
              <w:spacing w:after="160"/>
              <w:rPr>
                <w:rFonts w:ascii="Arial" w:hAnsi="Arial" w:cs="Arial"/>
              </w:rPr>
            </w:pPr>
            <w:r w:rsidRPr="00BE26A6">
              <w:rPr>
                <w:rFonts w:ascii="Arial" w:hAnsi="Arial" w:cs="Arial"/>
              </w:rPr>
              <w:t>Risk Exposure</w:t>
            </w:r>
          </w:p>
        </w:tc>
        <w:tc>
          <w:tcPr>
            <w:tcW w:w="0" w:type="auto"/>
            <w:shd w:val="clear" w:color="auto" w:fill="DAE9F7" w:themeFill="text2" w:themeFillTint="1A"/>
            <w:hideMark/>
          </w:tcPr>
          <w:p w14:paraId="5AA633B3" w14:textId="77777777" w:rsidR="00DE795C" w:rsidRPr="00BE26A6" w:rsidRDefault="00DE795C" w:rsidP="006412A7">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Dependency on subsidies and policy changes</w:t>
            </w:r>
          </w:p>
        </w:tc>
        <w:tc>
          <w:tcPr>
            <w:tcW w:w="0" w:type="auto"/>
            <w:shd w:val="clear" w:color="auto" w:fill="DAE9F7" w:themeFill="text2" w:themeFillTint="1A"/>
            <w:hideMark/>
          </w:tcPr>
          <w:p w14:paraId="351A4FD1" w14:textId="77777777" w:rsidR="00DE795C" w:rsidRPr="00BE26A6" w:rsidRDefault="00DE795C" w:rsidP="006412A7">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High transition and compliance costs</w:t>
            </w:r>
          </w:p>
        </w:tc>
      </w:tr>
    </w:tbl>
    <w:p w14:paraId="14EC7566" w14:textId="77777777" w:rsidR="00DE795C" w:rsidRPr="00BE26A6" w:rsidRDefault="00DE795C" w:rsidP="006412A7">
      <w:pPr>
        <w:pStyle w:val="Heading2"/>
      </w:pPr>
      <w:bookmarkStart w:id="6" w:name="_Toc225371872"/>
      <w:r w:rsidRPr="00BE26A6">
        <w:lastRenderedPageBreak/>
        <w:t>1.2 Macro Factor 2: Technologi</w:t>
      </w:r>
      <w:r w:rsidR="006412A7" w:rsidRPr="00BE26A6">
        <w:t>cal Advancement and Innovation</w:t>
      </w:r>
      <w:bookmarkEnd w:id="6"/>
    </w:p>
    <w:p w14:paraId="4E608A91" w14:textId="77777777" w:rsidR="00DE795C" w:rsidRPr="00BE26A6" w:rsidRDefault="00A45C51" w:rsidP="00A45C51">
      <w:pPr>
        <w:pStyle w:val="Heading3"/>
      </w:pPr>
      <w:bookmarkStart w:id="7" w:name="_Toc225371873"/>
      <w:r w:rsidRPr="00BE26A6">
        <w:t xml:space="preserve">1.2.1 </w:t>
      </w:r>
      <w:r w:rsidR="00DE795C" w:rsidRPr="00BE26A6">
        <w:t>Explanation</w:t>
      </w:r>
      <w:bookmarkEnd w:id="7"/>
    </w:p>
    <w:p w14:paraId="68B0C593" w14:textId="77777777" w:rsidR="00DE795C" w:rsidRPr="00BE26A6" w:rsidRDefault="00925BA8" w:rsidP="006412A7">
      <w:pPr>
        <w:spacing w:line="360" w:lineRule="auto"/>
        <w:jc w:val="both"/>
        <w:rPr>
          <w:rFonts w:ascii="Arial" w:hAnsi="Arial" w:cs="Arial"/>
        </w:rPr>
      </w:pPr>
      <w:r w:rsidRPr="00BE26A6">
        <w:rPr>
          <w:rFonts w:ascii="Arial" w:hAnsi="Arial" w:cs="Arial"/>
        </w:rPr>
        <w:t>The EV industry is highly competitive with technological innovation being the core source of competitive advantage, which has essentially changed the way products are developed, cost structure, and customer value propositions. The cost of batteries has decreased by about 89 percent since 2010 and gone down to less than 150/kWh, a factor that has made batteries affordable and has enhanced their mass adoption (</w:t>
      </w:r>
      <w:proofErr w:type="spellStart"/>
      <w:r w:rsidRPr="00BE26A6">
        <w:rPr>
          <w:rFonts w:ascii="Arial" w:hAnsi="Arial" w:cs="Arial"/>
        </w:rPr>
        <w:t>BloombergNEF</w:t>
      </w:r>
      <w:proofErr w:type="spellEnd"/>
      <w:r w:rsidRPr="00BE26A6">
        <w:rPr>
          <w:rFonts w:ascii="Arial" w:hAnsi="Arial" w:cs="Arial"/>
        </w:rPr>
        <w:t xml:space="preserve">, 2023). Simultaneously, investments in EV-related technologies are expected to grow to more than 1.2 trillion around the globe in 2030, which illustrates the magnitude of the transformations in the industry (IEA, 2023). In addition to batteries, artificial intelligence, autonomous driving and software-defined vehicles are transforming cars into digital platforms instead of mechanical products. As an illustration, connected and software-enabled functions are anticipated to be present on over 70 percent of new automobiles by the year 2030 (McKinsey, 2023). </w:t>
      </w:r>
    </w:p>
    <w:p w14:paraId="60987DA1" w14:textId="77777777" w:rsidR="00DE795C" w:rsidRPr="00BE26A6" w:rsidRDefault="00A45C51" w:rsidP="00A45C51">
      <w:pPr>
        <w:pStyle w:val="Heading3"/>
      </w:pPr>
      <w:bookmarkStart w:id="8" w:name="_Toc225371874"/>
      <w:r w:rsidRPr="00BE26A6">
        <w:t xml:space="preserve">1.2.2 </w:t>
      </w:r>
      <w:r w:rsidR="00DE795C" w:rsidRPr="00BE26A6">
        <w:t>Impact on Pioneer (Tesla)</w:t>
      </w:r>
      <w:bookmarkEnd w:id="8"/>
    </w:p>
    <w:p w14:paraId="55187289" w14:textId="77777777" w:rsidR="00DE795C" w:rsidRPr="00BE26A6" w:rsidRDefault="00310C2B" w:rsidP="006412A7">
      <w:pPr>
        <w:spacing w:line="360" w:lineRule="auto"/>
        <w:jc w:val="both"/>
        <w:rPr>
          <w:rFonts w:ascii="Arial" w:hAnsi="Arial" w:cs="Arial"/>
        </w:rPr>
      </w:pPr>
      <w:r w:rsidRPr="00BE26A6">
        <w:rPr>
          <w:rFonts w:ascii="Arial" w:hAnsi="Arial" w:cs="Arial"/>
        </w:rPr>
        <w:t xml:space="preserve">One of the strategic capabilities that Tesla has had an opportunity to exploit is technological innovation, which has allowed it to differentiate effectively and lead the market. Its cars have a range of over 500km per charge, which is impressive in comparison to many rivals, and its Full Self-Driving (FSD) software and over-the-air updates further improve customer experience and lifecycle product value (Tesla Annual Report, 2023). The vertical design with battery, software development, and charging stations ensures that Tesla </w:t>
      </w:r>
      <w:proofErr w:type="gramStart"/>
      <w:r w:rsidRPr="00BE26A6">
        <w:rPr>
          <w:rFonts w:ascii="Arial" w:hAnsi="Arial" w:cs="Arial"/>
        </w:rPr>
        <w:t>is able to</w:t>
      </w:r>
      <w:proofErr w:type="gramEnd"/>
      <w:r w:rsidRPr="00BE26A6">
        <w:rPr>
          <w:rFonts w:ascii="Arial" w:hAnsi="Arial" w:cs="Arial"/>
        </w:rPr>
        <w:t xml:space="preserve"> innovate more quickly and have a greater control over performance improvements. Besides, the AI capabilities and autonomous driving development are enhanced </w:t>
      </w:r>
      <w:proofErr w:type="gramStart"/>
      <w:r w:rsidRPr="00BE26A6">
        <w:rPr>
          <w:rFonts w:ascii="Arial" w:hAnsi="Arial" w:cs="Arial"/>
        </w:rPr>
        <w:t>by the use of</w:t>
      </w:r>
      <w:proofErr w:type="gramEnd"/>
      <w:r w:rsidRPr="00BE26A6">
        <w:rPr>
          <w:rFonts w:ascii="Arial" w:hAnsi="Arial" w:cs="Arial"/>
        </w:rPr>
        <w:t xml:space="preserve"> data-driven approach of Tesla that provides billions of miles of driving data. Nevertheless, the threat of the technologizing world is increasing. Rivalry in the form of BYD and Volkswagen are boosting their R&amp;D budgets, and the number of patent filings in EVs worldwide is growing over 20 percent each year, which means the competition in innovation is growing (IEA, 2023). Subsequently, Tesla is slowly losing its technological edge, which needs ongoing investment to maintain it.</w:t>
      </w:r>
    </w:p>
    <w:p w14:paraId="25EEE4F0" w14:textId="77777777" w:rsidR="00DE795C" w:rsidRPr="00BE26A6" w:rsidRDefault="00A45C51" w:rsidP="00A45C51">
      <w:pPr>
        <w:pStyle w:val="Heading3"/>
      </w:pPr>
      <w:bookmarkStart w:id="9" w:name="_Toc225371875"/>
      <w:r w:rsidRPr="00BE26A6">
        <w:lastRenderedPageBreak/>
        <w:t xml:space="preserve">1.2.3 </w:t>
      </w:r>
      <w:r w:rsidR="00DE795C" w:rsidRPr="00BE26A6">
        <w:t>Impact on Follower (Ford)</w:t>
      </w:r>
      <w:bookmarkEnd w:id="9"/>
    </w:p>
    <w:p w14:paraId="58D185A1" w14:textId="77777777" w:rsidR="00DE795C" w:rsidRPr="00BE26A6" w:rsidRDefault="00310C2B" w:rsidP="00310C2B">
      <w:pPr>
        <w:pStyle w:val="NormalWeb"/>
        <w:spacing w:line="360" w:lineRule="auto"/>
        <w:jc w:val="both"/>
        <w:rPr>
          <w:rFonts w:ascii="Arial" w:hAnsi="Arial" w:cs="Arial"/>
        </w:rPr>
      </w:pPr>
      <w:r w:rsidRPr="00BE26A6">
        <w:rPr>
          <w:rFonts w:ascii="Arial" w:hAnsi="Arial" w:cs="Arial"/>
        </w:rPr>
        <w:t xml:space="preserve">Ford also experiences a major threat in the technological ability as it has concentrated on conventional car manufacturing in the past. The company is relying much on strategic alliances, which includes battery technology and software systems, which restricts their ability to control the pace of innovation and the differentiation. Despite launching such competitive EV models as Mustang Mach-E and F-150 Lightning, Ford vehicles can often be compared to Tesla with respect to the software integration and self-driving capabilities. Also, the spending by the Ford R&amp;D, although growing, is still relatively low in comparison to major EV innovators. Nevertheless, the large-scale manufacturing experience of Ford is a prospective cost-efficient and mass production possibility. This would enable Ford to do price competition instead of innovation, especially with the maturation of EV markets. However, its delayed technological adjustment limits its capability to completely exploit the opportunities posed by fast innovation. Figure 1 demonstrates that Tesla has a better investment </w:t>
      </w:r>
      <w:proofErr w:type="gramStart"/>
      <w:r w:rsidRPr="00BE26A6">
        <w:rPr>
          <w:rFonts w:ascii="Arial" w:hAnsi="Arial" w:cs="Arial"/>
        </w:rPr>
        <w:t>in the area of</w:t>
      </w:r>
      <w:proofErr w:type="gramEnd"/>
      <w:r w:rsidRPr="00BE26A6">
        <w:rPr>
          <w:rFonts w:ascii="Arial" w:hAnsi="Arial" w:cs="Arial"/>
        </w:rPr>
        <w:t xml:space="preserve"> R&amp;D that contributes to its competitive advantage in terms of innovation in relation to followed companies like Ford.</w:t>
      </w:r>
    </w:p>
    <w:p w14:paraId="79006566" w14:textId="77777777" w:rsidR="006447B5" w:rsidRPr="00BE26A6" w:rsidRDefault="006447B5" w:rsidP="006412A7">
      <w:pPr>
        <w:spacing w:line="360" w:lineRule="auto"/>
        <w:jc w:val="both"/>
        <w:rPr>
          <w:rFonts w:ascii="Arial" w:hAnsi="Arial" w:cs="Arial"/>
        </w:rPr>
      </w:pPr>
      <w:r w:rsidRPr="00BE26A6">
        <w:rPr>
          <w:rFonts w:ascii="Arial" w:hAnsi="Arial" w:cs="Arial"/>
          <w:noProof/>
        </w:rPr>
        <w:drawing>
          <wp:inline distT="0" distB="0" distL="0" distR="0" wp14:anchorId="3D8133BF" wp14:editId="20AAEE3F">
            <wp:extent cx="5943600" cy="3619500"/>
            <wp:effectExtent l="0" t="0" r="0" b="0"/>
            <wp:docPr id="1" name="Picture 1" descr="Chart: How Tesla Out-Innovates Traditional Carmaker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hart: How Tesla Out-Innovates Traditional Carmakers | Statista"/>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5943600" cy="3619500"/>
                    </a:xfrm>
                    <a:prstGeom prst="rect">
                      <a:avLst/>
                    </a:prstGeom>
                    <a:noFill/>
                    <a:ln>
                      <a:noFill/>
                    </a:ln>
                    <a:extLst>
                      <a:ext uri="{53640926-AAD7-44D8-BBD7-CCE9431645EC}">
                        <a14:shadowObscured xmlns:a14="http://schemas.microsoft.com/office/drawing/2010/main"/>
                      </a:ext>
                    </a:extLst>
                  </pic:spPr>
                </pic:pic>
              </a:graphicData>
            </a:graphic>
          </wp:inline>
        </w:drawing>
      </w:r>
    </w:p>
    <w:p w14:paraId="1F3EFA2F" w14:textId="77777777" w:rsidR="00DE795C" w:rsidRPr="00BE26A6" w:rsidRDefault="006447B5" w:rsidP="006412A7">
      <w:pPr>
        <w:spacing w:line="360" w:lineRule="auto"/>
        <w:jc w:val="both"/>
        <w:rPr>
          <w:rFonts w:ascii="Arial" w:hAnsi="Arial" w:cs="Arial"/>
        </w:rPr>
      </w:pPr>
      <w:r w:rsidRPr="00BE26A6">
        <w:rPr>
          <w:rFonts w:ascii="Arial" w:hAnsi="Arial" w:cs="Arial"/>
          <w:b/>
        </w:rPr>
        <w:lastRenderedPageBreak/>
        <w:t>Figure 1:</w:t>
      </w:r>
      <w:r w:rsidRPr="00BE26A6">
        <w:rPr>
          <w:rFonts w:ascii="Arial" w:hAnsi="Arial" w:cs="Arial"/>
        </w:rPr>
        <w:t xml:space="preserve"> </w:t>
      </w:r>
      <w:r w:rsidR="00310C2B" w:rsidRPr="00BE26A6">
        <w:rPr>
          <w:rFonts w:ascii="Arial" w:hAnsi="Arial" w:cs="Arial"/>
        </w:rPr>
        <w:t>Tesla enjoys technological leadership that is largely due to its immensely greater intensity of R&amp;D as compared to traditional automakers (Studeny et al., 2017).</w:t>
      </w:r>
    </w:p>
    <w:p w14:paraId="4E10A7ED" w14:textId="77777777" w:rsidR="00DE795C" w:rsidRPr="00BE26A6" w:rsidRDefault="00A45C51" w:rsidP="00A45C51">
      <w:pPr>
        <w:pStyle w:val="Heading3"/>
      </w:pPr>
      <w:bookmarkStart w:id="10" w:name="_Toc225371876"/>
      <w:r w:rsidRPr="00BE26A6">
        <w:t xml:space="preserve">1.2.4 </w:t>
      </w:r>
      <w:r w:rsidR="00DE795C" w:rsidRPr="00BE26A6">
        <w:t>Comparison</w:t>
      </w:r>
      <w:bookmarkEnd w:id="10"/>
    </w:p>
    <w:p w14:paraId="70071A8B" w14:textId="77777777" w:rsidR="00AC0851" w:rsidRPr="00BE26A6" w:rsidRDefault="00310C2B" w:rsidP="006412A7">
      <w:pPr>
        <w:spacing w:line="360" w:lineRule="auto"/>
        <w:jc w:val="both"/>
        <w:rPr>
          <w:rFonts w:ascii="Arial" w:hAnsi="Arial" w:cs="Arial"/>
        </w:rPr>
      </w:pPr>
      <w:r w:rsidRPr="00BE26A6">
        <w:rPr>
          <w:rFonts w:ascii="Arial" w:hAnsi="Arial" w:cs="Arial"/>
        </w:rPr>
        <w:t xml:space="preserve">As Table 2 demonstrates, the competitive position of Tesla as being differentiated is greatly founded on the technological advantage, whereas the dependence of Ford on external alliances and slower innovations restricts its ability to be strategically flexible. </w:t>
      </w:r>
    </w:p>
    <w:p w14:paraId="5B923277" w14:textId="77777777" w:rsidR="00DE795C" w:rsidRPr="00BE26A6" w:rsidRDefault="00310C2B" w:rsidP="006412A7">
      <w:pPr>
        <w:spacing w:line="360" w:lineRule="auto"/>
        <w:jc w:val="both"/>
        <w:rPr>
          <w:rFonts w:ascii="Arial" w:hAnsi="Arial" w:cs="Arial"/>
          <w:b/>
          <w:bCs/>
        </w:rPr>
      </w:pPr>
      <w:r w:rsidRPr="00BE26A6">
        <w:rPr>
          <w:rFonts w:ascii="Arial" w:hAnsi="Arial" w:cs="Arial"/>
          <w:b/>
          <w:bCs/>
        </w:rPr>
        <w:t>Table 2: Comparison between The Impact of Technological Innovation on Tesla and Ford.</w:t>
      </w:r>
    </w:p>
    <w:tbl>
      <w:tblPr>
        <w:tblStyle w:val="GridTable5Dark-Accent1"/>
        <w:tblW w:w="0" w:type="auto"/>
        <w:tblLook w:val="04A0" w:firstRow="1" w:lastRow="0" w:firstColumn="1" w:lastColumn="0" w:noHBand="0" w:noVBand="1"/>
      </w:tblPr>
      <w:tblGrid>
        <w:gridCol w:w="2038"/>
        <w:gridCol w:w="3579"/>
        <w:gridCol w:w="3733"/>
      </w:tblGrid>
      <w:tr w:rsidR="00DE795C" w:rsidRPr="00BE26A6" w14:paraId="3ABB3669" w14:textId="77777777" w:rsidTr="006412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A6F5B2" w14:textId="77777777" w:rsidR="00DE795C" w:rsidRPr="00BE26A6" w:rsidRDefault="00DE795C" w:rsidP="006412A7">
            <w:pPr>
              <w:spacing w:line="360" w:lineRule="auto"/>
              <w:rPr>
                <w:rFonts w:ascii="Arial" w:hAnsi="Arial" w:cs="Arial"/>
                <w:b w:val="0"/>
                <w:bCs w:val="0"/>
              </w:rPr>
            </w:pPr>
            <w:r w:rsidRPr="00BE26A6">
              <w:rPr>
                <w:rFonts w:ascii="Arial" w:hAnsi="Arial" w:cs="Arial"/>
              </w:rPr>
              <w:t>Aspect</w:t>
            </w:r>
          </w:p>
        </w:tc>
        <w:tc>
          <w:tcPr>
            <w:tcW w:w="0" w:type="auto"/>
            <w:hideMark/>
          </w:tcPr>
          <w:p w14:paraId="2A2C67CF" w14:textId="77777777" w:rsidR="00DE795C" w:rsidRPr="00BE26A6" w:rsidRDefault="00DE795C" w:rsidP="006412A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BE26A6">
              <w:rPr>
                <w:rFonts w:ascii="Arial" w:hAnsi="Arial" w:cs="Arial"/>
              </w:rPr>
              <w:t>Tesla (Pioneer)</w:t>
            </w:r>
          </w:p>
        </w:tc>
        <w:tc>
          <w:tcPr>
            <w:tcW w:w="0" w:type="auto"/>
            <w:hideMark/>
          </w:tcPr>
          <w:p w14:paraId="0497483E" w14:textId="77777777" w:rsidR="00DE795C" w:rsidRPr="00BE26A6" w:rsidRDefault="00DE795C" w:rsidP="006412A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BE26A6">
              <w:rPr>
                <w:rFonts w:ascii="Arial" w:hAnsi="Arial" w:cs="Arial"/>
              </w:rPr>
              <w:t>Ford (Follower)</w:t>
            </w:r>
          </w:p>
        </w:tc>
      </w:tr>
      <w:tr w:rsidR="00DE795C" w:rsidRPr="00BE26A6" w14:paraId="4B009282" w14:textId="77777777" w:rsidTr="00641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23235A" w14:textId="77777777" w:rsidR="00DE795C" w:rsidRPr="00BE26A6" w:rsidRDefault="00DE795C" w:rsidP="006412A7">
            <w:pPr>
              <w:spacing w:line="360" w:lineRule="auto"/>
              <w:rPr>
                <w:rFonts w:ascii="Arial" w:hAnsi="Arial" w:cs="Arial"/>
              </w:rPr>
            </w:pPr>
            <w:r w:rsidRPr="00BE26A6">
              <w:rPr>
                <w:rFonts w:ascii="Arial" w:hAnsi="Arial" w:cs="Arial"/>
              </w:rPr>
              <w:t>Innovation Capability</w:t>
            </w:r>
          </w:p>
        </w:tc>
        <w:tc>
          <w:tcPr>
            <w:tcW w:w="0" w:type="auto"/>
            <w:shd w:val="clear" w:color="auto" w:fill="DAE9F7" w:themeFill="text2" w:themeFillTint="1A"/>
            <w:hideMark/>
          </w:tcPr>
          <w:p w14:paraId="4E0FF8EE" w14:textId="77777777" w:rsidR="00DE795C" w:rsidRPr="00BE26A6" w:rsidRDefault="00DE795C" w:rsidP="006412A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High (battery + software integration, vertical integration)</w:t>
            </w:r>
          </w:p>
        </w:tc>
        <w:tc>
          <w:tcPr>
            <w:tcW w:w="0" w:type="auto"/>
            <w:shd w:val="clear" w:color="auto" w:fill="DAE9F7" w:themeFill="text2" w:themeFillTint="1A"/>
            <w:hideMark/>
          </w:tcPr>
          <w:p w14:paraId="55CD9601" w14:textId="77777777" w:rsidR="00DE795C" w:rsidRPr="00BE26A6" w:rsidRDefault="00DE795C" w:rsidP="006412A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Moderate (dependent on partnerships and suppliers)</w:t>
            </w:r>
          </w:p>
        </w:tc>
      </w:tr>
      <w:tr w:rsidR="00DE795C" w:rsidRPr="00BE26A6" w14:paraId="53464039" w14:textId="77777777" w:rsidTr="006412A7">
        <w:tc>
          <w:tcPr>
            <w:cnfStyle w:val="001000000000" w:firstRow="0" w:lastRow="0" w:firstColumn="1" w:lastColumn="0" w:oddVBand="0" w:evenVBand="0" w:oddHBand="0" w:evenHBand="0" w:firstRowFirstColumn="0" w:firstRowLastColumn="0" w:lastRowFirstColumn="0" w:lastRowLastColumn="0"/>
            <w:tcW w:w="0" w:type="auto"/>
            <w:hideMark/>
          </w:tcPr>
          <w:p w14:paraId="70015F83" w14:textId="77777777" w:rsidR="00DE795C" w:rsidRPr="00BE26A6" w:rsidRDefault="00DE795C" w:rsidP="006412A7">
            <w:pPr>
              <w:spacing w:line="360" w:lineRule="auto"/>
              <w:rPr>
                <w:rFonts w:ascii="Arial" w:hAnsi="Arial" w:cs="Arial"/>
              </w:rPr>
            </w:pPr>
            <w:r w:rsidRPr="00BE26A6">
              <w:rPr>
                <w:rFonts w:ascii="Arial" w:hAnsi="Arial" w:cs="Arial"/>
              </w:rPr>
              <w:t>Product Performance</w:t>
            </w:r>
          </w:p>
        </w:tc>
        <w:tc>
          <w:tcPr>
            <w:tcW w:w="0" w:type="auto"/>
            <w:shd w:val="clear" w:color="auto" w:fill="DAE9F7" w:themeFill="text2" w:themeFillTint="1A"/>
            <w:hideMark/>
          </w:tcPr>
          <w:p w14:paraId="7FBA2011" w14:textId="77777777" w:rsidR="00DE795C" w:rsidRPr="00BE26A6" w:rsidRDefault="00DE795C" w:rsidP="006412A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500+ km range, advanced autonomous and software features</w:t>
            </w:r>
          </w:p>
        </w:tc>
        <w:tc>
          <w:tcPr>
            <w:tcW w:w="0" w:type="auto"/>
            <w:shd w:val="clear" w:color="auto" w:fill="DAE9F7" w:themeFill="text2" w:themeFillTint="1A"/>
            <w:hideMark/>
          </w:tcPr>
          <w:p w14:paraId="226D3991" w14:textId="77777777" w:rsidR="00DE795C" w:rsidRPr="00BE26A6" w:rsidRDefault="00DE795C" w:rsidP="006412A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Competitive EV models but lower technological sophistication</w:t>
            </w:r>
          </w:p>
        </w:tc>
      </w:tr>
      <w:tr w:rsidR="00DE795C" w:rsidRPr="00BE26A6" w14:paraId="00E21DB6" w14:textId="77777777" w:rsidTr="00641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1AAEA9" w14:textId="77777777" w:rsidR="00DE795C" w:rsidRPr="00BE26A6" w:rsidRDefault="00DE795C" w:rsidP="006412A7">
            <w:pPr>
              <w:spacing w:line="360" w:lineRule="auto"/>
              <w:rPr>
                <w:rFonts w:ascii="Arial" w:hAnsi="Arial" w:cs="Arial"/>
              </w:rPr>
            </w:pPr>
            <w:r w:rsidRPr="00BE26A6">
              <w:rPr>
                <w:rFonts w:ascii="Arial" w:hAnsi="Arial" w:cs="Arial"/>
              </w:rPr>
              <w:t>Competitive Position</w:t>
            </w:r>
          </w:p>
        </w:tc>
        <w:tc>
          <w:tcPr>
            <w:tcW w:w="0" w:type="auto"/>
            <w:shd w:val="clear" w:color="auto" w:fill="DAE9F7" w:themeFill="text2" w:themeFillTint="1A"/>
            <w:hideMark/>
          </w:tcPr>
          <w:p w14:paraId="1FAB6F13" w14:textId="77777777" w:rsidR="00DE795C" w:rsidRPr="00BE26A6" w:rsidRDefault="00DE795C" w:rsidP="006412A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Strong differentiation through innovation and ecosystem control</w:t>
            </w:r>
          </w:p>
        </w:tc>
        <w:tc>
          <w:tcPr>
            <w:tcW w:w="0" w:type="auto"/>
            <w:shd w:val="clear" w:color="auto" w:fill="DAE9F7" w:themeFill="text2" w:themeFillTint="1A"/>
            <w:hideMark/>
          </w:tcPr>
          <w:p w14:paraId="0ED0F20A" w14:textId="77777777" w:rsidR="00DE795C" w:rsidRPr="00BE26A6" w:rsidRDefault="00DE795C" w:rsidP="006412A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Competes on cost efficiency and brand legacy</w:t>
            </w:r>
          </w:p>
        </w:tc>
      </w:tr>
      <w:tr w:rsidR="00DE795C" w:rsidRPr="00BE26A6" w14:paraId="5AE89D76" w14:textId="77777777" w:rsidTr="006412A7">
        <w:tc>
          <w:tcPr>
            <w:cnfStyle w:val="001000000000" w:firstRow="0" w:lastRow="0" w:firstColumn="1" w:lastColumn="0" w:oddVBand="0" w:evenVBand="0" w:oddHBand="0" w:evenHBand="0" w:firstRowFirstColumn="0" w:firstRowLastColumn="0" w:lastRowFirstColumn="0" w:lastRowLastColumn="0"/>
            <w:tcW w:w="0" w:type="auto"/>
            <w:hideMark/>
          </w:tcPr>
          <w:p w14:paraId="7D9A8BCE" w14:textId="77777777" w:rsidR="00DE795C" w:rsidRPr="00BE26A6" w:rsidRDefault="00DE795C" w:rsidP="006412A7">
            <w:pPr>
              <w:spacing w:line="360" w:lineRule="auto"/>
              <w:rPr>
                <w:rFonts w:ascii="Arial" w:hAnsi="Arial" w:cs="Arial"/>
              </w:rPr>
            </w:pPr>
            <w:r w:rsidRPr="00BE26A6">
              <w:rPr>
                <w:rFonts w:ascii="Arial" w:hAnsi="Arial" w:cs="Arial"/>
              </w:rPr>
              <w:t>Strategic Limitation</w:t>
            </w:r>
          </w:p>
        </w:tc>
        <w:tc>
          <w:tcPr>
            <w:tcW w:w="0" w:type="auto"/>
            <w:shd w:val="clear" w:color="auto" w:fill="DAE9F7" w:themeFill="text2" w:themeFillTint="1A"/>
            <w:hideMark/>
          </w:tcPr>
          <w:p w14:paraId="2CF262FC" w14:textId="77777777" w:rsidR="00DE795C" w:rsidRPr="00BE26A6" w:rsidRDefault="00DE795C" w:rsidP="006412A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Increasing competition and narrowing technological gap</w:t>
            </w:r>
          </w:p>
        </w:tc>
        <w:tc>
          <w:tcPr>
            <w:tcW w:w="0" w:type="auto"/>
            <w:shd w:val="clear" w:color="auto" w:fill="DAE9F7" w:themeFill="text2" w:themeFillTint="1A"/>
            <w:hideMark/>
          </w:tcPr>
          <w:p w14:paraId="69CC3A61" w14:textId="77777777" w:rsidR="00DE795C" w:rsidRPr="00BE26A6" w:rsidRDefault="00DE795C" w:rsidP="006412A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Slower innovation and limited control over technology development</w:t>
            </w:r>
          </w:p>
        </w:tc>
      </w:tr>
    </w:tbl>
    <w:p w14:paraId="28EDAC3C" w14:textId="77777777" w:rsidR="00DE795C" w:rsidRPr="00BE26A6" w:rsidRDefault="00DE795C" w:rsidP="006412A7">
      <w:pPr>
        <w:spacing w:line="360" w:lineRule="auto"/>
        <w:jc w:val="both"/>
        <w:rPr>
          <w:rFonts w:ascii="Arial" w:hAnsi="Arial" w:cs="Arial"/>
        </w:rPr>
      </w:pPr>
    </w:p>
    <w:p w14:paraId="40F530A5" w14:textId="77777777" w:rsidR="00097D7E" w:rsidRPr="00BE26A6" w:rsidRDefault="00097D7E" w:rsidP="006412A7">
      <w:pPr>
        <w:pStyle w:val="Heading1"/>
      </w:pPr>
      <w:bookmarkStart w:id="11" w:name="_Toc225371877"/>
      <w:r w:rsidRPr="00BE26A6">
        <w:t>2. Task 2 – Strategic Response</w:t>
      </w:r>
      <w:bookmarkEnd w:id="11"/>
    </w:p>
    <w:p w14:paraId="19580249" w14:textId="77777777" w:rsidR="00097D7E" w:rsidRPr="00BE26A6" w:rsidRDefault="00310C2B" w:rsidP="006412A7">
      <w:pPr>
        <w:spacing w:line="360" w:lineRule="auto"/>
        <w:jc w:val="both"/>
        <w:rPr>
          <w:rFonts w:ascii="Arial" w:hAnsi="Arial" w:cs="Arial"/>
          <w:bCs/>
        </w:rPr>
      </w:pPr>
      <w:r w:rsidRPr="00BE26A6">
        <w:rPr>
          <w:rFonts w:ascii="Arial" w:hAnsi="Arial" w:cs="Arial"/>
          <w:bCs/>
        </w:rPr>
        <w:t xml:space="preserve">Continuing the analysis of macro-environment, Tesla (pioneer) and Ford (follower) have taken different strategic reactions to endure the growth under the </w:t>
      </w:r>
      <w:proofErr w:type="spellStart"/>
      <w:r w:rsidRPr="00BE26A6">
        <w:rPr>
          <w:rFonts w:ascii="Arial" w:hAnsi="Arial" w:cs="Arial"/>
          <w:bCs/>
        </w:rPr>
        <w:t>regulatorial</w:t>
      </w:r>
      <w:proofErr w:type="spellEnd"/>
      <w:r w:rsidRPr="00BE26A6">
        <w:rPr>
          <w:rFonts w:ascii="Arial" w:hAnsi="Arial" w:cs="Arial"/>
          <w:bCs/>
        </w:rPr>
        <w:t xml:space="preserve"> pressure and technology disruption. The answers to them can be critically assessed in terms of Porters Generic Strategies and Ansoff Growth Matrix, in which each company is trying to sustain or improve its competitive edges.</w:t>
      </w:r>
    </w:p>
    <w:p w14:paraId="605C63EA" w14:textId="77777777" w:rsidR="00AC0851" w:rsidRPr="00BE26A6" w:rsidRDefault="00AC0851" w:rsidP="006412A7">
      <w:pPr>
        <w:spacing w:line="360" w:lineRule="auto"/>
        <w:jc w:val="both"/>
        <w:rPr>
          <w:rFonts w:ascii="Arial" w:hAnsi="Arial" w:cs="Arial"/>
          <w:bCs/>
        </w:rPr>
      </w:pPr>
    </w:p>
    <w:p w14:paraId="5371E717" w14:textId="77777777" w:rsidR="006447B5" w:rsidRPr="00BE26A6" w:rsidRDefault="006447B5" w:rsidP="006412A7">
      <w:pPr>
        <w:pStyle w:val="Heading2"/>
      </w:pPr>
      <w:bookmarkStart w:id="12" w:name="_Toc225371878"/>
      <w:r w:rsidRPr="00BE26A6">
        <w:lastRenderedPageBreak/>
        <w:t>2.1 Porter’s Generic Strategies</w:t>
      </w:r>
      <w:bookmarkEnd w:id="12"/>
    </w:p>
    <w:p w14:paraId="53BB4A73" w14:textId="77777777" w:rsidR="006447B5" w:rsidRPr="00BE26A6" w:rsidRDefault="00A45C51" w:rsidP="00A45C51">
      <w:pPr>
        <w:pStyle w:val="Heading3"/>
      </w:pPr>
      <w:bookmarkStart w:id="13" w:name="_Toc225371879"/>
      <w:r w:rsidRPr="00BE26A6">
        <w:t xml:space="preserve">2.1.1 </w:t>
      </w:r>
      <w:r w:rsidR="00310C2B" w:rsidRPr="00BE26A6">
        <w:t>Pioneer Strategy (Tesla: Differentiation Strategy)</w:t>
      </w:r>
      <w:bookmarkEnd w:id="13"/>
    </w:p>
    <w:p w14:paraId="53240999" w14:textId="77777777" w:rsidR="00C622F2" w:rsidRPr="00BE26A6" w:rsidRDefault="00C622F2" w:rsidP="00C622F2">
      <w:pPr>
        <w:spacing w:line="360" w:lineRule="auto"/>
        <w:jc w:val="both"/>
        <w:rPr>
          <w:rFonts w:ascii="Arial" w:hAnsi="Arial" w:cs="Arial"/>
        </w:rPr>
      </w:pPr>
      <w:r w:rsidRPr="00BE26A6">
        <w:rPr>
          <w:rFonts w:ascii="Arial" w:hAnsi="Arial" w:cs="Arial"/>
        </w:rPr>
        <w:t xml:space="preserve">The use of differentiation is the dominant approach of Tesla, as it is working on technological superiority, innovation, and brand positioning. Its competitive advantage is fuelled by </w:t>
      </w:r>
      <w:proofErr w:type="gramStart"/>
      <w:r w:rsidRPr="00BE26A6">
        <w:rPr>
          <w:rFonts w:ascii="Arial" w:hAnsi="Arial" w:cs="Arial"/>
        </w:rPr>
        <w:t>state of the art</w:t>
      </w:r>
      <w:proofErr w:type="gramEnd"/>
      <w:r w:rsidRPr="00BE26A6">
        <w:rPr>
          <w:rFonts w:ascii="Arial" w:hAnsi="Arial" w:cs="Arial"/>
        </w:rPr>
        <w:t xml:space="preserve"> battery technology, autonomous driving and a robust digital ecosystem (Porter and Advantage, 1985). Tesla spends a lot of money on the research and development, spending over 3 billion dollars per year, which allows the company to introduce new products on a regular basis and offer high-quality products (Tesla Annual Report, 2023).</w:t>
      </w:r>
    </w:p>
    <w:p w14:paraId="28911B09" w14:textId="77777777" w:rsidR="006447B5" w:rsidRPr="00BE26A6" w:rsidRDefault="00C622F2" w:rsidP="00C622F2">
      <w:pPr>
        <w:spacing w:line="360" w:lineRule="auto"/>
        <w:jc w:val="both"/>
        <w:rPr>
          <w:rFonts w:ascii="Arial" w:hAnsi="Arial" w:cs="Arial"/>
        </w:rPr>
      </w:pPr>
      <w:r w:rsidRPr="00BE26A6">
        <w:rPr>
          <w:rFonts w:ascii="Arial" w:hAnsi="Arial" w:cs="Arial"/>
        </w:rPr>
        <w:t xml:space="preserve">Moreover, its </w:t>
      </w:r>
      <w:proofErr w:type="gramStart"/>
      <w:r w:rsidRPr="00BE26A6">
        <w:rPr>
          <w:rFonts w:ascii="Arial" w:hAnsi="Arial" w:cs="Arial"/>
        </w:rPr>
        <w:t>direct to consumer</w:t>
      </w:r>
      <w:proofErr w:type="gramEnd"/>
      <w:r w:rsidRPr="00BE26A6">
        <w:rPr>
          <w:rFonts w:ascii="Arial" w:hAnsi="Arial" w:cs="Arial"/>
        </w:rPr>
        <w:t xml:space="preserve"> sales channel and its over-the-air software updates make Tesla customers have more customer experience and brand loyalty, which enables Tesla to set premium prices. As an example, Tesla has higher profit margins than the conventional car manufacturers, and the automotive gross margins in 2022 exceeded 25 percent, which is much higher than the industry average of 10-15 percent (McKinsey, 2023). Nevertheless, Tesla faces such risks as the great expectations of innovation and the growth of rival imitations with the help of this strategy. As Figure 2 shows, Tesla dominates the EV market much more, which supports its differentiation strategy and growth based on innovation. Conversely, the proportion of follower firms including Ford is lower reflecting their less vigorous and transitional strategic position.</w:t>
      </w:r>
    </w:p>
    <w:p w14:paraId="61C6E3B0" w14:textId="77777777" w:rsidR="00097D7E" w:rsidRPr="00BE26A6" w:rsidRDefault="00097D7E" w:rsidP="006412A7">
      <w:pPr>
        <w:spacing w:line="360" w:lineRule="auto"/>
        <w:jc w:val="both"/>
        <w:rPr>
          <w:rFonts w:ascii="Arial" w:hAnsi="Arial" w:cs="Arial"/>
        </w:rPr>
      </w:pPr>
      <w:r w:rsidRPr="00BE26A6">
        <w:rPr>
          <w:rFonts w:ascii="Arial" w:hAnsi="Arial" w:cs="Arial"/>
          <w:noProof/>
        </w:rPr>
        <w:lastRenderedPageBreak/>
        <w:drawing>
          <wp:inline distT="0" distB="0" distL="0" distR="0" wp14:anchorId="5882A1C7" wp14:editId="268546A8">
            <wp:extent cx="5943600" cy="3652955"/>
            <wp:effectExtent l="0" t="0" r="0" b="5080"/>
            <wp:docPr id="2" name="Picture 2" descr="https://miro.medium.com/v2/resize:fit:1050/1*wbS571aFmvu2K3PdhT8Jk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miro.medium.com/v2/resize:fit:1050/1*wbS571aFmvu2K3PdhT8JkQ.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652955"/>
                    </a:xfrm>
                    <a:prstGeom prst="rect">
                      <a:avLst/>
                    </a:prstGeom>
                    <a:noFill/>
                    <a:ln>
                      <a:noFill/>
                    </a:ln>
                  </pic:spPr>
                </pic:pic>
              </a:graphicData>
            </a:graphic>
          </wp:inline>
        </w:drawing>
      </w:r>
    </w:p>
    <w:p w14:paraId="2619B25A" w14:textId="77777777" w:rsidR="006447B5" w:rsidRPr="00BE26A6" w:rsidRDefault="00097D7E" w:rsidP="006412A7">
      <w:pPr>
        <w:spacing w:line="360" w:lineRule="auto"/>
        <w:jc w:val="both"/>
        <w:rPr>
          <w:rFonts w:ascii="Arial" w:hAnsi="Arial" w:cs="Arial"/>
        </w:rPr>
      </w:pPr>
      <w:r w:rsidRPr="00BE26A6">
        <w:rPr>
          <w:rFonts w:ascii="Arial" w:hAnsi="Arial" w:cs="Arial"/>
          <w:b/>
        </w:rPr>
        <w:t>Figure 2:</w:t>
      </w:r>
      <w:r w:rsidRPr="00BE26A6">
        <w:rPr>
          <w:rFonts w:ascii="Arial" w:hAnsi="Arial" w:cs="Arial"/>
        </w:rPr>
        <w:t xml:space="preserve"> </w:t>
      </w:r>
      <w:r w:rsidR="00C622F2" w:rsidRPr="00BE26A6">
        <w:rPr>
          <w:rFonts w:ascii="Arial" w:hAnsi="Arial" w:cs="Arial"/>
        </w:rPr>
        <w:t>The distribution of market share within the global EV market that shows that Tesla is the dominant competitor in the market, with other traditional manufacturers being less powerful (Hopkins and Lazonick, 2024).</w:t>
      </w:r>
    </w:p>
    <w:p w14:paraId="42DBF140" w14:textId="77777777" w:rsidR="006447B5" w:rsidRPr="00BE26A6" w:rsidRDefault="00A45C51" w:rsidP="00A45C51">
      <w:pPr>
        <w:pStyle w:val="Heading3"/>
      </w:pPr>
      <w:bookmarkStart w:id="14" w:name="_Toc225371880"/>
      <w:r w:rsidRPr="00BE26A6">
        <w:t xml:space="preserve">2.1.2 </w:t>
      </w:r>
      <w:r w:rsidR="00C622F2" w:rsidRPr="00BE26A6">
        <w:t>Follower Strategy (Ford: Cost Leadership + Differentiation Hybrid)</w:t>
      </w:r>
      <w:bookmarkEnd w:id="14"/>
    </w:p>
    <w:p w14:paraId="0AC2F3D4" w14:textId="77777777" w:rsidR="00C622F2" w:rsidRPr="00BE26A6" w:rsidRDefault="00C622F2" w:rsidP="00C622F2">
      <w:pPr>
        <w:spacing w:line="360" w:lineRule="auto"/>
        <w:jc w:val="both"/>
        <w:rPr>
          <w:rFonts w:ascii="Arial" w:hAnsi="Arial" w:cs="Arial"/>
        </w:rPr>
      </w:pPr>
      <w:r w:rsidRPr="00BE26A6">
        <w:rPr>
          <w:rFonts w:ascii="Arial" w:hAnsi="Arial" w:cs="Arial"/>
        </w:rPr>
        <w:t>Ford uses a hybrid approach, which is a cost leadership strategy mixed with components of cost differentiation. During the process of EV adoption, Ford can use its mass-manufacturing potential to obtain cost-efficiencies and competitive prices. As an example, Ford focuses on cutting down the cost of EVs by 40 percent in 2026, aiming at affordability in the mass market (Ford Annual Report, 2023).</w:t>
      </w:r>
    </w:p>
    <w:p w14:paraId="7410BBBE" w14:textId="77777777" w:rsidR="006447B5" w:rsidRPr="00BE26A6" w:rsidRDefault="00C622F2" w:rsidP="00C622F2">
      <w:pPr>
        <w:spacing w:line="360" w:lineRule="auto"/>
        <w:jc w:val="both"/>
        <w:rPr>
          <w:rFonts w:ascii="Arial" w:hAnsi="Arial" w:cs="Arial"/>
        </w:rPr>
      </w:pPr>
      <w:r w:rsidRPr="00BE26A6">
        <w:rPr>
          <w:rFonts w:ascii="Arial" w:hAnsi="Arial" w:cs="Arial"/>
        </w:rPr>
        <w:t xml:space="preserve">At the same time, Ford is differentiated by brand heritage and product differentiation including the F-150 Lightning, which is based on the popularity of its conventional pickup segment. However, the differentiation of Ford, in contrast to Tesla, is not as technology-based and more based on brand equity. This restricts its capacity to contend in the </w:t>
      </w:r>
      <w:proofErr w:type="gramStart"/>
      <w:r w:rsidRPr="00BE26A6">
        <w:rPr>
          <w:rFonts w:ascii="Arial" w:hAnsi="Arial" w:cs="Arial"/>
        </w:rPr>
        <w:t>high end</w:t>
      </w:r>
      <w:proofErr w:type="gramEnd"/>
      <w:r w:rsidRPr="00BE26A6">
        <w:rPr>
          <w:rFonts w:ascii="Arial" w:hAnsi="Arial" w:cs="Arial"/>
        </w:rPr>
        <w:t xml:space="preserve"> innovation markets especially in the software and autonomous driving technologies.</w:t>
      </w:r>
    </w:p>
    <w:p w14:paraId="40FF5CE9" w14:textId="77777777" w:rsidR="00AC0851" w:rsidRPr="00BE26A6" w:rsidRDefault="00AC0851" w:rsidP="00C622F2">
      <w:pPr>
        <w:spacing w:line="360" w:lineRule="auto"/>
        <w:jc w:val="both"/>
        <w:rPr>
          <w:rFonts w:ascii="Arial" w:hAnsi="Arial" w:cs="Arial"/>
        </w:rPr>
      </w:pPr>
    </w:p>
    <w:p w14:paraId="1F9C3E46" w14:textId="77777777" w:rsidR="006447B5" w:rsidRPr="00BE26A6" w:rsidRDefault="00A45C51" w:rsidP="00A45C51">
      <w:pPr>
        <w:pStyle w:val="Heading3"/>
      </w:pPr>
      <w:bookmarkStart w:id="15" w:name="_Toc225371881"/>
      <w:r w:rsidRPr="00BE26A6">
        <w:lastRenderedPageBreak/>
        <w:t xml:space="preserve">2.1.3 </w:t>
      </w:r>
      <w:r w:rsidR="006447B5" w:rsidRPr="00BE26A6">
        <w:t>Comparison</w:t>
      </w:r>
      <w:bookmarkEnd w:id="15"/>
    </w:p>
    <w:p w14:paraId="480DBEEC" w14:textId="77777777" w:rsidR="006447B5" w:rsidRPr="00BE26A6" w:rsidRDefault="00C622F2" w:rsidP="006412A7">
      <w:pPr>
        <w:spacing w:line="360" w:lineRule="auto"/>
        <w:jc w:val="both"/>
        <w:rPr>
          <w:rFonts w:ascii="Arial" w:hAnsi="Arial" w:cs="Arial"/>
          <w:b/>
          <w:bCs/>
        </w:rPr>
      </w:pPr>
      <w:r w:rsidRPr="00BE26A6">
        <w:rPr>
          <w:rFonts w:ascii="Arial" w:hAnsi="Arial" w:cs="Arial"/>
        </w:rPr>
        <w:t xml:space="preserve">As shown in Table 3, the pure differentiation strategy of Tesla allows Tesla to position its brands well and be ahead in innovation, whereas the hybrid strategy of Ford gives it the opportunity to reach a wider market but with less technological uniqueness. Importantly, </w:t>
      </w:r>
      <w:r w:rsidR="00391E11" w:rsidRPr="00BE26A6">
        <w:rPr>
          <w:rFonts w:ascii="Arial" w:hAnsi="Arial" w:cs="Arial"/>
          <w:b/>
          <w:bCs/>
        </w:rPr>
        <w:t>Table 3: Strategy Analysis of Tesla and Ford Porter.</w:t>
      </w:r>
    </w:p>
    <w:tbl>
      <w:tblPr>
        <w:tblStyle w:val="GridTable5Dark-Accent1"/>
        <w:tblW w:w="0" w:type="auto"/>
        <w:tblLook w:val="04A0" w:firstRow="1" w:lastRow="0" w:firstColumn="1" w:lastColumn="0" w:noHBand="0" w:noVBand="1"/>
      </w:tblPr>
      <w:tblGrid>
        <w:gridCol w:w="2212"/>
        <w:gridCol w:w="3820"/>
        <w:gridCol w:w="3318"/>
      </w:tblGrid>
      <w:tr w:rsidR="006447B5" w:rsidRPr="00BE26A6" w14:paraId="4E57FE96" w14:textId="77777777" w:rsidTr="006412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62461D" w14:textId="77777777" w:rsidR="006447B5" w:rsidRPr="00BE26A6" w:rsidRDefault="006447B5" w:rsidP="006412A7">
            <w:pPr>
              <w:spacing w:line="360" w:lineRule="auto"/>
              <w:rPr>
                <w:rFonts w:ascii="Arial" w:hAnsi="Arial" w:cs="Arial"/>
                <w:b w:val="0"/>
                <w:bCs w:val="0"/>
              </w:rPr>
            </w:pPr>
            <w:r w:rsidRPr="00BE26A6">
              <w:rPr>
                <w:rFonts w:ascii="Arial" w:hAnsi="Arial" w:cs="Arial"/>
              </w:rPr>
              <w:t>Aspect</w:t>
            </w:r>
          </w:p>
        </w:tc>
        <w:tc>
          <w:tcPr>
            <w:tcW w:w="0" w:type="auto"/>
            <w:hideMark/>
          </w:tcPr>
          <w:p w14:paraId="1F28B355" w14:textId="77777777" w:rsidR="006447B5" w:rsidRPr="00BE26A6" w:rsidRDefault="006447B5" w:rsidP="006412A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BE26A6">
              <w:rPr>
                <w:rFonts w:ascii="Arial" w:hAnsi="Arial" w:cs="Arial"/>
              </w:rPr>
              <w:t>Tesla (Pioneer)</w:t>
            </w:r>
          </w:p>
        </w:tc>
        <w:tc>
          <w:tcPr>
            <w:tcW w:w="0" w:type="auto"/>
            <w:hideMark/>
          </w:tcPr>
          <w:p w14:paraId="777493D3" w14:textId="77777777" w:rsidR="006447B5" w:rsidRPr="00BE26A6" w:rsidRDefault="006447B5" w:rsidP="006412A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BE26A6">
              <w:rPr>
                <w:rFonts w:ascii="Arial" w:hAnsi="Arial" w:cs="Arial"/>
              </w:rPr>
              <w:t>Ford (Follower)</w:t>
            </w:r>
          </w:p>
        </w:tc>
      </w:tr>
      <w:tr w:rsidR="006447B5" w:rsidRPr="00BE26A6" w14:paraId="3513391B" w14:textId="77777777" w:rsidTr="00641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CEA0ED" w14:textId="77777777" w:rsidR="006447B5" w:rsidRPr="00BE26A6" w:rsidRDefault="006447B5" w:rsidP="006412A7">
            <w:pPr>
              <w:spacing w:line="360" w:lineRule="auto"/>
              <w:rPr>
                <w:rFonts w:ascii="Arial" w:hAnsi="Arial" w:cs="Arial"/>
              </w:rPr>
            </w:pPr>
            <w:r w:rsidRPr="00BE26A6">
              <w:rPr>
                <w:rFonts w:ascii="Arial" w:hAnsi="Arial" w:cs="Arial"/>
              </w:rPr>
              <w:t>Strategy Type</w:t>
            </w:r>
          </w:p>
        </w:tc>
        <w:tc>
          <w:tcPr>
            <w:tcW w:w="0" w:type="auto"/>
            <w:hideMark/>
          </w:tcPr>
          <w:p w14:paraId="3200752C" w14:textId="77777777" w:rsidR="006447B5" w:rsidRPr="00BE26A6" w:rsidRDefault="006447B5" w:rsidP="006412A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Differentiation</w:t>
            </w:r>
          </w:p>
        </w:tc>
        <w:tc>
          <w:tcPr>
            <w:tcW w:w="0" w:type="auto"/>
            <w:hideMark/>
          </w:tcPr>
          <w:p w14:paraId="569BE0FD" w14:textId="77777777" w:rsidR="006447B5" w:rsidRPr="00BE26A6" w:rsidRDefault="006447B5" w:rsidP="006412A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Cost Leadership + Differentiation</w:t>
            </w:r>
          </w:p>
        </w:tc>
      </w:tr>
      <w:tr w:rsidR="006447B5" w:rsidRPr="00BE26A6" w14:paraId="6166829C" w14:textId="77777777" w:rsidTr="006412A7">
        <w:tc>
          <w:tcPr>
            <w:cnfStyle w:val="001000000000" w:firstRow="0" w:lastRow="0" w:firstColumn="1" w:lastColumn="0" w:oddVBand="0" w:evenVBand="0" w:oddHBand="0" w:evenHBand="0" w:firstRowFirstColumn="0" w:firstRowLastColumn="0" w:lastRowFirstColumn="0" w:lastRowLastColumn="0"/>
            <w:tcW w:w="0" w:type="auto"/>
            <w:hideMark/>
          </w:tcPr>
          <w:p w14:paraId="3D828990" w14:textId="77777777" w:rsidR="006447B5" w:rsidRPr="00BE26A6" w:rsidRDefault="006447B5" w:rsidP="006412A7">
            <w:pPr>
              <w:spacing w:line="360" w:lineRule="auto"/>
              <w:rPr>
                <w:rFonts w:ascii="Arial" w:hAnsi="Arial" w:cs="Arial"/>
              </w:rPr>
            </w:pPr>
            <w:r w:rsidRPr="00BE26A6">
              <w:rPr>
                <w:rFonts w:ascii="Arial" w:hAnsi="Arial" w:cs="Arial"/>
              </w:rPr>
              <w:t>Key Strength</w:t>
            </w:r>
          </w:p>
        </w:tc>
        <w:tc>
          <w:tcPr>
            <w:tcW w:w="0" w:type="auto"/>
            <w:hideMark/>
          </w:tcPr>
          <w:p w14:paraId="53E44176" w14:textId="77777777" w:rsidR="006447B5" w:rsidRPr="00BE26A6" w:rsidRDefault="006447B5" w:rsidP="006412A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Innovation and technology leadership</w:t>
            </w:r>
          </w:p>
        </w:tc>
        <w:tc>
          <w:tcPr>
            <w:tcW w:w="0" w:type="auto"/>
            <w:hideMark/>
          </w:tcPr>
          <w:p w14:paraId="76B03823" w14:textId="77777777" w:rsidR="006447B5" w:rsidRPr="00BE26A6" w:rsidRDefault="006447B5" w:rsidP="006412A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Cost efficiency and scale</w:t>
            </w:r>
          </w:p>
        </w:tc>
      </w:tr>
      <w:tr w:rsidR="006447B5" w:rsidRPr="00BE26A6" w14:paraId="426A148F" w14:textId="77777777" w:rsidTr="00641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AD8A17" w14:textId="77777777" w:rsidR="006447B5" w:rsidRPr="00BE26A6" w:rsidRDefault="006447B5" w:rsidP="006412A7">
            <w:pPr>
              <w:spacing w:line="360" w:lineRule="auto"/>
              <w:rPr>
                <w:rFonts w:ascii="Arial" w:hAnsi="Arial" w:cs="Arial"/>
              </w:rPr>
            </w:pPr>
            <w:r w:rsidRPr="00BE26A6">
              <w:rPr>
                <w:rFonts w:ascii="Arial" w:hAnsi="Arial" w:cs="Arial"/>
              </w:rPr>
              <w:t>Profitability</w:t>
            </w:r>
          </w:p>
        </w:tc>
        <w:tc>
          <w:tcPr>
            <w:tcW w:w="0" w:type="auto"/>
            <w:hideMark/>
          </w:tcPr>
          <w:p w14:paraId="00977205" w14:textId="77777777" w:rsidR="006447B5" w:rsidRPr="00BE26A6" w:rsidRDefault="006447B5" w:rsidP="006412A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High margins (~25%)</w:t>
            </w:r>
          </w:p>
        </w:tc>
        <w:tc>
          <w:tcPr>
            <w:tcW w:w="0" w:type="auto"/>
            <w:hideMark/>
          </w:tcPr>
          <w:p w14:paraId="4CFDDF3D" w14:textId="77777777" w:rsidR="006447B5" w:rsidRPr="00BE26A6" w:rsidRDefault="006447B5" w:rsidP="006412A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Moderate margins</w:t>
            </w:r>
          </w:p>
        </w:tc>
      </w:tr>
      <w:tr w:rsidR="006447B5" w:rsidRPr="00BE26A6" w14:paraId="59E081F9" w14:textId="77777777" w:rsidTr="006412A7">
        <w:tc>
          <w:tcPr>
            <w:cnfStyle w:val="001000000000" w:firstRow="0" w:lastRow="0" w:firstColumn="1" w:lastColumn="0" w:oddVBand="0" w:evenVBand="0" w:oddHBand="0" w:evenHBand="0" w:firstRowFirstColumn="0" w:firstRowLastColumn="0" w:lastRowFirstColumn="0" w:lastRowLastColumn="0"/>
            <w:tcW w:w="0" w:type="auto"/>
            <w:hideMark/>
          </w:tcPr>
          <w:p w14:paraId="7AA37861" w14:textId="77777777" w:rsidR="006447B5" w:rsidRPr="00BE26A6" w:rsidRDefault="006447B5" w:rsidP="006412A7">
            <w:pPr>
              <w:spacing w:line="360" w:lineRule="auto"/>
              <w:rPr>
                <w:rFonts w:ascii="Arial" w:hAnsi="Arial" w:cs="Arial"/>
              </w:rPr>
            </w:pPr>
            <w:r w:rsidRPr="00BE26A6">
              <w:rPr>
                <w:rFonts w:ascii="Arial" w:hAnsi="Arial" w:cs="Arial"/>
              </w:rPr>
              <w:t>Competitive Focus</w:t>
            </w:r>
          </w:p>
        </w:tc>
        <w:tc>
          <w:tcPr>
            <w:tcW w:w="0" w:type="auto"/>
            <w:hideMark/>
          </w:tcPr>
          <w:p w14:paraId="6C4E178C" w14:textId="77777777" w:rsidR="006447B5" w:rsidRPr="00BE26A6" w:rsidRDefault="006447B5" w:rsidP="006412A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Premium and innovation-driven market</w:t>
            </w:r>
          </w:p>
        </w:tc>
        <w:tc>
          <w:tcPr>
            <w:tcW w:w="0" w:type="auto"/>
            <w:hideMark/>
          </w:tcPr>
          <w:p w14:paraId="0AEA4EDF" w14:textId="77777777" w:rsidR="006447B5" w:rsidRPr="00BE26A6" w:rsidRDefault="006447B5" w:rsidP="006412A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Mass market affordability</w:t>
            </w:r>
          </w:p>
        </w:tc>
      </w:tr>
    </w:tbl>
    <w:p w14:paraId="14E719CE" w14:textId="77777777" w:rsidR="00AC0851" w:rsidRPr="00BE26A6" w:rsidRDefault="00AC0851" w:rsidP="006412A7">
      <w:pPr>
        <w:spacing w:line="360" w:lineRule="auto"/>
        <w:jc w:val="both"/>
        <w:rPr>
          <w:rFonts w:ascii="Arial" w:hAnsi="Arial" w:cs="Arial"/>
        </w:rPr>
      </w:pPr>
    </w:p>
    <w:p w14:paraId="00D5C058" w14:textId="77777777" w:rsidR="006447B5" w:rsidRPr="00BE26A6" w:rsidRDefault="006447B5" w:rsidP="006412A7">
      <w:pPr>
        <w:pStyle w:val="Heading2"/>
      </w:pPr>
      <w:bookmarkStart w:id="16" w:name="_Toc225371882"/>
      <w:r w:rsidRPr="00BE26A6">
        <w:t>2.2 Ansoff Matrix</w:t>
      </w:r>
      <w:bookmarkEnd w:id="16"/>
    </w:p>
    <w:p w14:paraId="23408E8B" w14:textId="77777777" w:rsidR="006447B5" w:rsidRPr="00BE26A6" w:rsidRDefault="00A45C51" w:rsidP="00A45C51">
      <w:pPr>
        <w:pStyle w:val="Heading3"/>
      </w:pPr>
      <w:bookmarkStart w:id="17" w:name="_Toc225371883"/>
      <w:r w:rsidRPr="00BE26A6">
        <w:t xml:space="preserve">2.2.1 </w:t>
      </w:r>
      <w:r w:rsidR="00391E11" w:rsidRPr="00BE26A6">
        <w:t>P</w:t>
      </w:r>
      <w:r w:rsidR="0009254F" w:rsidRPr="00BE26A6">
        <w:t>ioneer Growth Strategy (</w:t>
      </w:r>
      <w:r w:rsidR="00391E11" w:rsidRPr="00BE26A6">
        <w:t>Tesla: Product Development and Market Development)</w:t>
      </w:r>
      <w:bookmarkEnd w:id="17"/>
    </w:p>
    <w:p w14:paraId="7EA9222A" w14:textId="77777777" w:rsidR="0009254F" w:rsidRPr="00BE26A6" w:rsidRDefault="0009254F" w:rsidP="0009254F">
      <w:pPr>
        <w:spacing w:line="360" w:lineRule="auto"/>
        <w:jc w:val="both"/>
        <w:rPr>
          <w:rFonts w:ascii="Arial" w:hAnsi="Arial" w:cs="Arial"/>
        </w:rPr>
      </w:pPr>
      <w:r w:rsidRPr="00BE26A6">
        <w:rPr>
          <w:rFonts w:ascii="Arial" w:hAnsi="Arial" w:cs="Arial"/>
        </w:rPr>
        <w:t xml:space="preserve">The Tesla growth strategy is closely related to the product development and market development. The company is constantly releasing new models (e.g. Model Y, </w:t>
      </w:r>
      <w:proofErr w:type="spellStart"/>
      <w:r w:rsidRPr="00BE26A6">
        <w:rPr>
          <w:rFonts w:ascii="Arial" w:hAnsi="Arial" w:cs="Arial"/>
        </w:rPr>
        <w:t>Cybertruck</w:t>
      </w:r>
      <w:proofErr w:type="spellEnd"/>
      <w:r w:rsidRPr="00BE26A6">
        <w:rPr>
          <w:rFonts w:ascii="Arial" w:hAnsi="Arial" w:cs="Arial"/>
        </w:rPr>
        <w:t>) and updating existing models with new software. This is an indication of a high emphasis on innovation-based growth (Ansoff, 1957).</w:t>
      </w:r>
    </w:p>
    <w:p w14:paraId="3990AF64" w14:textId="77777777" w:rsidR="006447B5" w:rsidRPr="00BE26A6" w:rsidRDefault="0009254F" w:rsidP="0009254F">
      <w:pPr>
        <w:spacing w:line="360" w:lineRule="auto"/>
        <w:jc w:val="both"/>
        <w:rPr>
          <w:rFonts w:ascii="Arial" w:hAnsi="Arial" w:cs="Arial"/>
        </w:rPr>
      </w:pPr>
      <w:r w:rsidRPr="00BE26A6">
        <w:rPr>
          <w:rFonts w:ascii="Arial" w:hAnsi="Arial" w:cs="Arial"/>
        </w:rPr>
        <w:t>Also, Tesla enters other geographical markets, including China and Europe, where the demand of EV is growing fast. In 2023, more than 60 percent of the increase in EV sales worldwide was in China (IEA, 2023), and hence the necessity to expand into the market. Gigafactories at Tesla also enhance scalability at a global level, which allows reducing costs and controlling supply chains. Nevertheless, the rapid growth also adds to the risks of operation and exposure to geopolitical risks.</w:t>
      </w:r>
    </w:p>
    <w:p w14:paraId="7EA55070" w14:textId="77777777" w:rsidR="006447B5" w:rsidRPr="00BE26A6" w:rsidRDefault="00A45C51" w:rsidP="00A45C51">
      <w:pPr>
        <w:pStyle w:val="Heading3"/>
      </w:pPr>
      <w:bookmarkStart w:id="18" w:name="_Toc225371884"/>
      <w:r w:rsidRPr="00BE26A6">
        <w:lastRenderedPageBreak/>
        <w:t xml:space="preserve">2.2.2 </w:t>
      </w:r>
      <w:r w:rsidR="00601B9A" w:rsidRPr="00BE26A6">
        <w:t>Followers Growth Strategy (Ford: Market Penetration and Product Development)</w:t>
      </w:r>
      <w:bookmarkEnd w:id="18"/>
    </w:p>
    <w:p w14:paraId="270BD2F9" w14:textId="77777777" w:rsidR="00601B9A" w:rsidRPr="00BE26A6" w:rsidRDefault="00601B9A" w:rsidP="00601B9A">
      <w:pPr>
        <w:spacing w:line="360" w:lineRule="auto"/>
        <w:jc w:val="both"/>
        <w:rPr>
          <w:rFonts w:ascii="Arial" w:hAnsi="Arial" w:cs="Arial"/>
        </w:rPr>
      </w:pPr>
      <w:r w:rsidRPr="00BE26A6">
        <w:rPr>
          <w:rFonts w:ascii="Arial" w:hAnsi="Arial" w:cs="Arial"/>
        </w:rPr>
        <w:t>Ford mainly employs strategic approaches of penetrating the market and product development. It will use its available customer base and brand recognition to launch EV variants of its well-known models, including the F-150 Lightning and Mustang Mach-E. This will enable Ford to enter the EV market with lower risks than new entrants.</w:t>
      </w:r>
    </w:p>
    <w:p w14:paraId="0BA95EB8" w14:textId="77777777" w:rsidR="006447B5" w:rsidRPr="00BE26A6" w:rsidRDefault="00601B9A" w:rsidP="00601B9A">
      <w:pPr>
        <w:spacing w:line="360" w:lineRule="auto"/>
        <w:jc w:val="both"/>
        <w:rPr>
          <w:rFonts w:ascii="Arial" w:hAnsi="Arial" w:cs="Arial"/>
        </w:rPr>
      </w:pPr>
      <w:r w:rsidRPr="00BE26A6">
        <w:rPr>
          <w:rFonts w:ascii="Arial" w:hAnsi="Arial" w:cs="Arial"/>
        </w:rPr>
        <w:t>Meanwhile, Ford is also spending much on product development to increase its EV line. Nonetheless, its expansion is limited by the legacy business and reduced innovation velocity. Nonetheless, the strategy developed by Ford allows switching to it progressively and stabilizing revenues, which is especially important in the face of falling demand of ICE vehicles.</w:t>
      </w:r>
    </w:p>
    <w:p w14:paraId="7BA37E86" w14:textId="77777777" w:rsidR="006447B5" w:rsidRPr="00BE26A6" w:rsidRDefault="00A45C51" w:rsidP="00A45C51">
      <w:pPr>
        <w:pStyle w:val="Heading3"/>
      </w:pPr>
      <w:bookmarkStart w:id="19" w:name="_Toc225371885"/>
      <w:r w:rsidRPr="00BE26A6">
        <w:t xml:space="preserve">2.2.3 </w:t>
      </w:r>
      <w:r w:rsidR="006447B5" w:rsidRPr="00BE26A6">
        <w:t>Comparison</w:t>
      </w:r>
      <w:bookmarkEnd w:id="19"/>
    </w:p>
    <w:p w14:paraId="4A39D809" w14:textId="77777777" w:rsidR="00AC0851" w:rsidRPr="00BE26A6" w:rsidRDefault="00601B9A" w:rsidP="006412A7">
      <w:pPr>
        <w:spacing w:line="360" w:lineRule="auto"/>
        <w:jc w:val="both"/>
        <w:rPr>
          <w:rFonts w:ascii="Arial" w:hAnsi="Arial" w:cs="Arial"/>
        </w:rPr>
      </w:pPr>
      <w:r w:rsidRPr="00BE26A6">
        <w:rPr>
          <w:rFonts w:ascii="Arial" w:hAnsi="Arial" w:cs="Arial"/>
        </w:rPr>
        <w:t xml:space="preserve">Tesla has more aggressive and innovative expansion plans compared to Ford as indicated in Table 4 and has more risk-averse expansion strategies. </w:t>
      </w:r>
    </w:p>
    <w:p w14:paraId="2821A6C4" w14:textId="77777777" w:rsidR="006447B5" w:rsidRPr="00BE26A6" w:rsidRDefault="00601B9A" w:rsidP="006412A7">
      <w:pPr>
        <w:spacing w:line="360" w:lineRule="auto"/>
        <w:jc w:val="both"/>
        <w:rPr>
          <w:rFonts w:ascii="Arial" w:hAnsi="Arial" w:cs="Arial"/>
          <w:b/>
          <w:bCs/>
        </w:rPr>
      </w:pPr>
      <w:r w:rsidRPr="00BE26A6">
        <w:rPr>
          <w:rFonts w:ascii="Arial" w:hAnsi="Arial" w:cs="Arial"/>
          <w:b/>
          <w:bCs/>
        </w:rPr>
        <w:t>Table 4: Ansoff Matrix analysis between Tesla and Ford.</w:t>
      </w:r>
    </w:p>
    <w:tbl>
      <w:tblPr>
        <w:tblStyle w:val="GridTable5Dark-Accent1"/>
        <w:tblW w:w="0" w:type="auto"/>
        <w:tblLook w:val="04A0" w:firstRow="1" w:lastRow="0" w:firstColumn="1" w:lastColumn="0" w:noHBand="0" w:noVBand="1"/>
      </w:tblPr>
      <w:tblGrid>
        <w:gridCol w:w="1981"/>
        <w:gridCol w:w="3341"/>
        <w:gridCol w:w="4028"/>
      </w:tblGrid>
      <w:tr w:rsidR="006447B5" w:rsidRPr="00BE26A6" w14:paraId="00B8794F" w14:textId="77777777" w:rsidTr="006412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076A59" w14:textId="77777777" w:rsidR="006447B5" w:rsidRPr="00BE26A6" w:rsidRDefault="006447B5" w:rsidP="006412A7">
            <w:pPr>
              <w:spacing w:line="360" w:lineRule="auto"/>
              <w:rPr>
                <w:rFonts w:ascii="Arial" w:hAnsi="Arial" w:cs="Arial"/>
                <w:b w:val="0"/>
                <w:bCs w:val="0"/>
              </w:rPr>
            </w:pPr>
            <w:r w:rsidRPr="00BE26A6">
              <w:rPr>
                <w:rFonts w:ascii="Arial" w:hAnsi="Arial" w:cs="Arial"/>
              </w:rPr>
              <w:t>Aspect</w:t>
            </w:r>
          </w:p>
        </w:tc>
        <w:tc>
          <w:tcPr>
            <w:tcW w:w="0" w:type="auto"/>
            <w:hideMark/>
          </w:tcPr>
          <w:p w14:paraId="6D879433" w14:textId="77777777" w:rsidR="006447B5" w:rsidRPr="00BE26A6" w:rsidRDefault="006447B5" w:rsidP="006412A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BE26A6">
              <w:rPr>
                <w:rFonts w:ascii="Arial" w:hAnsi="Arial" w:cs="Arial"/>
              </w:rPr>
              <w:t>Tesla (Pioneer)</w:t>
            </w:r>
          </w:p>
        </w:tc>
        <w:tc>
          <w:tcPr>
            <w:tcW w:w="0" w:type="auto"/>
            <w:hideMark/>
          </w:tcPr>
          <w:p w14:paraId="054D4764" w14:textId="77777777" w:rsidR="006447B5" w:rsidRPr="00BE26A6" w:rsidRDefault="006447B5" w:rsidP="006412A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BE26A6">
              <w:rPr>
                <w:rFonts w:ascii="Arial" w:hAnsi="Arial" w:cs="Arial"/>
              </w:rPr>
              <w:t>Ford (Follower)</w:t>
            </w:r>
          </w:p>
        </w:tc>
      </w:tr>
      <w:tr w:rsidR="006447B5" w:rsidRPr="00BE26A6" w14:paraId="7E406BB5" w14:textId="77777777" w:rsidTr="00641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128518" w14:textId="77777777" w:rsidR="006447B5" w:rsidRPr="00BE26A6" w:rsidRDefault="006447B5" w:rsidP="006412A7">
            <w:pPr>
              <w:spacing w:line="360" w:lineRule="auto"/>
              <w:rPr>
                <w:rFonts w:ascii="Arial" w:hAnsi="Arial" w:cs="Arial"/>
              </w:rPr>
            </w:pPr>
            <w:r w:rsidRPr="00BE26A6">
              <w:rPr>
                <w:rFonts w:ascii="Arial" w:hAnsi="Arial" w:cs="Arial"/>
              </w:rPr>
              <w:t>Growth Strategy</w:t>
            </w:r>
          </w:p>
        </w:tc>
        <w:tc>
          <w:tcPr>
            <w:tcW w:w="0" w:type="auto"/>
            <w:shd w:val="clear" w:color="auto" w:fill="DAE9F7" w:themeFill="text2" w:themeFillTint="1A"/>
            <w:hideMark/>
          </w:tcPr>
          <w:p w14:paraId="2188C8CE" w14:textId="77777777" w:rsidR="006447B5" w:rsidRPr="00BE26A6" w:rsidRDefault="006447B5" w:rsidP="006412A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Product &amp; Market Development</w:t>
            </w:r>
          </w:p>
        </w:tc>
        <w:tc>
          <w:tcPr>
            <w:tcW w:w="0" w:type="auto"/>
            <w:shd w:val="clear" w:color="auto" w:fill="DAE9F7" w:themeFill="text2" w:themeFillTint="1A"/>
            <w:hideMark/>
          </w:tcPr>
          <w:p w14:paraId="178C5909" w14:textId="77777777" w:rsidR="006447B5" w:rsidRPr="00BE26A6" w:rsidRDefault="006447B5" w:rsidP="006412A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Market Penetration &amp; Product Development</w:t>
            </w:r>
          </w:p>
        </w:tc>
      </w:tr>
      <w:tr w:rsidR="006447B5" w:rsidRPr="00BE26A6" w14:paraId="796E42BF" w14:textId="77777777" w:rsidTr="006412A7">
        <w:tc>
          <w:tcPr>
            <w:cnfStyle w:val="001000000000" w:firstRow="0" w:lastRow="0" w:firstColumn="1" w:lastColumn="0" w:oddVBand="0" w:evenVBand="0" w:oddHBand="0" w:evenHBand="0" w:firstRowFirstColumn="0" w:firstRowLastColumn="0" w:lastRowFirstColumn="0" w:lastRowLastColumn="0"/>
            <w:tcW w:w="0" w:type="auto"/>
            <w:hideMark/>
          </w:tcPr>
          <w:p w14:paraId="0870FCDD" w14:textId="77777777" w:rsidR="006447B5" w:rsidRPr="00BE26A6" w:rsidRDefault="006447B5" w:rsidP="006412A7">
            <w:pPr>
              <w:spacing w:line="360" w:lineRule="auto"/>
              <w:rPr>
                <w:rFonts w:ascii="Arial" w:hAnsi="Arial" w:cs="Arial"/>
              </w:rPr>
            </w:pPr>
            <w:r w:rsidRPr="00BE26A6">
              <w:rPr>
                <w:rFonts w:ascii="Arial" w:hAnsi="Arial" w:cs="Arial"/>
              </w:rPr>
              <w:t>Market Approach</w:t>
            </w:r>
          </w:p>
        </w:tc>
        <w:tc>
          <w:tcPr>
            <w:tcW w:w="0" w:type="auto"/>
            <w:shd w:val="clear" w:color="auto" w:fill="DAE9F7" w:themeFill="text2" w:themeFillTint="1A"/>
            <w:hideMark/>
          </w:tcPr>
          <w:p w14:paraId="71A1525E" w14:textId="77777777" w:rsidR="006447B5" w:rsidRPr="00BE26A6" w:rsidRDefault="006447B5" w:rsidP="006412A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Expansion into new global markets</w:t>
            </w:r>
          </w:p>
        </w:tc>
        <w:tc>
          <w:tcPr>
            <w:tcW w:w="0" w:type="auto"/>
            <w:shd w:val="clear" w:color="auto" w:fill="DAE9F7" w:themeFill="text2" w:themeFillTint="1A"/>
            <w:hideMark/>
          </w:tcPr>
          <w:p w14:paraId="54E1E72B" w14:textId="77777777" w:rsidR="006447B5" w:rsidRPr="00BE26A6" w:rsidRDefault="006447B5" w:rsidP="006412A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Leveraging existing customer base</w:t>
            </w:r>
          </w:p>
        </w:tc>
      </w:tr>
      <w:tr w:rsidR="006447B5" w:rsidRPr="00BE26A6" w14:paraId="508F0B54" w14:textId="77777777" w:rsidTr="00641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038955" w14:textId="77777777" w:rsidR="006447B5" w:rsidRPr="00BE26A6" w:rsidRDefault="006447B5" w:rsidP="006412A7">
            <w:pPr>
              <w:spacing w:line="360" w:lineRule="auto"/>
              <w:rPr>
                <w:rFonts w:ascii="Arial" w:hAnsi="Arial" w:cs="Arial"/>
              </w:rPr>
            </w:pPr>
            <w:r w:rsidRPr="00BE26A6">
              <w:rPr>
                <w:rFonts w:ascii="Arial" w:hAnsi="Arial" w:cs="Arial"/>
              </w:rPr>
              <w:t>Innovation Level</w:t>
            </w:r>
          </w:p>
        </w:tc>
        <w:tc>
          <w:tcPr>
            <w:tcW w:w="0" w:type="auto"/>
            <w:shd w:val="clear" w:color="auto" w:fill="DAE9F7" w:themeFill="text2" w:themeFillTint="1A"/>
            <w:hideMark/>
          </w:tcPr>
          <w:p w14:paraId="20B843BE" w14:textId="77777777" w:rsidR="006447B5" w:rsidRPr="00BE26A6" w:rsidRDefault="006447B5" w:rsidP="006412A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High</w:t>
            </w:r>
          </w:p>
        </w:tc>
        <w:tc>
          <w:tcPr>
            <w:tcW w:w="0" w:type="auto"/>
            <w:shd w:val="clear" w:color="auto" w:fill="DAE9F7" w:themeFill="text2" w:themeFillTint="1A"/>
            <w:hideMark/>
          </w:tcPr>
          <w:p w14:paraId="580B9CE6" w14:textId="77777777" w:rsidR="006447B5" w:rsidRPr="00BE26A6" w:rsidRDefault="006447B5" w:rsidP="006412A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E26A6">
              <w:rPr>
                <w:rFonts w:ascii="Arial" w:hAnsi="Arial" w:cs="Arial"/>
              </w:rPr>
              <w:t>Moderate</w:t>
            </w:r>
          </w:p>
        </w:tc>
      </w:tr>
      <w:tr w:rsidR="006447B5" w:rsidRPr="00BE26A6" w14:paraId="15014BCA" w14:textId="77777777" w:rsidTr="006412A7">
        <w:tc>
          <w:tcPr>
            <w:cnfStyle w:val="001000000000" w:firstRow="0" w:lastRow="0" w:firstColumn="1" w:lastColumn="0" w:oddVBand="0" w:evenVBand="0" w:oddHBand="0" w:evenHBand="0" w:firstRowFirstColumn="0" w:firstRowLastColumn="0" w:lastRowFirstColumn="0" w:lastRowLastColumn="0"/>
            <w:tcW w:w="0" w:type="auto"/>
            <w:hideMark/>
          </w:tcPr>
          <w:p w14:paraId="1AB28550" w14:textId="77777777" w:rsidR="006447B5" w:rsidRPr="00BE26A6" w:rsidRDefault="006447B5" w:rsidP="006412A7">
            <w:pPr>
              <w:spacing w:line="360" w:lineRule="auto"/>
              <w:rPr>
                <w:rFonts w:ascii="Arial" w:hAnsi="Arial" w:cs="Arial"/>
              </w:rPr>
            </w:pPr>
            <w:r w:rsidRPr="00BE26A6">
              <w:rPr>
                <w:rFonts w:ascii="Arial" w:hAnsi="Arial" w:cs="Arial"/>
              </w:rPr>
              <w:t>Risk Level</w:t>
            </w:r>
          </w:p>
        </w:tc>
        <w:tc>
          <w:tcPr>
            <w:tcW w:w="0" w:type="auto"/>
            <w:shd w:val="clear" w:color="auto" w:fill="DAE9F7" w:themeFill="text2" w:themeFillTint="1A"/>
            <w:hideMark/>
          </w:tcPr>
          <w:p w14:paraId="4DB101D6" w14:textId="77777777" w:rsidR="006447B5" w:rsidRPr="00BE26A6" w:rsidRDefault="006447B5" w:rsidP="006412A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High (rapid expansion)</w:t>
            </w:r>
          </w:p>
        </w:tc>
        <w:tc>
          <w:tcPr>
            <w:tcW w:w="0" w:type="auto"/>
            <w:shd w:val="clear" w:color="auto" w:fill="DAE9F7" w:themeFill="text2" w:themeFillTint="1A"/>
            <w:hideMark/>
          </w:tcPr>
          <w:p w14:paraId="1AA05C4A" w14:textId="77777777" w:rsidR="006447B5" w:rsidRPr="00BE26A6" w:rsidRDefault="006447B5" w:rsidP="006412A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E26A6">
              <w:rPr>
                <w:rFonts w:ascii="Arial" w:hAnsi="Arial" w:cs="Arial"/>
              </w:rPr>
              <w:t>Moderate (gradual transition)</w:t>
            </w:r>
          </w:p>
        </w:tc>
      </w:tr>
    </w:tbl>
    <w:p w14:paraId="6DC5541B" w14:textId="77777777" w:rsidR="006412A7" w:rsidRPr="00BE26A6" w:rsidRDefault="006412A7" w:rsidP="006412A7">
      <w:pPr>
        <w:spacing w:line="360" w:lineRule="auto"/>
        <w:jc w:val="both"/>
        <w:rPr>
          <w:rFonts w:ascii="Arial" w:hAnsi="Arial" w:cs="Arial"/>
          <w:b/>
          <w:bCs/>
        </w:rPr>
      </w:pPr>
    </w:p>
    <w:p w14:paraId="463873D6" w14:textId="77777777" w:rsidR="002675D4" w:rsidRPr="00BE26A6" w:rsidRDefault="002675D4" w:rsidP="006412A7">
      <w:pPr>
        <w:pStyle w:val="Heading1"/>
      </w:pPr>
      <w:bookmarkStart w:id="20" w:name="_Toc225371886"/>
      <w:r w:rsidRPr="00BE26A6">
        <w:t>3. Critical Evaluation</w:t>
      </w:r>
      <w:bookmarkEnd w:id="20"/>
    </w:p>
    <w:p w14:paraId="7EC0C576" w14:textId="77777777" w:rsidR="002675D4" w:rsidRPr="00BE26A6" w:rsidRDefault="00A45C51" w:rsidP="00A45C51">
      <w:pPr>
        <w:pStyle w:val="Heading2"/>
      </w:pPr>
      <w:bookmarkStart w:id="21" w:name="_Toc225371887"/>
      <w:r w:rsidRPr="00BE26A6">
        <w:t xml:space="preserve">3.1 </w:t>
      </w:r>
      <w:r w:rsidR="00601B9A" w:rsidRPr="00BE26A6">
        <w:t>Tesla vs Ford Comparative Performance.</w:t>
      </w:r>
      <w:bookmarkEnd w:id="21"/>
    </w:p>
    <w:p w14:paraId="44642F36" w14:textId="77777777" w:rsidR="002675D4" w:rsidRPr="00BE26A6" w:rsidRDefault="00601B9A" w:rsidP="006412A7">
      <w:pPr>
        <w:spacing w:line="360" w:lineRule="auto"/>
        <w:jc w:val="both"/>
        <w:rPr>
          <w:rFonts w:ascii="Arial" w:hAnsi="Arial" w:cs="Arial"/>
        </w:rPr>
      </w:pPr>
      <w:r w:rsidRPr="00BE26A6">
        <w:rPr>
          <w:rFonts w:ascii="Arial" w:hAnsi="Arial" w:cs="Arial"/>
        </w:rPr>
        <w:t xml:space="preserve">In general, Tesla shows better performance than Ford in its reaction to the pressure of macro-environment, especially regarding technological innovativeness and regulatory </w:t>
      </w:r>
      <w:r w:rsidRPr="00BE26A6">
        <w:rPr>
          <w:rFonts w:ascii="Arial" w:hAnsi="Arial" w:cs="Arial"/>
        </w:rPr>
        <w:lastRenderedPageBreak/>
        <w:t xml:space="preserve">conformity. The first-mover advantage enables Tesla to gain a bigger portion of the EV market, with the company taking about 19 percent of all EVs sold in the world as of 2023, and Ford being a smaller but increasing competitor (IEA, 2023). Such a performance difference indicates that Tesla has the capability of taking the initiative to influence the direction of the industry in a proactive manner, in contrast to Ford </w:t>
      </w:r>
      <w:proofErr w:type="gramStart"/>
      <w:r w:rsidRPr="00BE26A6">
        <w:rPr>
          <w:rFonts w:ascii="Arial" w:hAnsi="Arial" w:cs="Arial"/>
        </w:rPr>
        <w:t>to a large extent</w:t>
      </w:r>
      <w:proofErr w:type="gramEnd"/>
      <w:r w:rsidRPr="00BE26A6">
        <w:rPr>
          <w:rFonts w:ascii="Arial" w:hAnsi="Arial" w:cs="Arial"/>
        </w:rPr>
        <w:t xml:space="preserve"> reacting to the influence. Strategically, innovators can usually be ahead of the pack in a dynamic market because of their capacity to shape the technological standards and expectations to the consumer (Lieberman and Montgomery, 1988).</w:t>
      </w:r>
    </w:p>
    <w:p w14:paraId="52740175" w14:textId="77777777" w:rsidR="002675D4" w:rsidRPr="00BE26A6" w:rsidRDefault="00A45C51" w:rsidP="00A45C51">
      <w:pPr>
        <w:pStyle w:val="Heading2"/>
      </w:pPr>
      <w:bookmarkStart w:id="22" w:name="_Toc225371888"/>
      <w:r w:rsidRPr="00BE26A6">
        <w:t xml:space="preserve">3.2 </w:t>
      </w:r>
      <w:r w:rsidR="00601B9A" w:rsidRPr="00BE26A6">
        <w:t>Strategic Advantages and Strengths.</w:t>
      </w:r>
      <w:bookmarkEnd w:id="22"/>
    </w:p>
    <w:p w14:paraId="4768D359" w14:textId="77777777" w:rsidR="00601B9A" w:rsidRPr="00BE26A6" w:rsidRDefault="00601B9A" w:rsidP="00601B9A">
      <w:pPr>
        <w:spacing w:line="360" w:lineRule="auto"/>
        <w:jc w:val="both"/>
        <w:rPr>
          <w:rFonts w:ascii="Arial" w:hAnsi="Arial" w:cs="Arial"/>
        </w:rPr>
      </w:pPr>
      <w:r w:rsidRPr="00BE26A6">
        <w:rPr>
          <w:rFonts w:ascii="Arial" w:hAnsi="Arial" w:cs="Arial"/>
        </w:rPr>
        <w:t>The major strength of Tesla is the innovation-based differentiation strategy which is facilitated by heavy investment in research and development and vertical integration. This enables a quick product development, high software capability and good brand positioning (Porter and Advantage, 1985). Also, Tesla can enjoy the advantage of compatibility with environmental standards, which lowers compliance expenses and increases scalability.</w:t>
      </w:r>
    </w:p>
    <w:p w14:paraId="1B80E21D" w14:textId="77777777" w:rsidR="002675D4" w:rsidRPr="00BE26A6" w:rsidRDefault="00601B9A" w:rsidP="00601B9A">
      <w:pPr>
        <w:spacing w:line="360" w:lineRule="auto"/>
        <w:jc w:val="both"/>
        <w:rPr>
          <w:rFonts w:ascii="Arial" w:hAnsi="Arial" w:cs="Arial"/>
        </w:rPr>
      </w:pPr>
      <w:r w:rsidRPr="00BE26A6">
        <w:rPr>
          <w:rFonts w:ascii="Arial" w:hAnsi="Arial" w:cs="Arial"/>
        </w:rPr>
        <w:t>Conversely, Ford has been able to leverage on its capacity to manufacture in large scale and its brand heritage to achieve cost efficiencies and access to mass markets. Its hybrid approach offers a slow change with a reduced risk in the short term. But Ford is hindered by legacy systems to drive agility, which lowers its competitive capabilities in high-tech segments.</w:t>
      </w:r>
    </w:p>
    <w:p w14:paraId="3A6F31C6" w14:textId="77777777" w:rsidR="002675D4" w:rsidRPr="00BE26A6" w:rsidRDefault="00A45C51" w:rsidP="00A45C51">
      <w:pPr>
        <w:pStyle w:val="Heading2"/>
      </w:pPr>
      <w:bookmarkStart w:id="23" w:name="_Toc225371889"/>
      <w:r w:rsidRPr="00BE26A6">
        <w:t xml:space="preserve">3.3 </w:t>
      </w:r>
      <w:r w:rsidR="00601B9A" w:rsidRPr="00BE26A6">
        <w:t>Strategic Limitations and Weaknesses.</w:t>
      </w:r>
      <w:bookmarkEnd w:id="23"/>
    </w:p>
    <w:p w14:paraId="56D55E75" w14:textId="77777777" w:rsidR="00601B9A" w:rsidRPr="00BE26A6" w:rsidRDefault="00601B9A" w:rsidP="00601B9A">
      <w:pPr>
        <w:spacing w:line="360" w:lineRule="auto"/>
        <w:jc w:val="both"/>
        <w:rPr>
          <w:rFonts w:ascii="Arial" w:hAnsi="Arial" w:cs="Arial"/>
        </w:rPr>
      </w:pPr>
      <w:r w:rsidRPr="00BE26A6">
        <w:rPr>
          <w:rFonts w:ascii="Arial" w:hAnsi="Arial" w:cs="Arial"/>
        </w:rPr>
        <w:t>Although it has these benefits, Tesla is vulnerable to the threats of growing competition and excessive dependence on technological superiority as its competitors are investing fast in EV development. Also, high prices can reduce availability in the markets that are price-elastic (McKinsey, 2023).</w:t>
      </w:r>
    </w:p>
    <w:p w14:paraId="52958D10" w14:textId="77777777" w:rsidR="002675D4" w:rsidRPr="00BE26A6" w:rsidRDefault="00601B9A" w:rsidP="00601B9A">
      <w:pPr>
        <w:spacing w:line="360" w:lineRule="auto"/>
        <w:jc w:val="both"/>
        <w:rPr>
          <w:rFonts w:ascii="Arial" w:hAnsi="Arial" w:cs="Arial"/>
        </w:rPr>
      </w:pPr>
      <w:r w:rsidRPr="00BE26A6">
        <w:rPr>
          <w:rFonts w:ascii="Arial" w:hAnsi="Arial" w:cs="Arial"/>
        </w:rPr>
        <w:t>Ford, in its turn, is plagued by structural inertia and high transition costs as it has invested over 50 billion in electrification, which affects the profitability in the short term (Ford Annual Report, 2023). It is limiting its capabilities to compete in a technology-based market because its innovation cycle is slow.</w:t>
      </w:r>
    </w:p>
    <w:p w14:paraId="4E51817E" w14:textId="77777777" w:rsidR="002675D4" w:rsidRPr="00BE26A6" w:rsidRDefault="002675D4" w:rsidP="006412A7">
      <w:pPr>
        <w:pStyle w:val="Heading1"/>
      </w:pPr>
      <w:bookmarkStart w:id="24" w:name="_Toc225371890"/>
      <w:r w:rsidRPr="00BE26A6">
        <w:lastRenderedPageBreak/>
        <w:t>4. Conclusion</w:t>
      </w:r>
      <w:bookmarkEnd w:id="24"/>
      <w:r w:rsidRPr="00BE26A6">
        <w:t xml:space="preserve"> </w:t>
      </w:r>
    </w:p>
    <w:p w14:paraId="27E1A115" w14:textId="77777777" w:rsidR="00A01DDF" w:rsidRPr="00BE26A6" w:rsidRDefault="00431894" w:rsidP="00370009">
      <w:pPr>
        <w:spacing w:line="360" w:lineRule="auto"/>
        <w:jc w:val="both"/>
        <w:rPr>
          <w:rFonts w:ascii="Arial" w:hAnsi="Arial" w:cs="Arial"/>
        </w:rPr>
      </w:pPr>
      <w:r w:rsidRPr="00BE26A6">
        <w:rPr>
          <w:rFonts w:ascii="Arial" w:hAnsi="Arial" w:cs="Arial"/>
        </w:rPr>
        <w:t xml:space="preserve">To sum up, the discussion reveals that the macro-environmental forces especially regulation and technological innovation have transformed the competitive reality in the EV industry. As an innovative company, Tesla is ahead of Ford because the company has utilized innovation, regulatory fit, and effective differentiation strategy to maintain competitive advantage. Conversely, the follower role prevents Ford to be responsive because of legacy structures and slower adoption of technology. Although Ford has a prospective of long-term growth based on its scale, its present strategy is more of a transitioning strategy as opposed to a transformative one. </w:t>
      </w:r>
    </w:p>
    <w:p w14:paraId="15ED6219" w14:textId="77777777" w:rsidR="00AC0851" w:rsidRPr="00BE26A6" w:rsidRDefault="00AC0851" w:rsidP="00370009">
      <w:pPr>
        <w:spacing w:line="360" w:lineRule="auto"/>
        <w:jc w:val="both"/>
        <w:rPr>
          <w:rFonts w:ascii="Arial" w:hAnsi="Arial" w:cs="Arial"/>
        </w:rPr>
      </w:pPr>
    </w:p>
    <w:p w14:paraId="4ED906CA" w14:textId="77777777" w:rsidR="00AC0851" w:rsidRPr="00BE26A6" w:rsidRDefault="00AC0851" w:rsidP="00370009">
      <w:pPr>
        <w:spacing w:line="360" w:lineRule="auto"/>
        <w:jc w:val="both"/>
        <w:rPr>
          <w:rFonts w:ascii="Arial" w:hAnsi="Arial" w:cs="Arial"/>
        </w:rPr>
      </w:pPr>
    </w:p>
    <w:p w14:paraId="76E64593" w14:textId="77777777" w:rsidR="00AC0851" w:rsidRPr="00BE26A6" w:rsidRDefault="00AC0851" w:rsidP="00370009">
      <w:pPr>
        <w:spacing w:line="360" w:lineRule="auto"/>
        <w:jc w:val="both"/>
        <w:rPr>
          <w:rFonts w:ascii="Arial" w:hAnsi="Arial" w:cs="Arial"/>
        </w:rPr>
      </w:pPr>
    </w:p>
    <w:p w14:paraId="7B082291" w14:textId="77777777" w:rsidR="00AC0851" w:rsidRPr="00BE26A6" w:rsidRDefault="00AC0851" w:rsidP="00370009">
      <w:pPr>
        <w:spacing w:line="360" w:lineRule="auto"/>
        <w:jc w:val="both"/>
        <w:rPr>
          <w:rFonts w:ascii="Arial" w:hAnsi="Arial" w:cs="Arial"/>
        </w:rPr>
      </w:pPr>
    </w:p>
    <w:p w14:paraId="022312C9" w14:textId="77777777" w:rsidR="00A01DDF" w:rsidRPr="00BE26A6" w:rsidRDefault="00A01DDF" w:rsidP="00A45C51">
      <w:pPr>
        <w:pStyle w:val="Heading1"/>
      </w:pPr>
      <w:bookmarkStart w:id="25" w:name="_Toc225371891"/>
      <w:r w:rsidRPr="00BE26A6">
        <w:t>References</w:t>
      </w:r>
      <w:bookmarkEnd w:id="25"/>
      <w:r w:rsidRPr="00BE26A6">
        <w:t xml:space="preserve"> </w:t>
      </w:r>
    </w:p>
    <w:p w14:paraId="1694511C" w14:textId="77777777" w:rsidR="00FA28BD" w:rsidRPr="00BE26A6" w:rsidRDefault="00FA28BD" w:rsidP="00FA28BD">
      <w:pPr>
        <w:spacing w:line="360" w:lineRule="auto"/>
        <w:ind w:left="720" w:hanging="720"/>
        <w:jc w:val="both"/>
        <w:rPr>
          <w:rFonts w:ascii="Arial" w:hAnsi="Arial" w:cs="Arial"/>
        </w:rPr>
      </w:pPr>
      <w:r w:rsidRPr="00BE26A6">
        <w:rPr>
          <w:rFonts w:ascii="Arial" w:hAnsi="Arial" w:cs="Arial"/>
        </w:rPr>
        <w:t xml:space="preserve">Ansoff, H.I., 1957. Strategies for diversification. Harvard business review, 35(5), pp.113-124. </w:t>
      </w:r>
    </w:p>
    <w:p w14:paraId="52F85978" w14:textId="77777777" w:rsidR="00FA28BD" w:rsidRPr="00BE26A6" w:rsidRDefault="00FA28BD" w:rsidP="00FA28BD">
      <w:pPr>
        <w:spacing w:line="360" w:lineRule="auto"/>
        <w:ind w:left="720" w:hanging="720"/>
        <w:jc w:val="both"/>
        <w:rPr>
          <w:rFonts w:ascii="Arial" w:hAnsi="Arial" w:cs="Arial"/>
        </w:rPr>
      </w:pPr>
      <w:proofErr w:type="spellStart"/>
      <w:r w:rsidRPr="00BE26A6">
        <w:rPr>
          <w:rFonts w:ascii="Arial" w:hAnsi="Arial" w:cs="Arial"/>
        </w:rPr>
        <w:t>BloombergNEF</w:t>
      </w:r>
      <w:proofErr w:type="spellEnd"/>
      <w:r w:rsidRPr="00BE26A6">
        <w:rPr>
          <w:rFonts w:ascii="Arial" w:hAnsi="Arial" w:cs="Arial"/>
        </w:rPr>
        <w:t xml:space="preserve"> (2023) Battery Price Survey 2023. Available at: </w:t>
      </w:r>
      <w:hyperlink r:id="rId10" w:history="1">
        <w:r w:rsidR="00DC67A3" w:rsidRPr="00BE26A6">
          <w:rPr>
            <w:rStyle w:val="Hyperlink"/>
            <w:rFonts w:ascii="Arial" w:hAnsi="Arial" w:cs="Arial"/>
          </w:rPr>
          <w:t>https://about.bnef.com/insights/clean-energy/lithium-ion-battery-pack-prices-hit-record-low-of-139-kwh/</w:t>
        </w:r>
      </w:hyperlink>
      <w:r w:rsidR="00DC67A3" w:rsidRPr="00BE26A6">
        <w:rPr>
          <w:rFonts w:ascii="Arial" w:hAnsi="Arial" w:cs="Arial"/>
        </w:rPr>
        <w:t xml:space="preserve"> </w:t>
      </w:r>
      <w:r w:rsidRPr="00BE26A6">
        <w:rPr>
          <w:rFonts w:ascii="Arial" w:hAnsi="Arial" w:cs="Arial"/>
        </w:rPr>
        <w:t xml:space="preserve">(Accessed: 22 March 2026) </w:t>
      </w:r>
    </w:p>
    <w:p w14:paraId="1C8D2737" w14:textId="77777777" w:rsidR="00FA28BD" w:rsidRPr="00BE26A6" w:rsidRDefault="00FA28BD" w:rsidP="00FA28BD">
      <w:pPr>
        <w:spacing w:line="360" w:lineRule="auto"/>
        <w:ind w:left="720" w:hanging="720"/>
        <w:jc w:val="both"/>
        <w:rPr>
          <w:rFonts w:ascii="Arial" w:hAnsi="Arial" w:cs="Arial"/>
        </w:rPr>
      </w:pPr>
      <w:r w:rsidRPr="00BE26A6">
        <w:rPr>
          <w:rFonts w:ascii="Arial" w:hAnsi="Arial" w:cs="Arial"/>
        </w:rPr>
        <w:t xml:space="preserve">Ford Motor Company (2023) Annual Report 2023. Available at: </w:t>
      </w:r>
      <w:hyperlink r:id="rId11" w:history="1">
        <w:r w:rsidR="00DC67A3" w:rsidRPr="00BE26A6">
          <w:rPr>
            <w:rStyle w:val="Hyperlink"/>
            <w:rFonts w:ascii="Arial" w:hAnsi="Arial" w:cs="Arial"/>
          </w:rPr>
          <w:t>https://s205.q4cdn.com/882619693/files/doc_financials/2023/ar/2023-Ford-Annual-Report.pdf</w:t>
        </w:r>
      </w:hyperlink>
      <w:r w:rsidR="00DC67A3" w:rsidRPr="00BE26A6">
        <w:rPr>
          <w:rFonts w:ascii="Arial" w:hAnsi="Arial" w:cs="Arial"/>
        </w:rPr>
        <w:t xml:space="preserve"> </w:t>
      </w:r>
      <w:r w:rsidRPr="00BE26A6">
        <w:rPr>
          <w:rFonts w:ascii="Arial" w:hAnsi="Arial" w:cs="Arial"/>
        </w:rPr>
        <w:t xml:space="preserve">(Accessed: 22 March 2026) </w:t>
      </w:r>
    </w:p>
    <w:p w14:paraId="6E261B8E" w14:textId="77777777" w:rsidR="00FA28BD" w:rsidRPr="00BE26A6" w:rsidRDefault="00FA28BD" w:rsidP="00FA28BD">
      <w:pPr>
        <w:spacing w:line="360" w:lineRule="auto"/>
        <w:ind w:left="720" w:hanging="720"/>
        <w:jc w:val="both"/>
        <w:rPr>
          <w:rFonts w:ascii="Arial" w:hAnsi="Arial" w:cs="Arial"/>
        </w:rPr>
      </w:pPr>
      <w:r w:rsidRPr="00BE26A6">
        <w:rPr>
          <w:rFonts w:ascii="Arial" w:hAnsi="Arial" w:cs="Arial"/>
        </w:rPr>
        <w:t xml:space="preserve">Hopkins, M. and </w:t>
      </w:r>
      <w:proofErr w:type="spellStart"/>
      <w:r w:rsidRPr="00BE26A6">
        <w:rPr>
          <w:rFonts w:ascii="Arial" w:hAnsi="Arial" w:cs="Arial"/>
        </w:rPr>
        <w:t>Lazonick</w:t>
      </w:r>
      <w:proofErr w:type="spellEnd"/>
      <w:r w:rsidRPr="00BE26A6">
        <w:rPr>
          <w:rFonts w:ascii="Arial" w:hAnsi="Arial" w:cs="Arial"/>
        </w:rPr>
        <w:t xml:space="preserve">, W., 2024. Tesla as a Global Competitor: Strategic Control in the EV Transition. Institute for New Economic Thinking Working Paper Series, (225). </w:t>
      </w:r>
    </w:p>
    <w:p w14:paraId="46FC07BA" w14:textId="77777777" w:rsidR="00FA28BD" w:rsidRPr="00BE26A6" w:rsidRDefault="00FA28BD" w:rsidP="00FA28BD">
      <w:pPr>
        <w:spacing w:line="360" w:lineRule="auto"/>
        <w:ind w:left="720" w:hanging="720"/>
        <w:jc w:val="both"/>
        <w:rPr>
          <w:rFonts w:ascii="Arial" w:hAnsi="Arial" w:cs="Arial"/>
        </w:rPr>
      </w:pPr>
      <w:r w:rsidRPr="00BE26A6">
        <w:rPr>
          <w:rFonts w:ascii="Arial" w:hAnsi="Arial" w:cs="Arial"/>
        </w:rPr>
        <w:t xml:space="preserve">International Energy Agency (IEA) (2023) Global EV Outlook 2023. Paris: IEA. Available at: </w:t>
      </w:r>
      <w:hyperlink r:id="rId12" w:history="1">
        <w:r w:rsidR="00DC67A3" w:rsidRPr="00BE26A6">
          <w:rPr>
            <w:rStyle w:val="Hyperlink"/>
            <w:rFonts w:ascii="Arial" w:hAnsi="Arial" w:cs="Arial"/>
          </w:rPr>
          <w:t>https://www.iea.org/reports/global-ev-outlook-2023</w:t>
        </w:r>
      </w:hyperlink>
      <w:r w:rsidR="00DC67A3" w:rsidRPr="00BE26A6">
        <w:rPr>
          <w:rFonts w:ascii="Arial" w:hAnsi="Arial" w:cs="Arial"/>
        </w:rPr>
        <w:t xml:space="preserve"> </w:t>
      </w:r>
      <w:r w:rsidRPr="00BE26A6">
        <w:rPr>
          <w:rFonts w:ascii="Arial" w:hAnsi="Arial" w:cs="Arial"/>
        </w:rPr>
        <w:t xml:space="preserve">(Accessed: 22 March 2026) </w:t>
      </w:r>
    </w:p>
    <w:p w14:paraId="4DC14F33" w14:textId="77777777" w:rsidR="00FA28BD" w:rsidRPr="00BE26A6" w:rsidRDefault="00FA28BD" w:rsidP="00FA28BD">
      <w:pPr>
        <w:spacing w:line="360" w:lineRule="auto"/>
        <w:ind w:left="720" w:hanging="720"/>
        <w:jc w:val="both"/>
        <w:rPr>
          <w:rFonts w:ascii="Arial" w:hAnsi="Arial" w:cs="Arial"/>
        </w:rPr>
      </w:pPr>
      <w:r w:rsidRPr="00BE26A6">
        <w:rPr>
          <w:rFonts w:ascii="Arial" w:hAnsi="Arial" w:cs="Arial"/>
        </w:rPr>
        <w:lastRenderedPageBreak/>
        <w:t xml:space="preserve">Kotler, P. and Keller, K.L. (2022) Marketing Management. 16th </w:t>
      </w:r>
      <w:proofErr w:type="spellStart"/>
      <w:r w:rsidRPr="00BE26A6">
        <w:rPr>
          <w:rFonts w:ascii="Arial" w:hAnsi="Arial" w:cs="Arial"/>
        </w:rPr>
        <w:t>edn</w:t>
      </w:r>
      <w:proofErr w:type="spellEnd"/>
      <w:r w:rsidRPr="00BE26A6">
        <w:rPr>
          <w:rFonts w:ascii="Arial" w:hAnsi="Arial" w:cs="Arial"/>
        </w:rPr>
        <w:t xml:space="preserve">. Harlow: Pearson. Available at: </w:t>
      </w:r>
      <w:hyperlink r:id="rId13" w:history="1">
        <w:r w:rsidR="00DC67A3" w:rsidRPr="00BE26A6">
          <w:rPr>
            <w:rStyle w:val="Hyperlink"/>
            <w:rFonts w:ascii="Arial" w:hAnsi="Arial" w:cs="Arial"/>
          </w:rPr>
          <w:t>https://studylib.net/doc/27749324/kotler--</w:t>
        </w:r>
        <w:proofErr w:type="spellStart"/>
        <w:r w:rsidR="00DC67A3" w:rsidRPr="00BE26A6">
          <w:rPr>
            <w:rStyle w:val="Hyperlink"/>
            <w:rFonts w:ascii="Arial" w:hAnsi="Arial" w:cs="Arial"/>
          </w:rPr>
          <w:t>keller</w:t>
        </w:r>
        <w:proofErr w:type="spellEnd"/>
        <w:r w:rsidR="00DC67A3" w:rsidRPr="00BE26A6">
          <w:rPr>
            <w:rStyle w:val="Hyperlink"/>
            <w:rFonts w:ascii="Arial" w:hAnsi="Arial" w:cs="Arial"/>
          </w:rPr>
          <w:t>---</w:t>
        </w:r>
        <w:proofErr w:type="spellStart"/>
        <w:r w:rsidR="00DC67A3" w:rsidRPr="00BE26A6">
          <w:rPr>
            <w:rStyle w:val="Hyperlink"/>
            <w:rFonts w:ascii="Arial" w:hAnsi="Arial" w:cs="Arial"/>
          </w:rPr>
          <w:t>chernev</w:t>
        </w:r>
        <w:proofErr w:type="spellEnd"/>
        <w:r w:rsidR="00DC67A3" w:rsidRPr="00BE26A6">
          <w:rPr>
            <w:rStyle w:val="Hyperlink"/>
            <w:rFonts w:ascii="Arial" w:hAnsi="Arial" w:cs="Arial"/>
          </w:rPr>
          <w:t>---16th-ed-edits?p=3</w:t>
        </w:r>
      </w:hyperlink>
      <w:r w:rsidR="00DC67A3" w:rsidRPr="00BE26A6">
        <w:rPr>
          <w:rFonts w:ascii="Arial" w:hAnsi="Arial" w:cs="Arial"/>
        </w:rPr>
        <w:t xml:space="preserve"> </w:t>
      </w:r>
      <w:r w:rsidRPr="00BE26A6">
        <w:rPr>
          <w:rFonts w:ascii="Arial" w:hAnsi="Arial" w:cs="Arial"/>
        </w:rPr>
        <w:t xml:space="preserve">(Accessed: 22 March 2026) </w:t>
      </w:r>
    </w:p>
    <w:p w14:paraId="0C082F32" w14:textId="77777777" w:rsidR="00FA28BD" w:rsidRPr="00BE26A6" w:rsidRDefault="00FA28BD" w:rsidP="00FA28BD">
      <w:pPr>
        <w:spacing w:line="360" w:lineRule="auto"/>
        <w:ind w:left="720" w:hanging="720"/>
        <w:jc w:val="both"/>
        <w:rPr>
          <w:rFonts w:ascii="Arial" w:hAnsi="Arial" w:cs="Arial"/>
        </w:rPr>
      </w:pPr>
      <w:r w:rsidRPr="00BE26A6">
        <w:rPr>
          <w:rFonts w:ascii="Arial" w:hAnsi="Arial" w:cs="Arial"/>
        </w:rPr>
        <w:t>Lieberman, M.B. and Montgomery, D.B., 1988. First</w:t>
      </w:r>
      <w:r w:rsidRPr="00BE26A6">
        <w:rPr>
          <w:rFonts w:ascii="Cambria Math" w:hAnsi="Cambria Math" w:cs="Cambria Math"/>
        </w:rPr>
        <w:t>‐</w:t>
      </w:r>
      <w:r w:rsidRPr="00BE26A6">
        <w:rPr>
          <w:rFonts w:ascii="Arial" w:hAnsi="Arial" w:cs="Arial"/>
        </w:rPr>
        <w:t xml:space="preserve">mover advantages. Strategic management journal, 9(S1), pp.41-58. </w:t>
      </w:r>
    </w:p>
    <w:p w14:paraId="31075892" w14:textId="77777777" w:rsidR="00FA28BD" w:rsidRPr="00BE26A6" w:rsidRDefault="00FA28BD" w:rsidP="00FA28BD">
      <w:pPr>
        <w:spacing w:line="360" w:lineRule="auto"/>
        <w:ind w:left="720" w:hanging="720"/>
        <w:jc w:val="both"/>
        <w:rPr>
          <w:rFonts w:ascii="Arial" w:hAnsi="Arial" w:cs="Arial"/>
        </w:rPr>
      </w:pPr>
      <w:r w:rsidRPr="00BE26A6">
        <w:rPr>
          <w:rFonts w:ascii="Arial" w:hAnsi="Arial" w:cs="Arial"/>
        </w:rPr>
        <w:t xml:space="preserve">McKinsey &amp; Company (2023) The Future of Mobility Report. Available at: </w:t>
      </w:r>
      <w:hyperlink r:id="rId14" w:history="1">
        <w:r w:rsidR="007D065D" w:rsidRPr="00BE26A6">
          <w:rPr>
            <w:rStyle w:val="Hyperlink"/>
            <w:rFonts w:ascii="Arial" w:hAnsi="Arial" w:cs="Arial"/>
          </w:rPr>
          <w:t>https://www.mckinsey.com/~/media/mckinsey/industries/automotive%20and%20assembly/our%20insights/the%20future%20of%20mobility/the-future-of-mobility.pdf</w:t>
        </w:r>
      </w:hyperlink>
      <w:r w:rsidR="007D065D" w:rsidRPr="00BE26A6">
        <w:rPr>
          <w:rFonts w:ascii="Arial" w:hAnsi="Arial" w:cs="Arial"/>
        </w:rPr>
        <w:t xml:space="preserve"> </w:t>
      </w:r>
      <w:r w:rsidRPr="00BE26A6">
        <w:rPr>
          <w:rFonts w:ascii="Arial" w:hAnsi="Arial" w:cs="Arial"/>
        </w:rPr>
        <w:t xml:space="preserve">(Accessed: 22 March 2026) </w:t>
      </w:r>
    </w:p>
    <w:p w14:paraId="01DDB6DA" w14:textId="77777777" w:rsidR="00FA28BD" w:rsidRPr="00BE26A6" w:rsidRDefault="00FA28BD" w:rsidP="00FA28BD">
      <w:pPr>
        <w:spacing w:line="360" w:lineRule="auto"/>
        <w:ind w:left="720" w:hanging="720"/>
        <w:jc w:val="both"/>
        <w:rPr>
          <w:rFonts w:ascii="Arial" w:hAnsi="Arial" w:cs="Arial"/>
        </w:rPr>
      </w:pPr>
      <w:r w:rsidRPr="00BE26A6">
        <w:rPr>
          <w:rFonts w:ascii="Arial" w:hAnsi="Arial" w:cs="Arial"/>
        </w:rPr>
        <w:t xml:space="preserve">Porter, M.E. and Advantage, C., 1985. Creating and sustaining superior performance. Competitive advantage, 167, pp.167-206. </w:t>
      </w:r>
    </w:p>
    <w:p w14:paraId="31BC8C8F" w14:textId="77777777" w:rsidR="00FA28BD" w:rsidRPr="00BE26A6" w:rsidRDefault="00FA28BD" w:rsidP="00FA28BD">
      <w:pPr>
        <w:spacing w:line="360" w:lineRule="auto"/>
        <w:ind w:left="720" w:hanging="720"/>
        <w:jc w:val="both"/>
        <w:rPr>
          <w:rFonts w:ascii="Arial" w:hAnsi="Arial" w:cs="Arial"/>
        </w:rPr>
      </w:pPr>
      <w:r w:rsidRPr="00BE26A6">
        <w:rPr>
          <w:rFonts w:ascii="Arial" w:hAnsi="Arial" w:cs="Arial"/>
        </w:rPr>
        <w:t xml:space="preserve">Studeny, M., Bartels, A., Rauch, M., Scheiblich, M., Just, V. and Buchmüller, M., 2017. Innovation management, Environmental sustainability, and market competitiveness. </w:t>
      </w:r>
    </w:p>
    <w:p w14:paraId="296908BE" w14:textId="77777777" w:rsidR="006447B5" w:rsidRPr="006412A7" w:rsidRDefault="00FA28BD" w:rsidP="00FA28BD">
      <w:pPr>
        <w:spacing w:line="360" w:lineRule="auto"/>
        <w:ind w:left="720" w:hanging="720"/>
        <w:jc w:val="both"/>
        <w:rPr>
          <w:rFonts w:ascii="Arial" w:hAnsi="Arial" w:cs="Arial"/>
        </w:rPr>
      </w:pPr>
      <w:r w:rsidRPr="00BE26A6">
        <w:rPr>
          <w:rFonts w:ascii="Arial" w:hAnsi="Arial" w:cs="Arial"/>
        </w:rPr>
        <w:t xml:space="preserve">Tesla Inc. (2023) Annual Report 2023. Available at: </w:t>
      </w:r>
      <w:hyperlink r:id="rId15" w:history="1">
        <w:r w:rsidR="007D065D" w:rsidRPr="00BE26A6">
          <w:rPr>
            <w:rStyle w:val="Hyperlink"/>
            <w:rFonts w:ascii="Arial" w:hAnsi="Arial" w:cs="Arial"/>
          </w:rPr>
          <w:t>https://ir.tesla.com/_flysystem/s3/sec/000162828024002390/tsla-20231231-gen.pdf</w:t>
        </w:r>
      </w:hyperlink>
      <w:r w:rsidR="007D065D" w:rsidRPr="00BE26A6">
        <w:rPr>
          <w:rFonts w:ascii="Arial" w:hAnsi="Arial" w:cs="Arial"/>
        </w:rPr>
        <w:t xml:space="preserve"> </w:t>
      </w:r>
      <w:r w:rsidRPr="00BE26A6">
        <w:rPr>
          <w:rFonts w:ascii="Arial" w:hAnsi="Arial" w:cs="Arial"/>
        </w:rPr>
        <w:t>(Accessed: 22 March 2026)</w:t>
      </w:r>
    </w:p>
    <w:sectPr w:rsidR="006447B5" w:rsidRPr="006412A7" w:rsidSect="002675D4">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58CCB" w14:textId="77777777" w:rsidR="009F57BC" w:rsidRPr="00BE26A6" w:rsidRDefault="009F57BC" w:rsidP="00114FCC">
      <w:pPr>
        <w:spacing w:after="0" w:line="240" w:lineRule="auto"/>
      </w:pPr>
      <w:r w:rsidRPr="00BE26A6">
        <w:separator/>
      </w:r>
    </w:p>
  </w:endnote>
  <w:endnote w:type="continuationSeparator" w:id="0">
    <w:p w14:paraId="7870853A" w14:textId="77777777" w:rsidR="009F57BC" w:rsidRPr="00BE26A6" w:rsidRDefault="009F57BC" w:rsidP="00114FCC">
      <w:pPr>
        <w:spacing w:after="0" w:line="240" w:lineRule="auto"/>
      </w:pPr>
      <w:r w:rsidRPr="00BE26A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0657416"/>
      <w:docPartObj>
        <w:docPartGallery w:val="Page Numbers (Bottom of Page)"/>
        <w:docPartUnique/>
      </w:docPartObj>
    </w:sdtPr>
    <w:sdtEndPr>
      <w:rPr>
        <w:color w:val="7F7F7F" w:themeColor="background1" w:themeShade="7F"/>
        <w:spacing w:val="60"/>
      </w:rPr>
    </w:sdtEndPr>
    <w:sdtContent>
      <w:p w14:paraId="14ACECAA" w14:textId="77777777" w:rsidR="00114FCC" w:rsidRPr="00BE26A6" w:rsidRDefault="00114FCC">
        <w:pPr>
          <w:pStyle w:val="Footer"/>
          <w:pBdr>
            <w:top w:val="single" w:sz="4" w:space="1" w:color="D9D9D9" w:themeColor="background1" w:themeShade="D9"/>
          </w:pBdr>
          <w:jc w:val="right"/>
        </w:pPr>
        <w:r w:rsidRPr="00BE26A6">
          <w:fldChar w:fldCharType="begin"/>
        </w:r>
        <w:r w:rsidRPr="00BE26A6">
          <w:instrText xml:space="preserve"> PAGE   \* MERGEFORMAT </w:instrText>
        </w:r>
        <w:r w:rsidRPr="00BE26A6">
          <w:fldChar w:fldCharType="separate"/>
        </w:r>
        <w:r w:rsidR="00AC0851" w:rsidRPr="00BE26A6">
          <w:t>14</w:t>
        </w:r>
        <w:r w:rsidRPr="00BE26A6">
          <w:fldChar w:fldCharType="end"/>
        </w:r>
        <w:r w:rsidRPr="00BE26A6">
          <w:t xml:space="preserve"> | </w:t>
        </w:r>
        <w:r w:rsidRPr="00BE26A6">
          <w:rPr>
            <w:color w:val="7F7F7F" w:themeColor="background1" w:themeShade="7F"/>
            <w:spacing w:val="60"/>
          </w:rPr>
          <w:t>Page</w:t>
        </w:r>
      </w:p>
    </w:sdtContent>
  </w:sdt>
  <w:p w14:paraId="48FFEBEE" w14:textId="77777777" w:rsidR="00114FCC" w:rsidRPr="00BE26A6" w:rsidRDefault="00114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A4586" w14:textId="77777777" w:rsidR="009F57BC" w:rsidRPr="00BE26A6" w:rsidRDefault="009F57BC" w:rsidP="00114FCC">
      <w:pPr>
        <w:spacing w:after="0" w:line="240" w:lineRule="auto"/>
      </w:pPr>
      <w:r w:rsidRPr="00BE26A6">
        <w:separator/>
      </w:r>
    </w:p>
  </w:footnote>
  <w:footnote w:type="continuationSeparator" w:id="0">
    <w:p w14:paraId="36E75770" w14:textId="77777777" w:rsidR="009F57BC" w:rsidRPr="00BE26A6" w:rsidRDefault="009F57BC" w:rsidP="00114FCC">
      <w:pPr>
        <w:spacing w:after="0" w:line="240" w:lineRule="auto"/>
      </w:pPr>
      <w:r w:rsidRPr="00BE26A6">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AAF"/>
    <w:rsid w:val="00002F1D"/>
    <w:rsid w:val="00021EF1"/>
    <w:rsid w:val="000321CC"/>
    <w:rsid w:val="0005655D"/>
    <w:rsid w:val="00072EEC"/>
    <w:rsid w:val="0009254F"/>
    <w:rsid w:val="00097D7E"/>
    <w:rsid w:val="00114FCC"/>
    <w:rsid w:val="00165BF6"/>
    <w:rsid w:val="001815C7"/>
    <w:rsid w:val="00242DE4"/>
    <w:rsid w:val="00263AF1"/>
    <w:rsid w:val="002675D4"/>
    <w:rsid w:val="00274D31"/>
    <w:rsid w:val="00296A0C"/>
    <w:rsid w:val="00310C2B"/>
    <w:rsid w:val="00370009"/>
    <w:rsid w:val="0037410D"/>
    <w:rsid w:val="00391E11"/>
    <w:rsid w:val="003A2FD4"/>
    <w:rsid w:val="00431894"/>
    <w:rsid w:val="005405D2"/>
    <w:rsid w:val="00601B9A"/>
    <w:rsid w:val="006412A7"/>
    <w:rsid w:val="006447B5"/>
    <w:rsid w:val="00667166"/>
    <w:rsid w:val="006F4015"/>
    <w:rsid w:val="007A410D"/>
    <w:rsid w:val="007A788B"/>
    <w:rsid w:val="007B3868"/>
    <w:rsid w:val="007D065D"/>
    <w:rsid w:val="008F43DD"/>
    <w:rsid w:val="008F6A1A"/>
    <w:rsid w:val="00925BA8"/>
    <w:rsid w:val="009343F1"/>
    <w:rsid w:val="009F57BC"/>
    <w:rsid w:val="00A01DDF"/>
    <w:rsid w:val="00A10740"/>
    <w:rsid w:val="00A45C51"/>
    <w:rsid w:val="00AC0851"/>
    <w:rsid w:val="00B47BCD"/>
    <w:rsid w:val="00BD3D9A"/>
    <w:rsid w:val="00BE26A6"/>
    <w:rsid w:val="00BF1631"/>
    <w:rsid w:val="00C622F2"/>
    <w:rsid w:val="00C717CC"/>
    <w:rsid w:val="00C86726"/>
    <w:rsid w:val="00D11D44"/>
    <w:rsid w:val="00DC67A3"/>
    <w:rsid w:val="00DE795C"/>
    <w:rsid w:val="00E02B21"/>
    <w:rsid w:val="00E4174A"/>
    <w:rsid w:val="00E5578C"/>
    <w:rsid w:val="00F10AAF"/>
    <w:rsid w:val="00F836A2"/>
    <w:rsid w:val="00FA2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725F8"/>
  <w15:chartTrackingRefBased/>
  <w15:docId w15:val="{61B6852F-437F-4CDC-BCA2-D83C7B5D7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412A7"/>
    <w:pPr>
      <w:spacing w:line="360" w:lineRule="auto"/>
      <w:jc w:val="both"/>
      <w:outlineLvl w:val="0"/>
    </w:pPr>
    <w:rPr>
      <w:rFonts w:ascii="Arial" w:hAnsi="Arial" w:cs="Arial"/>
      <w:b/>
      <w:bCs/>
    </w:rPr>
  </w:style>
  <w:style w:type="paragraph" w:styleId="Heading2">
    <w:name w:val="heading 2"/>
    <w:basedOn w:val="Normal"/>
    <w:next w:val="Normal"/>
    <w:link w:val="Heading2Char"/>
    <w:uiPriority w:val="9"/>
    <w:unhideWhenUsed/>
    <w:qFormat/>
    <w:rsid w:val="006412A7"/>
    <w:pPr>
      <w:spacing w:line="360" w:lineRule="auto"/>
      <w:jc w:val="both"/>
      <w:outlineLvl w:val="1"/>
    </w:pPr>
    <w:rPr>
      <w:rFonts w:ascii="Arial" w:hAnsi="Arial" w:cs="Arial"/>
      <w:b/>
      <w:bCs/>
    </w:rPr>
  </w:style>
  <w:style w:type="paragraph" w:styleId="Heading3">
    <w:name w:val="heading 3"/>
    <w:basedOn w:val="Normal"/>
    <w:link w:val="Heading3Char"/>
    <w:uiPriority w:val="9"/>
    <w:qFormat/>
    <w:rsid w:val="00A45C51"/>
    <w:pPr>
      <w:spacing w:line="360" w:lineRule="auto"/>
      <w:jc w:val="both"/>
      <w:outlineLvl w:val="2"/>
    </w:pPr>
    <w:rPr>
      <w:rFonts w:ascii="Arial" w:hAnsi="Arial" w:cs="Arial"/>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447B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447B5"/>
    <w:rPr>
      <w:b/>
      <w:bCs/>
    </w:rPr>
  </w:style>
  <w:style w:type="paragraph" w:styleId="NoSpacing">
    <w:name w:val="No Spacing"/>
    <w:link w:val="NoSpacingChar"/>
    <w:uiPriority w:val="1"/>
    <w:qFormat/>
    <w:rsid w:val="002675D4"/>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2675D4"/>
    <w:rPr>
      <w:rFonts w:eastAsiaTheme="minorEastAsia"/>
      <w:kern w:val="0"/>
      <w:sz w:val="22"/>
      <w:szCs w:val="22"/>
      <w14:ligatures w14:val="none"/>
    </w:rPr>
  </w:style>
  <w:style w:type="character" w:customStyle="1" w:styleId="Heading3Char">
    <w:name w:val="Heading 3 Char"/>
    <w:basedOn w:val="DefaultParagraphFont"/>
    <w:link w:val="Heading3"/>
    <w:uiPriority w:val="9"/>
    <w:rsid w:val="00A45C51"/>
    <w:rPr>
      <w:rFonts w:ascii="Arial" w:hAnsi="Arial" w:cs="Arial"/>
      <w:b/>
      <w:bCs/>
    </w:rPr>
  </w:style>
  <w:style w:type="paragraph" w:customStyle="1" w:styleId="TableParagraph">
    <w:name w:val="Table Paragraph"/>
    <w:basedOn w:val="Normal"/>
    <w:uiPriority w:val="1"/>
    <w:qFormat/>
    <w:rsid w:val="002675D4"/>
    <w:pPr>
      <w:widowControl w:val="0"/>
      <w:autoSpaceDE w:val="0"/>
      <w:autoSpaceDN w:val="0"/>
      <w:spacing w:after="0" w:line="240" w:lineRule="auto"/>
      <w:ind w:left="107"/>
    </w:pPr>
    <w:rPr>
      <w:rFonts w:ascii="Arial MT" w:eastAsia="Arial MT" w:hAnsi="Arial MT" w:cs="Arial MT"/>
      <w:kern w:val="0"/>
      <w:sz w:val="22"/>
      <w:szCs w:val="22"/>
      <w14:ligatures w14:val="none"/>
    </w:rPr>
  </w:style>
  <w:style w:type="character" w:customStyle="1" w:styleId="Heading2Char">
    <w:name w:val="Heading 2 Char"/>
    <w:basedOn w:val="DefaultParagraphFont"/>
    <w:link w:val="Heading2"/>
    <w:uiPriority w:val="9"/>
    <w:rsid w:val="006412A7"/>
    <w:rPr>
      <w:rFonts w:ascii="Arial" w:hAnsi="Arial" w:cs="Arial"/>
      <w:b/>
      <w:bCs/>
    </w:rPr>
  </w:style>
  <w:style w:type="character" w:styleId="Hyperlink">
    <w:name w:val="Hyperlink"/>
    <w:basedOn w:val="DefaultParagraphFont"/>
    <w:uiPriority w:val="99"/>
    <w:unhideWhenUsed/>
    <w:rsid w:val="00667166"/>
    <w:rPr>
      <w:color w:val="467886" w:themeColor="hyperlink"/>
      <w:u w:val="single"/>
    </w:rPr>
  </w:style>
  <w:style w:type="character" w:customStyle="1" w:styleId="Heading1Char">
    <w:name w:val="Heading 1 Char"/>
    <w:basedOn w:val="DefaultParagraphFont"/>
    <w:link w:val="Heading1"/>
    <w:uiPriority w:val="9"/>
    <w:rsid w:val="006412A7"/>
    <w:rPr>
      <w:rFonts w:ascii="Arial" w:hAnsi="Arial" w:cs="Arial"/>
      <w:b/>
      <w:bCs/>
    </w:rPr>
  </w:style>
  <w:style w:type="table" w:styleId="GridTable5Dark-Accent1">
    <w:name w:val="Grid Table 5 Dark Accent 1"/>
    <w:basedOn w:val="TableNormal"/>
    <w:uiPriority w:val="50"/>
    <w:rsid w:val="006412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TOCHeading">
    <w:name w:val="TOC Heading"/>
    <w:basedOn w:val="Heading1"/>
    <w:next w:val="Normal"/>
    <w:uiPriority w:val="39"/>
    <w:unhideWhenUsed/>
    <w:qFormat/>
    <w:rsid w:val="00C86726"/>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C86726"/>
    <w:pPr>
      <w:spacing w:after="100"/>
    </w:pPr>
  </w:style>
  <w:style w:type="paragraph" w:styleId="TOC2">
    <w:name w:val="toc 2"/>
    <w:basedOn w:val="Normal"/>
    <w:next w:val="Normal"/>
    <w:autoRedefine/>
    <w:uiPriority w:val="39"/>
    <w:unhideWhenUsed/>
    <w:rsid w:val="00C86726"/>
    <w:pPr>
      <w:spacing w:after="100"/>
      <w:ind w:left="240"/>
    </w:pPr>
  </w:style>
  <w:style w:type="paragraph" w:styleId="Header">
    <w:name w:val="header"/>
    <w:basedOn w:val="Normal"/>
    <w:link w:val="HeaderChar"/>
    <w:uiPriority w:val="99"/>
    <w:unhideWhenUsed/>
    <w:rsid w:val="00114F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4FCC"/>
  </w:style>
  <w:style w:type="paragraph" w:styleId="Footer">
    <w:name w:val="footer"/>
    <w:basedOn w:val="Normal"/>
    <w:link w:val="FooterChar"/>
    <w:uiPriority w:val="99"/>
    <w:unhideWhenUsed/>
    <w:rsid w:val="00114F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4FCC"/>
  </w:style>
  <w:style w:type="paragraph" w:styleId="TOC3">
    <w:name w:val="toc 3"/>
    <w:basedOn w:val="Normal"/>
    <w:next w:val="Normal"/>
    <w:autoRedefine/>
    <w:uiPriority w:val="39"/>
    <w:unhideWhenUsed/>
    <w:rsid w:val="00A45C5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3884">
      <w:bodyDiv w:val="1"/>
      <w:marLeft w:val="0"/>
      <w:marRight w:val="0"/>
      <w:marTop w:val="0"/>
      <w:marBottom w:val="0"/>
      <w:divBdr>
        <w:top w:val="none" w:sz="0" w:space="0" w:color="auto"/>
        <w:left w:val="none" w:sz="0" w:space="0" w:color="auto"/>
        <w:bottom w:val="none" w:sz="0" w:space="0" w:color="auto"/>
        <w:right w:val="none" w:sz="0" w:space="0" w:color="auto"/>
      </w:divBdr>
    </w:div>
    <w:div w:id="42868084">
      <w:bodyDiv w:val="1"/>
      <w:marLeft w:val="0"/>
      <w:marRight w:val="0"/>
      <w:marTop w:val="0"/>
      <w:marBottom w:val="0"/>
      <w:divBdr>
        <w:top w:val="none" w:sz="0" w:space="0" w:color="auto"/>
        <w:left w:val="none" w:sz="0" w:space="0" w:color="auto"/>
        <w:bottom w:val="none" w:sz="0" w:space="0" w:color="auto"/>
        <w:right w:val="none" w:sz="0" w:space="0" w:color="auto"/>
      </w:divBdr>
      <w:divsChild>
        <w:div w:id="2109111091">
          <w:marLeft w:val="0"/>
          <w:marRight w:val="0"/>
          <w:marTop w:val="0"/>
          <w:marBottom w:val="0"/>
          <w:divBdr>
            <w:top w:val="none" w:sz="0" w:space="0" w:color="auto"/>
            <w:left w:val="none" w:sz="0" w:space="0" w:color="auto"/>
            <w:bottom w:val="none" w:sz="0" w:space="0" w:color="auto"/>
            <w:right w:val="none" w:sz="0" w:space="0" w:color="auto"/>
          </w:divBdr>
          <w:divsChild>
            <w:div w:id="125385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915803">
      <w:bodyDiv w:val="1"/>
      <w:marLeft w:val="0"/>
      <w:marRight w:val="0"/>
      <w:marTop w:val="0"/>
      <w:marBottom w:val="0"/>
      <w:divBdr>
        <w:top w:val="none" w:sz="0" w:space="0" w:color="auto"/>
        <w:left w:val="none" w:sz="0" w:space="0" w:color="auto"/>
        <w:bottom w:val="none" w:sz="0" w:space="0" w:color="auto"/>
        <w:right w:val="none" w:sz="0" w:space="0" w:color="auto"/>
      </w:divBdr>
    </w:div>
    <w:div w:id="485703860">
      <w:bodyDiv w:val="1"/>
      <w:marLeft w:val="0"/>
      <w:marRight w:val="0"/>
      <w:marTop w:val="0"/>
      <w:marBottom w:val="0"/>
      <w:divBdr>
        <w:top w:val="none" w:sz="0" w:space="0" w:color="auto"/>
        <w:left w:val="none" w:sz="0" w:space="0" w:color="auto"/>
        <w:bottom w:val="none" w:sz="0" w:space="0" w:color="auto"/>
        <w:right w:val="none" w:sz="0" w:space="0" w:color="auto"/>
      </w:divBdr>
    </w:div>
    <w:div w:id="676464742">
      <w:bodyDiv w:val="1"/>
      <w:marLeft w:val="0"/>
      <w:marRight w:val="0"/>
      <w:marTop w:val="0"/>
      <w:marBottom w:val="0"/>
      <w:divBdr>
        <w:top w:val="none" w:sz="0" w:space="0" w:color="auto"/>
        <w:left w:val="none" w:sz="0" w:space="0" w:color="auto"/>
        <w:bottom w:val="none" w:sz="0" w:space="0" w:color="auto"/>
        <w:right w:val="none" w:sz="0" w:space="0" w:color="auto"/>
      </w:divBdr>
    </w:div>
    <w:div w:id="972756700">
      <w:bodyDiv w:val="1"/>
      <w:marLeft w:val="0"/>
      <w:marRight w:val="0"/>
      <w:marTop w:val="0"/>
      <w:marBottom w:val="0"/>
      <w:divBdr>
        <w:top w:val="none" w:sz="0" w:space="0" w:color="auto"/>
        <w:left w:val="none" w:sz="0" w:space="0" w:color="auto"/>
        <w:bottom w:val="none" w:sz="0" w:space="0" w:color="auto"/>
        <w:right w:val="none" w:sz="0" w:space="0" w:color="auto"/>
      </w:divBdr>
      <w:divsChild>
        <w:div w:id="163595190">
          <w:marLeft w:val="0"/>
          <w:marRight w:val="0"/>
          <w:marTop w:val="0"/>
          <w:marBottom w:val="0"/>
          <w:divBdr>
            <w:top w:val="none" w:sz="0" w:space="0" w:color="auto"/>
            <w:left w:val="none" w:sz="0" w:space="0" w:color="auto"/>
            <w:bottom w:val="none" w:sz="0" w:space="0" w:color="auto"/>
            <w:right w:val="none" w:sz="0" w:space="0" w:color="auto"/>
          </w:divBdr>
          <w:divsChild>
            <w:div w:id="1103917027">
              <w:marLeft w:val="0"/>
              <w:marRight w:val="0"/>
              <w:marTop w:val="0"/>
              <w:marBottom w:val="0"/>
              <w:divBdr>
                <w:top w:val="none" w:sz="0" w:space="0" w:color="auto"/>
                <w:left w:val="none" w:sz="0" w:space="0" w:color="auto"/>
                <w:bottom w:val="none" w:sz="0" w:space="0" w:color="auto"/>
                <w:right w:val="none" w:sz="0" w:space="0" w:color="auto"/>
              </w:divBdr>
              <w:divsChild>
                <w:div w:id="854073061">
                  <w:marLeft w:val="0"/>
                  <w:marRight w:val="0"/>
                  <w:marTop w:val="0"/>
                  <w:marBottom w:val="0"/>
                  <w:divBdr>
                    <w:top w:val="none" w:sz="0" w:space="0" w:color="auto"/>
                    <w:left w:val="none" w:sz="0" w:space="0" w:color="auto"/>
                    <w:bottom w:val="none" w:sz="0" w:space="0" w:color="auto"/>
                    <w:right w:val="none" w:sz="0" w:space="0" w:color="auto"/>
                  </w:divBdr>
                  <w:divsChild>
                    <w:div w:id="1936742924">
                      <w:marLeft w:val="0"/>
                      <w:marRight w:val="0"/>
                      <w:marTop w:val="0"/>
                      <w:marBottom w:val="0"/>
                      <w:divBdr>
                        <w:top w:val="none" w:sz="0" w:space="0" w:color="auto"/>
                        <w:left w:val="none" w:sz="0" w:space="0" w:color="auto"/>
                        <w:bottom w:val="none" w:sz="0" w:space="0" w:color="auto"/>
                        <w:right w:val="none" w:sz="0" w:space="0" w:color="auto"/>
                      </w:divBdr>
                      <w:divsChild>
                        <w:div w:id="1701275618">
                          <w:marLeft w:val="0"/>
                          <w:marRight w:val="0"/>
                          <w:marTop w:val="0"/>
                          <w:marBottom w:val="0"/>
                          <w:divBdr>
                            <w:top w:val="none" w:sz="0" w:space="0" w:color="auto"/>
                            <w:left w:val="none" w:sz="0" w:space="0" w:color="auto"/>
                            <w:bottom w:val="none" w:sz="0" w:space="0" w:color="auto"/>
                            <w:right w:val="none" w:sz="0" w:space="0" w:color="auto"/>
                          </w:divBdr>
                          <w:divsChild>
                            <w:div w:id="2038047279">
                              <w:marLeft w:val="0"/>
                              <w:marRight w:val="0"/>
                              <w:marTop w:val="0"/>
                              <w:marBottom w:val="0"/>
                              <w:divBdr>
                                <w:top w:val="none" w:sz="0" w:space="0" w:color="auto"/>
                                <w:left w:val="none" w:sz="0" w:space="0" w:color="auto"/>
                                <w:bottom w:val="none" w:sz="0" w:space="0" w:color="auto"/>
                                <w:right w:val="none" w:sz="0" w:space="0" w:color="auto"/>
                              </w:divBdr>
                              <w:divsChild>
                                <w:div w:id="71126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9367416">
      <w:bodyDiv w:val="1"/>
      <w:marLeft w:val="0"/>
      <w:marRight w:val="0"/>
      <w:marTop w:val="0"/>
      <w:marBottom w:val="0"/>
      <w:divBdr>
        <w:top w:val="none" w:sz="0" w:space="0" w:color="auto"/>
        <w:left w:val="none" w:sz="0" w:space="0" w:color="auto"/>
        <w:bottom w:val="none" w:sz="0" w:space="0" w:color="auto"/>
        <w:right w:val="none" w:sz="0" w:space="0" w:color="auto"/>
      </w:divBdr>
      <w:divsChild>
        <w:div w:id="344523855">
          <w:marLeft w:val="0"/>
          <w:marRight w:val="0"/>
          <w:marTop w:val="0"/>
          <w:marBottom w:val="0"/>
          <w:divBdr>
            <w:top w:val="none" w:sz="0" w:space="0" w:color="auto"/>
            <w:left w:val="none" w:sz="0" w:space="0" w:color="auto"/>
            <w:bottom w:val="none" w:sz="0" w:space="0" w:color="auto"/>
            <w:right w:val="none" w:sz="0" w:space="0" w:color="auto"/>
          </w:divBdr>
          <w:divsChild>
            <w:div w:id="146337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572423">
      <w:bodyDiv w:val="1"/>
      <w:marLeft w:val="0"/>
      <w:marRight w:val="0"/>
      <w:marTop w:val="0"/>
      <w:marBottom w:val="0"/>
      <w:divBdr>
        <w:top w:val="none" w:sz="0" w:space="0" w:color="auto"/>
        <w:left w:val="none" w:sz="0" w:space="0" w:color="auto"/>
        <w:bottom w:val="none" w:sz="0" w:space="0" w:color="auto"/>
        <w:right w:val="none" w:sz="0" w:space="0" w:color="auto"/>
      </w:divBdr>
      <w:divsChild>
        <w:div w:id="1927377606">
          <w:marLeft w:val="0"/>
          <w:marRight w:val="0"/>
          <w:marTop w:val="0"/>
          <w:marBottom w:val="0"/>
          <w:divBdr>
            <w:top w:val="none" w:sz="0" w:space="0" w:color="auto"/>
            <w:left w:val="none" w:sz="0" w:space="0" w:color="auto"/>
            <w:bottom w:val="none" w:sz="0" w:space="0" w:color="auto"/>
            <w:right w:val="none" w:sz="0" w:space="0" w:color="auto"/>
          </w:divBdr>
          <w:divsChild>
            <w:div w:id="578252027">
              <w:marLeft w:val="0"/>
              <w:marRight w:val="0"/>
              <w:marTop w:val="0"/>
              <w:marBottom w:val="0"/>
              <w:divBdr>
                <w:top w:val="none" w:sz="0" w:space="0" w:color="auto"/>
                <w:left w:val="none" w:sz="0" w:space="0" w:color="auto"/>
                <w:bottom w:val="none" w:sz="0" w:space="0" w:color="auto"/>
                <w:right w:val="none" w:sz="0" w:space="0" w:color="auto"/>
              </w:divBdr>
            </w:div>
          </w:divsChild>
        </w:div>
        <w:div w:id="585459351">
          <w:marLeft w:val="0"/>
          <w:marRight w:val="0"/>
          <w:marTop w:val="0"/>
          <w:marBottom w:val="0"/>
          <w:divBdr>
            <w:top w:val="none" w:sz="0" w:space="0" w:color="auto"/>
            <w:left w:val="none" w:sz="0" w:space="0" w:color="auto"/>
            <w:bottom w:val="none" w:sz="0" w:space="0" w:color="auto"/>
            <w:right w:val="none" w:sz="0" w:space="0" w:color="auto"/>
          </w:divBdr>
          <w:divsChild>
            <w:div w:id="172046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932877">
      <w:bodyDiv w:val="1"/>
      <w:marLeft w:val="0"/>
      <w:marRight w:val="0"/>
      <w:marTop w:val="0"/>
      <w:marBottom w:val="0"/>
      <w:divBdr>
        <w:top w:val="none" w:sz="0" w:space="0" w:color="auto"/>
        <w:left w:val="none" w:sz="0" w:space="0" w:color="auto"/>
        <w:bottom w:val="none" w:sz="0" w:space="0" w:color="auto"/>
        <w:right w:val="none" w:sz="0" w:space="0" w:color="auto"/>
      </w:divBdr>
    </w:div>
    <w:div w:id="1771121211">
      <w:bodyDiv w:val="1"/>
      <w:marLeft w:val="0"/>
      <w:marRight w:val="0"/>
      <w:marTop w:val="0"/>
      <w:marBottom w:val="0"/>
      <w:divBdr>
        <w:top w:val="none" w:sz="0" w:space="0" w:color="auto"/>
        <w:left w:val="none" w:sz="0" w:space="0" w:color="auto"/>
        <w:bottom w:val="none" w:sz="0" w:space="0" w:color="auto"/>
        <w:right w:val="none" w:sz="0" w:space="0" w:color="auto"/>
      </w:divBdr>
      <w:divsChild>
        <w:div w:id="919220657">
          <w:marLeft w:val="0"/>
          <w:marRight w:val="0"/>
          <w:marTop w:val="0"/>
          <w:marBottom w:val="0"/>
          <w:divBdr>
            <w:top w:val="none" w:sz="0" w:space="0" w:color="auto"/>
            <w:left w:val="none" w:sz="0" w:space="0" w:color="auto"/>
            <w:bottom w:val="none" w:sz="0" w:space="0" w:color="auto"/>
            <w:right w:val="none" w:sz="0" w:space="0" w:color="auto"/>
          </w:divBdr>
          <w:divsChild>
            <w:div w:id="1179925523">
              <w:marLeft w:val="0"/>
              <w:marRight w:val="0"/>
              <w:marTop w:val="0"/>
              <w:marBottom w:val="0"/>
              <w:divBdr>
                <w:top w:val="none" w:sz="0" w:space="0" w:color="auto"/>
                <w:left w:val="none" w:sz="0" w:space="0" w:color="auto"/>
                <w:bottom w:val="none" w:sz="0" w:space="0" w:color="auto"/>
                <w:right w:val="none" w:sz="0" w:space="0" w:color="auto"/>
              </w:divBdr>
            </w:div>
          </w:divsChild>
        </w:div>
        <w:div w:id="1824155988">
          <w:marLeft w:val="0"/>
          <w:marRight w:val="0"/>
          <w:marTop w:val="0"/>
          <w:marBottom w:val="0"/>
          <w:divBdr>
            <w:top w:val="none" w:sz="0" w:space="0" w:color="auto"/>
            <w:left w:val="none" w:sz="0" w:space="0" w:color="auto"/>
            <w:bottom w:val="none" w:sz="0" w:space="0" w:color="auto"/>
            <w:right w:val="none" w:sz="0" w:space="0" w:color="auto"/>
          </w:divBdr>
          <w:divsChild>
            <w:div w:id="202370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930801">
      <w:bodyDiv w:val="1"/>
      <w:marLeft w:val="0"/>
      <w:marRight w:val="0"/>
      <w:marTop w:val="0"/>
      <w:marBottom w:val="0"/>
      <w:divBdr>
        <w:top w:val="none" w:sz="0" w:space="0" w:color="auto"/>
        <w:left w:val="none" w:sz="0" w:space="0" w:color="auto"/>
        <w:bottom w:val="none" w:sz="0" w:space="0" w:color="auto"/>
        <w:right w:val="none" w:sz="0" w:space="0" w:color="auto"/>
      </w:divBdr>
      <w:divsChild>
        <w:div w:id="1295671486">
          <w:marLeft w:val="0"/>
          <w:marRight w:val="0"/>
          <w:marTop w:val="0"/>
          <w:marBottom w:val="0"/>
          <w:divBdr>
            <w:top w:val="none" w:sz="0" w:space="0" w:color="auto"/>
            <w:left w:val="none" w:sz="0" w:space="0" w:color="auto"/>
            <w:bottom w:val="none" w:sz="0" w:space="0" w:color="auto"/>
            <w:right w:val="none" w:sz="0" w:space="0" w:color="auto"/>
          </w:divBdr>
          <w:divsChild>
            <w:div w:id="875629050">
              <w:marLeft w:val="0"/>
              <w:marRight w:val="0"/>
              <w:marTop w:val="0"/>
              <w:marBottom w:val="0"/>
              <w:divBdr>
                <w:top w:val="none" w:sz="0" w:space="0" w:color="auto"/>
                <w:left w:val="none" w:sz="0" w:space="0" w:color="auto"/>
                <w:bottom w:val="none" w:sz="0" w:space="0" w:color="auto"/>
                <w:right w:val="none" w:sz="0" w:space="0" w:color="auto"/>
              </w:divBdr>
              <w:divsChild>
                <w:div w:id="181629177">
                  <w:marLeft w:val="0"/>
                  <w:marRight w:val="0"/>
                  <w:marTop w:val="0"/>
                  <w:marBottom w:val="0"/>
                  <w:divBdr>
                    <w:top w:val="none" w:sz="0" w:space="0" w:color="auto"/>
                    <w:left w:val="none" w:sz="0" w:space="0" w:color="auto"/>
                    <w:bottom w:val="none" w:sz="0" w:space="0" w:color="auto"/>
                    <w:right w:val="none" w:sz="0" w:space="0" w:color="auto"/>
                  </w:divBdr>
                  <w:divsChild>
                    <w:div w:id="745539017">
                      <w:marLeft w:val="0"/>
                      <w:marRight w:val="0"/>
                      <w:marTop w:val="0"/>
                      <w:marBottom w:val="0"/>
                      <w:divBdr>
                        <w:top w:val="none" w:sz="0" w:space="0" w:color="auto"/>
                        <w:left w:val="none" w:sz="0" w:space="0" w:color="auto"/>
                        <w:bottom w:val="none" w:sz="0" w:space="0" w:color="auto"/>
                        <w:right w:val="none" w:sz="0" w:space="0" w:color="auto"/>
                      </w:divBdr>
                      <w:divsChild>
                        <w:div w:id="2066946247">
                          <w:marLeft w:val="0"/>
                          <w:marRight w:val="0"/>
                          <w:marTop w:val="0"/>
                          <w:marBottom w:val="0"/>
                          <w:divBdr>
                            <w:top w:val="none" w:sz="0" w:space="0" w:color="auto"/>
                            <w:left w:val="none" w:sz="0" w:space="0" w:color="auto"/>
                            <w:bottom w:val="none" w:sz="0" w:space="0" w:color="auto"/>
                            <w:right w:val="none" w:sz="0" w:space="0" w:color="auto"/>
                          </w:divBdr>
                          <w:divsChild>
                            <w:div w:id="15817284">
                              <w:marLeft w:val="0"/>
                              <w:marRight w:val="0"/>
                              <w:marTop w:val="0"/>
                              <w:marBottom w:val="0"/>
                              <w:divBdr>
                                <w:top w:val="none" w:sz="0" w:space="0" w:color="auto"/>
                                <w:left w:val="none" w:sz="0" w:space="0" w:color="auto"/>
                                <w:bottom w:val="none" w:sz="0" w:space="0" w:color="auto"/>
                                <w:right w:val="none" w:sz="0" w:space="0" w:color="auto"/>
                              </w:divBdr>
                              <w:divsChild>
                                <w:div w:id="98115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studylib.net/doc/27749324/kotler--keller---chernev---16th-ed-edits?p=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ea.org/reports/global-ev-outlook-202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205.q4cdn.com/882619693/files/doc_financials/2023/ar/2023-Ford-Annual-Report.pdf" TargetMode="External"/><Relationship Id="rId5" Type="http://schemas.openxmlformats.org/officeDocument/2006/relationships/footnotes" Target="footnotes.xml"/><Relationship Id="rId15" Type="http://schemas.openxmlformats.org/officeDocument/2006/relationships/hyperlink" Target="https://ir.tesla.com/_flysystem/s3/sec/000162828024002390/tsla-20231231-gen.pdf" TargetMode="External"/><Relationship Id="rId10" Type="http://schemas.openxmlformats.org/officeDocument/2006/relationships/hyperlink" Target="https://about.bnef.com/insights/clean-energy/lithium-ion-battery-pack-prices-hit-record-low-of-139-kwh/"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ckinsey.com/~/media/mckinsey/industries/automotive%20and%20assembly/our%20insights/the%20future%20of%20mobility/the-future-of-mobili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F63E4-4255-411C-A478-3D217276A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15</Pages>
  <Words>3692</Words>
  <Characters>21048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Uttam Devshibhai Vaghamashi (2520138)</cp:lastModifiedBy>
  <cp:revision>35</cp:revision>
  <dcterms:created xsi:type="dcterms:W3CDTF">2026-03-22T01:03:00Z</dcterms:created>
  <dcterms:modified xsi:type="dcterms:W3CDTF">2026-03-26T10:45:00Z</dcterms:modified>
</cp:coreProperties>
</file>