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widowControl w:val="1"/>
        <w:spacing w:lineRule="auto" w:line="360"/>
        <w:contextualSpacing w:val="1"/>
        <w:jc w:val="center"/>
        <w:rPr>
          <w:rFonts w:ascii="Arial" w:hAnsi="Arial" w:cs="Arial"/>
          <w:b w:val="1"/>
          <w:bCs w:val="1"/>
          <w:sz w:val="48"/>
          <w:szCs w:val="48"/>
        </w:rPr>
      </w:pPr>
      <w:r>
        <w:rPr>
          <w:rFonts w:ascii="Arial" w:hAnsi="Arial" w:cs="Arial"/>
          <w:b w:val="1"/>
          <w:bCs w:val="1"/>
          <w:sz w:val="56"/>
          <w:szCs w:val="56"/>
        </w:rPr>
        <w:t>Wrong Patient Surgery in India</w:t>
      </w:r>
    </w:p>
    <w:p>
      <w:pPr>
        <w:widowControl w:val="1"/>
        <w:spacing w:lineRule="auto" w:line="360"/>
        <w:contextualSpacing w:val="1"/>
        <w:jc w:val="center"/>
        <w:rPr>
          <w:rFonts w:ascii="Arial" w:hAnsi="Arial" w:cs="Arial"/>
          <w:b w:val="1"/>
          <w:bCs w:val="1"/>
          <w:sz w:val="48"/>
          <w:szCs w:val="48"/>
        </w:rPr>
      </w:pPr>
    </w:p>
    <w:p>
      <w:pPr>
        <w:widowControl w:val="1"/>
        <w:spacing w:lineRule="auto" w:line="360"/>
        <w:contextualSpacing w:val="1"/>
        <w:jc w:val="center"/>
        <w:rPr>
          <w:rFonts w:ascii="Arial" w:hAnsi="Arial" w:cs="Arial"/>
          <w:b w:val="1"/>
          <w:bCs w:val="1"/>
          <w:sz w:val="36"/>
          <w:szCs w:val="36"/>
        </w:rPr>
      </w:pPr>
    </w:p>
    <w:p>
      <w:pPr>
        <w:widowControl w:val="1"/>
        <w:spacing w:lineRule="auto" w:line="360"/>
        <w:contextualSpacing w:val="1"/>
        <w:jc w:val="both"/>
        <w:rPr>
          <w:rFonts w:ascii="Arial" w:hAnsi="Arial" w:cs="Arial"/>
          <w:b w:val="1"/>
          <w:bCs w:val="1"/>
          <w:sz w:val="36"/>
          <w:szCs w:val="36"/>
        </w:rPr>
      </w:pPr>
      <w:r>
        <w:rPr>
          <w:rFonts w:ascii="Arial" w:hAnsi="Arial" w:cs="Arial"/>
          <w:b w:val="1"/>
          <w:bCs w:val="1"/>
          <w:sz w:val="36"/>
          <w:szCs w:val="36"/>
        </w:rPr>
        <w:t>Name</w:t>
      </w:r>
      <w:r>
        <w:rPr>
          <w:rFonts w:ascii="Arial" w:hAnsi="Arial" w:cs="Arial"/>
          <w:bCs w:val="1"/>
          <w:sz w:val="36"/>
          <w:szCs w:val="36"/>
          <w:lang w:val="en-US" w:bidi="en-US" w:eastAsia="en-US"/>
        </w:rPr>
        <w:t>- Muhammed Atif Sajid Banglawala</w:t>
      </w:r>
    </w:p>
    <w:p>
      <w:pPr>
        <w:widowControl w:val="1"/>
        <w:spacing w:lineRule="auto" w:line="360"/>
        <w:contextualSpacing w:val="1"/>
        <w:jc w:val="both"/>
        <w:rPr>
          <w:rFonts w:ascii="Arial" w:hAnsi="Arial" w:cs="Arial"/>
          <w:bCs w:val="1"/>
          <w:sz w:val="36"/>
          <w:szCs w:val="36"/>
        </w:rPr>
      </w:pPr>
      <w:r>
        <w:rPr>
          <w:rFonts w:ascii="Arial" w:hAnsi="Arial" w:cs="Arial"/>
          <w:b w:val="1"/>
          <w:bCs w:val="1"/>
          <w:sz w:val="36"/>
          <w:szCs w:val="36"/>
          <w:lang w:val="en-US" w:bidi="en-US" w:eastAsia="en-US"/>
        </w:rPr>
        <w:t>Student ID Number</w:t>
      </w:r>
      <w:r>
        <w:rPr>
          <w:rFonts w:ascii="Arial" w:hAnsi="Arial" w:cs="Arial"/>
          <w:bCs w:val="1"/>
          <w:sz w:val="36"/>
          <w:szCs w:val="36"/>
          <w:lang w:val="en-US" w:bidi="en-US" w:eastAsia="en-US"/>
        </w:rPr>
        <w:t>-2514910</w:t>
      </w:r>
    </w:p>
    <w:p>
      <w:pPr>
        <w:widowControl w:val="1"/>
        <w:spacing w:lineRule="auto" w:line="360"/>
        <w:contextualSpacing w:val="1"/>
        <w:jc w:val="both"/>
        <w:rPr>
          <w:rFonts w:ascii="Arial" w:hAnsi="Arial" w:cs="Arial"/>
          <w:bCs w:val="1"/>
          <w:sz w:val="36"/>
          <w:szCs w:val="36"/>
        </w:rPr>
      </w:pPr>
      <w:r>
        <w:rPr>
          <w:rFonts w:ascii="Arial" w:hAnsi="Arial" w:cs="Arial"/>
          <w:b w:val="1"/>
          <w:bCs w:val="1"/>
          <w:sz w:val="36"/>
          <w:szCs w:val="36"/>
          <w:lang w:val="en-US" w:bidi="en-US" w:eastAsia="en-US"/>
        </w:rPr>
        <w:t>Lecturer</w:t>
      </w:r>
      <w:r>
        <w:rPr>
          <w:rFonts w:ascii="Arial" w:hAnsi="Arial" w:cs="Arial"/>
          <w:bCs w:val="1"/>
          <w:sz w:val="36"/>
          <w:szCs w:val="36"/>
          <w:lang w:val="en-US" w:bidi="en-US" w:eastAsia="en-US"/>
        </w:rPr>
        <w:t>-Dr Fahad Khan</w:t>
      </w:r>
    </w:p>
    <w:p>
      <w:pPr>
        <w:widowControl w:val="1"/>
        <w:spacing w:lineRule="auto" w:line="360"/>
        <w:contextualSpacing w:val="1"/>
        <w:jc w:val="both"/>
        <w:rPr>
          <w:rFonts w:ascii="Arial" w:hAnsi="Arial" w:cs="Arial"/>
          <w:bCs w:val="1"/>
          <w:sz w:val="36"/>
          <w:szCs w:val="36"/>
        </w:rPr>
      </w:pPr>
      <w:r>
        <w:rPr>
          <w:rFonts w:ascii="Arial" w:hAnsi="Arial" w:cs="Arial"/>
          <w:b w:val="1"/>
          <w:bCs w:val="1"/>
          <w:sz w:val="36"/>
          <w:szCs w:val="36"/>
        </w:rPr>
        <w:t>Course</w:t>
      </w:r>
      <w:r>
        <w:rPr>
          <w:rFonts w:ascii="Arial" w:hAnsi="Arial" w:cs="Arial"/>
          <w:bCs w:val="1"/>
          <w:sz w:val="36"/>
          <w:szCs w:val="36"/>
          <w:lang w:val="en-US" w:bidi="en-US" w:eastAsia="en-US"/>
        </w:rPr>
        <w:t>-Msc Public Health and Social Care In Practice</w:t>
      </w:r>
    </w:p>
    <w:p>
      <w:pPr>
        <w:widowControl w:val="1"/>
        <w:spacing w:lineRule="auto" w:line="360"/>
        <w:contextualSpacing w:val="1"/>
        <w:jc w:val="both"/>
        <w:rPr>
          <w:rFonts w:ascii="Arial" w:hAnsi="Arial" w:cs="Arial"/>
          <w:bCs w:val="1"/>
          <w:sz w:val="36"/>
          <w:szCs w:val="36"/>
          <w:lang w:val="en-US" w:bidi="en-US" w:eastAsia="en-US"/>
        </w:rPr>
      </w:pPr>
      <w:r>
        <w:rPr>
          <w:rFonts w:ascii="Arial" w:hAnsi="Arial" w:cs="Arial"/>
          <w:b w:val="1"/>
          <w:bCs w:val="1"/>
          <w:sz w:val="36"/>
          <w:szCs w:val="36"/>
          <w:lang w:val="en-US" w:bidi="en-US" w:eastAsia="en-US"/>
        </w:rPr>
        <w:t>Module</w:t>
      </w:r>
      <w:r>
        <w:rPr>
          <w:rFonts w:ascii="Arial" w:hAnsi="Arial" w:cs="Arial"/>
          <w:bCs w:val="1"/>
          <w:sz w:val="36"/>
          <w:szCs w:val="36"/>
          <w:lang w:val="en-US" w:bidi="en-US" w:eastAsia="en-US"/>
        </w:rPr>
        <w:t>-[LCHS7002] Health Care System Organisation and Leadership</w:t>
      </w:r>
    </w:p>
    <w:p>
      <w:pPr>
        <w:spacing w:lineRule="auto" w:line="360" w:after="0" w:beforeAutospacing="0" w:afterAutospacing="0"/>
        <w:contextualSpacing w:val="1"/>
        <w:jc w:val="center"/>
        <w:rPr>
          <w:rFonts w:ascii="Arial" w:hAnsi="Arial" w:cs="Arial"/>
          <w:b w:val="1"/>
          <w:bCs w:val="1"/>
          <w:sz w:val="48"/>
          <w:szCs w:val="48"/>
        </w:rPr>
      </w:pPr>
    </w:p>
    <w:p>
      <w:pPr>
        <w:spacing w:lineRule="auto" w:line="360" w:after="0" w:beforeAutospacing="0" w:afterAutospacing="0"/>
        <w:contextualSpacing w:val="1"/>
        <w:jc w:val="center"/>
        <w:rPr>
          <w:rFonts w:ascii="Arial" w:hAnsi="Arial" w:cs="Arial"/>
          <w:b w:val="1"/>
          <w:bCs w:val="1"/>
          <w:sz w:val="48"/>
          <w:szCs w:val="48"/>
        </w:rPr>
      </w:pPr>
    </w:p>
    <w:p>
      <w:pPr>
        <w:spacing w:lineRule="auto" w:line="360" w:after="0" w:beforeAutospacing="0" w:afterAutospacing="0"/>
        <w:contextualSpacing w:val="1"/>
        <w:jc w:val="center"/>
        <w:rPr>
          <w:rFonts w:ascii="Arial" w:hAnsi="Arial" w:cs="Arial"/>
          <w:b w:val="1"/>
          <w:bCs w:val="1"/>
          <w:sz w:val="48"/>
          <w:szCs w:val="48"/>
        </w:rPr>
      </w:pPr>
    </w:p>
    <w:p>
      <w:pPr>
        <w:spacing w:lineRule="auto" w:line="360" w:after="0" w:beforeAutospacing="0" w:afterAutospacing="0"/>
        <w:contextualSpacing w:val="1"/>
        <w:jc w:val="both"/>
        <w:rPr>
          <w:rFonts w:ascii="Arial" w:hAnsi="Arial" w:cs="Arial"/>
          <w:b w:val="0"/>
          <w:bCs w:val="0"/>
          <w:sz w:val="22"/>
          <w:szCs w:val="22"/>
        </w:rPr>
      </w:pPr>
    </w:p>
    <w:p>
      <w:pPr>
        <w:jc w:val="center"/>
        <w:rPr>
          <w:rFonts w:ascii="Times New Roman" w:hAnsi="Times New Roman" w:cs="Times New Roman"/>
          <w:sz w:val="22"/>
          <w:szCs w:val="22"/>
        </w:rPr>
      </w:pPr>
      <w:r>
        <w:rPr>
          <w:rFonts w:ascii="Times New Roman" w:hAnsi="Times New Roman" w:cs="Times New Roman"/>
          <w:sz w:val="22"/>
          <w:szCs w:val="22"/>
        </w:rPr>
        <w:br w:type="page"/>
      </w:r>
    </w:p>
    <w:p>
      <w:pPr>
        <w:spacing w:lineRule="auto" w:line="360" w:after="0" w:beforeAutospacing="0" w:afterAutospacing="0"/>
        <w:contextualSpacing w:val="1"/>
        <w:jc w:val="both"/>
        <w:rPr>
          <w:rFonts w:ascii="Arial" w:hAnsi="Arial" w:cs="Arial"/>
          <w:b w:val="1"/>
          <w:bCs w:val="1"/>
          <w:sz w:val="22"/>
          <w:szCs w:val="22"/>
        </w:rPr>
      </w:pPr>
      <w:r>
        <w:rPr>
          <w:rFonts w:ascii="Arial" w:hAnsi="Arial" w:cs="Arial"/>
          <w:b w:val="1"/>
          <w:bCs w:val="1"/>
          <w:sz w:val="22"/>
          <w:szCs w:val="22"/>
        </w:rPr>
        <w:t>Wrong Patient Surgery in India</w:t>
      </w:r>
    </w:p>
    <w:p>
      <w:pPr>
        <w:spacing w:lineRule="auto" w:line="360" w:after="0" w:beforeAutospacing="0" w:afterAutospacing="0"/>
        <w:contextualSpacing w:val="1"/>
        <w:jc w:val="both"/>
        <w:rPr>
          <w:rFonts w:ascii="Arial" w:hAnsi="Arial" w:cs="Arial"/>
          <w:b w:val="1"/>
          <w:bCs w:val="1"/>
          <w:sz w:val="22"/>
          <w:szCs w:val="22"/>
        </w:rPr>
      </w:pPr>
      <w:r>
        <w:rPr>
          <w:rFonts w:ascii="Arial" w:hAnsi="Arial" w:cs="Arial"/>
          <w:b w:val="1"/>
          <w:bCs w:val="1"/>
          <w:sz w:val="22"/>
          <w:szCs w:val="22"/>
        </w:rPr>
        <w:t>1. Introduction</w:t>
      </w:r>
    </w:p>
    <w:p>
      <w:pPr>
        <w:spacing w:lineRule="auto" w:line="360" w:after="0" w:beforeAutospacing="0" w:afterAutospacing="0"/>
        <w:contextualSpacing w:val="1"/>
        <w:jc w:val="both"/>
        <w:rPr>
          <w:rFonts w:ascii="Arial" w:hAnsi="Arial" w:cs="Arial"/>
          <w:b w:val="1"/>
          <w:bCs w:val="1"/>
          <w:sz w:val="22"/>
          <w:szCs w:val="22"/>
        </w:rPr>
      </w:pPr>
      <w:r>
        <w:rPr>
          <w:rFonts w:ascii="Arial" w:hAnsi="Arial" w:cs="Arial"/>
          <w:b w:val="1"/>
          <w:bCs w:val="1"/>
          <w:sz w:val="22"/>
          <w:szCs w:val="22"/>
        </w:rPr>
        <w:t>1.1 Background of the Case Study</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Wrong-patient surgery is included among the vital errors of patient safety, recognized as an international "never event", because it should be avoided categorically when proper security measures are in place. However, it has been noted that they are still being made in the majority of health care systems due to failures in verification, failures in Communication, and organisational susceptibility (Wrong site surgery) (Advances in Surgery) (Clarke et al., 2008). In India, where hospitals are regularly put under enormous pressure from a high patient population, workforce scarcity, and limited resources, the chances of patient misidentification and procedural errors are bound to increase when governance systems and safety guidelines are not consistently put into practice (Seiden, 2006). The studies show that the most common causes of wrong-patient/wrong-site procedures are errors during preoperative verification, poor knowledge among clinicians, and inconsistent use of safety checklists (Kwaan, 2006; Hempel et al., 2015). An event such as a patient being referred for surgery when it should have been referred to another case indicates systemic failures in healthcare systems, including a poor safety culture and failed organisational controls (Neily, 2009). Leadership is necessary to prevent such instances by shaping organisational culture and ensuring adherence to patient safety measures. Healthcare industry leadership can be defined as the capacity to influence and direct medical practitioners toward shared goals, particularly in patient safety, quality enhancement, and adequate service provision (Neily, 2009). The absence of leadership to implement stringent patient identification practices or to monitor compliance with safety measures conditions the occurrence of medical errors that could be avoided. Ineffective control of clinical procedures, lack of accountability, and poor Communication among staff were observed in the case of a wrong-patient surgery, due to poor leadership (Clarke et al., 2008). The organisation's structure also influences the healthcare systems' reactions to safety threats. Centralised systems concentrate decision-making at higher levels of administration, which are in a position to stimulate standardisation at the cost of flexibility in responding to operational issues at the hospital level (Seiden, 2006). In contrast, decentralised systems distribute decision-making power between clinical teams and are more likely to respond faster to patient-safety concerns. However, to practice variation in the event of an ineffective governance system. Some of these leadership styles that are effective in explaining how a leader can strengthen the patient safety culture and ensure compliance with surgical safety checklist procedures include transformational theory, transactional theory, situational theory, and the distributed theory of leadership (Krstulović et al., 2025). This report analyses the case through systems thinking and leadership theory can help identify the shortcomings of the governance system and define actions to prevent similar cases in the future.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 Identifying the Problem and System Context</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2.1.1 Description of the Core Problem</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case of wrong-patient surgery in India is a good example of a serious medical error that occurred as a result of structural failure (Rodziewicz et al., 2024). The patient was negligently operated on in this case due to the misidentification, leading to unnecessary surgery and avoidable fatal consequences to the health of the patient (Mulloy &amp; Hughes, 2008). The origin of this error lies in a series of failures, including breakdown in Communication, lack of clinical oversight, and poor governance practices (Choudhury &amp; Vu, 2011). The primary reason was a communication malfunction within the surgical team, as it was not thorough enough to identify the patient and continue the operation (Sheedy &amp; Richard, 2020). Also, the clinical supervision measures were poor, allowing such verification lapses to go unchecked (Neily, 2009). It was aggravated by the lack of leadership at both hospital and organizational levels, and Governance and accountability need to be strengthened (Rodziewicz et al., 2024). This case illustrates why appropriate communication and effective identification of patients, such as through time-out procedures and electronic health records (EHRs), ought to be adopted to prevent wrong-patient error (van Schoten et al., 2014). The involved health care workers failed to follow established guidelines, leading to a series of mistakes that culminated in patient harm (Mulloy &amp; Hughes, 2008). The lack of accountability, training, and a deficient systematic approach to the identification and management of such critical risks reflected a failure in Governance (Choudhury &amp; Vu, 2011).</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2.1.2 Global Context</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Among the most significant issues the world health community is yet to resolve are wrong-patient surgery and other medical errors (World Health Organization, 2023). Medical errors are also linked to millions of preventable deaths annually, according to the World Health Organization (WHO) (World Health Organization, 2023). According to the WHO rates, medical errors are the leading cause of death all over the world, and the system causes serious injuries to patients in health care systems (Rodziewicz et al., 2024). These malpractices, including, but not limited to, wrong-patient surgery, medication errors, and misdiagnosis, create a colossal burden on health care systems worldwide (Mulloy &amp; Hughes, 2008). Wrong-patient surgeries are a worrying problem, particularly in high-stress environments within medical institutions, such as operating rooms, where workers are required to read and digest complex information rapidly and accurately (Neily, 2009). The rates of such errors have been reduced through the adoption of standardized procedures, such as the WHO Surgical Safety Checklist (Krstulovic et al., 2025). However, the inconsistency of adherence to these protocols, both hospital-to-hospital and region-to-region, has also been a cause of avoidable incidents (van Schoten et al., 2014). It is a fact that medical errors are a global reality, and the need to improve patient safety systems is a contentious issue that requires implementing better communication systems, stronger, more rigorous leadership, and more effective regulatory frameworks (Rodziewicz et al., 2024).</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2.1.3 National Context</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India is no exception, as wrong-patient surgeries are a part of a larger issue of healthcare medical errors (Reza, 2024). Most recent studies show that the rates of medical errors in India are extremely high, particularly due to the complexity of the structure, including the lack of personnel, the lack of resources, and the unavailability of the right infrastructure (World Health Organization, 2023). Inaccurate surgery or patient surgery has been reported in various hospitals, and this is raising serious concerns regarding patient safety and the form of Governance (Mulloy &amp; Hughes, 2008). It is a terrifyingly high rate compared to the rest of the world, which suggests that the patient safety and clinical governance mechanisms of the healthcare system of India have to be improved significantly (Rodziewicz et al., 2024).</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Medication errors are also another serious problem in India because a study revealed that incorrect administration of medications, incorrect prescriptions, and inadequate monitoring are among the factors that lead to the deaths of thousands of individuals every year that are preventable (De, 2021). In several hospitals, it is reported that there are many problems related to medication errors due to the lack of proper safety checks, overworking medical personnel, and a lack of training (Reza, 2024). These numbers demonstrate the fact that there is an urgent need to alter the scheme of the healthcare industry in India, particularly the identification process of patients and the formation of a stronger safety culture in hospitals (Choudhury &amp; Vu, 2011).</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2.1.4 Systemic Causes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primary issue of surgeries performed on the wrong patient is the inefficiency of the healthcare institution system (Rodziewicz et al., 2024). The hierarchical nature of Communication prevalent in most hospitals is a huge weakness (Choudhury &amp; Vu, 2011). Messages are provided in a top-down manner in bureaucratic structures, and they tend to lead to a lack of openness between employees of different ranks (Reza, 2024). It can contribute to the scenario where critical pieces of information, such as patient identification and surgical data, have been left out or misunderstood (Sheedy &amp; Richard, 2020). One of the most common causes of communication errors in surgery and operating on the wrong patient is a breakdown in Communication between the team members (Neily, 2009). Another system issue is the inadequate system of escalation in healthcare institutions (Rodziewicz et al., 2024). Matters are not addressed as they come because they are addressed at early stages or even rise the ranks to a greater leadership position when the need arises (Choudhury &amp; Vu, 2011). The lack of escalation may lead to a delay in risk identification, such as the identification of the patient, and may even lead to the occurrence of mistakes (Mulloy &amp; Hughes, 2008). Additionally, the lack of monitoring of patient safety practices, such as the verification of the name of patients before surgery, is yet another contributing factor that leads to the wrong-patient cases (van Schoten et al., 2014). Most cases have gaps in patient safety due to the lack or absence of monitoring systems (De, 2021).</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Finally, divided care delivery is also a contributing factor to the issue (Rodziewicz et al., 2024). Most hospitals, particularly the ones with resource constraints like those in India, have a disintegrated care delivery process that incorporates many departments and care levels (Reza, 2024). This fragmentation leads to difficulties in the introduction of the set safety procedures and, in many cases, to errors in recognizing patients, prescribing, and operating (Sheedy &amp; Richard, 2020).</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2.1.5 Governance Level</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Failure in Governance at different levels, i.e., hospital management, regional Governance, and national regulation, played a significant part in the wrong-patient surgery incident (Rodziewicz et al., 2024). The management of the hospital failed to develop and monitor adherence to safety actions, such as time-out procedures and patient identification checks (van Schoten et al., 2014). The hospital did not have a culture of safety and well-defined responsibility, which also contributed to the mistake (Choudhury &amp; Vu, 2011). No proper guidelines or oversight existed at the level of regional Governance to ensure that the hospitals observed patient safety measures always (World Health Organization, 2023). Even though several state-level health departments have implemented regulations to reduce medical errors, their enforcement and compliance are low (Reza, 2024). Finally, the healthcare regulatory system in India, on the national level, has been unable to deal with such a systemic issue as patient misidentification (Rodziewicz et al., 2024). This lack of effective national policies on patient safety and insufficient training of medical personnel is among the factors that make the country have a high rate of surgical errors and misidentification of patients (De, 2021).</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2.1.6 Supporting Data</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Several statistics confirm that there exist systematic problems and governance failures that lead to wrong-patient surgery in India (World Health Organization, 2023). There have been incidences of wrong-site surgery or wrong-patient surgery whereby health authorities report that many hospitals have poor systems of patient safety (Mulloy &amp; Hughes, 2008). In addition, patient misidentification in hospitals is far more prevalent in systems where Governance is very weak and safety is not well controlled (Choudhury &amp; Vu, 2011). Research conducted by the ECRI Institute revealed that the error of patient misidentification is a significant factor in medical errors in medical institutions (Rodziewicz et al., 2024). One more problem that creates urgent issues and results in medical errors is staff shortage (World Health Organization, 2023). It is reported that research by the World Health Organization showed that India has a tremendous disparity between the number of healthcare professionals and the global average (World Health Organization, 2023). Deficiency in medical workers leads to an increased workload, time pressure, and more errors, such as a patient receiving the wrong surgery (Reza, 2024). Moreover, the number of delayed reports reinforces the worsening situation, as in most hospitals, medical errors are not reported immediately; as a result, the areas of weakness in the system are not identified, and corrective actions are not implemented (De, 2021).</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2.1.7 Rich Picture Diagram</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multiplicities of the healthcare system that have been considered in the instance of the wrong-patient surgery crisis would be presented as a Rich Picture diagram and would serve as a guide in visualising the relationships among the different organisational factors in the clinical scenario (Choudhury &amp; Vu, 2011). It would include such strong stakeholders as doctors, nurses, hospital management, and patients or families, as they are the main side of the patient safety and communication channels (Rodziewicz et al., 2024). The diagram would show the communication channels among these actors, as well as places of choice where errors that might result in critical outcomes, such as miscommunication or failure to confirm that the patient was who they believed them to be, occurred during the surgery process (Sheedy &amp; Richard, 2020). It would also represent the levels of Governance in the hospital, including the functions of both the hospital administration and the regional and national governance departments that failed to warrant the application of similar protocols of patient safety (World Health Organization, 2023). The Rich Picture also reveals the interaction of various systemic phenomena such as disintegration in Communication, government failures, ineffective clinical supervision, and organisational demands in their collaboration to lead to the wrong-patient surgery event (Mulloy &amp; Hughes, 2008). The Rich Picture assists in illustrating that medical errors do not typically occur as a result of one mistake but rather a particular mix of interacting gaps in the healthcare systems (Rodziewicz et al., 2024). The vision of such systems thinking stresses that the resolution to the situation must be holistic and entail the principles of the organisational and the national leadership change, the enhancement of the communication processes, and the improvement of the leadership systems (Reza, 2024).</w:t>
      </w:r>
    </w:p>
    <w:p>
      <w:pPr>
        <w:spacing w:lineRule="auto" w:line="360" w:after="0" w:beforeAutospacing="0" w:afterAutospacing="0"/>
        <w:contextualSpacing w:val="1"/>
        <w:jc w:val="both"/>
        <w:rPr>
          <w:rFonts w:ascii="Arial" w:hAnsi="Arial" w:cs="Arial"/>
          <w:sz w:val="22"/>
          <w:szCs w:val="22"/>
          <w:lang w:val="en-KE"/>
        </w:rPr>
      </w:pPr>
    </w:p>
    <w:p>
      <w:pPr>
        <w:spacing w:lineRule="auto" w:line="360" w:after="0" w:beforeAutospacing="0" w:afterAutospacing="0"/>
        <w:contextualSpacing w:val="1"/>
        <w:jc w:val="both"/>
        <w:rPr>
          <w:rFonts w:ascii="Arial" w:hAnsi="Arial" w:cs="Arial"/>
          <w:sz w:val="22"/>
          <w:szCs w:val="22"/>
          <w:lang w:val="en-KE"/>
        </w:rPr>
      </w:pPr>
      <w:r>
        <w:rPr>
          <w:rFonts w:ascii="Arial" w:hAnsi="Arial" w:cs="Arial"/>
          <w:noProof w:val="1"/>
          <w:sz w:val="22"/>
          <w:szCs w:val="22"/>
          <w:lang w:val="en-KE"/>
        </w:rPr>
        <w:drawing>
          <wp:inline xmlns:wp="http://schemas.openxmlformats.org/drawingml/2006/wordprocessingDrawing" distT="0" distB="0" distL="0" distR="0">
            <wp:extent cx="6256020" cy="3581400"/>
            <wp:effectExtent l="0" t="0" r="0" b="0"/>
            <wp:docPr id="2641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dpi="0">
                    <a:blip xmlns:r="http://schemas.openxmlformats.org/officeDocument/2006/relationships" r:embed="Relimage1" cstate="print"/>
                    <a:srcRect/>
                    <a:stretch>
                      <a:fillRect/>
                    </a:stretch>
                  </pic:blipFill>
                  <pic:spPr bwMode="auto">
                    <a:xfrm>
                      <a:off x="0" y="0"/>
                      <a:ext cx="6256020" cy="3581400"/>
                    </a:xfrm>
                    <a:prstGeom prst="rect"/>
                    <a:noFill/>
                  </pic:spPr>
                </pic:pic>
              </a:graphicData>
            </a:graphic>
          </wp:inline>
        </w:drawing>
      </w:r>
    </w:p>
    <w:p>
      <w:pPr>
        <w:pStyle w:val="P18"/>
        <w:rPr>
          <w:rFonts w:ascii="Arial" w:hAnsi="Arial" w:cs="Arial"/>
          <w:b w:val="1"/>
          <w:i w:val="0"/>
          <w:bCs w:val="1"/>
          <w:iCs w:val="0"/>
          <w:color w:val="auto"/>
          <w:sz w:val="28"/>
          <w:szCs w:val="28"/>
          <w:lang w:val="en-KE"/>
        </w:rPr>
      </w:pPr>
      <w:r>
        <w:rPr>
          <w:rFonts w:ascii="Arial" w:hAnsi="Arial" w:cs="Arial"/>
          <w:b w:val="1"/>
          <w:i w:val="0"/>
          <w:bCs w:val="1"/>
          <w:iCs w:val="0"/>
          <w:color w:val="auto"/>
          <w:sz w:val="22"/>
          <w:szCs w:val="22"/>
        </w:rPr>
        <w:t xml:space="preserve">Figure </w:t>
      </w:r>
      <w:r>
        <w:rPr>
          <w:rFonts w:ascii="Arial" w:hAnsi="Arial" w:cs="Arial"/>
          <w:b w:val="1"/>
          <w:i w:val="0"/>
          <w:bCs w:val="1"/>
          <w:iCs w:val="0"/>
          <w:color w:val="auto"/>
          <w:sz w:val="22"/>
          <w:szCs w:val="22"/>
        </w:rPr>
        <w:fldChar w:fldCharType="begin"/>
      </w:r>
      <w:r>
        <w:rPr>
          <w:rFonts w:ascii="Arial" w:hAnsi="Arial" w:cs="Arial"/>
          <w:b w:val="1"/>
          <w:i w:val="0"/>
          <w:bCs w:val="1"/>
          <w:iCs w:val="0"/>
          <w:color w:val="auto"/>
          <w:sz w:val="22"/>
          <w:szCs w:val="22"/>
        </w:rPr>
        <w:instrText xml:space="preserve"> SEQ Figure \* ARABIC </w:instrText>
      </w:r>
      <w:r>
        <w:rPr>
          <w:rFonts w:ascii="Arial" w:hAnsi="Arial" w:cs="Arial"/>
          <w:b w:val="1"/>
          <w:i w:val="0"/>
          <w:bCs w:val="1"/>
          <w:iCs w:val="0"/>
          <w:color w:val="auto"/>
          <w:sz w:val="22"/>
          <w:szCs w:val="22"/>
        </w:rPr>
        <w:fldChar w:fldCharType="separate"/>
      </w:r>
      <w:r>
        <w:rPr>
          <w:rFonts w:ascii="Arial" w:hAnsi="Arial" w:cs="Arial"/>
          <w:b w:val="1"/>
          <w:i w:val="0"/>
          <w:bCs w:val="1"/>
          <w:iCs w:val="0"/>
          <w:noProof w:val="1"/>
          <w:color w:val="auto"/>
          <w:sz w:val="22"/>
          <w:szCs w:val="22"/>
        </w:rPr>
        <w:t>1</w:t>
      </w:r>
      <w:r>
        <w:rPr>
          <w:rFonts w:ascii="Arial" w:hAnsi="Arial" w:cs="Arial"/>
          <w:b w:val="1"/>
          <w:i w:val="0"/>
          <w:bCs w:val="1"/>
          <w:iCs w:val="0"/>
          <w:color w:val="auto"/>
          <w:sz w:val="22"/>
          <w:szCs w:val="22"/>
        </w:rPr>
        <w:fldChar w:fldCharType="end"/>
      </w:r>
      <w:r>
        <w:rPr>
          <w:rFonts w:ascii="Arial" w:hAnsi="Arial" w:cs="Arial"/>
          <w:b w:val="1"/>
          <w:i w:val="0"/>
          <w:bCs w:val="1"/>
          <w:iCs w:val="0"/>
          <w:color w:val="auto"/>
          <w:sz w:val="22"/>
          <w:szCs w:val="22"/>
        </w:rPr>
        <w:t xml:space="preserve"> Surgery errors and system failures in healthcare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2.2 Decentralisation vs. Centralisation Analysis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2.2.1 Centralised Structure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centralised healthcare is the one where the highest-ranking individuals (usually senior consultants or hospital management) make decisions, distribute resources, and oversee the processes of patient care (Rodziewicz et al., 2024; World Health Organization, 2023). Under centralisation, the application of clinical guidelines and safety policies is consistent across the departments, and thus, can make new safety measures simultaneously (Mulloy &amp; Hughes, 2008; World Health Organization, 2023). The decision-making process in the wrong-patient surgery case in India was likely to be centralized to the top management that was in control of the organization of the surgical operations and compliance with safety measures (Neily, 2009). However, centralisation may hinder the rapid response in the critical areas like the working theatres where employees in the front line need to consult the senior staff to execute actions to reduce the danger (van Schoten et al., 2014; Choudhury &amp; Vu, 2011). Such a delay would have served to proceed with the surgery despite the red flags (Sheedy &amp; Richard, 2020). The autonomy of the nurses and junior physicians is also missing, which entails the inability of the former to take immediate action in the event of mistake detection (Reza, 2024). Hierarchical communication is one of the traits of centralised systems that can restrain the free communication between frontline staff and management, undermining the reporting of mistakes and their immediate escalation (World Health Organization, 2023). While centralised structures lead to uniformity, they may retard relevant safety measures in risky and high-stakes clinical settings.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2.2.2 Decentralised Structure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Decentralised healthcare system empowers teams or departments, which in turn allows the staff at the frontline to respond immediately to the risk of patients (Rodziewicz et al., 2024; Choudhury and Vu, 2011). Escalation and real-time decision-making by nurses have arguably enabled the staff to verify patients and raise their concerns instantaneously during the case of wrong-patient surgery (Sheedy &amp; Richard, 2020; Reza, 2024). The advantages of such include faster response to degradation and increased frontline decision-making. However, decentralisation may also result in differences in the practices of safety standards across the departments without clear governance (Mulloy &amp; Hughes, 2008; van Schoten et al., 2014). Safety in patients is linked to the necessity to have an effective system of communication, leadership, and accountability structures (Rodziewicz et al., 2024).</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2.2.3 Critical Evaluation</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Drawing parallels between the two systems, it is possible to add that the centralized nature of the healthcare industry in India may have offered the factors that led to the occurrence of the wrong-patient surgery, as the hierarchical decision-making system may lead to a slowness of Communication and a reduction in the frontline authority (Rodziewicz et al., 2024). Since the centralized leadership brings about uniformity in the application of policies, it can also lead to slowness in responding to disorders or no empowerment of the frontline staff to make prompt clinical judgment in case of an emergency (Fraser &amp; Adams, 2006). The failure to act promptly in the operating room may be exacerbated by the fact that the problem is not reported to the top management in the healthcare system, which is highly hierarchical (van Hille, 2009). In contrast, a decentralized type would have led to a higher patient safety rate because the surgical staff and nurses would have made timely decisions in the process of ensuring patient identity and raising an alarm when discrepancies were identified before surgery (Popescu et al., 2022). More structured systems, such as decentralized ones, are also more likely to serve frontline employees with more opportunities to avoid the occurrence of procedures in case they identify potential errors, hence, reducing the risk of wrong-patient or wrong-site surgeries (Maul &amp; Straub, 2022). However, the complication of coordination and homogeneity of decisions can also occur with a decentralized model, particularly in such an area as high-level risk as surgical theatres, where protocol strictness should be abided by (Romaniello et al., 2025). Better and more effective Communication between various departments, such as admissions and nursing teams, and surgical units, among others, would have led to the prevention of the error in the case of a wrong-patient surgery regardless of the organization's design (Taylor &amp; Yonash, 2024).</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2.3 Leadership Theories Applied to the Case Study</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2.3.1 Transformational Leadership</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Transformational leadership has been defined as leaders who inspire and urge the subordinates to perform better. Transformational leadership motivates and urges the employee to exceed expectations and bring changes to the organization (Moffatt-Bruce et al., 2018). The leaders will present a new climate, aspect professional growth and ownership, serve as role models, and sell a common vision (Rodziewicz et al., 2024; Popescu et al., 2022). The case of wrong-patient surgery could have been avoided with the assistance of transformational leadership, as the culture of the hospital would have been to consider patient safety (Romaniello et al., 2025). The leaders could have also worked on the adherence to the process of patient identification strictly, empowered their employees, and encouraged them to be open to one another in an atmosphere that is not built on punishment (Fraser &amp; Adams, 2006; Rodziewicz et al., 2024). As an example, the leaders might have instituted regular training on the WHO Surgical Safety Checklist and promoted the lifelong learning methodology and risk reduction (Maul &amp; Straub, 2022; Popescu et al., 2022). Transformational leadership is also associated with the increased rates of engagement, cooperation, and compliance with safety measures, which are transferred to the lower rate of surgical errors (Moffatt-Bruce et al., 2018; Romaniello et al., 2025).</w:t>
      </w:r>
    </w:p>
    <w:p>
      <w:pPr>
        <w:spacing w:lineRule="auto" w:line="360" w:after="0" w:beforeAutospacing="0" w:afterAutospacing="0"/>
        <w:contextualSpacing w:val="1"/>
        <w:jc w:val="both"/>
        <w:rPr>
          <w:rFonts w:ascii="Arial" w:hAnsi="Arial" w:cs="Arial"/>
          <w:b w:val="1"/>
          <w:bCs w:val="1"/>
          <w:sz w:val="22"/>
          <w:szCs w:val="22"/>
          <w:lang w:val="en-KE"/>
        </w:rPr>
      </w:pPr>
      <w:r>
        <w:rPr>
          <w:rFonts w:ascii="Arial" w:hAnsi="Arial" w:cs="Arial"/>
          <w:b w:val="1"/>
          <w:bCs w:val="1"/>
          <w:sz w:val="22"/>
          <w:szCs w:val="22"/>
          <w:lang w:val="en-KE"/>
        </w:rPr>
        <w:t>2.3.2 Transactional Leadership</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They are founded on clear expectations, rules, rewards, or punishments to ensure accountability and efficiency in transactional Leadership (Rodziewicz et al., 2024; Fraser &amp; Adams, 2006). It is also practical within the formal settings due to the focus on abiding by the procedures which have been stipulated (van Hille, 2009). Transactional leadership would have applied the mandatory control and verification of patients to be operated on and the safety of the operation in the case of wrong-patient surgery, and would have accepted the compliance and responded to the frequent violations (Taylor &amp; Yonash, 2024; Maul &amp; Straub, 2022). Still, its hierarchy can cause subordinates not to question the authority and report mistakes and communication gaps follow, which prevents the ability to avoid mistakes cautiously (Rodziewicz et al., 2024; Fraser &amp; Adams, 2006). It has been discovered that transactional leadership is more efficient in improving procedural and less efficient in avoiding cumulative safety mistakes like patient identification errors (Moffatt-Bruce et al., 2018; Popescu et al., 2022).</w:t>
      </w:r>
    </w:p>
    <w:p>
      <w:pPr>
        <w:spacing w:lineRule="auto" w:line="360" w:after="0" w:beforeAutospacing="0" w:afterAutospacing="0"/>
        <w:contextualSpacing w:val="1"/>
        <w:jc w:val="both"/>
        <w:rPr>
          <w:rFonts w:ascii="Arial" w:hAnsi="Arial" w:cs="Arial"/>
          <w:b w:val="1"/>
          <w:bCs w:val="1"/>
          <w:sz w:val="22"/>
          <w:szCs w:val="22"/>
          <w:lang w:val="en-KE"/>
        </w:rPr>
      </w:pPr>
      <w:r>
        <w:rPr>
          <w:rFonts w:ascii="Arial" w:hAnsi="Arial" w:cs="Arial"/>
          <w:b w:val="1"/>
          <w:bCs w:val="1"/>
          <w:sz w:val="22"/>
          <w:szCs w:val="22"/>
          <w:lang w:val="en-KE"/>
        </w:rPr>
        <w:t>2.3.3 Situational Leadership</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Situational Leadership is when the leadership style varies depending on the situation and the proficiency of a team, and is a blend of the directive and supportive Leadership (Rodziewicz et al., 2024; Taylor &amp; Yonash, 2024). Leaders provide directions when the teams need guidelines and assistance when they are able to make independent choices (Popescu et al., 2022). The application of situational leadership in the operating theatre would result in safer practices because the leaders will be able to adopt a directive leadership style when it comes to the life and death identification checks of the patients and ensuring that the protocols are adhered to (Romaniello et al., 2025; Fraser &amp; Adams, 2006). The leaders may be seeking a supportive style during normal work and involve the staff in safety procedures and shared responsibility (Maul &amp; Straub, 2022). It is able to assist leaders in dealing with crises and facilitate the engagement of the team in error prevention (Rodziewicz et al., 2024; Taylor &amp; Yonash, 2024).</w:t>
      </w:r>
    </w:p>
    <w:p>
      <w:pPr>
        <w:spacing w:lineRule="auto" w:line="360" w:after="0" w:beforeAutospacing="0" w:afterAutospacing="0"/>
        <w:contextualSpacing w:val="1"/>
        <w:jc w:val="both"/>
        <w:rPr>
          <w:rFonts w:ascii="Arial" w:hAnsi="Arial" w:cs="Arial"/>
          <w:b w:val="1"/>
          <w:bCs w:val="1"/>
          <w:sz w:val="22"/>
          <w:szCs w:val="22"/>
          <w:lang w:val="en-KE"/>
        </w:rPr>
      </w:pPr>
      <w:r>
        <w:rPr>
          <w:rFonts w:ascii="Arial" w:hAnsi="Arial" w:cs="Arial"/>
          <w:b w:val="1"/>
          <w:bCs w:val="1"/>
          <w:sz w:val="22"/>
          <w:szCs w:val="22"/>
          <w:lang w:val="en-KE"/>
        </w:rPr>
        <w:t xml:space="preserve">2.3.5 </w:t>
      </w:r>
      <w:r>
        <w:rPr>
          <w:rFonts w:ascii="Arial" w:hAnsi="Arial" w:cs="Arial"/>
          <w:b w:val="1"/>
          <w:bCs w:val="1"/>
          <w:sz w:val="22"/>
          <w:szCs w:val="22"/>
        </w:rPr>
        <w:t>Critical Leadership Analysis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example of hospital leadership in the given case was reactive rather than proactive because the hospital only intervened in the issue of patient safety after the wrong surgery was carried out (Rodziewicz et al., 2024; Moffatt-Bruce et al., 2018). The frontline staff did not receive support and were not involved in the safety measures, and had poor accountability systems (Popescu et al., 2022; Fraser &amp; Adams, 2006). The ineffectiveness and inability to perform safety checks were additional causes of the surgical error due to the communication failure (Taylor &amp; Yonash, 2024). The discussed theories of leadership, transformational, transactional, and situational leadership, demonstrate that their contribution to preventing medical errors and patient safety is vital (Moffatt-Bruce et al., 2018). Transformational leadership encourages an active safety culture and employee empowerment, transactional leadership ensures adherence to procedures, and situational leadership allows being adaptable to high-risk circumstances (Popescu et al., 2022). The combination of these strategies will enable the healthcare leaders to strengthen the system, engage more staff, and reduce the probability of making errors, such as performing surgeries on the wrong patient, which will eventually result in a better care outcome (Rodziewicz et al., 2024; Romaniello et al., 2025).</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2.4 Improvements and Lessons Learned</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2.4.1 Leadership and Governance Interaction</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These decisions of leaders have a significant effect on the patient safety outcomes, one of them being wrong-patient surgery. Poor implementation and monitoring failures in the implementation of patient verification protocols were also present in this case, which led to the incident. The escalation policy was not good, and this prevented the surgery from being rectified through intervention. Apparently, evident escalation procedures were required in the context of correcting the mistakes within the shortest time possible (Park et al., 2023). Also, the accountability mechanisms were not in place; the leaders failed to monitor the safety procedures to the letter at all times, undermining the control of the organizations. It has been found that the hospital in which the responsibility is shared and which is characterized by well-defined Governance and decentralized leadership is the place where patient safety outcomes are improved, as the whole Communication and accountability are improved (Woo et al., 2025). The culture of safety is dictated by the leaders, and its lack may lead to critical mistakes being committed.</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2.4.2 Missed Opportunities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different opportunities that were missed on this matter were a result of leadership as well as systems failure. The non-reporting of the problem of patient identity on time was one of the failures. The employees were not empowered and were not in a position to raise their concerns, and there were no avenues that they could have used to do that, since discrepancies were evident. According to the Institute of Medicine, report slowing and ineffective Communication are among the factors that lead to over 60 percent of medical errors in hospitals. It has been approximated that approximately 40 percent of the incidences are reported over 48 hours later, and this depicts the danger of an intervention delay (De Micco et al., 2024). Lack of proper monitoring of patients and proper checking eliminated the control of the surgical team. Moreover, the lack of effective Communication in departments such as the surgical, nursing, and admissions departments contributed to the increase in the misidentification probability.</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2.4.3 Evidence-Based Solutions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These systemic failures can be solved in several ways: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Digital Reporting Systems:</w:t>
      </w:r>
      <w:r>
        <w:rPr>
          <w:rFonts w:ascii="Arial" w:hAnsi="Arial" w:cs="Arial"/>
          <w:sz w:val="22"/>
          <w:szCs w:val="22"/>
          <w:lang w:val="en-KE"/>
        </w:rPr>
        <w:t xml:space="preserve"> Electronic incident reporting is advantageous since it enhances disclosure and timeliness through which errors can be addressed in real-time (Kim et al., 2020). </w:t>
      </w:r>
      <w:r>
        <w:rPr>
          <w:rFonts w:ascii="Arial" w:hAnsi="Arial" w:cs="Arial"/>
          <w:b w:val="1"/>
          <w:bCs w:val="1"/>
          <w:sz w:val="22"/>
          <w:szCs w:val="22"/>
          <w:lang w:val="en-KE"/>
        </w:rPr>
        <w:t>Clinical Escalation Protocols:</w:t>
      </w:r>
      <w:r>
        <w:rPr>
          <w:rFonts w:ascii="Arial" w:hAnsi="Arial" w:cs="Arial"/>
          <w:sz w:val="22"/>
          <w:szCs w:val="22"/>
          <w:lang w:val="en-KE"/>
        </w:rPr>
        <w:t xml:space="preserve"> The tiered reporting protocols are structured, i.e., deterioration or safety concerns will be reported immediately, and eliminate chances of committing errors (Park et al., 2023). </w:t>
      </w:r>
      <w:r>
        <w:rPr>
          <w:rFonts w:ascii="Arial" w:hAnsi="Arial" w:cs="Arial"/>
          <w:b w:val="1"/>
          <w:bCs w:val="1"/>
          <w:sz w:val="22"/>
          <w:szCs w:val="22"/>
          <w:lang w:val="en-KE"/>
        </w:rPr>
        <w:t>Electronic Health Records (EHR):</w:t>
      </w:r>
      <w:r>
        <w:rPr>
          <w:rFonts w:ascii="Arial" w:hAnsi="Arial" w:cs="Arial"/>
          <w:sz w:val="22"/>
          <w:szCs w:val="22"/>
          <w:lang w:val="en-KE"/>
        </w:rPr>
        <w:t xml:space="preserve"> EHRs are a place where the patient details are stored; this feature results in the correct transfer of data during care transitions and reduces cases of errors due to misidentification (Woo et al., 2025). </w:t>
      </w:r>
      <w:r>
        <w:rPr>
          <w:rFonts w:ascii="Arial" w:hAnsi="Arial" w:cs="Arial"/>
          <w:b w:val="1"/>
          <w:bCs w:val="1"/>
          <w:sz w:val="22"/>
          <w:szCs w:val="22"/>
          <w:lang w:val="en-KE"/>
        </w:rPr>
        <w:t>Leadership Training Programs:</w:t>
      </w:r>
      <w:r>
        <w:rPr>
          <w:rFonts w:ascii="Arial" w:hAnsi="Arial" w:cs="Arial"/>
          <w:sz w:val="22"/>
          <w:szCs w:val="22"/>
          <w:lang w:val="en-KE"/>
        </w:rPr>
        <w:t xml:space="preserve"> The leadership transformation programs are the ones that help to facilitate safety culture, prepare leaders with the ability to observe and address the risks in a proactive manner, and create a non-blame environment (Aranaz Ostariz et al., 2020). </w:t>
      </w:r>
      <w:r>
        <w:rPr>
          <w:rFonts w:ascii="Arial" w:hAnsi="Arial" w:cs="Arial"/>
          <w:b w:val="1"/>
          <w:bCs w:val="1"/>
          <w:sz w:val="22"/>
          <w:szCs w:val="22"/>
          <w:lang w:val="en-KE"/>
        </w:rPr>
        <w:t>Interdisciplinary Communication Systems:</w:t>
      </w:r>
      <w:r>
        <w:rPr>
          <w:rFonts w:ascii="Arial" w:hAnsi="Arial" w:cs="Arial"/>
          <w:sz w:val="22"/>
          <w:szCs w:val="22"/>
          <w:lang w:val="en-KE"/>
        </w:rPr>
        <w:t xml:space="preserve"> Coherent handoff orders and systematic Communication between the staff help minimize the errors in the treatment of the multi-teams (De Micco et al., 2024).</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2.4.4 Healthcare Systems Lessons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Key lessons include: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Safety Culture:</w:t>
      </w:r>
      <w:r>
        <w:rPr>
          <w:rFonts w:ascii="Arial" w:hAnsi="Arial" w:cs="Arial"/>
          <w:sz w:val="22"/>
          <w:szCs w:val="22"/>
          <w:lang w:val="en-KE"/>
        </w:rPr>
        <w:t xml:space="preserve"> The promotion of patient safety should be a shared responsibility, and the administration should instill in people a culture of reporting errors without any threat of being punished. </w:t>
      </w:r>
      <w:r>
        <w:rPr>
          <w:rFonts w:ascii="Arial" w:hAnsi="Arial" w:cs="Arial"/>
          <w:b w:val="1"/>
          <w:bCs w:val="1"/>
          <w:sz w:val="22"/>
          <w:szCs w:val="22"/>
          <w:lang w:val="en-KE"/>
        </w:rPr>
        <w:t>Open Governance:</w:t>
      </w:r>
      <w:r>
        <w:rPr>
          <w:rFonts w:ascii="Arial" w:hAnsi="Arial" w:cs="Arial"/>
          <w:sz w:val="22"/>
          <w:szCs w:val="22"/>
          <w:lang w:val="en-KE"/>
        </w:rPr>
        <w:t xml:space="preserve"> The techniques of incidence reporting and analysis are open and allow for identifying patterns and continuous improvement. </w:t>
      </w:r>
      <w:r>
        <w:rPr>
          <w:rFonts w:ascii="Arial" w:hAnsi="Arial" w:cs="Arial"/>
          <w:b w:val="1"/>
          <w:bCs w:val="1"/>
          <w:sz w:val="22"/>
          <w:szCs w:val="22"/>
          <w:lang w:val="en-KE"/>
        </w:rPr>
        <w:t>Distributed Leadership:</w:t>
      </w:r>
      <w:r>
        <w:rPr>
          <w:rFonts w:ascii="Arial" w:hAnsi="Arial" w:cs="Arial"/>
          <w:sz w:val="22"/>
          <w:szCs w:val="22"/>
          <w:lang w:val="en-KE"/>
        </w:rPr>
        <w:t xml:space="preserve"> Local control is enhancing the effectiveness of service delivery and the delivery of outcomes by offering control to frontline employees to deal with errors or safety issues that are presented in real-time. </w:t>
      </w:r>
      <w:r>
        <w:rPr>
          <w:rFonts w:ascii="Arial" w:hAnsi="Arial" w:cs="Arial"/>
          <w:b w:val="1"/>
          <w:bCs w:val="1"/>
          <w:sz w:val="22"/>
          <w:szCs w:val="22"/>
          <w:lang w:val="en-KE"/>
        </w:rPr>
        <w:t>Systems thinking:</w:t>
      </w:r>
      <w:r>
        <w:rPr>
          <w:rFonts w:ascii="Arial" w:hAnsi="Arial" w:cs="Arial"/>
          <w:sz w:val="22"/>
          <w:szCs w:val="22"/>
          <w:lang w:val="en-KE"/>
        </w:rPr>
        <w:t xml:space="preserve"> There is the possibility to think of errors as systemic, but not individual, and address root causes (communication, culture, and leadership practices) (Aranaz Ostariz et al., 2020; Woo et al., 2025). Combining these interventions, healthcare organizations will stand a chance to improve safety in the facility, increase the competence of the leadership, and avoid such undesired outcomes as wrong-patient surgery.</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Recommendations</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3.1 Recommended Leadership Style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systemic issues that have resulted in the wrong-patient surgery require transformational leadership as it helps healthcare professionals to embrace the vision of continuous enhancement of patient safety (Kim et al., 2020). Transformational leaders inculcate the feeling of responsibility and teamwork, promoting employees to follow the safety standards and prevent errors actively (Cromie et al., 2025). Implementation of distributed leadership in the team-level setting will allow the nurses, junior doctors, and surgical workers to make prompt decisions concerning safety and to be more receptive to the dangers of being misidentified (Aranaz-Ostariz et al., 2022). The other positive implications of emotionally intelligent leadership that facilitate employees to report without fear of being punished, and discourage errors from escalating proportionally, are trust, high morale, and free Communication (Woo et al., 2025).</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3.2 Strengthening Governance</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Proper accountable structures would be helpful in averting such cases as wrong-patient surgery since well-defined roles would hold the employees responsible for the safety measures (Herold et al., 2025). One can create a culture of accountability in the organization that can lead to compliance and reduce the opportunities of lapses (Kim et al., 2020). Open reporting systems also enhance Governance since the errors can also be identified and rectified early enough, and a culture of reporting safety concerns without fear of being punished ought to be encouraged among the personnel (Cromie et al., 2025). Online incident reporting systems are capable of assisting in the real-time reporting and analysis process with the input of the trends and improvement opportunities (Aranaz-Ostariz et al., 2022).</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3.3 Improving Communication</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Multidisciplinary Communication also plays a major role in preventing wrong-patient surgery since a seamless flow of information among doctors, nurses, and administrative staff will result in a patient being identified in the right way (Woo et al., 2025). Structured communication protocols are used to reduce the risk of missing crucial details, such as standard handoffs at the conclusion of the shifts (Cromie et al., 2025). The Communication between departments will be more efficient through digital platforms as they will update patients in real time, notify the teams regarding discrepancies or differences in records, and optimize the interdepartmental coordination (Herold et al., 2025).</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3.4 Improving Efficiency</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hospitals should also be sure that they are optimistic in both technical and allocative Efficiency to prevent errors. One of the elements is technical Efficiency, which involves the availability of the right resources, including the staff, equipment, and technology needed and effectively used to ensure patient safety (Aranaz-Ostariz et al., 2022). An error in the identification of patients may be reduced through the improvement of patient identification infrastructure, such as implementing a biometric system or improved electronic health records (EHRs) (Kim et al., 2020). In this situation, the priority of resources should be to where the risk of patient safety is the most significant so that critical interventions can be assigned, such as in the operating room or emergency department (Woo et al., 2025).</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3.5 Continuous Learning</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Continuous learning is needed to enhance patient safety. The regular staff members (including the WHO Surgical Safety Checklist) should be trained on safety to ensure that the healthcare providers are aware of the best practices (Cromie et al., 2025). The exercises carried out through simulation make the staff train on the physical side of the issues related to possible errors within a controlled setting, which proves the necessity of verifying and communicating (Park et al., 2023). The errors are further minimised with the involvement of the patient in their safety, such as verifying the identity before surgery (Kim et al., 2020). Introduction of a learning health system with the incorporation of ongoing data collection and feedback mechanisms can assist hospitals in tracking incidences, defining which problems can be repeated, and updating protocols based on evidence in real-time. The culture of active improvement has to be developed (Herold et al., 2025).</w:t>
      </w:r>
    </w:p>
    <w:p>
      <w:pPr>
        <w:spacing w:lineRule="auto" w:line="360" w:after="0" w:beforeAutospacing="0" w:afterAutospacing="0"/>
        <w:contextualSpacing w:val="1"/>
        <w:jc w:val="both"/>
        <w:rPr>
          <w:rFonts w:ascii="Arial" w:hAnsi="Arial" w:cs="Arial"/>
          <w:sz w:val="22"/>
          <w:szCs w:val="22"/>
          <w:lang w:val="en-KE"/>
        </w:rPr>
      </w:pPr>
      <w:r>
        <w:rPr>
          <w:rFonts w:ascii="Arial" w:hAnsi="Arial" w:cs="Arial"/>
          <w:b w:val="1"/>
          <w:bCs w:val="1"/>
          <w:sz w:val="22"/>
          <w:szCs w:val="22"/>
          <w:lang w:val="en-KE"/>
        </w:rPr>
        <w:t>Conclusion</w:t>
      </w:r>
    </w:p>
    <w:p>
      <w:pPr>
        <w:spacing w:lineRule="auto" w:line="360" w:after="0" w:beforeAutospacing="0" w:afterAutospacing="0"/>
        <w:contextualSpacing w:val="1"/>
        <w:jc w:val="both"/>
        <w:rPr>
          <w:rFonts w:ascii="Arial" w:hAnsi="Arial" w:cs="Arial"/>
          <w:sz w:val="22"/>
          <w:szCs w:val="22"/>
          <w:lang w:val="en-KE"/>
        </w:rPr>
      </w:pPr>
      <w:r>
        <w:rPr>
          <w:rFonts w:ascii="Arial" w:hAnsi="Arial" w:cs="Arial"/>
          <w:sz w:val="22"/>
          <w:szCs w:val="22"/>
          <w:lang w:val="en-KE"/>
        </w:rPr>
        <w:t>The primary problem identified in this case study is the wrong-patient surgery that happened due to systematic errors that include poor leadership, Governance, Communication, and clinical oversight (Aranaz-Ostariz et al., 2022). The leadership and governance systems were inefficient regarding the routine application of patient safety interventions, and decision-making was concentrated, which prevented promotion and timely reaction to mistakes (Woo et al., 2025). The mistake would have been avoided through an empowered leadership approach that would have facilitated the immediate action of the frontline staff (Cromie et al., 2025). Systems thinking allows highlighting the aspect that the wrong-patient surgery is not a one-off incident, but a symptomatic issue relative to the deeper organizational issues, including communication breakdown, leadership collapse, and poor governance structures (Kim et al., 2020). The answer to these issues is in transformational and emotionally directed leadership that would build a patient safety-focused culture, and powerful structures of Governance that would hold someone accountable and publicly disclose (Herold et al., 2025). The coordination in real-time and the elimination of errors are achieved due to the digital reporting platforms and the enhancement of multidisciplinary Communication (Woo et al., 2025). One of the methods of ensuring that the resources are efficiently used is enhanced Efficiency (technical and allocative), and the system of patient identification is reliable (Aranaz-Ostariz et al., 2022). The proactive safety culture is developed, and the error rates are reduced through the sustainable learning process in which staff members are trained, simulated, and involve patients in the process (Kim et al., 2020). Through these evidence-based suggestions, medical institutions can transform the leadership style, improve Governance, improve Communication, and develop a culture of learning, and this will not only decrease the incidence of medical errors but also guarantee patient outcomes (Cromie et al., 2025; Herold et al., 2025). The systemic reforms and effective leadership are important to put patient safety at the heart of any healthcare system (Woo et al., 2025).</w:t>
      </w:r>
    </w:p>
    <w:p>
      <w:pPr>
        <w:ind w:left="360"/>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rPr>
          <w:rFonts w:ascii="Times New Roman" w:hAnsi="Times New Roman" w:cs="Times New Roman"/>
          <w:sz w:val="22"/>
          <w:szCs w:val="22"/>
        </w:rPr>
      </w:pPr>
    </w:p>
    <w:p>
      <w:pPr>
        <w:spacing w:lineRule="auto" w:line="360" w:after="0" w:beforeAutospacing="0" w:afterAutospacing="0"/>
        <w:contextualSpacing w:val="1"/>
        <w:jc w:val="both"/>
        <w:rPr>
          <w:rFonts w:ascii="Arial" w:hAnsi="Arial" w:cs="Arial"/>
          <w:sz w:val="22"/>
          <w:szCs w:val="22"/>
        </w:rPr>
      </w:pPr>
      <w:r>
        <w:rPr>
          <w:rFonts w:ascii="Arial" w:hAnsi="Arial" w:cs="Arial"/>
          <w:sz w:val="22"/>
          <w:szCs w:val="22"/>
        </w:rPr>
        <w:t>Reference list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Aranaz Ostáriz, V, Gea Velázquez de Castro, MT, López Rodríguez-Arias, F, Valencia Martín, JL, Aibar Remón, C, Requena Puche, J, Díaz-Agero Pérez, C, Compañ Rosique, AF &amp; Aranaz Andrés, JM 2020, ‘Risk Analysis for Patient Safety in Surgical Departments: Cross-Sectional Design Usefulness’, </w:t>
      </w:r>
      <w:r>
        <w:rPr>
          <w:rFonts w:ascii="Arial" w:hAnsi="Arial" w:cs="Arial" w:eastAsia="Times New Roman"/>
          <w:i w:val="1"/>
          <w:iCs w:val="1"/>
          <w:color w:val="000000"/>
          <w:sz w:val="22"/>
          <w:szCs w:val="22"/>
        </w:rPr>
        <w:t>International Journal of Environmental Research and Public Health</w:t>
      </w:r>
      <w:r>
        <w:rPr>
          <w:rFonts w:ascii="Arial" w:hAnsi="Arial" w:cs="Arial" w:eastAsia="Times New Roman"/>
          <w:color w:val="000000"/>
          <w:sz w:val="22"/>
          <w:szCs w:val="22"/>
        </w:rPr>
        <w:t xml:space="preserve">, vol. 17, MDPI AG, no. 7, p. 2516, viewed 15 March 2026, </w:t>
      </w:r>
      <w:hyperlink xmlns:r="http://schemas.openxmlformats.org/officeDocument/2006/relationships" r:id="R2">
        <w:r>
          <w:rPr>
            <w:rStyle w:val="C2"/>
            <w:rFonts w:ascii="Arial" w:hAnsi="Arial" w:cs="Arial" w:eastAsia="Times New Roman"/>
            <w:sz w:val="22"/>
            <w:szCs w:val="22"/>
          </w:rPr>
          <w:t>https://www.mdpi.com/1660-4601/17/7/2516</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Aranaz-Ostáriz, V, Gea-Velázquez De Castro, MT, López-Rodríguez-Arias, F, San José-Saras, D, Vicente-Guijarro, J, Pardo-Hernández, A &amp; Aranaz-Andrés, JM 2022, ‘Surgery Is in Itself a Risk Factor for the Patient’, </w:t>
      </w:r>
      <w:r>
        <w:rPr>
          <w:rFonts w:ascii="Arial" w:hAnsi="Arial" w:cs="Arial" w:eastAsia="Times New Roman"/>
          <w:i w:val="1"/>
          <w:iCs w:val="1"/>
          <w:color w:val="000000"/>
          <w:sz w:val="22"/>
          <w:szCs w:val="22"/>
        </w:rPr>
        <w:t>International Journal of Environmental Research and Public Health</w:t>
      </w:r>
      <w:r>
        <w:rPr>
          <w:rFonts w:ascii="Arial" w:hAnsi="Arial" w:cs="Arial" w:eastAsia="Times New Roman"/>
          <w:color w:val="000000"/>
          <w:sz w:val="22"/>
          <w:szCs w:val="22"/>
        </w:rPr>
        <w:t xml:space="preserve">, vol. 19, MDPI AG, no. 8, p. 4761, viewed 15 March 2026, </w:t>
      </w:r>
      <w:hyperlink xmlns:r="http://schemas.openxmlformats.org/officeDocument/2006/relationships" r:id="R3">
        <w:r>
          <w:rPr>
            <w:rStyle w:val="C2"/>
            <w:rFonts w:ascii="Arial" w:hAnsi="Arial" w:cs="Arial" w:eastAsia="Times New Roman"/>
            <w:sz w:val="22"/>
            <w:szCs w:val="22"/>
          </w:rPr>
          <w:t>https://www.mdpi.com/1660-4601/19/8/4761</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Choudhury, LS &amp; Vu, CT 2011, </w:t>
      </w:r>
      <w:r>
        <w:rPr>
          <w:rFonts w:ascii="Arial" w:hAnsi="Arial" w:cs="Arial" w:eastAsia="Times New Roman"/>
          <w:i w:val="1"/>
          <w:iCs w:val="1"/>
          <w:color w:val="000000"/>
          <w:sz w:val="22"/>
          <w:szCs w:val="22"/>
        </w:rPr>
        <w:t>Patient Identification Errors: A Systems Challenge</w:t>
      </w:r>
      <w:r>
        <w:rPr>
          <w:rFonts w:ascii="Arial" w:hAnsi="Arial" w:cs="Arial" w:eastAsia="Times New Roman"/>
          <w:color w:val="000000"/>
          <w:sz w:val="22"/>
          <w:szCs w:val="22"/>
        </w:rPr>
        <w:t xml:space="preserve">, Patient Identification Errors: A Systems Challenge, viewed 15 March 2026, </w:t>
      </w:r>
      <w:hyperlink xmlns:r="http://schemas.openxmlformats.org/officeDocument/2006/relationships" r:id="R4">
        <w:r>
          <w:rPr>
            <w:rStyle w:val="C2"/>
            <w:rFonts w:ascii="Arial" w:hAnsi="Arial" w:cs="Arial" w:eastAsia="Times New Roman"/>
            <w:sz w:val="22"/>
            <w:szCs w:val="22"/>
          </w:rPr>
          <w:t>https://psnet.ahrq.gov/web-mm/patient-identification-errors-systems-challenge</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sz w:val="22"/>
          <w:szCs w:val="22"/>
        </w:rPr>
      </w:pPr>
      <w:r>
        <w:rPr>
          <w:rFonts w:ascii="Arial" w:hAnsi="Arial" w:cs="Arial"/>
          <w:sz w:val="22"/>
          <w:szCs w:val="22"/>
        </w:rPr>
        <w:t>Clarke, JR, Johnston, J, Blanco, M &amp; Martindell, DP 2008, ‘Wrong-Site Surgery: Can We Prevent It?’, </w:t>
      </w:r>
      <w:r>
        <w:rPr>
          <w:rFonts w:ascii="Arial" w:hAnsi="Arial" w:cs="Arial"/>
          <w:i w:val="1"/>
          <w:iCs w:val="1"/>
          <w:sz w:val="22"/>
          <w:szCs w:val="22"/>
        </w:rPr>
        <w:t>Advances in Surgery</w:t>
      </w:r>
      <w:r>
        <w:rPr>
          <w:rFonts w:ascii="Arial" w:hAnsi="Arial" w:cs="Arial"/>
          <w:sz w:val="22"/>
          <w:szCs w:val="22"/>
        </w:rPr>
        <w:t xml:space="preserve">, vol. 42, Elsevier BV, pp. 13–31, viewed 15 March 2026, </w:t>
      </w:r>
      <w:hyperlink xmlns:r="http://schemas.openxmlformats.org/officeDocument/2006/relationships" r:id="R5">
        <w:r>
          <w:rPr>
            <w:rStyle w:val="C2"/>
            <w:rFonts w:ascii="Arial" w:hAnsi="Arial" w:cs="Arial"/>
            <w:sz w:val="22"/>
            <w:szCs w:val="22"/>
          </w:rPr>
          <w:t>https://pubmed.ncbi.nlm.nih.gov/18953807/</w:t>
        </w:r>
      </w:hyperlink>
      <w:r>
        <w:rPr>
          <w:rFonts w:ascii="Arial" w:hAnsi="Arial" w:cs="Arial"/>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Cromie, S, Kay, A, O’Byrne, K, Traynor, T, Smyth, D, O’Connor, P, Slattery, D, Duda, N &amp; Corrigan, S 2025, ‘Safety Culture and Human Factors in Foreign Object Management in Surgery’,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13, MDPI AG, no. 17, p. 2167, viewed 15 March 2026, </w:t>
      </w:r>
      <w:hyperlink xmlns:r="http://schemas.openxmlformats.org/officeDocument/2006/relationships" r:id="R6">
        <w:r>
          <w:rPr>
            <w:rStyle w:val="C2"/>
            <w:rFonts w:ascii="Arial" w:hAnsi="Arial" w:cs="Arial" w:eastAsia="Times New Roman"/>
            <w:sz w:val="22"/>
            <w:szCs w:val="22"/>
          </w:rPr>
          <w:t>https://www.mdpi.com/2227-9032/13/17/2167</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De Micco, F, De Benedictis, A, Scendoni, R, Tambone, V, Di Palma, G &amp; Alloni, R 2024, ‘From the Operating Theater to the Pathology Laboratory: Failure Mode, Effects, and Criticality Analysis of the Biological Samples Transfer’,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12, MDPI AG, no. 22, p. 2279, viewed 15 March 2026, </w:t>
      </w:r>
      <w:hyperlink xmlns:r="http://schemas.openxmlformats.org/officeDocument/2006/relationships" r:id="R7">
        <w:r>
          <w:rPr>
            <w:rStyle w:val="C2"/>
            <w:rFonts w:ascii="Arial" w:hAnsi="Arial" w:cs="Arial" w:eastAsia="Times New Roman"/>
            <w:sz w:val="22"/>
            <w:szCs w:val="22"/>
          </w:rPr>
          <w:t>https://www.mdpi.com/2227-9032/12/22/2279</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De, H 2021, ‘Interventions to Reduce Patient Identification Errors in the Hospital Setting: A Systematic Review’, </w:t>
      </w:r>
      <w:r>
        <w:rPr>
          <w:rFonts w:ascii="Arial" w:hAnsi="Arial" w:cs="Arial" w:eastAsia="Times New Roman"/>
          <w:i w:val="1"/>
          <w:iCs w:val="1"/>
          <w:color w:val="000000"/>
          <w:sz w:val="22"/>
          <w:szCs w:val="22"/>
        </w:rPr>
        <w:t>The Open Nursing Journal</w:t>
      </w:r>
      <w:r>
        <w:rPr>
          <w:rFonts w:ascii="Arial" w:hAnsi="Arial" w:cs="Arial" w:eastAsia="Times New Roman"/>
          <w:color w:val="000000"/>
          <w:sz w:val="22"/>
          <w:szCs w:val="22"/>
        </w:rPr>
        <w:t xml:space="preserve">, vol. 15, no. 1, viewed 15 March 2026, </w:t>
      </w:r>
      <w:hyperlink xmlns:r="http://schemas.openxmlformats.org/officeDocument/2006/relationships" r:id="R8">
        <w:r>
          <w:rPr>
            <w:rStyle w:val="C2"/>
            <w:rFonts w:ascii="Arial" w:hAnsi="Arial" w:cs="Arial" w:eastAsia="Times New Roman"/>
            <w:sz w:val="22"/>
            <w:szCs w:val="22"/>
          </w:rPr>
          <w:t>https://opennursingjournal.com/VOLUME/15/PAGE/109/FULLTEXT/</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Fraser, SG &amp; Adams, W 2006, ‘Wrong site surgery’, </w:t>
      </w:r>
      <w:r>
        <w:rPr>
          <w:rFonts w:ascii="Arial" w:hAnsi="Arial" w:cs="Arial" w:eastAsia="Times New Roman"/>
          <w:i w:val="1"/>
          <w:iCs w:val="1"/>
          <w:color w:val="000000"/>
          <w:sz w:val="22"/>
          <w:szCs w:val="22"/>
        </w:rPr>
        <w:t>British Journal of Ophthalmology</w:t>
      </w:r>
      <w:r>
        <w:rPr>
          <w:rFonts w:ascii="Arial" w:hAnsi="Arial" w:cs="Arial" w:eastAsia="Times New Roman"/>
          <w:color w:val="000000"/>
          <w:sz w:val="22"/>
          <w:szCs w:val="22"/>
        </w:rPr>
        <w:t xml:space="preserve">, vol. 90, BMJ, no. 7, pp. 814–816, viewed 15 March 2026, </w:t>
      </w:r>
      <w:hyperlink xmlns:r="http://schemas.openxmlformats.org/officeDocument/2006/relationships" r:id="R9">
        <w:r>
          <w:rPr>
            <w:rStyle w:val="C2"/>
            <w:rFonts w:ascii="Arial" w:hAnsi="Arial" w:cs="Arial" w:eastAsia="Times New Roman"/>
            <w:sz w:val="22"/>
            <w:szCs w:val="22"/>
          </w:rPr>
          <w:t>https://pmc.ncbi.nlm.nih.gov/articles/PMC1857133/</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Hempel, S, Maggard-Gibbons, M, Nguyen, DK, Dawes, AJ, Miake-Lye, I, Beroes, JM, Booth, MJ, Miles, JNV, Shanman, R &amp; Shekelle, PG 2015, ‘Wrong-Site Surgery, Retained Surgical Items, and Surgical Fires’, </w:t>
      </w:r>
      <w:r>
        <w:rPr>
          <w:rFonts w:ascii="Arial" w:hAnsi="Arial" w:cs="Arial" w:eastAsia="Times New Roman"/>
          <w:i w:val="1"/>
          <w:iCs w:val="1"/>
          <w:color w:val="000000"/>
          <w:sz w:val="22"/>
          <w:szCs w:val="22"/>
        </w:rPr>
        <w:t>JAMA Surgery</w:t>
      </w:r>
      <w:r>
        <w:rPr>
          <w:rFonts w:ascii="Arial" w:hAnsi="Arial" w:cs="Arial" w:eastAsia="Times New Roman"/>
          <w:color w:val="000000"/>
          <w:sz w:val="22"/>
          <w:szCs w:val="22"/>
        </w:rPr>
        <w:t xml:space="preserve">, vol. 150, American Medical Association (AMA), no. 8, p. 796, viewed 15 March 2026, </w:t>
      </w:r>
      <w:hyperlink xmlns:r="http://schemas.openxmlformats.org/officeDocument/2006/relationships" r:id="RA">
        <w:r>
          <w:rPr>
            <w:rStyle w:val="C2"/>
            <w:rFonts w:ascii="Arial" w:hAnsi="Arial" w:cs="Arial" w:eastAsia="Times New Roman"/>
            <w:sz w:val="22"/>
            <w:szCs w:val="22"/>
          </w:rPr>
          <w:t>https://pubmed.ncbi.nlm.nih.gov/26061125/</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Herold, G, Justickis, V, Maneikienė, V, Maneikis, K, Trinkauskas, P &amp; Palkova, K 2025, ‘A Physician-Driven Patient Safety Paradigm: The “Pitfall Bank” as a Translational Mechanism for Medical Error Prevention’,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13, MDPI AG, no. 17, p. 2248, viewed 15 March 2026, </w:t>
      </w:r>
      <w:hyperlink xmlns:r="http://schemas.openxmlformats.org/officeDocument/2006/relationships" r:id="RB">
        <w:r>
          <w:rPr>
            <w:rStyle w:val="C2"/>
            <w:rFonts w:ascii="Arial" w:hAnsi="Arial" w:cs="Arial" w:eastAsia="Times New Roman"/>
            <w:sz w:val="22"/>
            <w:szCs w:val="22"/>
          </w:rPr>
          <w:t>https://www.mdpi.com/2227-9032/13/17/2248</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Kim, Y-S, Kim, HA, Kim, M-S, Kim, HS, Kwak, MJ, Chun, J, Hwang, J-I &amp; Kim, H 2020, ‘How to Improve Patient Safety Literacy?’, </w:t>
      </w:r>
      <w:r>
        <w:rPr>
          <w:rFonts w:ascii="Arial" w:hAnsi="Arial" w:cs="Arial" w:eastAsia="Times New Roman"/>
          <w:i w:val="1"/>
          <w:iCs w:val="1"/>
          <w:color w:val="000000"/>
          <w:sz w:val="22"/>
          <w:szCs w:val="22"/>
        </w:rPr>
        <w:t>International Journal of Environmental Research and Public Health</w:t>
      </w:r>
      <w:r>
        <w:rPr>
          <w:rFonts w:ascii="Arial" w:hAnsi="Arial" w:cs="Arial" w:eastAsia="Times New Roman"/>
          <w:color w:val="000000"/>
          <w:sz w:val="22"/>
          <w:szCs w:val="22"/>
        </w:rPr>
        <w:t xml:space="preserve">, vol. 17, MDPI AG, no. 19, p. 7308, viewed 15 March 2026, </w:t>
      </w:r>
      <w:hyperlink xmlns:r="http://schemas.openxmlformats.org/officeDocument/2006/relationships" r:id="RC">
        <w:r>
          <w:rPr>
            <w:rStyle w:val="C2"/>
            <w:rFonts w:ascii="Arial" w:hAnsi="Arial" w:cs="Arial" w:eastAsia="Times New Roman"/>
            <w:sz w:val="22"/>
            <w:szCs w:val="22"/>
          </w:rPr>
          <w:t>https://www.mdpi.com/1660-4601/17/19/7308</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Krstulović, J, Hrgović, Z, Krešo, A, Tavra, A, Znaor, L &amp; Marušić, A 2025, ‘Interventions to Improve Compliance to Surgical Safety Checklist Use: Before-and-After Study at a Tertiary Public Hospital in Croatia’,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13, MDPI AG, no. 16, p. 1959, viewed 15 March 2026, </w:t>
      </w:r>
      <w:hyperlink xmlns:r="http://schemas.openxmlformats.org/officeDocument/2006/relationships" r:id="RD">
        <w:r>
          <w:rPr>
            <w:rStyle w:val="C2"/>
            <w:rFonts w:ascii="Arial" w:hAnsi="Arial" w:cs="Arial" w:eastAsia="Times New Roman"/>
            <w:sz w:val="22"/>
            <w:szCs w:val="22"/>
          </w:rPr>
          <w:t>https://www.mdpi.com/2227-9032/13/16/1959</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sz w:val="22"/>
          <w:szCs w:val="22"/>
        </w:rPr>
      </w:pPr>
      <w:r>
        <w:rPr>
          <w:rFonts w:ascii="Arial" w:hAnsi="Arial" w:cs="Arial"/>
          <w:sz w:val="22"/>
          <w:szCs w:val="22"/>
        </w:rPr>
        <w:t>Kwaan, MR 2006, ‘Incidence, Patterns, and Prevention of Wrong-Site Surgery’, </w:t>
      </w:r>
      <w:r>
        <w:rPr>
          <w:rFonts w:ascii="Arial" w:hAnsi="Arial" w:cs="Arial"/>
          <w:i w:val="1"/>
          <w:iCs w:val="1"/>
          <w:sz w:val="22"/>
          <w:szCs w:val="22"/>
        </w:rPr>
        <w:t>Archives of Surgery</w:t>
      </w:r>
      <w:r>
        <w:rPr>
          <w:rFonts w:ascii="Arial" w:hAnsi="Arial" w:cs="Arial"/>
          <w:sz w:val="22"/>
          <w:szCs w:val="22"/>
        </w:rPr>
        <w:t xml:space="preserve">, vol. 141, American Medical Association (AMA), no. 4, p. 353, viewed 15 March 2026, </w:t>
      </w:r>
      <w:hyperlink xmlns:r="http://schemas.openxmlformats.org/officeDocument/2006/relationships" r:id="RE">
        <w:r>
          <w:rPr>
            <w:rStyle w:val="C2"/>
            <w:rFonts w:ascii="Arial" w:hAnsi="Arial" w:cs="Arial"/>
            <w:sz w:val="22"/>
            <w:szCs w:val="22"/>
          </w:rPr>
          <w:t>https://pubmed.ncbi.nlm.nih.gov/16618892/</w:t>
        </w:r>
      </w:hyperlink>
      <w:r>
        <w:rPr>
          <w:rFonts w:ascii="Arial" w:hAnsi="Arial" w:cs="Arial"/>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Maul, J &amp; Straub, J 2022, ‘Assessment of the Use of Patient Vital Sign Data for Preventing Misidentification and Medical Errors’,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10, MDPI AG, no. 12, p. 2440, viewed 15 March 2026, </w:t>
      </w:r>
      <w:hyperlink xmlns:r="http://schemas.openxmlformats.org/officeDocument/2006/relationships" r:id="RF">
        <w:r>
          <w:rPr>
            <w:rStyle w:val="C2"/>
            <w:rFonts w:ascii="Arial" w:hAnsi="Arial" w:cs="Arial" w:eastAsia="Times New Roman"/>
            <w:sz w:val="22"/>
            <w:szCs w:val="22"/>
          </w:rPr>
          <w:t>https://www.mdpi.com/2227-9032/10/12/2440</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Moffatt-Bruce, S, Clark, S, DiMaio, M &amp; Fann, J 2018, ‘Leadership Oversight for Patient Safety Programs: An Essential Element’, </w:t>
      </w:r>
      <w:r>
        <w:rPr>
          <w:rFonts w:ascii="Arial" w:hAnsi="Arial" w:cs="Arial" w:eastAsia="Times New Roman"/>
          <w:i w:val="1"/>
          <w:iCs w:val="1"/>
          <w:color w:val="000000"/>
          <w:sz w:val="22"/>
          <w:szCs w:val="22"/>
        </w:rPr>
        <w:t>The Annals of Thoracic Surgery</w:t>
      </w:r>
      <w:r>
        <w:rPr>
          <w:rFonts w:ascii="Arial" w:hAnsi="Arial" w:cs="Arial" w:eastAsia="Times New Roman"/>
          <w:color w:val="000000"/>
          <w:sz w:val="22"/>
          <w:szCs w:val="22"/>
        </w:rPr>
        <w:t xml:space="preserve">, vol. 105, Elsevier BV, no. 2, pp. 351–356, viewed 15 March 2026, </w:t>
      </w:r>
      <w:hyperlink xmlns:r="http://schemas.openxmlformats.org/officeDocument/2006/relationships" r:id="R10">
        <w:r>
          <w:rPr>
            <w:rStyle w:val="C2"/>
            <w:rFonts w:ascii="Arial" w:hAnsi="Arial" w:cs="Arial" w:eastAsia="Times New Roman"/>
            <w:sz w:val="22"/>
            <w:szCs w:val="22"/>
          </w:rPr>
          <w:t>https://pubmed.ncbi.nlm.nih.gov/29275825/</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Mulloy, DF &amp; Hughes, RG 2008, </w:t>
      </w:r>
      <w:r>
        <w:rPr>
          <w:rFonts w:ascii="Arial" w:hAnsi="Arial" w:cs="Arial" w:eastAsia="Times New Roman"/>
          <w:i w:val="1"/>
          <w:iCs w:val="1"/>
          <w:color w:val="000000"/>
          <w:sz w:val="22"/>
          <w:szCs w:val="22"/>
        </w:rPr>
        <w:t>Wrong-Site Surgery: A Preventable Medical Error</w:t>
      </w:r>
      <w:r>
        <w:rPr>
          <w:rFonts w:ascii="Arial" w:hAnsi="Arial" w:cs="Arial" w:eastAsia="Times New Roman"/>
          <w:color w:val="000000"/>
          <w:sz w:val="22"/>
          <w:szCs w:val="22"/>
        </w:rPr>
        <w:t xml:space="preserve">, Nih.gov, Agency for Healthcare Research and Quality (US), viewed 15 March 2026, </w:t>
      </w:r>
      <w:hyperlink xmlns:r="http://schemas.openxmlformats.org/officeDocument/2006/relationships" r:id="R11">
        <w:r>
          <w:rPr>
            <w:rStyle w:val="C2"/>
            <w:rFonts w:ascii="Arial" w:hAnsi="Arial" w:cs="Arial" w:eastAsia="Times New Roman"/>
            <w:sz w:val="22"/>
            <w:szCs w:val="22"/>
          </w:rPr>
          <w:t>https://www.ncbi.nlm.nih.gov/books/NBK2678/</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Neily, J 2009, ‘Incorrect Surgical Procedures Within and Outside of the Operating Room’, </w:t>
      </w:r>
      <w:r>
        <w:rPr>
          <w:rFonts w:ascii="Arial" w:hAnsi="Arial" w:cs="Arial" w:eastAsia="Times New Roman"/>
          <w:i w:val="1"/>
          <w:iCs w:val="1"/>
          <w:color w:val="000000"/>
          <w:sz w:val="22"/>
          <w:szCs w:val="22"/>
        </w:rPr>
        <w:t>Archives of Surgery</w:t>
      </w:r>
      <w:r>
        <w:rPr>
          <w:rFonts w:ascii="Arial" w:hAnsi="Arial" w:cs="Arial" w:eastAsia="Times New Roman"/>
          <w:color w:val="000000"/>
          <w:sz w:val="22"/>
          <w:szCs w:val="22"/>
        </w:rPr>
        <w:t xml:space="preserve">, vol. 144, American Medical Association (AMA), no. 11, p. 1028, viewed 15 March 2026, </w:t>
      </w:r>
      <w:hyperlink xmlns:r="http://schemas.openxmlformats.org/officeDocument/2006/relationships" r:id="R12">
        <w:r>
          <w:rPr>
            <w:rStyle w:val="C2"/>
            <w:rFonts w:ascii="Arial" w:hAnsi="Arial" w:cs="Arial" w:eastAsia="Times New Roman"/>
            <w:sz w:val="22"/>
            <w:szCs w:val="22"/>
          </w:rPr>
          <w:t>https://pubmed.ncbi.nlm.nih.gov/19917939/</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Park, O, Jeon, M, Kim, M, Kim, B &amp; Jeong, H 2023, ‘The Effects of a Simulation-Based Patient Safety Education Program on Compliance with Patient Safety, Perception of Patient Safety Culture, and Educational Satisfaction of Operating Room Nurses’,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11, MDPI AG, no. 21, p. 2824, viewed 15 March 2026, </w:t>
      </w:r>
      <w:hyperlink xmlns:r="http://schemas.openxmlformats.org/officeDocument/2006/relationships" r:id="R13">
        <w:r>
          <w:rPr>
            <w:rStyle w:val="C2"/>
            <w:rFonts w:ascii="Arial" w:hAnsi="Arial" w:cs="Arial" w:eastAsia="Times New Roman"/>
            <w:sz w:val="22"/>
            <w:szCs w:val="22"/>
          </w:rPr>
          <w:t>https://www.mdpi.com/2227-9032/11/21/2824</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 Popescu, C, EL-Chaarani, H, EL-Abiad, Z &amp; Gigauri, I 2022, ‘Implementation of Health Information Systems to Improve Patient Identification’, </w:t>
      </w:r>
      <w:r>
        <w:rPr>
          <w:rFonts w:ascii="Arial" w:hAnsi="Arial" w:cs="Arial" w:eastAsia="Times New Roman"/>
          <w:i w:val="1"/>
          <w:iCs w:val="1"/>
          <w:color w:val="000000"/>
          <w:sz w:val="22"/>
          <w:szCs w:val="22"/>
        </w:rPr>
        <w:t>International Journal of Environmental Research and Public Health</w:t>
      </w:r>
      <w:r>
        <w:rPr>
          <w:rFonts w:ascii="Arial" w:hAnsi="Arial" w:cs="Arial" w:eastAsia="Times New Roman"/>
          <w:color w:val="000000"/>
          <w:sz w:val="22"/>
          <w:szCs w:val="22"/>
        </w:rPr>
        <w:t xml:space="preserve">, vol. 19, MDPI AG, no. 22, p. 15236, viewed 15 March 2026, </w:t>
      </w:r>
      <w:hyperlink xmlns:r="http://schemas.openxmlformats.org/officeDocument/2006/relationships" r:id="R14">
        <w:r>
          <w:rPr>
            <w:rStyle w:val="C2"/>
            <w:rFonts w:ascii="Arial" w:hAnsi="Arial" w:cs="Arial" w:eastAsia="Times New Roman"/>
            <w:sz w:val="22"/>
            <w:szCs w:val="22"/>
          </w:rPr>
          <w:t>https://www.mdpi.com/1660-4601/19/22/15236</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Reza, A 2024, ‘Investigating the Professional Commitment and its Correlation with Patient Safety Culture and Patient Identification Errors: Evidence from a Cross-Sectional Study from Nurses’ Perspectives’, </w:t>
      </w:r>
      <w:r>
        <w:rPr>
          <w:rFonts w:ascii="Arial" w:hAnsi="Arial" w:cs="Arial" w:eastAsia="Times New Roman"/>
          <w:i w:val="1"/>
          <w:iCs w:val="1"/>
          <w:color w:val="000000"/>
          <w:sz w:val="22"/>
          <w:szCs w:val="22"/>
        </w:rPr>
        <w:t>The Open Public Health Journal</w:t>
      </w:r>
      <w:r>
        <w:rPr>
          <w:rFonts w:ascii="Arial" w:hAnsi="Arial" w:cs="Arial" w:eastAsia="Times New Roman"/>
          <w:color w:val="000000"/>
          <w:sz w:val="22"/>
          <w:szCs w:val="22"/>
        </w:rPr>
        <w:t xml:space="preserve">, vol. 17, no. 1, viewed 15 March 2026, </w:t>
      </w:r>
      <w:hyperlink xmlns:r="http://schemas.openxmlformats.org/officeDocument/2006/relationships" r:id="R15">
        <w:r>
          <w:rPr>
            <w:rStyle w:val="C2"/>
            <w:rFonts w:ascii="Arial" w:hAnsi="Arial" w:cs="Arial" w:eastAsia="Times New Roman"/>
            <w:sz w:val="22"/>
            <w:szCs w:val="22"/>
          </w:rPr>
          <w:t>https://openpublichealthjournal.com/VOLUME/17/ELOCATOR/e18749445292305/FULLTEXT/</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Rodziewicz, TL, Houseman, B, Sarosh Vaqar &amp; Hipskind, JE 2024, </w:t>
      </w:r>
      <w:r>
        <w:rPr>
          <w:rFonts w:ascii="Arial" w:hAnsi="Arial" w:cs="Arial" w:eastAsia="Times New Roman"/>
          <w:i w:val="1"/>
          <w:iCs w:val="1"/>
          <w:color w:val="000000"/>
          <w:sz w:val="22"/>
          <w:szCs w:val="22"/>
        </w:rPr>
        <w:t>Medical Error Reduction and Prevention</w:t>
      </w:r>
      <w:r>
        <w:rPr>
          <w:rFonts w:ascii="Arial" w:hAnsi="Arial" w:cs="Arial" w:eastAsia="Times New Roman"/>
          <w:color w:val="000000"/>
          <w:sz w:val="22"/>
          <w:szCs w:val="22"/>
        </w:rPr>
        <w:t xml:space="preserve">, Nih.gov, StatPearls Publishing, viewed 15 March 2026, </w:t>
      </w:r>
      <w:hyperlink xmlns:r="http://schemas.openxmlformats.org/officeDocument/2006/relationships" r:id="R16">
        <w:r>
          <w:rPr>
            <w:rStyle w:val="C2"/>
            <w:rFonts w:ascii="Arial" w:hAnsi="Arial" w:cs="Arial" w:eastAsia="Times New Roman"/>
            <w:sz w:val="22"/>
            <w:szCs w:val="22"/>
          </w:rPr>
          <w:t>https://www.ncbi.nlm.nih.gov/books/NBK499956/</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Romaniello, A, Blasi, FR, Iannetti, L, Armentano, M, D’Andrea, M, Visioli, G &amp; Alisi, L 2025, ‘Lessons from Ophthalmology in Preventing Wrong-Site Errors in Paired-Organ Surgery’, </w:t>
      </w:r>
      <w:r>
        <w:rPr>
          <w:rFonts w:ascii="Arial" w:hAnsi="Arial" w:cs="Arial" w:eastAsia="Times New Roman"/>
          <w:i w:val="1"/>
          <w:iCs w:val="1"/>
          <w:color w:val="000000"/>
          <w:sz w:val="22"/>
          <w:szCs w:val="22"/>
        </w:rPr>
        <w:t>Sci</w:t>
      </w:r>
      <w:r>
        <w:rPr>
          <w:rFonts w:ascii="Arial" w:hAnsi="Arial" w:cs="Arial" w:eastAsia="Times New Roman"/>
          <w:color w:val="000000"/>
          <w:sz w:val="22"/>
          <w:szCs w:val="22"/>
        </w:rPr>
        <w:t xml:space="preserve">, vol. 7, MDPI AG, no. 2, p. 79, viewed 15 March 2026, </w:t>
      </w:r>
      <w:hyperlink xmlns:r="http://schemas.openxmlformats.org/officeDocument/2006/relationships" r:id="R17">
        <w:r>
          <w:rPr>
            <w:rStyle w:val="C2"/>
            <w:rFonts w:ascii="Arial" w:hAnsi="Arial" w:cs="Arial" w:eastAsia="Times New Roman"/>
            <w:sz w:val="22"/>
            <w:szCs w:val="22"/>
          </w:rPr>
          <w:t>https://www.mdpi.com/2413-4155/7/2/79</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sz w:val="22"/>
          <w:szCs w:val="22"/>
        </w:rPr>
      </w:pPr>
      <w:r>
        <w:rPr>
          <w:rFonts w:ascii="Arial" w:hAnsi="Arial" w:cs="Arial"/>
          <w:sz w:val="22"/>
          <w:szCs w:val="22"/>
        </w:rPr>
        <w:t>‌</w:t>
      </w:r>
      <w:r>
        <w:rPr>
          <w:rFonts w:ascii="Arial" w:hAnsi="Arial" w:cs="Arial" w:eastAsia="Times New Roman"/>
          <w:color w:val="000000"/>
          <w:sz w:val="22"/>
          <w:szCs w:val="22"/>
        </w:rPr>
        <w:t xml:space="preserve"> </w:t>
      </w:r>
      <w:r>
        <w:rPr>
          <w:rFonts w:ascii="Arial" w:hAnsi="Arial" w:cs="Arial"/>
          <w:sz w:val="22"/>
          <w:szCs w:val="22"/>
        </w:rPr>
        <w:t>Seiden, SC 2006, ‘Wrong-Side/Wrong-Site, Wrong-Procedure, and Wrong-Patient Adverse Events’, </w:t>
      </w:r>
      <w:r>
        <w:rPr>
          <w:rFonts w:ascii="Arial" w:hAnsi="Arial" w:cs="Arial"/>
          <w:i w:val="1"/>
          <w:iCs w:val="1"/>
          <w:sz w:val="22"/>
          <w:szCs w:val="22"/>
        </w:rPr>
        <w:t>Archives of Surgery</w:t>
      </w:r>
      <w:r>
        <w:rPr>
          <w:rFonts w:ascii="Arial" w:hAnsi="Arial" w:cs="Arial"/>
          <w:sz w:val="22"/>
          <w:szCs w:val="22"/>
        </w:rPr>
        <w:t xml:space="preserve">, vol. 141, American Medical Association (AMA), no. 9, p. 931, viewed 15 March 2026, </w:t>
      </w:r>
      <w:hyperlink xmlns:r="http://schemas.openxmlformats.org/officeDocument/2006/relationships" r:id="R18">
        <w:r>
          <w:rPr>
            <w:rStyle w:val="C2"/>
            <w:rFonts w:ascii="Arial" w:hAnsi="Arial" w:cs="Arial"/>
            <w:sz w:val="22"/>
            <w:szCs w:val="22"/>
          </w:rPr>
          <w:t>https://jamanetwork.com/journals/jamasurgery/fullarticle/398954</w:t>
        </w:r>
      </w:hyperlink>
      <w:r>
        <w:rPr>
          <w:rFonts w:ascii="Arial" w:hAnsi="Arial" w:cs="Arial"/>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Sheedy, C &amp; Richard, S 2020, </w:t>
      </w:r>
      <w:r>
        <w:rPr>
          <w:rFonts w:ascii="Arial" w:hAnsi="Arial" w:cs="Arial" w:eastAsia="Times New Roman"/>
          <w:i w:val="1"/>
          <w:iCs w:val="1"/>
          <w:color w:val="000000"/>
          <w:sz w:val="22"/>
          <w:szCs w:val="22"/>
        </w:rPr>
        <w:t>Patient Identification Errors in the Operating Room</w:t>
      </w:r>
      <w:r>
        <w:rPr>
          <w:rFonts w:ascii="Arial" w:hAnsi="Arial" w:cs="Arial" w:eastAsia="Times New Roman"/>
          <w:color w:val="000000"/>
          <w:sz w:val="22"/>
          <w:szCs w:val="22"/>
        </w:rPr>
        <w:t xml:space="preserve">, Nih.gov, Agency for Healthcare Research and Quality (US), viewed 15 March 2026, </w:t>
      </w:r>
      <w:hyperlink xmlns:r="http://schemas.openxmlformats.org/officeDocument/2006/relationships" r:id="R19">
        <w:r>
          <w:rPr>
            <w:rStyle w:val="C2"/>
            <w:rFonts w:ascii="Arial" w:hAnsi="Arial" w:cs="Arial" w:eastAsia="Times New Roman"/>
            <w:sz w:val="22"/>
            <w:szCs w:val="22"/>
          </w:rPr>
          <w:t>https://www.ncbi.nlm.nih.gov/books/NBK555511/</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Taylor, MA &amp; Yonash, RA 2024, ‘Risk Factors for Wrong-Site Surgery: A Study of 1,166 Reports of Informed Consent and Schedule Errors’, </w:t>
      </w:r>
      <w:r>
        <w:rPr>
          <w:rFonts w:ascii="Arial" w:hAnsi="Arial" w:cs="Arial" w:eastAsia="Times New Roman"/>
          <w:i w:val="1"/>
          <w:iCs w:val="1"/>
          <w:color w:val="000000"/>
          <w:sz w:val="22"/>
          <w:szCs w:val="22"/>
        </w:rPr>
        <w:t>PATIENT SAFETY</w:t>
      </w:r>
      <w:r>
        <w:rPr>
          <w:rFonts w:ascii="Arial" w:hAnsi="Arial" w:cs="Arial" w:eastAsia="Times New Roman"/>
          <w:color w:val="000000"/>
          <w:sz w:val="22"/>
          <w:szCs w:val="22"/>
        </w:rPr>
        <w:t xml:space="preserve">, vol. 6, Patient Safety Authority, no. 1, viewed 15 March 2026, </w:t>
      </w:r>
      <w:hyperlink xmlns:r="http://schemas.openxmlformats.org/officeDocument/2006/relationships" r:id="R1A">
        <w:r>
          <w:rPr>
            <w:rStyle w:val="C2"/>
            <w:rFonts w:ascii="Arial" w:hAnsi="Arial" w:cs="Arial" w:eastAsia="Times New Roman"/>
            <w:sz w:val="22"/>
            <w:szCs w:val="22"/>
          </w:rPr>
          <w:t>https://patientsafetyj.com/article/117084-risk-factors-for-wrong-site-surgery-a-study-of-1-166-reports-of-informed-consent-and-schedule-errors</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van Hille, PT 2009, ‘Patient safety with particular reference to wrong site surgery – a presidential commentary’, </w:t>
      </w:r>
      <w:r>
        <w:rPr>
          <w:rFonts w:ascii="Arial" w:hAnsi="Arial" w:cs="Arial" w:eastAsia="Times New Roman"/>
          <w:i w:val="1"/>
          <w:iCs w:val="1"/>
          <w:color w:val="000000"/>
          <w:sz w:val="22"/>
          <w:szCs w:val="22"/>
        </w:rPr>
        <w:t>British Journal of Neurosurgery</w:t>
      </w:r>
      <w:r>
        <w:rPr>
          <w:rFonts w:ascii="Arial" w:hAnsi="Arial" w:cs="Arial" w:eastAsia="Times New Roman"/>
          <w:color w:val="000000"/>
          <w:sz w:val="22"/>
          <w:szCs w:val="22"/>
        </w:rPr>
        <w:t xml:space="preserve">, vol. 23, Informa UK Limited, no. 2, pp. 109–110, viewed 15 March 2026, </w:t>
      </w:r>
      <w:hyperlink xmlns:r="http://schemas.openxmlformats.org/officeDocument/2006/relationships" r:id="R1B">
        <w:r>
          <w:rPr>
            <w:rStyle w:val="C2"/>
            <w:rFonts w:ascii="Arial" w:hAnsi="Arial" w:cs="Arial" w:eastAsia="Times New Roman"/>
            <w:sz w:val="22"/>
            <w:szCs w:val="22"/>
          </w:rPr>
          <w:t>https://doi.org/10.1080/02688690902881112</w:t>
        </w:r>
      </w:hyperlink>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van Schoten, SM, Kop, V, de Blok, C, Spreeuwenberg, P, Groenewegen, PP &amp; Wagner, C 2014, ‘Compliance with a time-out procedure intended to prevent wrong surgery in hospitals: results of a national patient safety programme in the Netherlands’, </w:t>
      </w:r>
      <w:r>
        <w:rPr>
          <w:rFonts w:ascii="Arial" w:hAnsi="Arial" w:cs="Arial" w:eastAsia="Times New Roman"/>
          <w:i w:val="1"/>
          <w:iCs w:val="1"/>
          <w:color w:val="000000"/>
          <w:sz w:val="22"/>
          <w:szCs w:val="22"/>
        </w:rPr>
        <w:t>BMJ Open</w:t>
      </w:r>
      <w:r>
        <w:rPr>
          <w:rFonts w:ascii="Arial" w:hAnsi="Arial" w:cs="Arial" w:eastAsia="Times New Roman"/>
          <w:color w:val="000000"/>
          <w:sz w:val="22"/>
          <w:szCs w:val="22"/>
        </w:rPr>
        <w:t xml:space="preserve">, vol. 4, BMJ, no. 7, p. e005075, viewed 15 March 2026, </w:t>
      </w:r>
      <w:hyperlink xmlns:r="http://schemas.openxmlformats.org/officeDocument/2006/relationships" r:id="R1C">
        <w:r>
          <w:rPr>
            <w:rStyle w:val="C2"/>
            <w:rFonts w:ascii="Arial" w:hAnsi="Arial" w:cs="Arial" w:eastAsia="Times New Roman"/>
            <w:sz w:val="22"/>
            <w:szCs w:val="22"/>
          </w:rPr>
          <w:t>https://pmc.ncbi.nlm.nih.gov/articles/PMC4091260/</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Woo, R, Shin, J &amp; Kim, N-Y 2025, ‘Research Trends and Core Themes in Operating Room Patient Safety: A Scope-Based Keyword Network Analysis (2020–2024)’,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13, MDPI AG, no. 23, p. 3164, viewed 15 March 2026, </w:t>
      </w:r>
      <w:hyperlink xmlns:r="http://schemas.openxmlformats.org/officeDocument/2006/relationships" r:id="R1D">
        <w:r>
          <w:rPr>
            <w:rStyle w:val="C2"/>
            <w:rFonts w:ascii="Arial" w:hAnsi="Arial" w:cs="Arial" w:eastAsia="Times New Roman"/>
            <w:sz w:val="22"/>
            <w:szCs w:val="22"/>
          </w:rPr>
          <w:t>https://www.mdpi.com/2227-9032/13/23/3164</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Woo, R, Shin, J &amp; Kim, N-Y 2025, ‘Research Trends and Core Themes in Operating Room Patient Safety: A Scope-Based Keyword Network Analysis (2020–2024)’, </w:t>
      </w:r>
      <w:r>
        <w:rPr>
          <w:rFonts w:ascii="Arial" w:hAnsi="Arial" w:cs="Arial" w:eastAsia="Times New Roman"/>
          <w:i w:val="1"/>
          <w:iCs w:val="1"/>
          <w:color w:val="000000"/>
          <w:sz w:val="22"/>
          <w:szCs w:val="22"/>
        </w:rPr>
        <w:t>Healthcare</w:t>
      </w:r>
      <w:r>
        <w:rPr>
          <w:rFonts w:ascii="Arial" w:hAnsi="Arial" w:cs="Arial" w:eastAsia="Times New Roman"/>
          <w:color w:val="000000"/>
          <w:sz w:val="22"/>
          <w:szCs w:val="22"/>
        </w:rPr>
        <w:t xml:space="preserve">, vol. 13, MDPI AG, no. 23, p. 3164, viewed 15 March 2026, </w:t>
      </w:r>
      <w:hyperlink xmlns:r="http://schemas.openxmlformats.org/officeDocument/2006/relationships" r:id="R1E">
        <w:r>
          <w:rPr>
            <w:rStyle w:val="C2"/>
            <w:rFonts w:ascii="Arial" w:hAnsi="Arial" w:cs="Arial" w:eastAsia="Times New Roman"/>
            <w:sz w:val="22"/>
            <w:szCs w:val="22"/>
          </w:rPr>
          <w:t>https://www.mdpi.com/2227-9032/13/23/3164</w:t>
        </w:r>
      </w:hyperlink>
      <w:r>
        <w:rPr>
          <w:rFonts w:ascii="Arial" w:hAnsi="Arial" w:cs="Arial" w:eastAsia="Times New Roman"/>
          <w:color w:val="000000"/>
          <w:sz w:val="22"/>
          <w:szCs w:val="22"/>
        </w:rPr>
        <w:t>.</w:t>
      </w:r>
    </w:p>
    <w:p>
      <w:pPr>
        <w:spacing w:lineRule="auto" w:line="360" w:after="0" w:beforeAutospacing="0" w:afterAutospacing="0"/>
        <w:ind w:hanging="720"/>
        <w:contextualSpacing w:val="1"/>
        <w:jc w:val="both"/>
        <w:rPr>
          <w:rFonts w:ascii="Arial" w:hAnsi="Arial" w:cs="Arial" w:eastAsia="Times New Roman"/>
          <w:color w:val="000000"/>
          <w:sz w:val="22"/>
          <w:szCs w:val="22"/>
        </w:rPr>
      </w:pPr>
      <w:r>
        <w:rPr>
          <w:rFonts w:ascii="Arial" w:hAnsi="Arial" w:cs="Arial" w:eastAsia="Times New Roman"/>
          <w:color w:val="000000"/>
          <w:sz w:val="22"/>
          <w:szCs w:val="22"/>
        </w:rPr>
        <w:t>World 2023, </w:t>
      </w:r>
      <w:r>
        <w:rPr>
          <w:rFonts w:ascii="Arial" w:hAnsi="Arial" w:cs="Arial" w:eastAsia="Times New Roman"/>
          <w:i w:val="1"/>
          <w:iCs w:val="1"/>
          <w:color w:val="000000"/>
          <w:sz w:val="22"/>
          <w:szCs w:val="22"/>
        </w:rPr>
        <w:t>Patient safety</w:t>
      </w:r>
      <w:r>
        <w:rPr>
          <w:rFonts w:ascii="Arial" w:hAnsi="Arial" w:cs="Arial" w:eastAsia="Times New Roman"/>
          <w:color w:val="000000"/>
          <w:sz w:val="22"/>
          <w:szCs w:val="22"/>
        </w:rPr>
        <w:t xml:space="preserve">, Who.int, World Health Organization: WHO, viewed 15 March 2026, </w:t>
      </w:r>
      <w:hyperlink xmlns:r="http://schemas.openxmlformats.org/officeDocument/2006/relationships" r:id="R1F">
        <w:r>
          <w:rPr>
            <w:rStyle w:val="C2"/>
            <w:rFonts w:ascii="Arial" w:hAnsi="Arial" w:cs="Arial" w:eastAsia="Times New Roman"/>
            <w:sz w:val="22"/>
            <w:szCs w:val="22"/>
          </w:rPr>
          <w:t>https://www.who.int/news-room/fact-sheets/detail/patient-safety</w:t>
        </w:r>
      </w:hyperlink>
      <w:r>
        <w:rPr>
          <w:rFonts w:ascii="Arial" w:hAnsi="Arial" w:cs="Arial" w:eastAsia="Times New Roman"/>
          <w:color w:val="000000"/>
          <w:sz w:val="22"/>
          <w:szCs w:val="22"/>
        </w:rPr>
        <w:t>.</w:t>
      </w:r>
    </w:p>
    <w:sectPr>
      <w:headerReference xmlns:r="http://schemas.openxmlformats.org/officeDocument/2006/relationships" w:type="default" r:id="RelHdr1"/>
      <w:footnotePr/>
      <w:endnotePr/>
      <w:type w:val="nextPage"/>
      <w:pgMar w:left="1440" w:right="1440" w:top="1440" w:bottom="1440" w:header="720" w:footer="720" w:gutter="0"/>
      <w:cols w:equalWidth="1" w:space="720"/>
    </w:sectPr>
  </w:body>
</w:document>
</file>

<file path=word/endnotes.xml><?xml version="1.0" encoding="utf-8"?>
<w:end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endnote w:type="separator" w:id="-1">
    <w:p>
      <w:pPr>
        <w:spacing w:lineRule="auto" w:line="240" w:after="0" w:beforeAutospacing="0" w:afterAutospacing="0"/>
      </w:pPr>
      <w:r>
        <w:separator/>
      </w:r>
    </w:p>
  </w:endnote>
  <w:endnote w:type="continuationSeparator" w:id="0">
    <w:p>
      <w:pPr>
        <w:spacing w:lineRule="auto" w:line="240" w:after="0" w:beforeAutospacing="0" w:afterAutospacing="0"/>
      </w:pPr>
      <w:r>
        <w:continuationSeparator/>
      </w:r>
    </w:p>
  </w:endnote>
</w:endnotes>
</file>

<file path=word/footnotes.xml><?xml version="1.0" encoding="utf-8"?>
<w:foot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footnote w:type="separator" w:id="-1">
    <w:p>
      <w:pPr>
        <w:spacing w:lineRule="auto" w:line="240" w:after="0" w:beforeAutospacing="0" w:afterAutospacing="0"/>
      </w:pPr>
      <w:r>
        <w:separator/>
      </w:r>
    </w:p>
  </w:footnote>
  <w:footnote w:type="continuationSeparator" w:id="0">
    <w:p>
      <w:pPr>
        <w:spacing w:lineRule="auto" w:line="240" w:after="0" w:beforeAutospacing="0" w:afterAutospacing="0"/>
      </w:pPr>
      <w:r>
        <w:continuationSeparator/>
      </w:r>
    </w:p>
  </w:footnote>
</w:footnotes>
</file>

<file path=word/header1.xml><?xml version="1.0" encoding="utf-8"?>
<w:hd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sdt>
    <w:sdtPr>
      <w:rPr/>
      <w:id w:val="-883793012"/>
      <w:docPartList>
        <w:docPartGallery w:val="Page Numbers (Top of Page)"/>
        <w:docPartCategory w:val=""/>
        <w:docPartUnique/>
      </w:docPartList>
    </w:sdtPr>
    <w:sdtEndPr>
      <w:rPr>
        <w:noProof w:val="1"/>
      </w:rPr>
    </w:sdtEndPr>
    <w:sdtContent>
      <w:p>
        <w:pPr>
          <w:pStyle w:val="P16"/>
          <w:jc w:val="right"/>
        </w:pPr>
        <w:r>
          <w:fldChar w:fldCharType="begin"/>
        </w:r>
        <w:r>
          <w:instrText xml:space="preserve"> PAGE   \* MERGEFORMAT </w:instrText>
        </w:r>
        <w:r>
          <w:fldChar w:fldCharType="separate"/>
        </w:r>
        <w:r>
          <w:rPr>
            <w:noProof w:val="1"/>
          </w:rPr>
          <w:t>#</w:t>
        </w:r>
        <w:r>
          <w:rPr>
            <w:noProof w:val="1"/>
          </w:rPr>
          <w:fldChar w:fldCharType="end"/>
        </w:r>
      </w:p>
    </w:sdtContent>
  </w:sdt>
  <w:p>
    <w:pPr>
      <w:pStyle w:val="P16"/>
    </w:pPr>
  </w:p>
</w:hdr>
</file>

<file path=word/numbering.xml><?xml version="1.0" encoding="utf-8"?>
<w:numbering xmlns:w="http://schemas.openxmlformats.org/wordprocessingml/2006/main">
  <w:abstractNum w:abstractNumId="0">
    <w:nsid w:val="0503794A"/>
    <w:multiLevelType w:val="multilevel"/>
    <w:lvl w:ilvl="0">
      <w:start w:val="1"/>
      <w:numFmt w:val="decimal"/>
      <w:suff w:val="tab"/>
      <w:lvlText w:val="%1."/>
      <w:lvlJc w:val="left"/>
      <w:pPr>
        <w:ind w:hanging="360" w:left="720"/>
        <w:tabs>
          <w:tab w:val="num" w:pos="720" w:leader="none"/>
        </w:tabs>
      </w:pPr>
      <w:rPr/>
    </w:lvl>
    <w:lvl w:ilvl="1">
      <w:start w:val="1"/>
      <w:numFmt w:val="decimal"/>
      <w:suff w:val="tab"/>
      <w:lvlText w:val="%2."/>
      <w:lvlJc w:val="left"/>
      <w:pPr>
        <w:ind w:hanging="360" w:left="1440"/>
        <w:tabs>
          <w:tab w:val="num" w:pos="1440" w:leader="none"/>
        </w:tabs>
      </w:pPr>
      <w:rPr/>
    </w:lvl>
    <w:lvl w:ilvl="2">
      <w:start w:val="1"/>
      <w:numFmt w:val="decimal"/>
      <w:suff w:val="tab"/>
      <w:lvlText w:val="%3."/>
      <w:lvlJc w:val="left"/>
      <w:pPr>
        <w:ind w:hanging="360" w:left="2160"/>
        <w:tabs>
          <w:tab w:val="num" w:pos="2160" w:leader="none"/>
        </w:tabs>
      </w:pPr>
      <w:rPr/>
    </w:lvl>
    <w:lvl w:ilvl="3">
      <w:start w:val="1"/>
      <w:numFmt w:val="decimal"/>
      <w:suff w:val="tab"/>
      <w:lvlText w:val="%4."/>
      <w:lvlJc w:val="left"/>
      <w:pPr>
        <w:ind w:hanging="360" w:left="2880"/>
        <w:tabs>
          <w:tab w:val="num" w:pos="2880" w:leader="none"/>
        </w:tabs>
      </w:pPr>
      <w:rPr/>
    </w:lvl>
    <w:lvl w:ilvl="4">
      <w:start w:val="1"/>
      <w:numFmt w:val="decimal"/>
      <w:suff w:val="tab"/>
      <w:lvlText w:val="%5."/>
      <w:lvlJc w:val="left"/>
      <w:pPr>
        <w:ind w:hanging="360" w:left="3600"/>
        <w:tabs>
          <w:tab w:val="num" w:pos="3600" w:leader="none"/>
        </w:tabs>
      </w:pPr>
      <w:rPr/>
    </w:lvl>
    <w:lvl w:ilvl="5">
      <w:start w:val="1"/>
      <w:numFmt w:val="decimal"/>
      <w:suff w:val="tab"/>
      <w:lvlText w:val="%6."/>
      <w:lvlJc w:val="left"/>
      <w:pPr>
        <w:ind w:hanging="360" w:left="4320"/>
        <w:tabs>
          <w:tab w:val="num" w:pos="4320" w:leader="none"/>
        </w:tabs>
      </w:pPr>
      <w:rPr/>
    </w:lvl>
    <w:lvl w:ilvl="6">
      <w:start w:val="1"/>
      <w:numFmt w:val="decimal"/>
      <w:suff w:val="tab"/>
      <w:lvlText w:val="%7."/>
      <w:lvlJc w:val="left"/>
      <w:pPr>
        <w:ind w:hanging="360" w:left="5040"/>
        <w:tabs>
          <w:tab w:val="num" w:pos="5040" w:leader="none"/>
        </w:tabs>
      </w:pPr>
      <w:rPr/>
    </w:lvl>
    <w:lvl w:ilvl="7">
      <w:start w:val="1"/>
      <w:numFmt w:val="decimal"/>
      <w:suff w:val="tab"/>
      <w:lvlText w:val="%8."/>
      <w:lvlJc w:val="left"/>
      <w:pPr>
        <w:ind w:hanging="360" w:left="5760"/>
        <w:tabs>
          <w:tab w:val="num" w:pos="5760" w:leader="none"/>
        </w:tabs>
      </w:pPr>
      <w:rPr/>
    </w:lvl>
    <w:lvl w:ilvl="8">
      <w:start w:val="1"/>
      <w:numFmt w:val="decimal"/>
      <w:suff w:val="tab"/>
      <w:lvlText w:val="%9."/>
      <w:lvlJc w:val="left"/>
      <w:pPr>
        <w:ind w:hanging="360" w:left="6480"/>
        <w:tabs>
          <w:tab w:val="num" w:pos="6480" w:leader="none"/>
        </w:tabs>
      </w:pPr>
      <w:rPr/>
    </w:lvl>
  </w:abstractNum>
  <w:abstractNum w:abstractNumId="1">
    <w:nsid w:val="084E48AA"/>
    <w:multiLevelType w:val="multilevel"/>
    <w:lvl w:ilvl="0">
      <w:start w:val="1"/>
      <w:numFmt w:val="decimal"/>
      <w:suff w:val="tab"/>
      <w:lvlText w:val="%1."/>
      <w:lvlJc w:val="left"/>
      <w:pPr>
        <w:ind w:hanging="360" w:left="720"/>
        <w:tabs>
          <w:tab w:val="num" w:pos="720" w:leader="none"/>
        </w:tabs>
      </w:pPr>
      <w:rPr/>
    </w:lvl>
    <w:lvl w:ilvl="1">
      <w:start w:val="1"/>
      <w:numFmt w:val="decimal"/>
      <w:suff w:val="tab"/>
      <w:lvlText w:val="%2."/>
      <w:lvlJc w:val="left"/>
      <w:pPr>
        <w:ind w:hanging="360" w:left="1440"/>
        <w:tabs>
          <w:tab w:val="num" w:pos="1440" w:leader="none"/>
        </w:tabs>
      </w:pPr>
      <w:rPr/>
    </w:lvl>
    <w:lvl w:ilvl="2">
      <w:start w:val="1"/>
      <w:numFmt w:val="decimal"/>
      <w:suff w:val="tab"/>
      <w:lvlText w:val="%3."/>
      <w:lvlJc w:val="left"/>
      <w:pPr>
        <w:ind w:hanging="360" w:left="2160"/>
        <w:tabs>
          <w:tab w:val="num" w:pos="2160" w:leader="none"/>
        </w:tabs>
      </w:pPr>
      <w:rPr/>
    </w:lvl>
    <w:lvl w:ilvl="3">
      <w:start w:val="1"/>
      <w:numFmt w:val="decimal"/>
      <w:suff w:val="tab"/>
      <w:lvlText w:val="%4."/>
      <w:lvlJc w:val="left"/>
      <w:pPr>
        <w:ind w:hanging="360" w:left="2880"/>
        <w:tabs>
          <w:tab w:val="num" w:pos="2880" w:leader="none"/>
        </w:tabs>
      </w:pPr>
      <w:rPr/>
    </w:lvl>
    <w:lvl w:ilvl="4">
      <w:start w:val="1"/>
      <w:numFmt w:val="decimal"/>
      <w:suff w:val="tab"/>
      <w:lvlText w:val="%5."/>
      <w:lvlJc w:val="left"/>
      <w:pPr>
        <w:ind w:hanging="360" w:left="3600"/>
        <w:tabs>
          <w:tab w:val="num" w:pos="3600" w:leader="none"/>
        </w:tabs>
      </w:pPr>
      <w:rPr/>
    </w:lvl>
    <w:lvl w:ilvl="5">
      <w:start w:val="1"/>
      <w:numFmt w:val="decimal"/>
      <w:suff w:val="tab"/>
      <w:lvlText w:val="%6."/>
      <w:lvlJc w:val="left"/>
      <w:pPr>
        <w:ind w:hanging="360" w:left="4320"/>
        <w:tabs>
          <w:tab w:val="num" w:pos="4320" w:leader="none"/>
        </w:tabs>
      </w:pPr>
      <w:rPr/>
    </w:lvl>
    <w:lvl w:ilvl="6">
      <w:start w:val="1"/>
      <w:numFmt w:val="decimal"/>
      <w:suff w:val="tab"/>
      <w:lvlText w:val="%7."/>
      <w:lvlJc w:val="left"/>
      <w:pPr>
        <w:ind w:hanging="360" w:left="5040"/>
        <w:tabs>
          <w:tab w:val="num" w:pos="5040" w:leader="none"/>
        </w:tabs>
      </w:pPr>
      <w:rPr/>
    </w:lvl>
    <w:lvl w:ilvl="7">
      <w:start w:val="1"/>
      <w:numFmt w:val="decimal"/>
      <w:suff w:val="tab"/>
      <w:lvlText w:val="%8."/>
      <w:lvlJc w:val="left"/>
      <w:pPr>
        <w:ind w:hanging="360" w:left="5760"/>
        <w:tabs>
          <w:tab w:val="num" w:pos="5760" w:leader="none"/>
        </w:tabs>
      </w:pPr>
      <w:rPr/>
    </w:lvl>
    <w:lvl w:ilvl="8">
      <w:start w:val="1"/>
      <w:numFmt w:val="decimal"/>
      <w:suff w:val="tab"/>
      <w:lvlText w:val="%9."/>
      <w:lvlJc w:val="left"/>
      <w:pPr>
        <w:ind w:hanging="360" w:left="6480"/>
        <w:tabs>
          <w:tab w:val="num" w:pos="6480" w:leader="none"/>
        </w:tabs>
      </w:pPr>
      <w:rPr/>
    </w:lvl>
  </w:abstractNum>
  <w:abstractNum w:abstractNumId="2">
    <w:nsid w:val="15841B40"/>
    <w:multiLevelType w:val="hybridMultilevel"/>
    <w:lvl w:ilvl="0" w:tplc="0409000F">
      <w:start w:val="1"/>
      <w:numFmt w:val="decimal"/>
      <w:suff w:val="tab"/>
      <w:lvlText w:val="%1."/>
      <w:lvlJc w:val="left"/>
      <w:pPr>
        <w:ind w:hanging="360" w:left="720"/>
      </w:pPr>
      <w:rPr/>
    </w:lvl>
    <w:lvl w:ilvl="1" w:tplc="04090019">
      <w:start w:val="1"/>
      <w:numFmt w:val="lowerLetter"/>
      <w:suff w:val="tab"/>
      <w:lvlText w:val="%2."/>
      <w:lvlJc w:val="left"/>
      <w:pPr>
        <w:ind w:hanging="360" w:left="1440"/>
      </w:pPr>
      <w:rPr/>
    </w:lvl>
    <w:lvl w:ilvl="2" w:tplc="0409001B">
      <w:start w:val="1"/>
      <w:numFmt w:val="lowerRoman"/>
      <w:suff w:val="tab"/>
      <w:lvlText w:val="%3."/>
      <w:lvlJc w:val="right"/>
      <w:pPr>
        <w:ind w:hanging="180" w:left="2160"/>
      </w:pPr>
      <w:rPr/>
    </w:lvl>
    <w:lvl w:ilvl="3" w:tplc="0409000F">
      <w:start w:val="1"/>
      <w:numFmt w:val="decimal"/>
      <w:suff w:val="tab"/>
      <w:lvlText w:val="%4."/>
      <w:lvlJc w:val="left"/>
      <w:pPr>
        <w:ind w:hanging="360" w:left="2880"/>
      </w:pPr>
      <w:rPr/>
    </w:lvl>
    <w:lvl w:ilvl="4" w:tplc="04090019">
      <w:start w:val="1"/>
      <w:numFmt w:val="lowerLetter"/>
      <w:suff w:val="tab"/>
      <w:lvlText w:val="%5."/>
      <w:lvlJc w:val="left"/>
      <w:pPr>
        <w:ind w:hanging="360" w:left="3600"/>
      </w:pPr>
      <w:rPr/>
    </w:lvl>
    <w:lvl w:ilvl="5" w:tplc="0409001B">
      <w:start w:val="1"/>
      <w:numFmt w:val="lowerRoman"/>
      <w:suff w:val="tab"/>
      <w:lvlText w:val="%6."/>
      <w:lvlJc w:val="right"/>
      <w:pPr>
        <w:ind w:hanging="180" w:left="4320"/>
      </w:pPr>
      <w:rPr/>
    </w:lvl>
    <w:lvl w:ilvl="6" w:tplc="0409000F">
      <w:start w:val="1"/>
      <w:numFmt w:val="decimal"/>
      <w:suff w:val="tab"/>
      <w:lvlText w:val="%7."/>
      <w:lvlJc w:val="left"/>
      <w:pPr>
        <w:ind w:hanging="360" w:left="5040"/>
      </w:pPr>
      <w:rPr/>
    </w:lvl>
    <w:lvl w:ilvl="7" w:tplc="04090019">
      <w:start w:val="1"/>
      <w:numFmt w:val="lowerLetter"/>
      <w:suff w:val="tab"/>
      <w:lvlText w:val="%8."/>
      <w:lvlJc w:val="left"/>
      <w:pPr>
        <w:ind w:hanging="360" w:left="5760"/>
      </w:pPr>
      <w:rPr/>
    </w:lvl>
    <w:lvl w:ilvl="8" w:tplc="0409001B">
      <w:start w:val="1"/>
      <w:numFmt w:val="lowerRoman"/>
      <w:suff w:val="tab"/>
      <w:lvlText w:val="%9."/>
      <w:lvlJc w:val="right"/>
      <w:pPr>
        <w:ind w:hanging="180" w:left="6480"/>
      </w:pPr>
      <w:rPr/>
    </w:lvl>
  </w:abstractNum>
  <w:abstractNum w:abstractNumId="3">
    <w:nsid w:val="26F23F01"/>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4">
    <w:nsid w:val="30894540"/>
    <w:multiLevelType w:val="multilevel"/>
    <w:lvl w:ilvl="0">
      <w:start w:val="1"/>
      <w:numFmt w:val="bullet"/>
      <w:suff w:val="tab"/>
      <w:lvlText w:val=""/>
      <w:lvlJc w:val="left"/>
      <w:pPr>
        <w:ind w:hanging="360" w:left="720"/>
        <w:tabs>
          <w:tab w:val="num" w:pos="720" w:leader="none"/>
        </w:tabs>
      </w:pPr>
      <w:rPr>
        <w:rFonts w:ascii="Symbol" w:hAnsi="Symbol" w:hint="default"/>
        <w:sz w:val="20"/>
      </w:rPr>
    </w:lvl>
    <w:lvl w:ilvl="1">
      <w:start w:val="1"/>
      <w:numFmt w:val="bullet"/>
      <w:suff w:val="tab"/>
      <w:lvlText w:val="o"/>
      <w:lvlJc w:val="left"/>
      <w:pPr>
        <w:ind w:hanging="360" w:left="1440"/>
        <w:tabs>
          <w:tab w:val="num" w:pos="1440" w:leader="none"/>
        </w:tabs>
      </w:pPr>
      <w:rPr>
        <w:rFonts w:ascii="Courier New" w:hAnsi="Courier New" w:hint="default"/>
        <w:sz w:val="20"/>
      </w:rPr>
    </w:lvl>
    <w:lvl w:ilvl="2">
      <w:start w:val="1"/>
      <w:numFmt w:val="bullet"/>
      <w:suff w:val="tab"/>
      <w:lvlText w:val=""/>
      <w:lvlJc w:val="left"/>
      <w:pPr>
        <w:ind w:hanging="360" w:left="2160"/>
        <w:tabs>
          <w:tab w:val="num" w:pos="2160" w:leader="none"/>
        </w:tabs>
      </w:pPr>
      <w:rPr>
        <w:rFonts w:ascii="Wingdings" w:hAnsi="Wingdings" w:hint="default"/>
        <w:sz w:val="20"/>
      </w:rPr>
    </w:lvl>
    <w:lvl w:ilvl="3">
      <w:start w:val="1"/>
      <w:numFmt w:val="bullet"/>
      <w:suff w:val="tab"/>
      <w:lvlText w:val=""/>
      <w:lvlJc w:val="left"/>
      <w:pPr>
        <w:ind w:hanging="360" w:left="2880"/>
        <w:tabs>
          <w:tab w:val="num" w:pos="2880" w:leader="none"/>
        </w:tabs>
      </w:pPr>
      <w:rPr>
        <w:rFonts w:ascii="Wingdings" w:hAnsi="Wingdings" w:hint="default"/>
        <w:sz w:val="20"/>
      </w:rPr>
    </w:lvl>
    <w:lvl w:ilvl="4">
      <w:start w:val="1"/>
      <w:numFmt w:val="bullet"/>
      <w:suff w:val="tab"/>
      <w:lvlText w:val=""/>
      <w:lvlJc w:val="left"/>
      <w:pPr>
        <w:ind w:hanging="360" w:left="3600"/>
        <w:tabs>
          <w:tab w:val="num" w:pos="3600" w:leader="none"/>
        </w:tabs>
      </w:pPr>
      <w:rPr>
        <w:rFonts w:ascii="Wingdings" w:hAnsi="Wingdings" w:hint="default"/>
        <w:sz w:val="20"/>
      </w:rPr>
    </w:lvl>
    <w:lvl w:ilvl="5">
      <w:start w:val="1"/>
      <w:numFmt w:val="bullet"/>
      <w:suff w:val="tab"/>
      <w:lvlText w:val=""/>
      <w:lvlJc w:val="left"/>
      <w:pPr>
        <w:ind w:hanging="360" w:left="4320"/>
        <w:tabs>
          <w:tab w:val="num" w:pos="4320" w:leader="none"/>
        </w:tabs>
      </w:pPr>
      <w:rPr>
        <w:rFonts w:ascii="Wingdings" w:hAnsi="Wingdings" w:hint="default"/>
        <w:sz w:val="20"/>
      </w:rPr>
    </w:lvl>
    <w:lvl w:ilvl="6">
      <w:start w:val="1"/>
      <w:numFmt w:val="bullet"/>
      <w:suff w:val="tab"/>
      <w:lvlText w:val=""/>
      <w:lvlJc w:val="left"/>
      <w:pPr>
        <w:ind w:hanging="360" w:left="5040"/>
        <w:tabs>
          <w:tab w:val="num" w:pos="5040" w:leader="none"/>
        </w:tabs>
      </w:pPr>
      <w:rPr>
        <w:rFonts w:ascii="Wingdings" w:hAnsi="Wingdings" w:hint="default"/>
        <w:sz w:val="20"/>
      </w:rPr>
    </w:lvl>
    <w:lvl w:ilvl="7">
      <w:start w:val="1"/>
      <w:numFmt w:val="bullet"/>
      <w:suff w:val="tab"/>
      <w:lvlText w:val=""/>
      <w:lvlJc w:val="left"/>
      <w:pPr>
        <w:ind w:hanging="360" w:left="5760"/>
        <w:tabs>
          <w:tab w:val="num" w:pos="5760" w:leader="none"/>
        </w:tabs>
      </w:pPr>
      <w:rPr>
        <w:rFonts w:ascii="Wingdings" w:hAnsi="Wingdings" w:hint="default"/>
        <w:sz w:val="20"/>
      </w:rPr>
    </w:lvl>
    <w:lvl w:ilvl="8">
      <w:start w:val="1"/>
      <w:numFmt w:val="bullet"/>
      <w:suff w:val="tab"/>
      <w:lvlText w:val=""/>
      <w:lvlJc w:val="left"/>
      <w:pPr>
        <w:ind w:hanging="360" w:left="6480"/>
        <w:tabs>
          <w:tab w:val="num" w:pos="6480" w:leader="none"/>
        </w:tabs>
      </w:pPr>
      <w:rPr>
        <w:rFonts w:ascii="Wingdings" w:hAnsi="Wingdings" w:hint="default"/>
        <w:sz w:val="20"/>
      </w:rPr>
    </w:lvl>
  </w:abstractNum>
  <w:abstractNum w:abstractNumId="5">
    <w:nsid w:val="3B365883"/>
    <w:multiLevelType w:val="multilevel"/>
    <w:lvl w:ilvl="0">
      <w:start w:val="1"/>
      <w:numFmt w:val="decimal"/>
      <w:suff w:val="tab"/>
      <w:lvlText w:val="%1."/>
      <w:lvlJc w:val="left"/>
      <w:pPr>
        <w:ind w:hanging="360" w:left="720"/>
        <w:tabs>
          <w:tab w:val="num" w:pos="720" w:leader="none"/>
        </w:tabs>
      </w:pPr>
      <w:rPr/>
    </w:lvl>
    <w:lvl w:ilvl="1">
      <w:start w:val="1"/>
      <w:numFmt w:val="decimal"/>
      <w:suff w:val="tab"/>
      <w:lvlText w:val="%2."/>
      <w:lvlJc w:val="left"/>
      <w:pPr>
        <w:ind w:hanging="360" w:left="1440"/>
        <w:tabs>
          <w:tab w:val="num" w:pos="1440" w:leader="none"/>
        </w:tabs>
      </w:pPr>
      <w:rPr/>
    </w:lvl>
    <w:lvl w:ilvl="2">
      <w:start w:val="1"/>
      <w:numFmt w:val="decimal"/>
      <w:suff w:val="tab"/>
      <w:lvlText w:val="%3."/>
      <w:lvlJc w:val="left"/>
      <w:pPr>
        <w:ind w:hanging="360" w:left="2160"/>
        <w:tabs>
          <w:tab w:val="num" w:pos="2160" w:leader="none"/>
        </w:tabs>
      </w:pPr>
      <w:rPr/>
    </w:lvl>
    <w:lvl w:ilvl="3">
      <w:start w:val="1"/>
      <w:numFmt w:val="decimal"/>
      <w:suff w:val="tab"/>
      <w:lvlText w:val="%4."/>
      <w:lvlJc w:val="left"/>
      <w:pPr>
        <w:ind w:hanging="360" w:left="2880"/>
        <w:tabs>
          <w:tab w:val="num" w:pos="2880" w:leader="none"/>
        </w:tabs>
      </w:pPr>
      <w:rPr/>
    </w:lvl>
    <w:lvl w:ilvl="4">
      <w:start w:val="1"/>
      <w:numFmt w:val="decimal"/>
      <w:suff w:val="tab"/>
      <w:lvlText w:val="%5."/>
      <w:lvlJc w:val="left"/>
      <w:pPr>
        <w:ind w:hanging="360" w:left="3600"/>
        <w:tabs>
          <w:tab w:val="num" w:pos="3600" w:leader="none"/>
        </w:tabs>
      </w:pPr>
      <w:rPr/>
    </w:lvl>
    <w:lvl w:ilvl="5">
      <w:start w:val="1"/>
      <w:numFmt w:val="decimal"/>
      <w:suff w:val="tab"/>
      <w:lvlText w:val="%6."/>
      <w:lvlJc w:val="left"/>
      <w:pPr>
        <w:ind w:hanging="360" w:left="4320"/>
        <w:tabs>
          <w:tab w:val="num" w:pos="4320" w:leader="none"/>
        </w:tabs>
      </w:pPr>
      <w:rPr/>
    </w:lvl>
    <w:lvl w:ilvl="6">
      <w:start w:val="1"/>
      <w:numFmt w:val="decimal"/>
      <w:suff w:val="tab"/>
      <w:lvlText w:val="%7."/>
      <w:lvlJc w:val="left"/>
      <w:pPr>
        <w:ind w:hanging="360" w:left="5040"/>
        <w:tabs>
          <w:tab w:val="num" w:pos="5040" w:leader="none"/>
        </w:tabs>
      </w:pPr>
      <w:rPr/>
    </w:lvl>
    <w:lvl w:ilvl="7">
      <w:start w:val="1"/>
      <w:numFmt w:val="decimal"/>
      <w:suff w:val="tab"/>
      <w:lvlText w:val="%8."/>
      <w:lvlJc w:val="left"/>
      <w:pPr>
        <w:ind w:hanging="360" w:left="5760"/>
        <w:tabs>
          <w:tab w:val="num" w:pos="5760" w:leader="none"/>
        </w:tabs>
      </w:pPr>
      <w:rPr/>
    </w:lvl>
    <w:lvl w:ilvl="8">
      <w:start w:val="1"/>
      <w:numFmt w:val="decimal"/>
      <w:suff w:val="tab"/>
      <w:lvlText w:val="%9."/>
      <w:lvlJc w:val="left"/>
      <w:pPr>
        <w:ind w:hanging="360" w:left="6480"/>
        <w:tabs>
          <w:tab w:val="num" w:pos="6480" w:leader="none"/>
        </w:tabs>
      </w:pPr>
      <w:rPr/>
    </w:lvl>
  </w:abstractNum>
  <w:abstractNum w:abstractNumId="6">
    <w:nsid w:val="56530378"/>
    <w:multiLevelType w:val="multilevel"/>
    <w:lvl w:ilvl="0">
      <w:start w:val="1"/>
      <w:numFmt w:val="decimal"/>
      <w:suff w:val="tab"/>
      <w:lvlText w:val="%1."/>
      <w:lvlJc w:val="left"/>
      <w:pPr>
        <w:ind w:hanging="360" w:left="720"/>
        <w:tabs>
          <w:tab w:val="num" w:pos="720" w:leader="none"/>
        </w:tabs>
      </w:pPr>
      <w:rPr/>
    </w:lvl>
    <w:lvl w:ilvl="1">
      <w:start w:val="1"/>
      <w:numFmt w:val="decimal"/>
      <w:suff w:val="tab"/>
      <w:lvlText w:val="%2."/>
      <w:lvlJc w:val="left"/>
      <w:pPr>
        <w:ind w:hanging="360" w:left="1440"/>
        <w:tabs>
          <w:tab w:val="num" w:pos="1440" w:leader="none"/>
        </w:tabs>
      </w:pPr>
      <w:rPr/>
    </w:lvl>
    <w:lvl w:ilvl="2">
      <w:start w:val="1"/>
      <w:numFmt w:val="decimal"/>
      <w:suff w:val="tab"/>
      <w:lvlText w:val="%3."/>
      <w:lvlJc w:val="left"/>
      <w:pPr>
        <w:ind w:hanging="360" w:left="2160"/>
        <w:tabs>
          <w:tab w:val="num" w:pos="2160" w:leader="none"/>
        </w:tabs>
      </w:pPr>
      <w:rPr/>
    </w:lvl>
    <w:lvl w:ilvl="3">
      <w:start w:val="1"/>
      <w:numFmt w:val="decimal"/>
      <w:suff w:val="tab"/>
      <w:lvlText w:val="%4."/>
      <w:lvlJc w:val="left"/>
      <w:pPr>
        <w:ind w:hanging="360" w:left="2880"/>
        <w:tabs>
          <w:tab w:val="num" w:pos="2880" w:leader="none"/>
        </w:tabs>
      </w:pPr>
      <w:rPr/>
    </w:lvl>
    <w:lvl w:ilvl="4">
      <w:start w:val="1"/>
      <w:numFmt w:val="decimal"/>
      <w:suff w:val="tab"/>
      <w:lvlText w:val="%5."/>
      <w:lvlJc w:val="left"/>
      <w:pPr>
        <w:ind w:hanging="360" w:left="3600"/>
        <w:tabs>
          <w:tab w:val="num" w:pos="3600" w:leader="none"/>
        </w:tabs>
      </w:pPr>
      <w:rPr/>
    </w:lvl>
    <w:lvl w:ilvl="5">
      <w:start w:val="1"/>
      <w:numFmt w:val="decimal"/>
      <w:suff w:val="tab"/>
      <w:lvlText w:val="%6."/>
      <w:lvlJc w:val="left"/>
      <w:pPr>
        <w:ind w:hanging="360" w:left="4320"/>
        <w:tabs>
          <w:tab w:val="num" w:pos="4320" w:leader="none"/>
        </w:tabs>
      </w:pPr>
      <w:rPr/>
    </w:lvl>
    <w:lvl w:ilvl="6">
      <w:start w:val="1"/>
      <w:numFmt w:val="decimal"/>
      <w:suff w:val="tab"/>
      <w:lvlText w:val="%7."/>
      <w:lvlJc w:val="left"/>
      <w:pPr>
        <w:ind w:hanging="360" w:left="5040"/>
        <w:tabs>
          <w:tab w:val="num" w:pos="5040" w:leader="none"/>
        </w:tabs>
      </w:pPr>
      <w:rPr/>
    </w:lvl>
    <w:lvl w:ilvl="7">
      <w:start w:val="1"/>
      <w:numFmt w:val="decimal"/>
      <w:suff w:val="tab"/>
      <w:lvlText w:val="%8."/>
      <w:lvlJc w:val="left"/>
      <w:pPr>
        <w:ind w:hanging="360" w:left="5760"/>
        <w:tabs>
          <w:tab w:val="num" w:pos="5760" w:leader="none"/>
        </w:tabs>
      </w:pPr>
      <w:rPr/>
    </w:lvl>
    <w:lvl w:ilvl="8">
      <w:start w:val="1"/>
      <w:numFmt w:val="decimal"/>
      <w:suff w:val="tab"/>
      <w:lvlText w:val="%9."/>
      <w:lvlJc w:val="left"/>
      <w:pPr>
        <w:ind w:hanging="360" w:left="6480"/>
        <w:tabs>
          <w:tab w:val="num" w:pos="6480" w:leader="none"/>
        </w:tabs>
      </w:pPr>
      <w:rPr/>
    </w:lvl>
  </w:abstractNum>
  <w:abstractNum w:abstractNumId="7">
    <w:nsid w:val="6D7E380D"/>
    <w:multiLevelType w:val="multilevel"/>
    <w:lvl w:ilvl="0">
      <w:start w:val="1"/>
      <w:numFmt w:val="decimal"/>
      <w:suff w:val="tab"/>
      <w:lvlText w:val="%1."/>
      <w:lvlJc w:val="left"/>
      <w:pPr>
        <w:ind w:hanging="360" w:left="720"/>
        <w:tabs>
          <w:tab w:val="num" w:pos="720" w:leader="none"/>
        </w:tabs>
      </w:pPr>
      <w:rPr/>
    </w:lvl>
    <w:lvl w:ilvl="1">
      <w:start w:val="1"/>
      <w:numFmt w:val="decimal"/>
      <w:suff w:val="tab"/>
      <w:lvlText w:val="%2."/>
      <w:lvlJc w:val="left"/>
      <w:pPr>
        <w:ind w:hanging="360" w:left="1440"/>
        <w:tabs>
          <w:tab w:val="num" w:pos="1440" w:leader="none"/>
        </w:tabs>
      </w:pPr>
      <w:rPr/>
    </w:lvl>
    <w:lvl w:ilvl="2">
      <w:start w:val="1"/>
      <w:numFmt w:val="decimal"/>
      <w:suff w:val="tab"/>
      <w:lvlText w:val="%3."/>
      <w:lvlJc w:val="left"/>
      <w:pPr>
        <w:ind w:hanging="360" w:left="2160"/>
        <w:tabs>
          <w:tab w:val="num" w:pos="2160" w:leader="none"/>
        </w:tabs>
      </w:pPr>
      <w:rPr/>
    </w:lvl>
    <w:lvl w:ilvl="3">
      <w:start w:val="1"/>
      <w:numFmt w:val="decimal"/>
      <w:suff w:val="tab"/>
      <w:lvlText w:val="%4."/>
      <w:lvlJc w:val="left"/>
      <w:pPr>
        <w:ind w:hanging="360" w:left="2880"/>
        <w:tabs>
          <w:tab w:val="num" w:pos="2880" w:leader="none"/>
        </w:tabs>
      </w:pPr>
      <w:rPr/>
    </w:lvl>
    <w:lvl w:ilvl="4">
      <w:start w:val="1"/>
      <w:numFmt w:val="decimal"/>
      <w:suff w:val="tab"/>
      <w:lvlText w:val="%5."/>
      <w:lvlJc w:val="left"/>
      <w:pPr>
        <w:ind w:hanging="360" w:left="3600"/>
        <w:tabs>
          <w:tab w:val="num" w:pos="3600" w:leader="none"/>
        </w:tabs>
      </w:pPr>
      <w:rPr/>
    </w:lvl>
    <w:lvl w:ilvl="5">
      <w:start w:val="1"/>
      <w:numFmt w:val="decimal"/>
      <w:suff w:val="tab"/>
      <w:lvlText w:val="%6."/>
      <w:lvlJc w:val="left"/>
      <w:pPr>
        <w:ind w:hanging="360" w:left="4320"/>
        <w:tabs>
          <w:tab w:val="num" w:pos="4320" w:leader="none"/>
        </w:tabs>
      </w:pPr>
      <w:rPr/>
    </w:lvl>
    <w:lvl w:ilvl="6">
      <w:start w:val="1"/>
      <w:numFmt w:val="decimal"/>
      <w:suff w:val="tab"/>
      <w:lvlText w:val="%7."/>
      <w:lvlJc w:val="left"/>
      <w:pPr>
        <w:ind w:hanging="360" w:left="5040"/>
        <w:tabs>
          <w:tab w:val="num" w:pos="5040" w:leader="none"/>
        </w:tabs>
      </w:pPr>
      <w:rPr/>
    </w:lvl>
    <w:lvl w:ilvl="7">
      <w:start w:val="1"/>
      <w:numFmt w:val="decimal"/>
      <w:suff w:val="tab"/>
      <w:lvlText w:val="%8."/>
      <w:lvlJc w:val="left"/>
      <w:pPr>
        <w:ind w:hanging="360" w:left="5760"/>
        <w:tabs>
          <w:tab w:val="num" w:pos="5760" w:leader="none"/>
        </w:tabs>
      </w:pPr>
      <w:rPr/>
    </w:lvl>
    <w:lvl w:ilvl="8">
      <w:start w:val="1"/>
      <w:numFmt w:val="decimal"/>
      <w:suff w:val="tab"/>
      <w:lvlText w:val="%9."/>
      <w:lvlJc w:val="left"/>
      <w:pPr>
        <w:ind w:hanging="360" w:left="6480"/>
        <w:tabs>
          <w:tab w:val="num" w:pos="6480" w:leader="none"/>
        </w:tabs>
      </w:pPr>
      <w:rPr/>
    </w:lvl>
  </w:abstractNum>
  <w:num w:numId="1">
    <w:abstractNumId w:val="2"/>
  </w:num>
  <w:num w:numId="2">
    <w:abstractNumId w:val="7"/>
  </w:num>
  <w:num w:numId="3">
    <w:abstractNumId w:val="0"/>
  </w:num>
  <w:num w:numId="4">
    <w:abstractNumId w:val="5"/>
  </w:num>
  <w:num w:numId="5">
    <w:abstractNumId w:val="6"/>
  </w:num>
  <w:num w:numId="6">
    <w:abstractNumId w:val="3"/>
  </w:num>
  <w:num w:numId="7">
    <w:abstractNumId w:val="1"/>
  </w:num>
  <w:num w:numId="8">
    <w:abstractNumId w:val="4"/>
  </w:num>
</w:numbering>
</file>

<file path=word/settings.xml><?xml version="1.0" encoding="utf-8"?>
<w:settings xmlns:w="http://schemas.openxmlformats.org/wordprocessingml/2006/main">
  <w:displayBackgroundShape w:val="0"/>
  <w:defaultTabStop w:val="720"/>
  <w:autoHyphenation w:val="0"/>
  <w:evenAndOddHeader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xmlns:m="http://schemas.openxmlformats.org/officeDocument/2006/math">
    <m:brkBin m:val="before"/>
    <m:brkBinSub m:val="--"/>
    <m:defJc m:val="centerGroup"/>
    <m:dispDef/>
    <m:interSp m:val="0"/>
    <m:intLim m:val="subSup"/>
    <m:intraSp m:val="0"/>
    <m:lMargin m:val="0"/>
    <m:mathFont m:val="Cambria Math"/>
    <m:naryLim m:val="undOvr"/>
    <m:postSp m:val="0"/>
    <m:preSp m:val="0"/>
    <m:rMargin m:val="0"/>
    <m:smallFrac/>
    <m:wrapIndent m:val="1440"/>
    <m:wrapRight m:val="0"/>
  </m:mathPr>
  <w:clrSchemeMapping w:bg1="light1" w:t1="dark1" w:bg2="light2" w:t2="dark2" w:accent1="accent1" w:accent2="accent2" w:accent3="accent3" w:accent4="accent4" w:accent5="accent5" w:accent6="accent6" w:hyperlink="hyperlink" w:followedHyperlink="followedHyperlink"/>
  <w:footnotePr>
    <w:footnote w:id="-1"/>
    <w:footnote w:id="0"/>
  </w:footnotePr>
  <w:endnotePr>
    <w:endnote w:id="-1"/>
    <w:endnote w:id="0"/>
  </w:endnotePr>
</w:settings>
</file>

<file path=word/styles.xml><?xml version="1.0" encoding="utf-8"?>
<w:styles xmlns:w="http://schemas.openxmlformats.org/wordprocessingml/2006/main">
  <w:docDefaults>
    <w:rPrDefault>
      <w:rPr>
        <w:rFonts w:asciiTheme="minorHAnsi" w:hAnsiTheme="minorHAnsi" w:cstheme="minorBidi" w:eastAsiaTheme="minorHAnsi"/>
        <w:sz w:val="24"/>
        <w:szCs w:val="24"/>
        <w:kern w:val="2"/>
        <w:lang w:val="en-US" w:bidi="ar-SA" w:eastAsia="en-US"/>
      </w:rPr>
    </w:rPrDefault>
    <w:pPrDefault>
      <w:pPr>
        <w:keepNext w:val="0"/>
        <w:keepLines w:val="0"/>
        <w:pageBreakBefore w:val="0"/>
        <w:widowControl w:val="1"/>
        <w:suppressLineNumbers w:val="0"/>
        <w:shd w:val="clear" w:fill="auto"/>
        <w:suppressAutoHyphens w:val="0"/>
        <w:spacing w:lineRule="auto" w:line="278" w:before="0" w:after="160" w:beforeAutospacing="0" w:afterAutospacing="0"/>
        <w:ind w:firstLine="0" w:left="0" w:right="0"/>
        <w:contextualSpacing w:val="0"/>
        <w:bidi w:val="0"/>
        <w:jc w:val="left"/>
        <w:outlineLvl w:val="9"/>
      </w:pPr>
    </w:pPrDefault>
  </w:docDefaults>
  <w:style w:type="paragraph" w:styleId="P0" w:default="1">
    <w:name w:val="Normal"/>
    <w:qFormat/>
    <w:pPr/>
    <w:rPr/>
  </w:style>
  <w:style w:type="paragraph" w:styleId="P1">
    <w:name w:val="Heading 1"/>
    <w:basedOn w:val="P0"/>
    <w:next w:val="P0"/>
    <w:link w:val="C3"/>
    <w:qFormat/>
    <w:pPr>
      <w:keepNext w:val="1"/>
      <w:keepLines w:val="1"/>
      <w:spacing w:before="360" w:after="80" w:beforeAutospacing="0" w:afterAutospacing="0"/>
      <w:outlineLvl w:val="0"/>
    </w:pPr>
    <w:rPr>
      <w:rFonts w:asciiTheme="majorHAnsi" w:hAnsiTheme="majorHAnsi" w:cstheme="majorBidi" w:eastAsiaTheme="majorEastAsia"/>
      <w:color w:val="2F5496" w:themeColor="accent1" w:themeShade="BF"/>
      <w:sz w:val="40"/>
      <w:szCs w:val="40"/>
    </w:rPr>
  </w:style>
  <w:style w:type="paragraph" w:styleId="P2">
    <w:name w:val="Heading 2"/>
    <w:basedOn w:val="P0"/>
    <w:next w:val="P0"/>
    <w:link w:val="C4"/>
    <w:qFormat/>
    <w:pPr>
      <w:keepNext w:val="1"/>
      <w:keepLines w:val="1"/>
      <w:spacing w:before="160" w:after="80" w:beforeAutospacing="0" w:afterAutospacing="0"/>
      <w:outlineLvl w:val="1"/>
    </w:pPr>
    <w:rPr>
      <w:rFonts w:asciiTheme="majorHAnsi" w:hAnsiTheme="majorHAnsi" w:cstheme="majorBidi" w:eastAsiaTheme="majorEastAsia"/>
      <w:color w:val="2F5496" w:themeColor="accent1" w:themeShade="BF"/>
      <w:sz w:val="32"/>
      <w:szCs w:val="32"/>
    </w:rPr>
  </w:style>
  <w:style w:type="paragraph" w:styleId="P3">
    <w:name w:val="Heading 3"/>
    <w:basedOn w:val="P0"/>
    <w:next w:val="P0"/>
    <w:link w:val="C5"/>
    <w:qFormat/>
    <w:pPr>
      <w:keepNext w:val="1"/>
      <w:keepLines w:val="1"/>
      <w:spacing w:before="160" w:after="80" w:beforeAutospacing="0" w:afterAutospacing="0"/>
      <w:outlineLvl w:val="2"/>
    </w:pPr>
    <w:rPr>
      <w:rFonts w:cstheme="majorBidi" w:eastAsiaTheme="majorEastAsia"/>
      <w:color w:val="2F5496" w:themeColor="accent1" w:themeShade="BF"/>
      <w:sz w:val="28"/>
      <w:szCs w:val="28"/>
    </w:rPr>
  </w:style>
  <w:style w:type="paragraph" w:styleId="P4">
    <w:name w:val="Heading 4"/>
    <w:basedOn w:val="P0"/>
    <w:next w:val="P0"/>
    <w:link w:val="C6"/>
    <w:semiHidden/>
    <w:qFormat/>
    <w:pPr>
      <w:keepNext w:val="1"/>
      <w:keepLines w:val="1"/>
      <w:spacing w:before="80" w:after="40" w:beforeAutospacing="0" w:afterAutospacing="0"/>
      <w:outlineLvl w:val="3"/>
    </w:pPr>
    <w:rPr>
      <w:rFonts w:cstheme="majorBidi" w:eastAsiaTheme="majorEastAsia"/>
      <w:i w:val="1"/>
      <w:iCs w:val="1"/>
      <w:color w:val="2F5496" w:themeColor="accent1" w:themeShade="BF"/>
    </w:rPr>
  </w:style>
  <w:style w:type="paragraph" w:styleId="P5">
    <w:name w:val="Heading 5"/>
    <w:basedOn w:val="P0"/>
    <w:next w:val="P0"/>
    <w:link w:val="C7"/>
    <w:semiHidden/>
    <w:qFormat/>
    <w:pPr>
      <w:keepNext w:val="1"/>
      <w:keepLines w:val="1"/>
      <w:spacing w:before="80" w:after="40" w:beforeAutospacing="0" w:afterAutospacing="0"/>
      <w:outlineLvl w:val="4"/>
    </w:pPr>
    <w:rPr>
      <w:rFonts w:cstheme="majorBidi" w:eastAsiaTheme="majorEastAsia"/>
      <w:color w:val="2F5496" w:themeColor="accent1" w:themeShade="BF"/>
    </w:rPr>
  </w:style>
  <w:style w:type="paragraph" w:styleId="P6">
    <w:name w:val="Heading 6"/>
    <w:basedOn w:val="P0"/>
    <w:next w:val="P0"/>
    <w:link w:val="C8"/>
    <w:semiHidden/>
    <w:qFormat/>
    <w:pPr>
      <w:keepNext w:val="1"/>
      <w:keepLines w:val="1"/>
      <w:spacing w:before="40" w:after="0" w:beforeAutospacing="0" w:afterAutospacing="0"/>
      <w:outlineLvl w:val="5"/>
    </w:pPr>
    <w:rPr>
      <w:rFonts w:cstheme="majorBidi" w:eastAsiaTheme="majorEastAsia"/>
      <w:i w:val="1"/>
      <w:iCs w:val="1"/>
      <w:color w:val="595959" w:themeColor="text1" w:themeTint="A6"/>
    </w:rPr>
  </w:style>
  <w:style w:type="paragraph" w:styleId="P7">
    <w:name w:val="Heading 7"/>
    <w:basedOn w:val="P0"/>
    <w:next w:val="P0"/>
    <w:link w:val="C9"/>
    <w:semiHidden/>
    <w:qFormat/>
    <w:pPr>
      <w:keepNext w:val="1"/>
      <w:keepLines w:val="1"/>
      <w:spacing w:before="40" w:after="0" w:beforeAutospacing="0" w:afterAutospacing="0"/>
      <w:outlineLvl w:val="6"/>
    </w:pPr>
    <w:rPr>
      <w:rFonts w:cstheme="majorBidi" w:eastAsiaTheme="majorEastAsia"/>
      <w:color w:val="595959" w:themeColor="text1" w:themeTint="A6"/>
    </w:rPr>
  </w:style>
  <w:style w:type="paragraph" w:styleId="P8">
    <w:name w:val="Heading 8"/>
    <w:basedOn w:val="P0"/>
    <w:next w:val="P0"/>
    <w:link w:val="C10"/>
    <w:semiHidden/>
    <w:qFormat/>
    <w:pPr>
      <w:keepNext w:val="1"/>
      <w:keepLines w:val="1"/>
      <w:spacing w:after="0" w:beforeAutospacing="0" w:afterAutospacing="0"/>
      <w:outlineLvl w:val="7"/>
    </w:pPr>
    <w:rPr>
      <w:rFonts w:cstheme="majorBidi" w:eastAsiaTheme="majorEastAsia"/>
      <w:i w:val="1"/>
      <w:iCs w:val="1"/>
      <w:color w:val="272727" w:themeColor="text1" w:themeTint="D8"/>
    </w:rPr>
  </w:style>
  <w:style w:type="paragraph" w:styleId="P9">
    <w:name w:val="Heading 9"/>
    <w:basedOn w:val="P0"/>
    <w:next w:val="P0"/>
    <w:link w:val="C11"/>
    <w:semiHidden/>
    <w:qFormat/>
    <w:pPr>
      <w:keepNext w:val="1"/>
      <w:keepLines w:val="1"/>
      <w:spacing w:after="0" w:beforeAutospacing="0" w:afterAutospacing="0"/>
      <w:outlineLvl w:val="8"/>
    </w:pPr>
    <w:rPr>
      <w:rFonts w:cstheme="majorBidi" w:eastAsiaTheme="majorEastAsia"/>
      <w:color w:val="272727" w:themeColor="text1" w:themeTint="D8"/>
    </w:rPr>
  </w:style>
  <w:style w:type="paragraph" w:styleId="P10">
    <w:name w:val="Title"/>
    <w:basedOn w:val="P0"/>
    <w:next w:val="P0"/>
    <w:link w:val="C12"/>
    <w:qFormat/>
    <w:pPr>
      <w:spacing w:lineRule="auto" w:line="240" w:after="80" w:beforeAutospacing="0" w:afterAutospacing="0"/>
      <w:contextualSpacing w:val="1"/>
    </w:pPr>
    <w:rPr>
      <w:rFonts w:asciiTheme="majorHAnsi" w:hAnsiTheme="majorHAnsi" w:cstheme="majorBidi" w:eastAsiaTheme="majorEastAsia"/>
      <w:sz w:val="56"/>
      <w:szCs w:val="56"/>
      <w:spacing w:val="-10"/>
      <w:kern w:val="28"/>
    </w:rPr>
  </w:style>
  <w:style w:type="paragraph" w:styleId="P11">
    <w:name w:val="Subtitle"/>
    <w:basedOn w:val="P0"/>
    <w:next w:val="P0"/>
    <w:link w:val="C13"/>
    <w:qFormat/>
    <w:pPr/>
    <w:rPr>
      <w:rFonts w:cstheme="majorBidi" w:eastAsiaTheme="majorEastAsia"/>
      <w:color w:val="595959" w:themeColor="text1" w:themeTint="A6"/>
      <w:sz w:val="28"/>
      <w:szCs w:val="28"/>
      <w:spacing w:val="15"/>
    </w:rPr>
  </w:style>
  <w:style w:type="paragraph" w:styleId="P12">
    <w:name w:val="Quote"/>
    <w:basedOn w:val="P0"/>
    <w:next w:val="P0"/>
    <w:link w:val="C14"/>
    <w:qFormat/>
    <w:pPr>
      <w:spacing w:before="160" w:beforeAutospacing="0" w:afterAutospacing="0"/>
      <w:jc w:val="center"/>
    </w:pPr>
    <w:rPr>
      <w:i w:val="1"/>
      <w:iCs w:val="1"/>
      <w:color w:val="404040" w:themeColor="text1" w:themeTint="BF"/>
    </w:rPr>
  </w:style>
  <w:style w:type="paragraph" w:styleId="P13">
    <w:name w:val="List Paragraph"/>
    <w:basedOn w:val="P0"/>
    <w:qFormat/>
    <w:pPr>
      <w:ind w:left="720"/>
      <w:contextualSpacing w:val="1"/>
    </w:pPr>
    <w:rPr/>
  </w:style>
  <w:style w:type="paragraph" w:styleId="P14">
    <w:name w:val="Intense Quote"/>
    <w:basedOn w:val="P0"/>
    <w:next w:val="P0"/>
    <w:link w:val="C16"/>
    <w:qFormat/>
    <w:pPr>
      <w:pBdr>
        <w:top w:val="single" w:sz="4" w:space="10" w:shadow="0" w:frame="0" w:color="2F5496" w:themeColor="accent1" w:themeShade="BF"/>
        <w:left w:val="none" w:sz="0" w:space="0" w:shadow="0" w:frame="0" w:color="auto"/>
        <w:bottom w:val="single" w:sz="4" w:space="10" w:shadow="0" w:frame="0" w:color="2F5496" w:themeColor="accent1" w:themeShade="BF"/>
        <w:right w:val="none" w:sz="0" w:space="0" w:shadow="0" w:frame="0" w:color="auto"/>
        <w:between w:val="none" w:sz="0" w:space="0" w:shadow="0" w:frame="0" w:color="auto"/>
      </w:pBdr>
      <w:spacing w:before="360" w:after="360" w:beforeAutospacing="0" w:afterAutospacing="0"/>
      <w:ind w:left="864" w:right="864"/>
      <w:jc w:val="center"/>
    </w:pPr>
    <w:rPr>
      <w:i w:val="1"/>
      <w:iCs w:val="1"/>
      <w:color w:val="2F5496" w:themeColor="accent1" w:themeShade="BF"/>
    </w:rPr>
  </w:style>
  <w:style w:type="paragraph" w:styleId="P15">
    <w:name w:val="Normal (Web)"/>
    <w:basedOn w:val="P0"/>
    <w:semiHidden/>
    <w:pPr/>
    <w:rPr>
      <w:rFonts w:ascii="Times New Roman" w:hAnsi="Times New Roman" w:cs="Times New Roman"/>
    </w:rPr>
  </w:style>
  <w:style w:type="paragraph" w:styleId="P16">
    <w:name w:val="Header"/>
    <w:basedOn w:val="P0"/>
    <w:link w:val="C19"/>
    <w:pPr>
      <w:tabs>
        <w:tab w:val="center" w:pos="4680" w:leader="none"/>
        <w:tab w:val="right" w:pos="9360" w:leader="none"/>
      </w:tabs>
      <w:spacing w:lineRule="auto" w:line="240" w:after="0" w:beforeAutospacing="0" w:afterAutospacing="0"/>
    </w:pPr>
    <w:rPr/>
  </w:style>
  <w:style w:type="paragraph" w:styleId="P17">
    <w:name w:val="Footer"/>
    <w:basedOn w:val="P0"/>
    <w:link w:val="C20"/>
    <w:pPr>
      <w:tabs>
        <w:tab w:val="center" w:pos="4680" w:leader="none"/>
        <w:tab w:val="right" w:pos="9360" w:leader="none"/>
      </w:tabs>
      <w:spacing w:lineRule="auto" w:line="240" w:after="0" w:beforeAutospacing="0" w:afterAutospacing="0"/>
    </w:pPr>
    <w:rPr/>
  </w:style>
  <w:style w:type="paragraph" w:styleId="P18">
    <w:name w:val="Caption"/>
    <w:basedOn w:val="P0"/>
    <w:next w:val="P0"/>
    <w:qFormat/>
    <w:pPr>
      <w:spacing w:lineRule="auto" w:line="240" w:after="200" w:beforeAutospacing="0" w:afterAutospacing="0"/>
    </w:pPr>
    <w:rPr>
      <w:i w:val="1"/>
      <w:iCs w:val="1"/>
      <w:color w:val="44546A" w:themeColor="text2"/>
      <w:sz w:val="18"/>
      <w:szCs w:val="18"/>
    </w:rPr>
  </w:style>
  <w:style w:type="paragraph" w:styleId="P19">
    <w:name w:val="Footnote Text"/>
    <w:link w:val="C22"/>
    <w:semiHidden/>
    <w:pPr>
      <w:spacing w:lineRule="auto" w:line="240" w:after="0"/>
    </w:pPr>
    <w:rPr>
      <w:sz w:val="20"/>
      <w:szCs w:val="20"/>
    </w:rPr>
  </w:style>
  <w:style w:type="paragraph" w:styleId="P20">
    <w:name w:val="Endnote Text"/>
    <w:link w:val="C24"/>
    <w:semiHidden/>
    <w:pPr>
      <w:spacing w:lineRule="auto" w:line="240" w:after="0"/>
    </w:pPr>
    <w:rPr>
      <w:sz w:val="20"/>
      <w:szCs w:val="20"/>
    </w:rPr>
  </w:style>
  <w:style w:type="character" w:styleId="C0" w:default="1">
    <w:name w:val="Default Paragraph Font"/>
    <w:rPr/>
  </w:style>
  <w:style w:type="character" w:styleId="C1">
    <w:name w:val="Line Number"/>
    <w:basedOn w:val="C0"/>
    <w:semiHidden/>
    <w:rPr/>
  </w:style>
  <w:style w:type="character" w:styleId="C2">
    <w:name w:val="Hyperlink"/>
    <w:basedOn w:val="C0"/>
    <w:rPr>
      <w:color w:val="0563C1" w:themeColor="hyperlink"/>
      <w:u w:val="single"/>
    </w:rPr>
  </w:style>
  <w:style w:type="character" w:styleId="C3">
    <w:name w:val="Heading 1 Char"/>
    <w:basedOn w:val="C0"/>
    <w:link w:val="P1"/>
    <w:rPr>
      <w:rFonts w:asciiTheme="majorHAnsi" w:hAnsiTheme="majorHAnsi" w:cstheme="majorBidi" w:eastAsiaTheme="majorEastAsia"/>
      <w:color w:val="2F5496" w:themeColor="accent1" w:themeShade="BF"/>
      <w:sz w:val="40"/>
      <w:szCs w:val="40"/>
    </w:rPr>
  </w:style>
  <w:style w:type="character" w:styleId="C4">
    <w:name w:val="Heading 2 Char"/>
    <w:basedOn w:val="C0"/>
    <w:link w:val="P2"/>
    <w:rPr>
      <w:rFonts w:asciiTheme="majorHAnsi" w:hAnsiTheme="majorHAnsi" w:cstheme="majorBidi" w:eastAsiaTheme="majorEastAsia"/>
      <w:color w:val="2F5496" w:themeColor="accent1" w:themeShade="BF"/>
      <w:sz w:val="32"/>
      <w:szCs w:val="32"/>
    </w:rPr>
  </w:style>
  <w:style w:type="character" w:styleId="C5">
    <w:name w:val="Heading 3 Char"/>
    <w:basedOn w:val="C0"/>
    <w:link w:val="P3"/>
    <w:rPr>
      <w:rFonts w:cstheme="majorBidi" w:eastAsiaTheme="majorEastAsia"/>
      <w:color w:val="2F5496" w:themeColor="accent1" w:themeShade="BF"/>
      <w:sz w:val="28"/>
      <w:szCs w:val="28"/>
    </w:rPr>
  </w:style>
  <w:style w:type="character" w:styleId="C6">
    <w:name w:val="Heading 4 Char"/>
    <w:basedOn w:val="C0"/>
    <w:link w:val="P4"/>
    <w:semiHidden/>
    <w:rPr>
      <w:rFonts w:cstheme="majorBidi" w:eastAsiaTheme="majorEastAsia"/>
      <w:i w:val="1"/>
      <w:iCs w:val="1"/>
      <w:color w:val="2F5496" w:themeColor="accent1" w:themeShade="BF"/>
    </w:rPr>
  </w:style>
  <w:style w:type="character" w:styleId="C7">
    <w:name w:val="Heading 5 Char"/>
    <w:basedOn w:val="C0"/>
    <w:link w:val="P5"/>
    <w:semiHidden/>
    <w:rPr>
      <w:rFonts w:cstheme="majorBidi" w:eastAsiaTheme="majorEastAsia"/>
      <w:color w:val="2F5496" w:themeColor="accent1" w:themeShade="BF"/>
    </w:rPr>
  </w:style>
  <w:style w:type="character" w:styleId="C8">
    <w:name w:val="Heading 6 Char"/>
    <w:basedOn w:val="C0"/>
    <w:link w:val="P6"/>
    <w:semiHidden/>
    <w:rPr>
      <w:rFonts w:cstheme="majorBidi" w:eastAsiaTheme="majorEastAsia"/>
      <w:i w:val="1"/>
      <w:iCs w:val="1"/>
      <w:color w:val="595959" w:themeColor="text1" w:themeTint="A6"/>
    </w:rPr>
  </w:style>
  <w:style w:type="character" w:styleId="C9">
    <w:name w:val="Heading 7 Char"/>
    <w:basedOn w:val="C0"/>
    <w:link w:val="P7"/>
    <w:semiHidden/>
    <w:rPr>
      <w:rFonts w:cstheme="majorBidi" w:eastAsiaTheme="majorEastAsia"/>
      <w:color w:val="595959" w:themeColor="text1" w:themeTint="A6"/>
    </w:rPr>
  </w:style>
  <w:style w:type="character" w:styleId="C10">
    <w:name w:val="Heading 8 Char"/>
    <w:basedOn w:val="C0"/>
    <w:link w:val="P8"/>
    <w:semiHidden/>
    <w:rPr>
      <w:rFonts w:cstheme="majorBidi" w:eastAsiaTheme="majorEastAsia"/>
      <w:i w:val="1"/>
      <w:iCs w:val="1"/>
      <w:color w:val="272727" w:themeColor="text1" w:themeTint="D8"/>
    </w:rPr>
  </w:style>
  <w:style w:type="character" w:styleId="C11">
    <w:name w:val="Heading 9 Char"/>
    <w:basedOn w:val="C0"/>
    <w:link w:val="P9"/>
    <w:semiHidden/>
    <w:rPr>
      <w:rFonts w:cstheme="majorBidi" w:eastAsiaTheme="majorEastAsia"/>
      <w:color w:val="272727" w:themeColor="text1" w:themeTint="D8"/>
    </w:rPr>
  </w:style>
  <w:style w:type="character" w:styleId="C12">
    <w:name w:val="Title Char"/>
    <w:basedOn w:val="C0"/>
    <w:link w:val="P10"/>
    <w:rPr>
      <w:rFonts w:asciiTheme="majorHAnsi" w:hAnsiTheme="majorHAnsi" w:cstheme="majorBidi" w:eastAsiaTheme="majorEastAsia"/>
      <w:sz w:val="56"/>
      <w:szCs w:val="56"/>
      <w:spacing w:val="-10"/>
      <w:kern w:val="28"/>
    </w:rPr>
  </w:style>
  <w:style w:type="character" w:styleId="C13">
    <w:name w:val="Subtitle Char"/>
    <w:basedOn w:val="C0"/>
    <w:link w:val="P11"/>
    <w:rPr>
      <w:rFonts w:cstheme="majorBidi" w:eastAsiaTheme="majorEastAsia"/>
      <w:color w:val="595959" w:themeColor="text1" w:themeTint="A6"/>
      <w:sz w:val="28"/>
      <w:szCs w:val="28"/>
      <w:spacing w:val="15"/>
    </w:rPr>
  </w:style>
  <w:style w:type="character" w:styleId="C14">
    <w:name w:val="Quote Char"/>
    <w:basedOn w:val="C0"/>
    <w:link w:val="P12"/>
    <w:rPr>
      <w:i w:val="1"/>
      <w:iCs w:val="1"/>
      <w:color w:val="404040" w:themeColor="text1" w:themeTint="BF"/>
    </w:rPr>
  </w:style>
  <w:style w:type="character" w:styleId="C15">
    <w:name w:val="Intense Emphasis"/>
    <w:basedOn w:val="C0"/>
    <w:qFormat/>
    <w:rPr>
      <w:i w:val="1"/>
      <w:iCs w:val="1"/>
      <w:color w:val="2F5496" w:themeColor="accent1" w:themeShade="BF"/>
    </w:rPr>
  </w:style>
  <w:style w:type="character" w:styleId="C16">
    <w:name w:val="Intense Quote Char"/>
    <w:basedOn w:val="C0"/>
    <w:link w:val="P14"/>
    <w:rPr>
      <w:i w:val="1"/>
      <w:iCs w:val="1"/>
      <w:color w:val="2F5496" w:themeColor="accent1" w:themeShade="BF"/>
    </w:rPr>
  </w:style>
  <w:style w:type="character" w:styleId="C17">
    <w:name w:val="Intense Reference1"/>
    <w:basedOn w:val="C0"/>
    <w:qFormat/>
    <w:rPr>
      <w:b w:val="1"/>
      <w:bCs w:val="1"/>
      <w:smallCaps w:val="1"/>
      <w:color w:val="2F5496" w:themeColor="accent1" w:themeShade="BF"/>
      <w:spacing w:val="5"/>
    </w:rPr>
  </w:style>
  <w:style w:type="character" w:styleId="C18">
    <w:name w:val="Unresolved Mention1"/>
    <w:basedOn w:val="C0"/>
    <w:semiHidden/>
    <w:rPr>
      <w:color w:val="605E5C"/>
      <w:shd w:val="clear" w:color="auto" w:fill="E1DFDD"/>
    </w:rPr>
  </w:style>
  <w:style w:type="character" w:styleId="C19">
    <w:name w:val="Header Char"/>
    <w:basedOn w:val="C0"/>
    <w:link w:val="P16"/>
    <w:rPr/>
  </w:style>
  <w:style w:type="character" w:styleId="C20">
    <w:name w:val="Footer Char"/>
    <w:basedOn w:val="C0"/>
    <w:link w:val="P17"/>
    <w:rPr/>
  </w:style>
  <w:style w:type="character" w:styleId="C21">
    <w:name w:val="Footnote Reference"/>
    <w:semiHidden/>
    <w:rPr>
      <w:vertAlign w:val="superscript"/>
    </w:rPr>
  </w:style>
  <w:style w:type="character" w:styleId="C22">
    <w:name w:val="Footnote Text Char"/>
    <w:link w:val="P19"/>
    <w:semiHidden/>
    <w:rPr>
      <w:sz w:val="20"/>
      <w:szCs w:val="20"/>
    </w:rPr>
  </w:style>
  <w:style w:type="character" w:styleId="C23">
    <w:name w:val="Endnote Reference"/>
    <w:semiHidden/>
    <w:rPr>
      <w:vertAlign w:val="superscript"/>
    </w:rPr>
  </w:style>
  <w:style w:type="character" w:styleId="C24">
    <w:name w:val="Endnote Text Char"/>
    <w:link w:val="P20"/>
    <w:semiHidden/>
    <w:rPr>
      <w:sz w:val="20"/>
      <w:szCs w:val="20"/>
    </w:rPr>
  </w:style>
  <w:style w:type="table" w:styleId="T0" w:default="1">
    <w:name w:val="Normal Table"/>
    <w:semiHidden/>
    <w:tblPr>
      <w:tblInd w:w="0" w:type="dxa"/>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 w:type="numbering" w:styleId="N0">
    <w:name w:val="No List"/>
  </w:style>
</w:styles>
</file>

<file path=word/_rels/document.xml.rels>&#65279;<?xml version="1.0" encoding="utf-8"?><Relationships xmlns="http://schemas.openxmlformats.org/package/2006/relationships"><Relationship Id="Relimage1" Type="http://schemas.openxmlformats.org/officeDocument/2006/relationships/image" Target="/media/image1.jpg" /><Relationship Id="R2" Type="http://schemas.openxmlformats.org/officeDocument/2006/relationships/hyperlink" Target="https://www.mdpi.com/1660-4601/17/7/2516" TargetMode="External" /><Relationship Id="R3" Type="http://schemas.openxmlformats.org/officeDocument/2006/relationships/hyperlink" Target="https://www.mdpi.com/1660-4601/19/8/4761" TargetMode="External" /><Relationship Id="R4" Type="http://schemas.openxmlformats.org/officeDocument/2006/relationships/hyperlink" Target="https://psnet.ahrq.gov/web-mm/patient-identification-errors-systems-challenge" TargetMode="External" /><Relationship Id="R5" Type="http://schemas.openxmlformats.org/officeDocument/2006/relationships/hyperlink" Target="https://pubmed.ncbi.nlm.nih.gov/18953807/" TargetMode="External" /><Relationship Id="R6" Type="http://schemas.openxmlformats.org/officeDocument/2006/relationships/hyperlink" Target="https://www.mdpi.com/2227-9032/13/17/2167" TargetMode="External" /><Relationship Id="R7" Type="http://schemas.openxmlformats.org/officeDocument/2006/relationships/hyperlink" Target="https://www.mdpi.com/2227-9032/12/22/2279" TargetMode="External" /><Relationship Id="R8" Type="http://schemas.openxmlformats.org/officeDocument/2006/relationships/hyperlink" Target="https://opennursingjournal.com/VOLUME/15/PAGE/109/FULLTEXT/" TargetMode="External" /><Relationship Id="R9" Type="http://schemas.openxmlformats.org/officeDocument/2006/relationships/hyperlink" Target="https://pmc.ncbi.nlm.nih.gov/articles/PMC1857133/" TargetMode="External" /><Relationship Id="RA" Type="http://schemas.openxmlformats.org/officeDocument/2006/relationships/hyperlink" Target="https://pubmed.ncbi.nlm.nih.gov/26061125/" TargetMode="External" /><Relationship Id="RB" Type="http://schemas.openxmlformats.org/officeDocument/2006/relationships/hyperlink" Target="https://www.mdpi.com/2227-9032/13/17/2248" TargetMode="External" /><Relationship Id="RC" Type="http://schemas.openxmlformats.org/officeDocument/2006/relationships/hyperlink" Target="https://www.mdpi.com/1660-4601/17/19/7308" TargetMode="External" /><Relationship Id="RD" Type="http://schemas.openxmlformats.org/officeDocument/2006/relationships/hyperlink" Target="https://www.mdpi.com/2227-9032/13/16/1959" TargetMode="External" /><Relationship Id="RE" Type="http://schemas.openxmlformats.org/officeDocument/2006/relationships/hyperlink" Target="https://pubmed.ncbi.nlm.nih.gov/16618892/" TargetMode="External" /><Relationship Id="RF" Type="http://schemas.openxmlformats.org/officeDocument/2006/relationships/hyperlink" Target="https://www.mdpi.com/2227-9032/10/12/2440" TargetMode="External" /><Relationship Id="R10" Type="http://schemas.openxmlformats.org/officeDocument/2006/relationships/hyperlink" Target="https://pubmed.ncbi.nlm.nih.gov/29275825/" TargetMode="External" /><Relationship Id="R11" Type="http://schemas.openxmlformats.org/officeDocument/2006/relationships/hyperlink" Target="https://www.ncbi.nlm.nih.gov/books/NBK2678/" TargetMode="External" /><Relationship Id="R12" Type="http://schemas.openxmlformats.org/officeDocument/2006/relationships/hyperlink" Target="https://pubmed.ncbi.nlm.nih.gov/19917939/" TargetMode="External" /><Relationship Id="R13" Type="http://schemas.openxmlformats.org/officeDocument/2006/relationships/hyperlink" Target="https://www.mdpi.com/2227-9032/11/21/2824" TargetMode="External" /><Relationship Id="R14" Type="http://schemas.openxmlformats.org/officeDocument/2006/relationships/hyperlink" Target="https://www.mdpi.com/1660-4601/19/22/15236" TargetMode="External" /><Relationship Id="R15" Type="http://schemas.openxmlformats.org/officeDocument/2006/relationships/hyperlink" Target="https://openpublichealthjournal.com/VOLUME/17/ELOCATOR/e18749445292305/FULLTEXT/" TargetMode="External" /><Relationship Id="R16" Type="http://schemas.openxmlformats.org/officeDocument/2006/relationships/hyperlink" Target="https://www.ncbi.nlm.nih.gov/books/NBK499956/" TargetMode="External" /><Relationship Id="R17" Type="http://schemas.openxmlformats.org/officeDocument/2006/relationships/hyperlink" Target="https://www.mdpi.com/2413-4155/7/2/79" TargetMode="External" /><Relationship Id="R18" Type="http://schemas.openxmlformats.org/officeDocument/2006/relationships/hyperlink" Target="https://jamanetwork.com/journals/jamasurgery/fullarticle/398954" TargetMode="External" /><Relationship Id="R19" Type="http://schemas.openxmlformats.org/officeDocument/2006/relationships/hyperlink" Target="https://www.ncbi.nlm.nih.gov/books/NBK555511/" TargetMode="External" /><Relationship Id="R1A" Type="http://schemas.openxmlformats.org/officeDocument/2006/relationships/hyperlink" Target="https://patientsafetyj.com/article/117084-risk-factors-for-wrong-site-surgery-a-study-of-1-166-reports-of-informed-consent-and-schedule-errors" TargetMode="External" /><Relationship Id="R1B" Type="http://schemas.openxmlformats.org/officeDocument/2006/relationships/hyperlink" Target="https://doi.org/10.1080/02688690902881112" TargetMode="External" /><Relationship Id="R1C" Type="http://schemas.openxmlformats.org/officeDocument/2006/relationships/hyperlink" Target="https://pmc.ncbi.nlm.nih.gov/articles/PMC4091260/" TargetMode="External" /><Relationship Id="R1D" Type="http://schemas.openxmlformats.org/officeDocument/2006/relationships/hyperlink" Target="https://www.mdpi.com/2227-9032/13/23/3164" TargetMode="External" /><Relationship Id="R1E" Type="http://schemas.openxmlformats.org/officeDocument/2006/relationships/hyperlink" Target="https://www.mdpi.com/2227-9032/13/23/3164" TargetMode="External" /><Relationship Id="R1F" Type="http://schemas.openxmlformats.org/officeDocument/2006/relationships/hyperlink" Target="https://www.who.int/news-room/fact-sheets/detail/patient-safety" TargetMode="External" /><Relationship Id="RelHdr1" Type="http://schemas.openxmlformats.org/officeDocument/2006/relationships/header" Target="header1.xml" /><Relationship Id="RelFnt1" Type="http://schemas.openxmlformats.org/officeDocument/2006/relationships/footnotes" Target="footnotes.xml" /><Relationship Id="RelEnt1" Type="http://schemas.openxmlformats.org/officeDocument/2006/relationships/endnotes" Target="endnotes.xml" /><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 Id="RelItem1" Type="http://schemas.openxmlformats.org/officeDocument/2006/relationships/customXml" Target="../customXml/item1.xml" /></Relationships>
</file>

<file path=word/_rels/endnotes.xml.rels>&#65279;<?xml version="1.0" encoding="utf-8"?><Relationships xmlns="http://schemas.openxmlformats.org/package/2006/relationships" />
</file>

<file path=word/_rels/footnotes.xml.rels>&#65279;<?xml version="1.0" encoding="utf-8"?><Relationships xmlns="http://schemas.openxmlformats.org/package/2006/relationships" />
</file>

<file path=word/_rels/header1.xml.rels>&#65279;<?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tileRect/>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tileRect/>
        </a:gradFill>
      </a:fillStyleLst>
      <a:lnStyleLst>
        <a:ln w="6350" cmpd="sng" algn="ctr">
          <a:solidFill>
            <a:schemeClr val="phClr"/>
          </a:solidFill>
          <a:prstDash val="solid"/>
          <a:miter lim="800000"/>
        </a:ln>
        <a:ln w="12700" cmpd="sng" algn="ctr">
          <a:solidFill>
            <a:schemeClr val="phClr"/>
          </a:solidFill>
          <a:prstDash val="solid"/>
          <a:miter lim="800000"/>
        </a:ln>
        <a:ln w="19050"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tileRect/>
        </a:gradFill>
      </a:bgFillStyleLst>
    </a:fmtScheme>
  </a:themeElements>
</a:theme>
</file>

<file path=customXml/_rels/item1.xml.rels>&#65279;<?xml version="1.0" encoding="utf-8"?><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7ddef-3852-491e-abf4-6ed928f43885}">
  <ds:schemaRefs>
    <ds:schemaRef ds:uri="http://schemas.microsoft.com/vsto/samples"/>
  </ds:schemaRefs>
</ds:datastoreItem>
</file>

<file path=docProps/app.xml><?xml version="1.0" encoding="utf-8"?>
<Properties xmlns="http://schemas.openxmlformats.org/officeDocument/2006/extended-properties">
  <Application>DevExpress Office File API/24.1.6.0</Application>
  <AppVersion>24.1</AppVersion>
  <Template>Normal</Template>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Muhammed Atif Sajid Banglawala</dc:creator>
  <dcterms:created xsi:type="dcterms:W3CDTF">2026-03-26T22:48:33Z</dcterms:created>
  <cp:lastModifiedBy>Muhammed Atif Sajid Banglawala</cp:lastModifiedBy>
  <dcterms:modified xsi:type="dcterms:W3CDTF">2026-03-26T22:48:33Z</dcterms:modified>
  <cp:revision>2</cp:revision>
</cp:coreProperties>
</file>