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9FB6B" w14:textId="77777777" w:rsidR="00A9584A" w:rsidRPr="0025155E" w:rsidRDefault="00A9584A" w:rsidP="00A9584A">
      <w:pPr>
        <w:pStyle w:val="ListParagraph"/>
        <w:tabs>
          <w:tab w:val="left" w:pos="-1440"/>
          <w:tab w:val="left" w:pos="-720"/>
          <w:tab w:val="left" w:pos="0"/>
        </w:tabs>
        <w:suppressAutoHyphens/>
        <w:spacing w:line="240" w:lineRule="atLeast"/>
        <w:ind w:left="0"/>
        <w:jc w:val="both"/>
        <w:rPr>
          <w:rFonts w:ascii="Calibri" w:hAnsi="Calibri" w:cs="Times"/>
          <w:spacing w:val="-3"/>
        </w:rPr>
      </w:pPr>
      <w:r w:rsidRPr="0072294A">
        <w:rPr>
          <w:rFonts w:ascii="Calibri" w:hAnsi="Calibri"/>
        </w:rPr>
        <w:t>T</w:t>
      </w:r>
      <w:r w:rsidRPr="0025155E">
        <w:rPr>
          <w:rFonts w:ascii="Calibri" w:hAnsi="Calibri" w:cs="Times"/>
          <w:spacing w:val="-3"/>
        </w:rPr>
        <w:t xml:space="preserve">here are evidently four kinds of monks. The first </w:t>
      </w:r>
      <w:r w:rsidRPr="00CD3773">
        <w:rPr>
          <w:rFonts w:ascii="Calibri" w:hAnsi="Calibri" w:cs="Times"/>
          <w:noProof/>
          <w:spacing w:val="-3"/>
        </w:rPr>
        <w:t>are</w:t>
      </w:r>
      <w:r w:rsidRPr="0025155E">
        <w:rPr>
          <w:rFonts w:ascii="Calibri" w:hAnsi="Calibri" w:cs="Times"/>
          <w:spacing w:val="-3"/>
        </w:rPr>
        <w:t xml:space="preserve"> the </w:t>
      </w:r>
      <w:proofErr w:type="spellStart"/>
      <w:r w:rsidRPr="0025155E">
        <w:rPr>
          <w:rFonts w:ascii="Calibri" w:hAnsi="Calibri" w:cs="Times"/>
          <w:spacing w:val="-3"/>
        </w:rPr>
        <w:t>Cenobites</w:t>
      </w:r>
      <w:proofErr w:type="spellEnd"/>
      <w:r w:rsidRPr="0025155E">
        <w:rPr>
          <w:rFonts w:ascii="Calibri" w:hAnsi="Calibri" w:cs="Times"/>
          <w:spacing w:val="-3"/>
        </w:rPr>
        <w:t xml:space="preserve">, that is, those who live in monasteries, serving under a Rule and an abbot. The second </w:t>
      </w:r>
      <w:r w:rsidRPr="00CD3773">
        <w:rPr>
          <w:rFonts w:ascii="Calibri" w:hAnsi="Calibri" w:cs="Times"/>
          <w:noProof/>
          <w:spacing w:val="-3"/>
        </w:rPr>
        <w:t>are</w:t>
      </w:r>
      <w:r w:rsidRPr="0025155E">
        <w:rPr>
          <w:rFonts w:ascii="Calibri" w:hAnsi="Calibri" w:cs="Times"/>
          <w:spacing w:val="-3"/>
        </w:rPr>
        <w:t xml:space="preserve"> </w:t>
      </w:r>
      <w:r>
        <w:rPr>
          <w:rFonts w:ascii="Calibri" w:hAnsi="Calibri" w:cs="Times"/>
          <w:spacing w:val="-3"/>
        </w:rPr>
        <w:t xml:space="preserve">the anchorites or hermits, that is </w:t>
      </w:r>
      <w:r w:rsidRPr="0025155E">
        <w:rPr>
          <w:rFonts w:ascii="Calibri" w:hAnsi="Calibri" w:cs="Times"/>
          <w:spacing w:val="-3"/>
        </w:rPr>
        <w:t>those who not in the first fervour of their conversion, but after long probation in a monastery, having learned in association with many brethren how to fight against the devil, go out well armed from the ranks of the community to the solitary combat of the desert. They are able now to live without the help of others, and by their own strength and God’s assistance, to fight against the temptation of mind and body.</w:t>
      </w:r>
    </w:p>
    <w:p w14:paraId="0FDF086C" w14:textId="77777777" w:rsidR="00A9584A" w:rsidRDefault="00A9584A" w:rsidP="00A9584A">
      <w:pPr>
        <w:tabs>
          <w:tab w:val="left" w:pos="-1440"/>
          <w:tab w:val="left" w:pos="-720"/>
          <w:tab w:val="left" w:pos="0"/>
        </w:tabs>
        <w:suppressAutoHyphens/>
        <w:spacing w:line="240" w:lineRule="atLeast"/>
        <w:ind w:left="720" w:hanging="360"/>
        <w:jc w:val="both"/>
        <w:rPr>
          <w:rFonts w:ascii="Calibri" w:hAnsi="Calibri" w:cs="Times"/>
          <w:i/>
          <w:iCs/>
          <w:spacing w:val="-3"/>
        </w:rPr>
      </w:pPr>
      <w:r>
        <w:rPr>
          <w:rFonts w:ascii="Calibri" w:hAnsi="Calibri" w:cs="Times"/>
          <w:spacing w:val="-3"/>
        </w:rPr>
        <w:tab/>
      </w:r>
      <w:r>
        <w:rPr>
          <w:rFonts w:ascii="Calibri" w:hAnsi="Calibri" w:cs="Times"/>
          <w:spacing w:val="-3"/>
        </w:rPr>
        <w:tab/>
        <w:t>(</w:t>
      </w:r>
      <w:r>
        <w:rPr>
          <w:rFonts w:ascii="Calibri" w:hAnsi="Calibri" w:cs="Times"/>
          <w:i/>
          <w:spacing w:val="-3"/>
        </w:rPr>
        <w:t>Rule of St Benedict</w:t>
      </w:r>
      <w:r>
        <w:rPr>
          <w:rFonts w:ascii="Calibri" w:hAnsi="Calibri" w:cs="Times"/>
          <w:iCs/>
          <w:spacing w:val="-3"/>
        </w:rPr>
        <w:t>)</w:t>
      </w:r>
    </w:p>
    <w:p w14:paraId="7A52D4D2" w14:textId="77777777" w:rsidR="00953A52" w:rsidRPr="00953A52" w:rsidRDefault="00953A52" w:rsidP="002179D5">
      <w:pPr>
        <w:spacing w:line="360" w:lineRule="auto"/>
        <w:jc w:val="both"/>
      </w:pPr>
    </w:p>
    <w:p w14:paraId="56BB8854" w14:textId="77777777" w:rsidR="00953A52" w:rsidRPr="00953A52" w:rsidRDefault="00953A52" w:rsidP="002179D5">
      <w:pPr>
        <w:spacing w:line="360" w:lineRule="auto"/>
        <w:jc w:val="both"/>
      </w:pPr>
    </w:p>
    <w:p w14:paraId="7369EB15" w14:textId="77777777" w:rsidR="00953A52" w:rsidRPr="00953A52" w:rsidRDefault="00953A52" w:rsidP="002179D5">
      <w:pPr>
        <w:spacing w:line="360" w:lineRule="auto"/>
        <w:jc w:val="both"/>
      </w:pPr>
    </w:p>
    <w:p w14:paraId="416C8C66" w14:textId="77777777" w:rsidR="005B77D3" w:rsidRPr="004257C7" w:rsidRDefault="00A9584A" w:rsidP="002179D5">
      <w:pPr>
        <w:spacing w:after="240" w:line="360" w:lineRule="auto"/>
        <w:jc w:val="both"/>
      </w:pPr>
      <w:r>
        <w:tab/>
      </w:r>
      <w:r w:rsidRPr="004257C7">
        <w:t xml:space="preserve">The </w:t>
      </w:r>
      <w:r w:rsidRPr="004257C7">
        <w:rPr>
          <w:i/>
        </w:rPr>
        <w:t>Rule of Saint Benedict</w:t>
      </w:r>
      <w:r w:rsidRPr="004257C7">
        <w:t xml:space="preserve"> was fundamental for the Cistercian way of devout life, after their creation at the very end of the Eleventh century. The </w:t>
      </w:r>
      <w:r w:rsidR="00C43B2B">
        <w:t>Rule itself was</w:t>
      </w:r>
      <w:r w:rsidRPr="004257C7">
        <w:t xml:space="preserve"> written by Saint Benedict</w:t>
      </w:r>
      <w:r w:rsidR="00C43B2B">
        <w:t xml:space="preserve"> of </w:t>
      </w:r>
      <w:proofErr w:type="spellStart"/>
      <w:r w:rsidR="00C43B2B">
        <w:t>Nursia</w:t>
      </w:r>
      <w:proofErr w:type="spellEnd"/>
      <w:r w:rsidRPr="004257C7">
        <w:t xml:space="preserve">, a devout man who lived during the late fifth to mid-sixth centuries, </w:t>
      </w:r>
      <w:r w:rsidR="00E03282" w:rsidRPr="00E03282">
        <w:t>a period of rapid growth for the Church and Christianity</w:t>
      </w:r>
      <w:r w:rsidRPr="00E03282">
        <w:t>.</w:t>
      </w:r>
      <w:r w:rsidRPr="004257C7">
        <w:t xml:space="preserve"> The information surroun</w:t>
      </w:r>
      <w:r w:rsidR="005B77D3" w:rsidRPr="004257C7">
        <w:t xml:space="preserve">ding the life of Saint Benedict comes from the </w:t>
      </w:r>
      <w:r w:rsidR="005B77D3" w:rsidRPr="004257C7">
        <w:rPr>
          <w:i/>
        </w:rPr>
        <w:t>Life of St Benedict</w:t>
      </w:r>
      <w:r w:rsidR="005B77D3" w:rsidRPr="004257C7">
        <w:t>, which was written by Pope Gregory the Great some fif</w:t>
      </w:r>
      <w:r w:rsidR="000912D3">
        <w:t>ty years after the death of S</w:t>
      </w:r>
      <w:r w:rsidR="005B77D3" w:rsidRPr="004257C7">
        <w:t xml:space="preserve">t Benedict himself. The extract above displays the level of detail found within the text itself, yet clearly, the text is not without </w:t>
      </w:r>
      <w:r w:rsidR="005B77D3" w:rsidRPr="004257C7">
        <w:rPr>
          <w:noProof/>
        </w:rPr>
        <w:t>i</w:t>
      </w:r>
      <w:r w:rsidR="00CD3773" w:rsidRPr="004257C7">
        <w:rPr>
          <w:noProof/>
        </w:rPr>
        <w:t>t</w:t>
      </w:r>
      <w:r w:rsidR="005B77D3" w:rsidRPr="004257C7">
        <w:rPr>
          <w:noProof/>
        </w:rPr>
        <w:t>s</w:t>
      </w:r>
      <w:r w:rsidR="005B77D3" w:rsidRPr="004257C7">
        <w:t xml:space="preserve"> biases. From the extract alone, it is clear that S</w:t>
      </w:r>
      <w:r w:rsidR="000912D3">
        <w:t>ain</w:t>
      </w:r>
      <w:r w:rsidR="005B77D3" w:rsidRPr="004257C7">
        <w:t>t Benedict was very well informed regarding the monastic practices and variations in existence, however, the extract also shows how S</w:t>
      </w:r>
      <w:r w:rsidR="000912D3">
        <w:t>ain</w:t>
      </w:r>
      <w:r w:rsidR="005B77D3" w:rsidRPr="004257C7">
        <w:t xml:space="preserve">t Benedict clearly viewed some examples of monastic worship </w:t>
      </w:r>
      <w:r w:rsidR="003062A9" w:rsidRPr="004257C7">
        <w:t>with</w:t>
      </w:r>
      <w:r w:rsidR="005B77D3" w:rsidRPr="004257C7">
        <w:t xml:space="preserve"> a higher regard than others. </w:t>
      </w:r>
    </w:p>
    <w:p w14:paraId="7C5303FC" w14:textId="77777777" w:rsidR="005B77D3" w:rsidRPr="004257C7" w:rsidRDefault="005B77D3" w:rsidP="002179D5">
      <w:pPr>
        <w:spacing w:after="240" w:line="360" w:lineRule="auto"/>
        <w:ind w:firstLine="720"/>
        <w:jc w:val="both"/>
      </w:pPr>
      <w:r w:rsidRPr="004257C7">
        <w:t xml:space="preserve">Oddly, the </w:t>
      </w:r>
      <w:r w:rsidR="0021759F" w:rsidRPr="004257C7">
        <w:t>earliest</w:t>
      </w:r>
      <w:r w:rsidRPr="004257C7">
        <w:t xml:space="preserve"> </w:t>
      </w:r>
      <w:r w:rsidR="00273368" w:rsidRPr="004257C7">
        <w:t xml:space="preserve">of this type of </w:t>
      </w:r>
      <w:r w:rsidRPr="004257C7">
        <w:t xml:space="preserve">monastic worship does not </w:t>
      </w:r>
      <w:r w:rsidR="003062A9" w:rsidRPr="004257C7">
        <w:t>precede</w:t>
      </w:r>
      <w:r w:rsidRPr="004257C7">
        <w:t xml:space="preserve"> S</w:t>
      </w:r>
      <w:r w:rsidR="000912D3">
        <w:t>ain</w:t>
      </w:r>
      <w:r w:rsidRPr="004257C7">
        <w:t>t Benedict’s list of the four kinds of monks. First, he explains and identifie</w:t>
      </w:r>
      <w:r w:rsidR="0021759F" w:rsidRPr="004257C7">
        <w:t xml:space="preserve">s the later, communal monks, known as the </w:t>
      </w:r>
      <w:proofErr w:type="spellStart"/>
      <w:r w:rsidR="0021759F" w:rsidRPr="004257C7">
        <w:t>Cenobites</w:t>
      </w:r>
      <w:proofErr w:type="spellEnd"/>
      <w:r w:rsidR="0021759F" w:rsidRPr="004257C7">
        <w:t>, who</w:t>
      </w:r>
      <w:r w:rsidRPr="004257C7">
        <w:t xml:space="preserve"> </w:t>
      </w:r>
      <w:r w:rsidR="003062A9" w:rsidRPr="004257C7">
        <w:rPr>
          <w:noProof/>
        </w:rPr>
        <w:t>practi</w:t>
      </w:r>
      <w:r w:rsidR="0078481D" w:rsidRPr="004257C7">
        <w:rPr>
          <w:noProof/>
        </w:rPr>
        <w:t>s</w:t>
      </w:r>
      <w:r w:rsidR="003062A9" w:rsidRPr="004257C7">
        <w:rPr>
          <w:noProof/>
        </w:rPr>
        <w:t>ed</w:t>
      </w:r>
      <w:r w:rsidR="003062A9" w:rsidRPr="004257C7">
        <w:t xml:space="preserve"> the teachings of Christianity</w:t>
      </w:r>
      <w:r w:rsidRPr="004257C7">
        <w:t xml:space="preserve"> within monasteries and abbeys, where the monks are governed by </w:t>
      </w:r>
      <w:r w:rsidR="00C2498D" w:rsidRPr="004257C7">
        <w:t>a more senior devotee, the a</w:t>
      </w:r>
      <w:r w:rsidR="0021759F" w:rsidRPr="004257C7">
        <w:t>bbot</w:t>
      </w:r>
      <w:r w:rsidR="003062A9" w:rsidRPr="004257C7">
        <w:t>, rather than in isolation</w:t>
      </w:r>
      <w:r w:rsidR="0021759F" w:rsidRPr="004257C7">
        <w:t>.</w:t>
      </w:r>
      <w:r w:rsidR="00273368" w:rsidRPr="004257C7">
        <w:t xml:space="preserve"> This type of worship was seen within Egyptian monasticism, where, although the individuals were exercising a solitary devotional lifestyle, communal gatherings for prayer and other matters </w:t>
      </w:r>
      <w:r w:rsidR="00273368" w:rsidRPr="004257C7">
        <w:rPr>
          <w:noProof/>
        </w:rPr>
        <w:t>w</w:t>
      </w:r>
      <w:r w:rsidR="00CD3773" w:rsidRPr="004257C7">
        <w:rPr>
          <w:noProof/>
        </w:rPr>
        <w:t>ere</w:t>
      </w:r>
      <w:r w:rsidR="00273368" w:rsidRPr="004257C7">
        <w:t xml:space="preserve"> common.</w:t>
      </w:r>
      <w:r w:rsidR="00273368" w:rsidRPr="004257C7">
        <w:rPr>
          <w:rStyle w:val="FootnoteReference"/>
        </w:rPr>
        <w:footnoteReference w:id="1"/>
      </w:r>
      <w:r w:rsidR="00C2498D" w:rsidRPr="004257C7">
        <w:t xml:space="preserve"> The </w:t>
      </w:r>
      <w:r w:rsidR="00C2498D" w:rsidRPr="004257C7">
        <w:rPr>
          <w:noProof/>
        </w:rPr>
        <w:t>Cenobites</w:t>
      </w:r>
      <w:r w:rsidR="00C2498D" w:rsidRPr="004257C7">
        <w:t xml:space="preserve"> were founded by Pachomius the Great in the fourth century.</w:t>
      </w:r>
      <w:r w:rsidR="003062A9" w:rsidRPr="004257C7">
        <w:rPr>
          <w:rStyle w:val="FootnoteReference"/>
        </w:rPr>
        <w:footnoteReference w:id="2"/>
      </w:r>
      <w:r w:rsidR="00C2498D" w:rsidRPr="004257C7">
        <w:t xml:space="preserve"> The </w:t>
      </w:r>
      <w:proofErr w:type="spellStart"/>
      <w:r w:rsidR="00273368" w:rsidRPr="004257C7">
        <w:t>Cenobites</w:t>
      </w:r>
      <w:proofErr w:type="spellEnd"/>
      <w:r w:rsidR="00273368" w:rsidRPr="004257C7">
        <w:t xml:space="preserve">, </w:t>
      </w:r>
      <w:r w:rsidR="003062A9" w:rsidRPr="004257C7">
        <w:t>to whom Benedict is referring</w:t>
      </w:r>
      <w:r w:rsidR="00273368" w:rsidRPr="004257C7">
        <w:t>, lived a much more co</w:t>
      </w:r>
      <w:r w:rsidR="00C2498D" w:rsidRPr="004257C7">
        <w:t xml:space="preserve">mmunal life, which in turn provided mutual </w:t>
      </w:r>
      <w:r w:rsidR="00C2498D" w:rsidRPr="004257C7">
        <w:rPr>
          <w:noProof/>
        </w:rPr>
        <w:t>support</w:t>
      </w:r>
      <w:r w:rsidR="00C2498D" w:rsidRPr="004257C7">
        <w:t xml:space="preserve"> and safety for those involved. </w:t>
      </w:r>
      <w:r w:rsidR="003062A9" w:rsidRPr="004257C7">
        <w:t>This becomes much more important in the 10</w:t>
      </w:r>
      <w:r w:rsidR="003062A9" w:rsidRPr="004257C7">
        <w:rPr>
          <w:vertAlign w:val="superscript"/>
        </w:rPr>
        <w:t>th</w:t>
      </w:r>
      <w:r w:rsidR="003062A9" w:rsidRPr="004257C7">
        <w:t xml:space="preserve"> and 11</w:t>
      </w:r>
      <w:r w:rsidR="003062A9" w:rsidRPr="004257C7">
        <w:rPr>
          <w:vertAlign w:val="superscript"/>
        </w:rPr>
        <w:t>th</w:t>
      </w:r>
      <w:r w:rsidR="003062A9" w:rsidRPr="004257C7">
        <w:t xml:space="preserve"> centuries with the Viking and Hungarian raids throughout </w:t>
      </w:r>
      <w:r w:rsidR="002179D5">
        <w:lastRenderedPageBreak/>
        <w:t>Europe, w</w:t>
      </w:r>
      <w:r w:rsidR="0078481D" w:rsidRPr="004257C7">
        <w:t>here, although the monks were able to rely on one another, they become easy targets for raiders.</w:t>
      </w:r>
    </w:p>
    <w:p w14:paraId="17CCE012" w14:textId="77777777" w:rsidR="00E428C8" w:rsidRPr="004257C7" w:rsidRDefault="00E428C8" w:rsidP="002179D5">
      <w:pPr>
        <w:spacing w:after="240" w:line="360" w:lineRule="auto"/>
        <w:ind w:firstLine="720"/>
        <w:jc w:val="both"/>
      </w:pPr>
      <w:r w:rsidRPr="004257C7">
        <w:t xml:space="preserve">Benedict then goes on to mention two other types of monks, the </w:t>
      </w:r>
      <w:proofErr w:type="spellStart"/>
      <w:r w:rsidRPr="004257C7">
        <w:t>Sarabites</w:t>
      </w:r>
      <w:proofErr w:type="spellEnd"/>
      <w:r w:rsidRPr="004257C7">
        <w:t xml:space="preserve"> and the </w:t>
      </w:r>
      <w:proofErr w:type="spellStart"/>
      <w:r w:rsidRPr="004257C7">
        <w:t>Gyrovagues</w:t>
      </w:r>
      <w:proofErr w:type="spellEnd"/>
      <w:r w:rsidRPr="004257C7">
        <w:t>.</w:t>
      </w:r>
      <w:r w:rsidR="00E03282">
        <w:rPr>
          <w:rStyle w:val="FootnoteReference"/>
        </w:rPr>
        <w:footnoteReference w:id="3"/>
      </w:r>
      <w:r w:rsidRPr="004257C7">
        <w:t xml:space="preserve"> Although not shown in the extract above, they serve as an excellent example for Benedict’s admiration for abbots and the Rule, by display</w:t>
      </w:r>
      <w:r w:rsidR="002179D5">
        <w:t>ing how</w:t>
      </w:r>
      <w:r w:rsidRPr="004257C7">
        <w:t xml:space="preserve"> these latter two examples follow no structure</w:t>
      </w:r>
      <w:r w:rsidR="002179D5">
        <w:t>d</w:t>
      </w:r>
      <w:r w:rsidRPr="004257C7">
        <w:t xml:space="preserve"> Rule</w:t>
      </w:r>
      <w:r w:rsidR="002179D5">
        <w:t>,</w:t>
      </w:r>
      <w:r w:rsidRPr="004257C7">
        <w:t xml:space="preserve"> and fail to live in either solitude or as a part of a </w:t>
      </w:r>
      <w:r w:rsidRPr="0019300C">
        <w:rPr>
          <w:noProof/>
        </w:rPr>
        <w:t>w</w:t>
      </w:r>
      <w:r w:rsidR="00E9195D" w:rsidRPr="0019300C">
        <w:rPr>
          <w:noProof/>
        </w:rPr>
        <w:t>ell</w:t>
      </w:r>
      <w:r w:rsidR="0019300C">
        <w:rPr>
          <w:noProof/>
        </w:rPr>
        <w:t>-</w:t>
      </w:r>
      <w:r w:rsidR="00E9195D" w:rsidRPr="0019300C">
        <w:rPr>
          <w:noProof/>
        </w:rPr>
        <w:t>formed</w:t>
      </w:r>
      <w:r w:rsidR="00E9195D" w:rsidRPr="004257C7">
        <w:t xml:space="preserve"> religious community.</w:t>
      </w:r>
      <w:r w:rsidR="00E9195D" w:rsidRPr="004257C7">
        <w:rPr>
          <w:rStyle w:val="FootnoteReference"/>
        </w:rPr>
        <w:footnoteReference w:id="4"/>
      </w:r>
    </w:p>
    <w:p w14:paraId="29BCE064" w14:textId="77777777" w:rsidR="00273368" w:rsidRPr="004257C7" w:rsidRDefault="00C2498D" w:rsidP="002179D5">
      <w:pPr>
        <w:spacing w:after="240" w:line="360" w:lineRule="auto"/>
        <w:jc w:val="both"/>
      </w:pPr>
      <w:r w:rsidRPr="004257C7">
        <w:tab/>
      </w:r>
      <w:r w:rsidR="00CD3773" w:rsidRPr="004257C7">
        <w:t xml:space="preserve">Within the extract above, </w:t>
      </w:r>
      <w:r w:rsidRPr="004257C7">
        <w:t xml:space="preserve">St Benedict </w:t>
      </w:r>
      <w:r w:rsidR="00CD3773" w:rsidRPr="004257C7">
        <w:t>does not provide</w:t>
      </w:r>
      <w:r w:rsidRPr="004257C7">
        <w:t xml:space="preserve"> a detailed description of the </w:t>
      </w:r>
      <w:proofErr w:type="spellStart"/>
      <w:r w:rsidRPr="004257C7">
        <w:t>Cenobites</w:t>
      </w:r>
      <w:proofErr w:type="spellEnd"/>
      <w:r w:rsidR="00CD3773" w:rsidRPr="004257C7">
        <w:t xml:space="preserve"> themselves, nor their practices. </w:t>
      </w:r>
      <w:r w:rsidR="00CD3773" w:rsidRPr="004257C7">
        <w:rPr>
          <w:noProof/>
        </w:rPr>
        <w:t>I</w:t>
      </w:r>
      <w:r w:rsidRPr="004257C7">
        <w:rPr>
          <w:noProof/>
        </w:rPr>
        <w:t>nstead</w:t>
      </w:r>
      <w:r w:rsidR="0078481D" w:rsidRPr="004257C7">
        <w:rPr>
          <w:noProof/>
        </w:rPr>
        <w:t>,</w:t>
      </w:r>
      <w:r w:rsidRPr="004257C7">
        <w:t xml:space="preserve"> choosing only to state that they</w:t>
      </w:r>
      <w:r w:rsidR="0078481D" w:rsidRPr="004257C7">
        <w:t xml:space="preserve"> would</w:t>
      </w:r>
      <w:r w:rsidRPr="004257C7">
        <w:t xml:space="preserve"> ‘[serve] under a Rule and an abbot’. From </w:t>
      </w:r>
      <w:r w:rsidRPr="004257C7">
        <w:rPr>
          <w:noProof/>
        </w:rPr>
        <w:t>this</w:t>
      </w:r>
      <w:r w:rsidR="00CD3773" w:rsidRPr="004257C7">
        <w:rPr>
          <w:noProof/>
        </w:rPr>
        <w:t>,</w:t>
      </w:r>
      <w:r w:rsidRPr="004257C7">
        <w:t xml:space="preserve"> it can be inferred that </w:t>
      </w:r>
      <w:r w:rsidR="00CD3773" w:rsidRPr="004257C7">
        <w:t>this type of religious devotion was common and therefor</w:t>
      </w:r>
      <w:r w:rsidR="00675569" w:rsidRPr="004257C7">
        <w:t>e</w:t>
      </w:r>
      <w:r w:rsidR="00CD3773" w:rsidRPr="004257C7">
        <w:t xml:space="preserve"> did not require further explanation on his part, </w:t>
      </w:r>
      <w:r w:rsidR="0078481D" w:rsidRPr="004257C7">
        <w:t>as opposed to</w:t>
      </w:r>
      <w:r w:rsidR="00CD3773" w:rsidRPr="004257C7">
        <w:t xml:space="preserve"> the other types o</w:t>
      </w:r>
      <w:r w:rsidR="00685A4B">
        <w:t>f monastic life, such as the A</w:t>
      </w:r>
      <w:r w:rsidR="00CD3773" w:rsidRPr="004257C7">
        <w:t>nchorit</w:t>
      </w:r>
      <w:r w:rsidR="0078481D" w:rsidRPr="004257C7">
        <w:t>es, whose occurrence was less</w:t>
      </w:r>
      <w:r w:rsidR="00CD3773" w:rsidRPr="004257C7">
        <w:t xml:space="preserve"> common. </w:t>
      </w:r>
      <w:r w:rsidR="00675569" w:rsidRPr="004257C7">
        <w:t xml:space="preserve">Additionally, this does </w:t>
      </w:r>
      <w:r w:rsidR="007102A2" w:rsidRPr="004257C7">
        <w:t xml:space="preserve">show how </w:t>
      </w:r>
      <w:r w:rsidR="00675569" w:rsidRPr="004257C7">
        <w:t>the Rule was indeed more important to the order</w:t>
      </w:r>
      <w:r w:rsidR="0019300C">
        <w:t>,</w:t>
      </w:r>
      <w:r w:rsidR="00675569" w:rsidRPr="004257C7">
        <w:t xml:space="preserve"> </w:t>
      </w:r>
      <w:r w:rsidR="0019300C">
        <w:t xml:space="preserve">rather </w:t>
      </w:r>
      <w:r w:rsidR="00675569" w:rsidRPr="0019300C">
        <w:rPr>
          <w:noProof/>
        </w:rPr>
        <w:t>than</w:t>
      </w:r>
      <w:r w:rsidR="00675569" w:rsidRPr="004257C7">
        <w:t xml:space="preserve"> the abbot</w:t>
      </w:r>
      <w:r w:rsidR="0078481D" w:rsidRPr="004257C7">
        <w:t xml:space="preserve"> himself, who was simply </w:t>
      </w:r>
      <w:r w:rsidR="0078481D" w:rsidRPr="004257C7">
        <w:rPr>
          <w:noProof/>
        </w:rPr>
        <w:t>a leader and advisor for the monks</w:t>
      </w:r>
      <w:r w:rsidR="00675569" w:rsidRPr="004257C7">
        <w:rPr>
          <w:noProof/>
        </w:rPr>
        <w:t>,</w:t>
      </w:r>
      <w:r w:rsidR="00675569" w:rsidRPr="004257C7">
        <w:t xml:space="preserve"> which is </w:t>
      </w:r>
      <w:r w:rsidR="0078481D" w:rsidRPr="004257C7">
        <w:t>significant</w:t>
      </w:r>
      <w:r w:rsidR="00675569" w:rsidRPr="004257C7">
        <w:t xml:space="preserve"> for the Cistercians, given their devotion to the Rule of St Benedict. This also indicated the understanding of the fact that the abbot could easily have been any selected member of the congregation</w:t>
      </w:r>
      <w:r w:rsidR="0078481D" w:rsidRPr="004257C7">
        <w:t xml:space="preserve"> or an equivalent individual from outside of the congregation</w:t>
      </w:r>
      <w:r w:rsidR="00675569" w:rsidRPr="004257C7">
        <w:t>, suggesting an intention of a purer community of monks.</w:t>
      </w:r>
    </w:p>
    <w:p w14:paraId="4DF92B9A" w14:textId="77777777" w:rsidR="00273368" w:rsidRPr="004257C7" w:rsidRDefault="00273368" w:rsidP="002179D5">
      <w:pPr>
        <w:spacing w:after="240" w:line="360" w:lineRule="auto"/>
        <w:jc w:val="both"/>
        <w:rPr>
          <w:spacing w:val="-3"/>
        </w:rPr>
      </w:pPr>
      <w:r w:rsidRPr="004257C7">
        <w:tab/>
        <w:t xml:space="preserve">The idea of an isolated religious </w:t>
      </w:r>
      <w:r w:rsidRPr="004257C7">
        <w:rPr>
          <w:noProof/>
        </w:rPr>
        <w:t>devotional</w:t>
      </w:r>
      <w:r w:rsidRPr="004257C7">
        <w:t xml:space="preserve"> </w:t>
      </w:r>
      <w:r w:rsidR="00CD3773" w:rsidRPr="004257C7">
        <w:t xml:space="preserve">life </w:t>
      </w:r>
      <w:r w:rsidR="000912D3">
        <w:t xml:space="preserve">has often been noted as a rarer, and arguably more difficult, </w:t>
      </w:r>
      <w:r w:rsidRPr="004257C7">
        <w:t xml:space="preserve">type of monastic life, given that </w:t>
      </w:r>
      <w:r w:rsidR="0078481D" w:rsidRPr="004257C7">
        <w:t>even early t</w:t>
      </w:r>
      <w:r w:rsidR="000912D3">
        <w:t>hinkers, such as the philosopher</w:t>
      </w:r>
      <w:r w:rsidR="0078481D" w:rsidRPr="004257C7">
        <w:t xml:space="preserve"> Aristotle,</w:t>
      </w:r>
      <w:r w:rsidRPr="004257C7">
        <w:t xml:space="preserve"> have stated how ‘Man is a social animal.’</w:t>
      </w:r>
      <w:r w:rsidRPr="004257C7">
        <w:rPr>
          <w:rStyle w:val="FootnoteReference"/>
        </w:rPr>
        <w:footnoteReference w:id="5"/>
      </w:r>
      <w:r w:rsidR="00F13681" w:rsidRPr="004257C7">
        <w:t xml:space="preserve">, the idea of a solitary, devotional life, was not </w:t>
      </w:r>
      <w:r w:rsidR="0019300C">
        <w:rPr>
          <w:noProof/>
        </w:rPr>
        <w:t>suitable</w:t>
      </w:r>
      <w:r w:rsidR="00F13681" w:rsidRPr="004257C7">
        <w:t xml:space="preserve"> for every religious individual.</w:t>
      </w:r>
      <w:r w:rsidR="00675569" w:rsidRPr="004257C7">
        <w:t xml:space="preserve"> It is </w:t>
      </w:r>
      <w:r w:rsidR="002179D5" w:rsidRPr="004257C7">
        <w:t>p</w:t>
      </w:r>
      <w:r w:rsidR="002179D5">
        <w:t>lausible</w:t>
      </w:r>
      <w:r w:rsidR="00675569" w:rsidRPr="004257C7">
        <w:t xml:space="preserve"> to suggest that St Benedict would have witnessed some</w:t>
      </w:r>
      <w:r w:rsidR="00F13681" w:rsidRPr="004257C7">
        <w:t>, if not many,</w:t>
      </w:r>
      <w:r w:rsidR="00685A4B">
        <w:t xml:space="preserve"> A</w:t>
      </w:r>
      <w:r w:rsidR="00675569" w:rsidRPr="004257C7">
        <w:t xml:space="preserve">nchorites, more commonly known as hermits, and </w:t>
      </w:r>
      <w:r w:rsidR="002179D5">
        <w:t>thus appears</w:t>
      </w:r>
      <w:r w:rsidR="00675569" w:rsidRPr="004257C7">
        <w:t xml:space="preserve"> to hold a subtle respect for them</w:t>
      </w:r>
      <w:r w:rsidR="0078481D" w:rsidRPr="004257C7">
        <w:t>,</w:t>
      </w:r>
      <w:r w:rsidR="00675569" w:rsidRPr="004257C7">
        <w:t xml:space="preserve"> which is acknowledged within his writing. This becomes evident as he clearly felt the need to go into further detail surrounding the ways in which the hermits were trained to become so, and then progresses to allude to a real battle fought between good and evil, as he writes ‘…</w:t>
      </w:r>
      <w:r w:rsidR="00675569" w:rsidRPr="004257C7">
        <w:rPr>
          <w:spacing w:val="-3"/>
        </w:rPr>
        <w:t>go out well armed from the ranks of the community to the solitary combat of the desert’</w:t>
      </w:r>
      <w:r w:rsidR="00E03282">
        <w:rPr>
          <w:rStyle w:val="FootnoteReference"/>
          <w:spacing w:val="-3"/>
        </w:rPr>
        <w:footnoteReference w:id="6"/>
      </w:r>
      <w:r w:rsidR="003B72A0" w:rsidRPr="004257C7">
        <w:rPr>
          <w:spacing w:val="-3"/>
        </w:rPr>
        <w:t xml:space="preserve">, this portrays the hermits as true soldiers of </w:t>
      </w:r>
      <w:r w:rsidR="003B72A0" w:rsidRPr="004257C7">
        <w:rPr>
          <w:spacing w:val="-3"/>
        </w:rPr>
        <w:lastRenderedPageBreak/>
        <w:t xml:space="preserve">God, as opposed to the </w:t>
      </w:r>
      <w:proofErr w:type="spellStart"/>
      <w:r w:rsidR="003B72A0" w:rsidRPr="004257C7">
        <w:rPr>
          <w:spacing w:val="-3"/>
        </w:rPr>
        <w:t>Cenobites</w:t>
      </w:r>
      <w:proofErr w:type="spellEnd"/>
      <w:r w:rsidR="003B72A0" w:rsidRPr="004257C7">
        <w:rPr>
          <w:spacing w:val="-3"/>
        </w:rPr>
        <w:t xml:space="preserve">, who seemed to favour a more educational and communal lifestyle. </w:t>
      </w:r>
    </w:p>
    <w:p w14:paraId="6B0A9387" w14:textId="77777777" w:rsidR="00F13681" w:rsidRDefault="00763F4F" w:rsidP="002179D5">
      <w:pPr>
        <w:spacing w:after="240" w:line="360" w:lineRule="auto"/>
        <w:jc w:val="both"/>
        <w:rPr>
          <w:spacing w:val="-3"/>
        </w:rPr>
      </w:pPr>
      <w:r w:rsidRPr="004257C7">
        <w:rPr>
          <w:spacing w:val="-3"/>
        </w:rPr>
        <w:tab/>
      </w:r>
      <w:r w:rsidRPr="00685A4B">
        <w:rPr>
          <w:spacing w:val="-3"/>
        </w:rPr>
        <w:t>With such emphasis placed up</w:t>
      </w:r>
      <w:r w:rsidR="002B115F" w:rsidRPr="00685A4B">
        <w:rPr>
          <w:spacing w:val="-3"/>
        </w:rPr>
        <w:t>on the devotional lives of the A</w:t>
      </w:r>
      <w:r w:rsidRPr="00685A4B">
        <w:rPr>
          <w:spacing w:val="-3"/>
        </w:rPr>
        <w:t xml:space="preserve">nchorites, it becomes clear that </w:t>
      </w:r>
      <w:r w:rsidRPr="0019300C">
        <w:rPr>
          <w:noProof/>
          <w:spacing w:val="-3"/>
        </w:rPr>
        <w:t>Benedict</w:t>
      </w:r>
      <w:r w:rsidRPr="00685A4B">
        <w:rPr>
          <w:spacing w:val="-3"/>
        </w:rPr>
        <w:t xml:space="preserve"> would have known and admired the work of the Desert Fa</w:t>
      </w:r>
      <w:r w:rsidR="005431EB" w:rsidRPr="00685A4B">
        <w:rPr>
          <w:spacing w:val="-3"/>
        </w:rPr>
        <w:t>thers, such as St Macarius</w:t>
      </w:r>
      <w:r w:rsidRPr="00685A4B">
        <w:rPr>
          <w:spacing w:val="-3"/>
        </w:rPr>
        <w:t>.</w:t>
      </w:r>
      <w:r w:rsidR="005431EB" w:rsidRPr="00685A4B">
        <w:rPr>
          <w:rStyle w:val="FootnoteReference"/>
          <w:spacing w:val="-3"/>
        </w:rPr>
        <w:footnoteReference w:id="7"/>
      </w:r>
      <w:r w:rsidRPr="00685A4B">
        <w:rPr>
          <w:spacing w:val="-3"/>
        </w:rPr>
        <w:t xml:space="preserve"> </w:t>
      </w:r>
      <w:r w:rsidR="002B115F" w:rsidRPr="00685A4B">
        <w:rPr>
          <w:spacing w:val="-3"/>
        </w:rPr>
        <w:t xml:space="preserve">This idea of devotion within a </w:t>
      </w:r>
      <w:r w:rsidR="002B115F" w:rsidRPr="0019300C">
        <w:rPr>
          <w:noProof/>
          <w:spacing w:val="-3"/>
        </w:rPr>
        <w:t>desert</w:t>
      </w:r>
      <w:r w:rsidR="002B115F" w:rsidRPr="00685A4B">
        <w:rPr>
          <w:spacing w:val="-3"/>
        </w:rPr>
        <w:t xml:space="preserve"> holds clear links to the time spent by Christ within the desert, </w:t>
      </w:r>
      <w:r w:rsidR="00685A4B" w:rsidRPr="00685A4B">
        <w:rPr>
          <w:spacing w:val="-3"/>
        </w:rPr>
        <w:t xml:space="preserve">which </w:t>
      </w:r>
      <w:r w:rsidR="002179D5">
        <w:rPr>
          <w:spacing w:val="-3"/>
        </w:rPr>
        <w:t>potentially provides a more</w:t>
      </w:r>
      <w:r w:rsidR="00685A4B" w:rsidRPr="00685A4B">
        <w:rPr>
          <w:spacing w:val="-3"/>
        </w:rPr>
        <w:t xml:space="preserve"> sacred type of devotional life.</w:t>
      </w:r>
      <w:r w:rsidR="00685A4B" w:rsidRPr="00685A4B">
        <w:rPr>
          <w:rStyle w:val="FootnoteReference"/>
          <w:spacing w:val="-3"/>
        </w:rPr>
        <w:footnoteReference w:id="8"/>
      </w:r>
      <w:r w:rsidR="00685A4B" w:rsidRPr="00685A4B">
        <w:rPr>
          <w:spacing w:val="-3"/>
        </w:rPr>
        <w:t xml:space="preserve"> </w:t>
      </w:r>
      <w:r w:rsidR="00F13681" w:rsidRPr="00685A4B">
        <w:rPr>
          <w:spacing w:val="-3"/>
        </w:rPr>
        <w:t>The heightened sanctity of solitary devotion and worship does continue into later medieval versions of Christianity</w:t>
      </w:r>
      <w:r w:rsidR="00F13681" w:rsidRPr="004257C7">
        <w:rPr>
          <w:spacing w:val="-3"/>
        </w:rPr>
        <w:t xml:space="preserve">, this is, perhaps most strikingly displayed at </w:t>
      </w:r>
      <w:proofErr w:type="spellStart"/>
      <w:r w:rsidR="00F13681" w:rsidRPr="004257C7">
        <w:rPr>
          <w:spacing w:val="-3"/>
        </w:rPr>
        <w:t>Montmajour</w:t>
      </w:r>
      <w:proofErr w:type="spellEnd"/>
      <w:r w:rsidR="00F13681" w:rsidRPr="004257C7">
        <w:rPr>
          <w:spacing w:val="-3"/>
        </w:rPr>
        <w:t xml:space="preserve"> Abbey, a Benedictine abbey in the south of France, where although the monks lived and slept mainly in isolation, they were united within the grounds of a monastery, creating a communal hermitage, harking back to some of the earliest types of monks, the Egyptian hermits that met for prayer. This would suggest that the favour shown by Ben</w:t>
      </w:r>
      <w:r w:rsidR="002B115F">
        <w:rPr>
          <w:spacing w:val="-3"/>
        </w:rPr>
        <w:t>edict towards the A</w:t>
      </w:r>
      <w:r w:rsidR="00F13681" w:rsidRPr="004257C7">
        <w:rPr>
          <w:spacing w:val="-3"/>
        </w:rPr>
        <w:t xml:space="preserve">nchorites, within his Rule, continued to resonate well into the height of the </w:t>
      </w:r>
      <w:r w:rsidRPr="004257C7">
        <w:rPr>
          <w:spacing w:val="-3"/>
        </w:rPr>
        <w:t>middle a</w:t>
      </w:r>
      <w:r w:rsidR="00F13681" w:rsidRPr="004257C7">
        <w:rPr>
          <w:spacing w:val="-3"/>
        </w:rPr>
        <w:t xml:space="preserve">ges. </w:t>
      </w:r>
    </w:p>
    <w:p w14:paraId="0FCA810E" w14:textId="77777777" w:rsidR="005431EB" w:rsidRPr="00583A1F" w:rsidRDefault="004257C7" w:rsidP="002179D5">
      <w:pPr>
        <w:spacing w:after="240" w:line="360" w:lineRule="auto"/>
        <w:jc w:val="both"/>
        <w:rPr>
          <w:spacing w:val="-3"/>
        </w:rPr>
      </w:pPr>
      <w:r>
        <w:rPr>
          <w:spacing w:val="-3"/>
        </w:rPr>
        <w:tab/>
        <w:t>Finally, the extract contains some clear</w:t>
      </w:r>
      <w:r w:rsidR="00910C57">
        <w:rPr>
          <w:spacing w:val="-3"/>
        </w:rPr>
        <w:t>,</w:t>
      </w:r>
      <w:r>
        <w:rPr>
          <w:spacing w:val="-3"/>
        </w:rPr>
        <w:t xml:space="preserve"> military themed</w:t>
      </w:r>
      <w:r w:rsidR="00910C57">
        <w:rPr>
          <w:spacing w:val="-3"/>
        </w:rPr>
        <w:t>,</w:t>
      </w:r>
      <w:r>
        <w:rPr>
          <w:spacing w:val="-3"/>
        </w:rPr>
        <w:t xml:space="preserve"> ter</w:t>
      </w:r>
      <w:r w:rsidR="00910C57">
        <w:rPr>
          <w:spacing w:val="-3"/>
        </w:rPr>
        <w:t>ms, suggesting that St Benedict</w:t>
      </w:r>
      <w:r>
        <w:rPr>
          <w:spacing w:val="-3"/>
        </w:rPr>
        <w:t xml:space="preserve"> saw monks as the defenders of the Christian faith against evil. This </w:t>
      </w:r>
      <w:r w:rsidR="00583A1F">
        <w:rPr>
          <w:spacing w:val="-3"/>
        </w:rPr>
        <w:t xml:space="preserve">notion of a battle between good and evil was used by even the earliest monks, for </w:t>
      </w:r>
      <w:r w:rsidR="00583A1F" w:rsidRPr="0019300C">
        <w:rPr>
          <w:noProof/>
          <w:spacing w:val="-3"/>
        </w:rPr>
        <w:t>example</w:t>
      </w:r>
      <w:r w:rsidR="0019300C">
        <w:rPr>
          <w:noProof/>
          <w:spacing w:val="-3"/>
        </w:rPr>
        <w:t>,</w:t>
      </w:r>
      <w:r w:rsidR="00583A1F">
        <w:rPr>
          <w:spacing w:val="-3"/>
        </w:rPr>
        <w:t xml:space="preserve"> St. </w:t>
      </w:r>
      <w:r w:rsidR="005431EB" w:rsidRPr="004257C7">
        <w:t xml:space="preserve">Macarius </w:t>
      </w:r>
      <w:r w:rsidR="000912D3">
        <w:t>is said to have claimed</w:t>
      </w:r>
      <w:r w:rsidR="005431EB" w:rsidRPr="004257C7">
        <w:t xml:space="preserve"> that his fasting combats the devil, ‘your humility; that is why I cannot prevail against you.</w:t>
      </w:r>
      <w:r w:rsidR="005431EB" w:rsidRPr="004257C7">
        <w:rPr>
          <w:rStyle w:val="FootnoteReference"/>
        </w:rPr>
        <w:footnoteReference w:id="9"/>
      </w:r>
      <w:r w:rsidR="00583A1F">
        <w:t xml:space="preserve"> With this in mind, St. </w:t>
      </w:r>
      <w:proofErr w:type="spellStart"/>
      <w:r w:rsidR="00583A1F">
        <w:t>Benedicts</w:t>
      </w:r>
      <w:r w:rsidR="000912D3">
        <w:t>’</w:t>
      </w:r>
      <w:proofErr w:type="spellEnd"/>
      <w:r w:rsidR="00583A1F">
        <w:t xml:space="preserve"> reference to ‘the solitary combat of the desert’ not only conforms to Christs’ period of temptation within the </w:t>
      </w:r>
      <w:r w:rsidR="00583A1F" w:rsidRPr="0019300C">
        <w:rPr>
          <w:noProof/>
        </w:rPr>
        <w:t>desert</w:t>
      </w:r>
      <w:r w:rsidR="00583A1F">
        <w:t xml:space="preserve"> but also adheres to the Desert Fathers teachings surrounding the importance of the hermitic lifestyle.</w:t>
      </w:r>
    </w:p>
    <w:p w14:paraId="66C5B5D9" w14:textId="77777777" w:rsidR="005431EB" w:rsidRPr="004257C7" w:rsidRDefault="005431EB" w:rsidP="00CD3773">
      <w:pPr>
        <w:spacing w:line="360" w:lineRule="auto"/>
        <w:jc w:val="both"/>
      </w:pPr>
    </w:p>
    <w:p w14:paraId="49DE35C6" w14:textId="77777777" w:rsidR="005431EB" w:rsidRPr="004257C7" w:rsidRDefault="005431EB" w:rsidP="00CD3773">
      <w:pPr>
        <w:spacing w:line="360" w:lineRule="auto"/>
        <w:jc w:val="both"/>
      </w:pPr>
    </w:p>
    <w:p w14:paraId="6CC1D501" w14:textId="77777777" w:rsidR="005431EB" w:rsidRDefault="005431EB" w:rsidP="00CD3773">
      <w:pPr>
        <w:spacing w:line="360" w:lineRule="auto"/>
        <w:jc w:val="both"/>
      </w:pPr>
    </w:p>
    <w:p w14:paraId="63156CAA" w14:textId="77777777" w:rsidR="005431EB" w:rsidRDefault="005431EB" w:rsidP="00CD3773">
      <w:pPr>
        <w:spacing w:line="360" w:lineRule="auto"/>
        <w:jc w:val="both"/>
      </w:pPr>
    </w:p>
    <w:p w14:paraId="47F6A5C7" w14:textId="77777777" w:rsidR="00E03282" w:rsidRDefault="00E03282" w:rsidP="00CD3773">
      <w:pPr>
        <w:spacing w:line="360" w:lineRule="auto"/>
        <w:jc w:val="both"/>
      </w:pPr>
    </w:p>
    <w:p w14:paraId="5C428BF9" w14:textId="77777777" w:rsidR="00E03282" w:rsidRDefault="00E03282" w:rsidP="00CD3773">
      <w:pPr>
        <w:spacing w:line="360" w:lineRule="auto"/>
        <w:jc w:val="both"/>
      </w:pPr>
    </w:p>
    <w:p w14:paraId="0000B0A5" w14:textId="77777777" w:rsidR="00E03282" w:rsidRDefault="00E03282" w:rsidP="00CD3773">
      <w:pPr>
        <w:spacing w:line="360" w:lineRule="auto"/>
        <w:jc w:val="both"/>
      </w:pPr>
    </w:p>
    <w:p w14:paraId="35854D9C" w14:textId="77777777" w:rsidR="00E03282" w:rsidRDefault="00E03282" w:rsidP="00CD3773">
      <w:pPr>
        <w:spacing w:line="360" w:lineRule="auto"/>
        <w:jc w:val="both"/>
      </w:pPr>
    </w:p>
    <w:p w14:paraId="55FF1ED5" w14:textId="77777777" w:rsidR="000912D3" w:rsidRPr="00953A52" w:rsidRDefault="00953A52" w:rsidP="00CD3773">
      <w:pPr>
        <w:tabs>
          <w:tab w:val="left" w:pos="5595"/>
        </w:tabs>
        <w:spacing w:line="360" w:lineRule="auto"/>
        <w:jc w:val="both"/>
      </w:pPr>
      <w:r>
        <w:tab/>
      </w:r>
    </w:p>
    <w:sdt>
      <w:sdtPr>
        <w:rPr>
          <w:rFonts w:ascii="Times New Roman" w:eastAsia="Times New Roman" w:hAnsi="Times New Roman" w:cs="Times New Roman"/>
          <w:color w:val="auto"/>
          <w:sz w:val="24"/>
          <w:szCs w:val="24"/>
          <w:lang w:val="en-GB"/>
        </w:rPr>
        <w:id w:val="-1820643241"/>
        <w:docPartObj>
          <w:docPartGallery w:val="Bibliographies"/>
          <w:docPartUnique/>
        </w:docPartObj>
      </w:sdtPr>
      <w:sdtEndPr/>
      <w:sdtContent>
        <w:p w14:paraId="374EABBE" w14:textId="77777777" w:rsidR="00CD3773" w:rsidRPr="002179D5" w:rsidRDefault="00CD3773" w:rsidP="00E03282">
          <w:pPr>
            <w:pStyle w:val="Heading1"/>
            <w:spacing w:line="360" w:lineRule="auto"/>
            <w:jc w:val="both"/>
            <w:rPr>
              <w:sz w:val="36"/>
            </w:rPr>
          </w:pPr>
          <w:r w:rsidRPr="002179D5">
            <w:rPr>
              <w:sz w:val="36"/>
            </w:rPr>
            <w:t>Bibliography</w:t>
          </w:r>
        </w:p>
        <w:p w14:paraId="601F741C" w14:textId="77777777" w:rsidR="00CD3773" w:rsidRPr="00CD3773" w:rsidRDefault="00CD3773" w:rsidP="00E03282">
          <w:pPr>
            <w:spacing w:line="360" w:lineRule="auto"/>
            <w:jc w:val="both"/>
            <w:rPr>
              <w:u w:val="single"/>
            </w:rPr>
          </w:pPr>
          <w:r w:rsidRPr="00CD3773">
            <w:rPr>
              <w:u w:val="single"/>
            </w:rPr>
            <w:t>Primary Sources:</w:t>
          </w:r>
        </w:p>
        <w:p w14:paraId="31B63914" w14:textId="77777777" w:rsidR="001210BA" w:rsidRDefault="003062A9" w:rsidP="00E03282">
          <w:pPr>
            <w:spacing w:line="360" w:lineRule="auto"/>
            <w:jc w:val="both"/>
          </w:pPr>
          <w:r>
            <w:t xml:space="preserve">Aristotle, </w:t>
          </w:r>
          <w:r w:rsidRPr="0093623A">
            <w:rPr>
              <w:i/>
            </w:rPr>
            <w:t>Politics</w:t>
          </w:r>
          <w:r w:rsidR="001210BA">
            <w:t>, translated by H. Rackham, (London: William Heinemann Ltd, 1944).</w:t>
          </w:r>
        </w:p>
        <w:p w14:paraId="36B8851D" w14:textId="77777777" w:rsidR="00763F4F" w:rsidRDefault="00763F4F" w:rsidP="00E03282">
          <w:pPr>
            <w:spacing w:line="360" w:lineRule="auto"/>
            <w:jc w:val="both"/>
          </w:pPr>
          <w:r>
            <w:t xml:space="preserve">Matthew, 4:1-11. </w:t>
          </w:r>
        </w:p>
        <w:p w14:paraId="5FD782FF" w14:textId="77777777" w:rsidR="005431EB" w:rsidRDefault="005431EB" w:rsidP="00E03282">
          <w:pPr>
            <w:spacing w:line="360" w:lineRule="auto"/>
            <w:jc w:val="both"/>
          </w:pPr>
          <w:r>
            <w:rPr>
              <w:i/>
            </w:rPr>
            <w:t>The Desert Fathers</w:t>
          </w:r>
          <w:r w:rsidR="00874A96">
            <w:rPr>
              <w:i/>
            </w:rPr>
            <w:t>, Sayings of the Early Christian Monks</w:t>
          </w:r>
          <w:r>
            <w:t>, translated by B. Ward, (London: The Penguin Group, 2003).</w:t>
          </w:r>
        </w:p>
        <w:p w14:paraId="69C96C31" w14:textId="77777777" w:rsidR="00E03282" w:rsidRPr="00E03282" w:rsidRDefault="00E03282" w:rsidP="00E03282">
          <w:pPr>
            <w:spacing w:line="360" w:lineRule="auto"/>
            <w:jc w:val="both"/>
          </w:pPr>
          <w:r>
            <w:rPr>
              <w:i/>
            </w:rPr>
            <w:t>The Rule of St Benedict</w:t>
          </w:r>
          <w:r>
            <w:t>, translated by J. McCann, (London: Sheed and Ward, 1970).</w:t>
          </w:r>
        </w:p>
        <w:p w14:paraId="6F4881CB" w14:textId="77777777" w:rsidR="005431EB" w:rsidRPr="005431EB" w:rsidRDefault="005431EB" w:rsidP="00E03282">
          <w:pPr>
            <w:spacing w:line="360" w:lineRule="auto"/>
            <w:jc w:val="both"/>
          </w:pPr>
          <w:r w:rsidRPr="005431EB">
            <w:rPr>
              <w:i/>
            </w:rPr>
            <w:t>Sayings of the Desert Fathers</w:t>
          </w:r>
          <w:r>
            <w:t>, translated by B. Ward, (London: Mowbray, 1975).</w:t>
          </w:r>
        </w:p>
        <w:p w14:paraId="4BA83B76" w14:textId="77777777" w:rsidR="00CD3773" w:rsidRDefault="00CD3773" w:rsidP="00E03282">
          <w:pPr>
            <w:spacing w:line="360" w:lineRule="auto"/>
            <w:jc w:val="both"/>
            <w:rPr>
              <w:u w:val="single"/>
            </w:rPr>
          </w:pPr>
          <w:r w:rsidRPr="00CD3773">
            <w:rPr>
              <w:u w:val="single"/>
            </w:rPr>
            <w:t>Modern Scholarship:</w:t>
          </w:r>
        </w:p>
        <w:p w14:paraId="0FFDFB4E" w14:textId="77777777" w:rsidR="002B115F" w:rsidRPr="002B115F" w:rsidRDefault="002B115F" w:rsidP="00E03282">
          <w:pPr>
            <w:spacing w:line="360" w:lineRule="auto"/>
            <w:jc w:val="both"/>
          </w:pPr>
          <w:r>
            <w:t xml:space="preserve">Burton, J. and Kerr. J., </w:t>
          </w:r>
          <w:r>
            <w:rPr>
              <w:i/>
            </w:rPr>
            <w:t>The Cistercians in the Middle Ages</w:t>
          </w:r>
          <w:r>
            <w:t xml:space="preserve"> (Woodbridge: The Boydell Press, 2011).</w:t>
          </w:r>
        </w:p>
        <w:p w14:paraId="1D9EA638" w14:textId="77777777" w:rsidR="00AD0567" w:rsidRPr="00081293" w:rsidRDefault="00AD0567" w:rsidP="00E03282">
          <w:pPr>
            <w:spacing w:line="360" w:lineRule="auto"/>
            <w:jc w:val="both"/>
          </w:pPr>
          <w:r>
            <w:t xml:space="preserve">D. J. </w:t>
          </w:r>
          <w:proofErr w:type="spellStart"/>
          <w:r>
            <w:t>Kyrtatas</w:t>
          </w:r>
          <w:proofErr w:type="spellEnd"/>
          <w:r>
            <w:t xml:space="preserve">, ‘The Meaning of Christian Epiphany’, </w:t>
          </w:r>
          <w:r w:rsidR="00081293">
            <w:rPr>
              <w:i/>
            </w:rPr>
            <w:t>Illinois Classical Studies</w:t>
          </w:r>
          <w:r w:rsidR="002B115F">
            <w:t>, Vol. 29 (2004), 205-215.</w:t>
          </w:r>
        </w:p>
        <w:p w14:paraId="6A5B85BD" w14:textId="77777777" w:rsidR="00CD3773" w:rsidRDefault="00CD3773" w:rsidP="00E03282">
          <w:pPr>
            <w:spacing w:line="360" w:lineRule="auto"/>
            <w:jc w:val="both"/>
          </w:pPr>
          <w:r>
            <w:t xml:space="preserve">Lawrence, C. H., </w:t>
          </w:r>
          <w:r>
            <w:rPr>
              <w:i/>
            </w:rPr>
            <w:t>Medieval Monasticism: Forms of Religious Life in Western Europe in the Middle Ages</w:t>
          </w:r>
          <w:r>
            <w:t xml:space="preserve"> (Harlow: Pearson Education Limited, 2001).</w:t>
          </w:r>
        </w:p>
      </w:sdtContent>
    </w:sdt>
    <w:p w14:paraId="542683DE" w14:textId="77777777" w:rsidR="00DF7494" w:rsidRPr="00953A52" w:rsidRDefault="00A745AE" w:rsidP="005B77D3">
      <w:pPr>
        <w:tabs>
          <w:tab w:val="left" w:pos="5595"/>
        </w:tabs>
        <w:spacing w:line="360" w:lineRule="auto"/>
      </w:pPr>
    </w:p>
    <w:sectPr w:rsidR="00DF7494" w:rsidRPr="00953A5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8936F" w14:textId="77777777" w:rsidR="00A745AE" w:rsidRDefault="00A745AE" w:rsidP="00953A52">
      <w:r>
        <w:separator/>
      </w:r>
    </w:p>
  </w:endnote>
  <w:endnote w:type="continuationSeparator" w:id="0">
    <w:p w14:paraId="0C0CAFED" w14:textId="77777777" w:rsidR="00A745AE" w:rsidRDefault="00A745AE" w:rsidP="00953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0843795"/>
      <w:docPartObj>
        <w:docPartGallery w:val="Page Numbers (Bottom of Page)"/>
        <w:docPartUnique/>
      </w:docPartObj>
    </w:sdtPr>
    <w:sdtEndPr>
      <w:rPr>
        <w:noProof/>
      </w:rPr>
    </w:sdtEndPr>
    <w:sdtContent>
      <w:p w14:paraId="7D7AF9B9" w14:textId="77777777" w:rsidR="0019300C" w:rsidRDefault="0019300C">
        <w:pPr>
          <w:pStyle w:val="Footer"/>
          <w:jc w:val="right"/>
        </w:pPr>
        <w:r>
          <w:fldChar w:fldCharType="begin"/>
        </w:r>
        <w:r>
          <w:instrText xml:space="preserve"> PAGE   \* MERGEFORMAT </w:instrText>
        </w:r>
        <w:r>
          <w:fldChar w:fldCharType="separate"/>
        </w:r>
        <w:r w:rsidR="00910C57">
          <w:rPr>
            <w:noProof/>
          </w:rPr>
          <w:t>4</w:t>
        </w:r>
        <w:r>
          <w:rPr>
            <w:noProof/>
          </w:rPr>
          <w:fldChar w:fldCharType="end"/>
        </w:r>
      </w:p>
    </w:sdtContent>
  </w:sdt>
  <w:p w14:paraId="71CB1E86" w14:textId="77777777" w:rsidR="0019300C" w:rsidRDefault="001930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3E95A" w14:textId="77777777" w:rsidR="00A745AE" w:rsidRDefault="00A745AE" w:rsidP="00953A52">
      <w:r>
        <w:separator/>
      </w:r>
    </w:p>
  </w:footnote>
  <w:footnote w:type="continuationSeparator" w:id="0">
    <w:p w14:paraId="6B93C48F" w14:textId="77777777" w:rsidR="00A745AE" w:rsidRDefault="00A745AE" w:rsidP="00953A52">
      <w:r>
        <w:continuationSeparator/>
      </w:r>
    </w:p>
  </w:footnote>
  <w:footnote w:id="1">
    <w:p w14:paraId="2B090A6D" w14:textId="77777777" w:rsidR="00273368" w:rsidRDefault="00273368">
      <w:pPr>
        <w:pStyle w:val="FootnoteText"/>
      </w:pPr>
      <w:r>
        <w:rPr>
          <w:rStyle w:val="FootnoteReference"/>
        </w:rPr>
        <w:footnoteRef/>
      </w:r>
      <w:r>
        <w:t xml:space="preserve"> </w:t>
      </w:r>
      <w:r w:rsidR="001210BA">
        <w:t xml:space="preserve">C. H. Lawrence, </w:t>
      </w:r>
      <w:r w:rsidR="001210BA">
        <w:rPr>
          <w:i/>
        </w:rPr>
        <w:t>Medieval Monasticism: Forms of Religious Life in Western Europe in the Middle Ages</w:t>
      </w:r>
      <w:r w:rsidR="001210BA">
        <w:t xml:space="preserve"> (Harlow: Pearson Education Limited, 2001),</w:t>
      </w:r>
      <w:r>
        <w:t xml:space="preserve"> p. 6</w:t>
      </w:r>
      <w:r w:rsidR="001210BA">
        <w:t>.</w:t>
      </w:r>
    </w:p>
  </w:footnote>
  <w:footnote w:id="2">
    <w:p w14:paraId="14E1D14A" w14:textId="77777777" w:rsidR="003062A9" w:rsidRDefault="003062A9">
      <w:pPr>
        <w:pStyle w:val="FootnoteText"/>
      </w:pPr>
      <w:r>
        <w:rPr>
          <w:rStyle w:val="FootnoteReference"/>
        </w:rPr>
        <w:footnoteRef/>
      </w:r>
      <w:r>
        <w:t xml:space="preserve"> </w:t>
      </w:r>
      <w:r w:rsidR="002B115F">
        <w:t xml:space="preserve">D. J. </w:t>
      </w:r>
      <w:proofErr w:type="spellStart"/>
      <w:r w:rsidR="002B115F">
        <w:t>Kyrtatas</w:t>
      </w:r>
      <w:proofErr w:type="spellEnd"/>
      <w:r w:rsidR="002B115F">
        <w:t xml:space="preserve">, ‘The Meaning of Christian Epiphany’, </w:t>
      </w:r>
      <w:r w:rsidR="002B115F">
        <w:rPr>
          <w:i/>
        </w:rPr>
        <w:t>Illinois Classical Studies</w:t>
      </w:r>
      <w:r w:rsidR="002B115F">
        <w:t>, Vol. 29 (2004), 205-215, p. 213</w:t>
      </w:r>
      <w:r w:rsidR="002179D5">
        <w:t>.</w:t>
      </w:r>
    </w:p>
  </w:footnote>
  <w:footnote w:id="3">
    <w:p w14:paraId="3626C79E" w14:textId="77777777" w:rsidR="00E03282" w:rsidRDefault="00E03282">
      <w:pPr>
        <w:pStyle w:val="FootnoteText"/>
      </w:pPr>
      <w:r>
        <w:rPr>
          <w:rStyle w:val="FootnoteReference"/>
        </w:rPr>
        <w:footnoteRef/>
      </w:r>
      <w:r>
        <w:t xml:space="preserve"> </w:t>
      </w:r>
      <w:r>
        <w:rPr>
          <w:i/>
        </w:rPr>
        <w:t>The Rule of St Benedict</w:t>
      </w:r>
      <w:r>
        <w:t>, translated by J. McCann, (London: Sheed and Ward, 1970)</w:t>
      </w:r>
      <w:r w:rsidR="00685A4B">
        <w:t>, Chapter 1, p. 5.</w:t>
      </w:r>
    </w:p>
  </w:footnote>
  <w:footnote w:id="4">
    <w:p w14:paraId="08C4DA09" w14:textId="77777777" w:rsidR="00E9195D" w:rsidRDefault="00E9195D">
      <w:pPr>
        <w:pStyle w:val="FootnoteText"/>
      </w:pPr>
      <w:r>
        <w:rPr>
          <w:rStyle w:val="FootnoteReference"/>
        </w:rPr>
        <w:footnoteRef/>
      </w:r>
      <w:r>
        <w:t xml:space="preserve"> </w:t>
      </w:r>
      <w:r w:rsidR="00685A4B">
        <w:rPr>
          <w:i/>
        </w:rPr>
        <w:t>The Rule of St Benedict</w:t>
      </w:r>
      <w:r w:rsidR="00685A4B">
        <w:t>, Chapter 1, p. 5.</w:t>
      </w:r>
    </w:p>
  </w:footnote>
  <w:footnote w:id="5">
    <w:p w14:paraId="02ED3263" w14:textId="77777777" w:rsidR="00273368" w:rsidRDefault="00273368">
      <w:pPr>
        <w:pStyle w:val="FootnoteText"/>
      </w:pPr>
      <w:r>
        <w:rPr>
          <w:rStyle w:val="FootnoteReference"/>
        </w:rPr>
        <w:footnoteRef/>
      </w:r>
      <w:r>
        <w:t xml:space="preserve"> </w:t>
      </w:r>
      <w:r w:rsidR="003062A9">
        <w:t xml:space="preserve">Aristotle, </w:t>
      </w:r>
      <w:r w:rsidR="003062A9" w:rsidRPr="001210BA">
        <w:rPr>
          <w:i/>
        </w:rPr>
        <w:t>Politics</w:t>
      </w:r>
      <w:r w:rsidR="001210BA">
        <w:t>, translated by H. Rackham, (London: William Heinemann Ltd, 1944)</w:t>
      </w:r>
      <w:r w:rsidR="003062A9">
        <w:t>, 1. 1253a</w:t>
      </w:r>
      <w:r w:rsidR="001210BA">
        <w:t>.</w:t>
      </w:r>
    </w:p>
  </w:footnote>
  <w:footnote w:id="6">
    <w:p w14:paraId="60B2AC65" w14:textId="77777777" w:rsidR="00E03282" w:rsidRDefault="00E03282">
      <w:pPr>
        <w:pStyle w:val="FootnoteText"/>
      </w:pPr>
      <w:r>
        <w:rPr>
          <w:rStyle w:val="FootnoteReference"/>
        </w:rPr>
        <w:footnoteRef/>
      </w:r>
      <w:r>
        <w:t xml:space="preserve"> </w:t>
      </w:r>
      <w:r w:rsidR="00685A4B">
        <w:rPr>
          <w:i/>
        </w:rPr>
        <w:t>The Rule of St Benedict</w:t>
      </w:r>
      <w:r w:rsidR="00685A4B">
        <w:t xml:space="preserve">, Chapter 1, p. 5. </w:t>
      </w:r>
    </w:p>
  </w:footnote>
  <w:footnote w:id="7">
    <w:p w14:paraId="418C93E2" w14:textId="77777777" w:rsidR="005431EB" w:rsidRDefault="005431EB">
      <w:pPr>
        <w:pStyle w:val="FootnoteText"/>
      </w:pPr>
      <w:r>
        <w:rPr>
          <w:rStyle w:val="FootnoteReference"/>
        </w:rPr>
        <w:footnoteRef/>
      </w:r>
      <w:r>
        <w:t xml:space="preserve"> </w:t>
      </w:r>
      <w:r>
        <w:rPr>
          <w:i/>
        </w:rPr>
        <w:t>The Desert Fathers</w:t>
      </w:r>
      <w:r w:rsidR="00874A96">
        <w:rPr>
          <w:i/>
        </w:rPr>
        <w:t>, Sayings of the Early Christian Monks</w:t>
      </w:r>
      <w:r>
        <w:t>, translated by B. Ward, (London: The Penguin Group, 2003), pp. 3-4.</w:t>
      </w:r>
    </w:p>
  </w:footnote>
  <w:footnote w:id="8">
    <w:p w14:paraId="491212E0" w14:textId="77777777" w:rsidR="00685A4B" w:rsidRDefault="00685A4B">
      <w:pPr>
        <w:pStyle w:val="FootnoteText"/>
      </w:pPr>
      <w:r>
        <w:rPr>
          <w:rStyle w:val="FootnoteReference"/>
        </w:rPr>
        <w:footnoteRef/>
      </w:r>
      <w:r>
        <w:t xml:space="preserve"> Matthew, 4:1-11.</w:t>
      </w:r>
    </w:p>
  </w:footnote>
  <w:footnote w:id="9">
    <w:p w14:paraId="556B0A0B" w14:textId="77777777" w:rsidR="005431EB" w:rsidRDefault="005431EB">
      <w:pPr>
        <w:pStyle w:val="FootnoteText"/>
      </w:pPr>
      <w:r>
        <w:rPr>
          <w:rStyle w:val="FootnoteReference"/>
        </w:rPr>
        <w:footnoteRef/>
      </w:r>
      <w:r>
        <w:t xml:space="preserve"> </w:t>
      </w:r>
      <w:r w:rsidRPr="00874A96">
        <w:rPr>
          <w:i/>
        </w:rPr>
        <w:t>Sayings of the Desert Fathers</w:t>
      </w:r>
      <w:r>
        <w:t>, translated by B. Ward, (London: Mowbray, 1975)</w:t>
      </w:r>
      <w:r w:rsidR="00874A96">
        <w:t>, pp. 109-110.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4D0CB" w14:textId="77777777" w:rsidR="00953A52" w:rsidRDefault="00953A52" w:rsidP="00953A52">
    <w:pPr>
      <w:pStyle w:val="Header"/>
    </w:pPr>
    <w:r>
      <w:t>AHMS6002</w:t>
    </w:r>
    <w:r>
      <w:tab/>
      <w:t>Cistercians Commentary Part 1</w:t>
    </w:r>
    <w:r>
      <w:tab/>
      <w:t>01/02/2018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S0NLM0NzczMDE0MjdW0lEKTi0uzszPAymwrAUA8SQFvCwAAAA="/>
  </w:docVars>
  <w:rsids>
    <w:rsidRoot w:val="00953A52"/>
    <w:rsid w:val="00002F37"/>
    <w:rsid w:val="00081293"/>
    <w:rsid w:val="000912D3"/>
    <w:rsid w:val="001210BA"/>
    <w:rsid w:val="00123308"/>
    <w:rsid w:val="00123890"/>
    <w:rsid w:val="001403AF"/>
    <w:rsid w:val="0019300C"/>
    <w:rsid w:val="0021759F"/>
    <w:rsid w:val="002179D5"/>
    <w:rsid w:val="00273368"/>
    <w:rsid w:val="002B115F"/>
    <w:rsid w:val="002D562D"/>
    <w:rsid w:val="003062A9"/>
    <w:rsid w:val="003774B8"/>
    <w:rsid w:val="003B72A0"/>
    <w:rsid w:val="003E409C"/>
    <w:rsid w:val="004257C7"/>
    <w:rsid w:val="004C0722"/>
    <w:rsid w:val="005431EB"/>
    <w:rsid w:val="00583A1F"/>
    <w:rsid w:val="005B77D3"/>
    <w:rsid w:val="00675569"/>
    <w:rsid w:val="00685A4B"/>
    <w:rsid w:val="007102A2"/>
    <w:rsid w:val="00763F4F"/>
    <w:rsid w:val="0078481D"/>
    <w:rsid w:val="00874A96"/>
    <w:rsid w:val="008969A0"/>
    <w:rsid w:val="00910C57"/>
    <w:rsid w:val="0093623A"/>
    <w:rsid w:val="0094108E"/>
    <w:rsid w:val="00947A50"/>
    <w:rsid w:val="00953A52"/>
    <w:rsid w:val="009D0BD3"/>
    <w:rsid w:val="00A745AE"/>
    <w:rsid w:val="00A9584A"/>
    <w:rsid w:val="00AD0567"/>
    <w:rsid w:val="00BB1EDE"/>
    <w:rsid w:val="00C2498D"/>
    <w:rsid w:val="00C43B2B"/>
    <w:rsid w:val="00CD3773"/>
    <w:rsid w:val="00D774F8"/>
    <w:rsid w:val="00E03282"/>
    <w:rsid w:val="00E428C8"/>
    <w:rsid w:val="00E9195D"/>
    <w:rsid w:val="00F13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0B160B"/>
  <w15:chartTrackingRefBased/>
  <w15:docId w15:val="{D4FB9BB8-4ABA-4404-AE2F-513A88506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84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D3773"/>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3A52"/>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953A52"/>
  </w:style>
  <w:style w:type="paragraph" w:styleId="Footer">
    <w:name w:val="footer"/>
    <w:basedOn w:val="Normal"/>
    <w:link w:val="FooterChar"/>
    <w:uiPriority w:val="99"/>
    <w:unhideWhenUsed/>
    <w:rsid w:val="00953A52"/>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953A52"/>
  </w:style>
  <w:style w:type="paragraph" w:styleId="ListParagraph">
    <w:name w:val="List Paragraph"/>
    <w:basedOn w:val="Normal"/>
    <w:uiPriority w:val="34"/>
    <w:qFormat/>
    <w:rsid w:val="00A9584A"/>
    <w:pPr>
      <w:ind w:left="720"/>
    </w:pPr>
  </w:style>
  <w:style w:type="paragraph" w:styleId="FootnoteText">
    <w:name w:val="footnote text"/>
    <w:basedOn w:val="Normal"/>
    <w:link w:val="FootnoteTextChar"/>
    <w:uiPriority w:val="99"/>
    <w:semiHidden/>
    <w:unhideWhenUsed/>
    <w:rsid w:val="00273368"/>
    <w:rPr>
      <w:sz w:val="20"/>
      <w:szCs w:val="20"/>
    </w:rPr>
  </w:style>
  <w:style w:type="character" w:customStyle="1" w:styleId="FootnoteTextChar">
    <w:name w:val="Footnote Text Char"/>
    <w:basedOn w:val="DefaultParagraphFont"/>
    <w:link w:val="FootnoteText"/>
    <w:uiPriority w:val="99"/>
    <w:semiHidden/>
    <w:rsid w:val="00273368"/>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273368"/>
    <w:rPr>
      <w:vertAlign w:val="superscript"/>
    </w:rPr>
  </w:style>
  <w:style w:type="character" w:customStyle="1" w:styleId="Heading1Char">
    <w:name w:val="Heading 1 Char"/>
    <w:basedOn w:val="DefaultParagraphFont"/>
    <w:link w:val="Heading1"/>
    <w:uiPriority w:val="9"/>
    <w:rsid w:val="00CD3773"/>
    <w:rPr>
      <w:rFonts w:asciiTheme="majorHAnsi" w:eastAsiaTheme="majorEastAsia" w:hAnsiTheme="majorHAnsi" w:cstheme="majorBidi"/>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A0B5DF-E378-4B4B-B54E-6A43C3E1A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1098</Words>
  <Characters>6263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Watson</dc:creator>
  <cp:keywords/>
  <dc:description/>
  <cp:lastModifiedBy>Harriett Webster</cp:lastModifiedBy>
  <cp:revision>2</cp:revision>
  <dcterms:created xsi:type="dcterms:W3CDTF">2021-04-13T10:57:00Z</dcterms:created>
  <dcterms:modified xsi:type="dcterms:W3CDTF">2021-04-13T10:57:00Z</dcterms:modified>
</cp:coreProperties>
</file>