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30EDA7F7" w14:textId="6476661C" w:rsidR="00D04DB4" w:rsidRPr="00D04DB4" w:rsidRDefault="00D04DB4" w:rsidP="00D04DB4">
      <w:pPr>
        <w:pStyle w:val="TOCHeading"/>
        <w:jc w:val="center"/>
        <w:rPr>
          <w:rFonts w:ascii="Arial" w:eastAsia="Times New Roman" w:hAnsi="Arial" w:cs="Arial"/>
          <w:color w:val="auto"/>
          <w:sz w:val="32"/>
          <w:szCs w:val="32"/>
          <w:lang w:val="en-GB" w:eastAsia="en-GB"/>
        </w:rPr>
      </w:pPr>
      <w:r w:rsidRPr="00F4799C">
        <w:rPr>
          <w:rFonts w:asciiTheme="minorBidi" w:hAnsiTheme="minorBidi"/>
          <w:noProof/>
          <w:lang w:val="en-IN" w:eastAsia="en-IN" w:bidi="gu-IN"/>
        </w:rPr>
        <w:drawing>
          <wp:inline distT="0" distB="0" distL="0" distR="0" wp14:anchorId="2D382B52" wp14:editId="5EE2B8E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F9B2932" w14:textId="77777777" w:rsidR="00D04DB4" w:rsidRPr="00D04DB4" w:rsidRDefault="00D04DB4" w:rsidP="00D04DB4">
      <w:pPr>
        <w:pStyle w:val="TOCHeading"/>
        <w:rPr>
          <w:rFonts w:ascii="Arial" w:eastAsia="Times New Roman" w:hAnsi="Arial" w:cs="Arial"/>
          <w:color w:val="auto"/>
          <w:sz w:val="32"/>
          <w:szCs w:val="32"/>
          <w:lang w:val="en-GB" w:eastAsia="en-GB"/>
        </w:rPr>
      </w:pPr>
    </w:p>
    <w:p w14:paraId="6A48D02A" w14:textId="044C4907"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Student Name:</w:t>
      </w:r>
      <w:r w:rsidR="001C0D51">
        <w:rPr>
          <w:rFonts w:ascii="Arial" w:eastAsia="Times New Roman" w:hAnsi="Arial" w:cs="Arial"/>
          <w:color w:val="auto"/>
          <w:sz w:val="32"/>
          <w:szCs w:val="32"/>
          <w:lang w:val="en-GB" w:eastAsia="en-GB"/>
        </w:rPr>
        <w:t xml:space="preserve"> </w:t>
      </w:r>
      <w:proofErr w:type="spellStart"/>
      <w:r w:rsidR="001C0D51">
        <w:rPr>
          <w:rFonts w:ascii="Arial" w:eastAsia="Times New Roman" w:hAnsi="Arial" w:cs="Arial"/>
          <w:color w:val="auto"/>
          <w:sz w:val="32"/>
          <w:szCs w:val="32"/>
          <w:lang w:val="en-GB" w:eastAsia="en-GB"/>
        </w:rPr>
        <w:t>Khatijabibi</w:t>
      </w:r>
      <w:proofErr w:type="spellEnd"/>
      <w:r w:rsidR="001C0D51">
        <w:rPr>
          <w:rFonts w:ascii="Arial" w:eastAsia="Times New Roman" w:hAnsi="Arial" w:cs="Arial"/>
          <w:color w:val="auto"/>
          <w:sz w:val="32"/>
          <w:szCs w:val="32"/>
          <w:lang w:val="en-GB" w:eastAsia="en-GB"/>
        </w:rPr>
        <w:t xml:space="preserve"> </w:t>
      </w:r>
      <w:proofErr w:type="spellStart"/>
      <w:r w:rsidR="001C0D51">
        <w:rPr>
          <w:rFonts w:ascii="Arial" w:eastAsia="Times New Roman" w:hAnsi="Arial" w:cs="Arial"/>
          <w:color w:val="auto"/>
          <w:sz w:val="32"/>
          <w:szCs w:val="32"/>
          <w:lang w:val="en-GB" w:eastAsia="en-GB"/>
        </w:rPr>
        <w:t>Mahebubbhai</w:t>
      </w:r>
      <w:proofErr w:type="spellEnd"/>
      <w:r w:rsidR="001C0D51">
        <w:rPr>
          <w:rFonts w:ascii="Arial" w:eastAsia="Times New Roman" w:hAnsi="Arial" w:cs="Arial"/>
          <w:color w:val="auto"/>
          <w:sz w:val="32"/>
          <w:szCs w:val="32"/>
          <w:lang w:val="en-GB" w:eastAsia="en-GB"/>
        </w:rPr>
        <w:t xml:space="preserve"> Radhanpuri</w:t>
      </w:r>
    </w:p>
    <w:p w14:paraId="0F371558" w14:textId="32DBFA37"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Student ID:</w:t>
      </w:r>
      <w:r w:rsidR="001C0D51">
        <w:rPr>
          <w:rFonts w:ascii="Arial" w:eastAsia="Times New Roman" w:hAnsi="Arial" w:cs="Arial"/>
          <w:color w:val="auto"/>
          <w:sz w:val="32"/>
          <w:szCs w:val="32"/>
          <w:lang w:val="en-GB" w:eastAsia="en-GB"/>
        </w:rPr>
        <w:t xml:space="preserve"> 2420022</w:t>
      </w:r>
    </w:p>
    <w:p w14:paraId="15BAFB46" w14:textId="3F87F0C3"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Module Name: Human Capital Management</w:t>
      </w:r>
    </w:p>
    <w:p w14:paraId="4146757C" w14:textId="77777777"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Module Code: LCMB7023</w:t>
      </w:r>
    </w:p>
    <w:p w14:paraId="4715F3B5" w14:textId="77777777" w:rsidR="00D04DB4" w:rsidRPr="00D04DB4" w:rsidRDefault="00D04DB4" w:rsidP="00D04DB4">
      <w:pPr>
        <w:pStyle w:val="TOCHeading"/>
        <w:jc w:val="center"/>
        <w:rPr>
          <w:rFonts w:ascii="Arial" w:eastAsia="Times New Roman" w:hAnsi="Arial" w:cs="Arial"/>
          <w:color w:val="auto"/>
          <w:sz w:val="32"/>
          <w:szCs w:val="32"/>
          <w:lang w:val="en-GB" w:eastAsia="en-GB"/>
        </w:rPr>
      </w:pPr>
    </w:p>
    <w:p w14:paraId="04AC63D8" w14:textId="1B5A8C5C"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Assessment component 1: Individual report – HR strategy</w:t>
      </w:r>
    </w:p>
    <w:p w14:paraId="62AAF1F3" w14:textId="6DACDB00"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 xml:space="preserve">Lecturer’s Name: </w:t>
      </w:r>
      <w:proofErr w:type="spellStart"/>
      <w:r w:rsidRPr="00D04DB4">
        <w:rPr>
          <w:rFonts w:ascii="Arial" w:eastAsia="Times New Roman" w:hAnsi="Arial" w:cs="Arial"/>
          <w:color w:val="auto"/>
          <w:sz w:val="32"/>
          <w:szCs w:val="32"/>
          <w:lang w:val="en-GB" w:eastAsia="en-GB"/>
        </w:rPr>
        <w:t>Gladius</w:t>
      </w:r>
      <w:proofErr w:type="spellEnd"/>
      <w:r w:rsidRPr="00D04DB4">
        <w:rPr>
          <w:rFonts w:ascii="Arial" w:eastAsia="Times New Roman" w:hAnsi="Arial" w:cs="Arial"/>
          <w:color w:val="auto"/>
          <w:sz w:val="32"/>
          <w:szCs w:val="32"/>
          <w:lang w:val="en-GB" w:eastAsia="en-GB"/>
        </w:rPr>
        <w:t xml:space="preserve"> </w:t>
      </w:r>
      <w:proofErr w:type="spellStart"/>
      <w:r w:rsidRPr="00D04DB4">
        <w:rPr>
          <w:rFonts w:ascii="Arial" w:eastAsia="Times New Roman" w:hAnsi="Arial" w:cs="Arial"/>
          <w:color w:val="auto"/>
          <w:sz w:val="32"/>
          <w:szCs w:val="32"/>
          <w:lang w:val="en-GB" w:eastAsia="en-GB"/>
        </w:rPr>
        <w:t>Kulothungan</w:t>
      </w:r>
      <w:proofErr w:type="spellEnd"/>
      <w:r w:rsidRPr="00D04DB4">
        <w:rPr>
          <w:rFonts w:ascii="Arial" w:eastAsia="Times New Roman" w:hAnsi="Arial" w:cs="Arial"/>
          <w:color w:val="auto"/>
          <w:sz w:val="32"/>
          <w:szCs w:val="32"/>
          <w:lang w:val="en-GB" w:eastAsia="en-GB"/>
        </w:rPr>
        <w:t xml:space="preserve">, </w:t>
      </w:r>
      <w:proofErr w:type="spellStart"/>
      <w:r w:rsidRPr="00D04DB4">
        <w:rPr>
          <w:rFonts w:ascii="Arial" w:eastAsia="Times New Roman" w:hAnsi="Arial" w:cs="Arial"/>
          <w:color w:val="auto"/>
          <w:sz w:val="32"/>
          <w:szCs w:val="32"/>
          <w:lang w:val="en-GB" w:eastAsia="en-GB"/>
        </w:rPr>
        <w:t>Ejike</w:t>
      </w:r>
      <w:proofErr w:type="spellEnd"/>
      <w:r w:rsidRPr="00D04DB4">
        <w:rPr>
          <w:rFonts w:ascii="Arial" w:eastAsia="Times New Roman" w:hAnsi="Arial" w:cs="Arial"/>
          <w:color w:val="auto"/>
          <w:sz w:val="32"/>
          <w:szCs w:val="32"/>
          <w:lang w:val="en-GB" w:eastAsia="en-GB"/>
        </w:rPr>
        <w:t xml:space="preserve"> </w:t>
      </w:r>
      <w:proofErr w:type="spellStart"/>
      <w:r w:rsidRPr="00D04DB4">
        <w:rPr>
          <w:rFonts w:ascii="Arial" w:eastAsia="Times New Roman" w:hAnsi="Arial" w:cs="Arial"/>
          <w:color w:val="auto"/>
          <w:sz w:val="32"/>
          <w:szCs w:val="32"/>
          <w:lang w:val="en-GB" w:eastAsia="en-GB"/>
        </w:rPr>
        <w:t>Udeogu</w:t>
      </w:r>
      <w:proofErr w:type="spellEnd"/>
    </w:p>
    <w:p w14:paraId="5310DAA2" w14:textId="527A7C29" w:rsidR="00D04DB4" w:rsidRPr="00D04DB4" w:rsidRDefault="00D04DB4" w:rsidP="00D04DB4">
      <w:pPr>
        <w:pStyle w:val="TOCHeading"/>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Work Count:</w:t>
      </w:r>
      <w:r>
        <w:rPr>
          <w:rFonts w:ascii="Arial" w:eastAsia="Times New Roman" w:hAnsi="Arial" w:cs="Arial"/>
          <w:color w:val="auto"/>
          <w:sz w:val="32"/>
          <w:szCs w:val="32"/>
          <w:lang w:val="en-GB" w:eastAsia="en-GB"/>
        </w:rPr>
        <w:t xml:space="preserve"> 2700 words</w:t>
      </w:r>
    </w:p>
    <w:p w14:paraId="489EC6E5" w14:textId="77777777" w:rsidR="00D04DB4" w:rsidRPr="00D04DB4" w:rsidRDefault="00D04DB4" w:rsidP="00D04DB4">
      <w:pPr>
        <w:pStyle w:val="TOCHeading"/>
        <w:rPr>
          <w:rFonts w:ascii="Arial" w:eastAsia="Times New Roman" w:hAnsi="Arial" w:cs="Arial"/>
          <w:color w:val="auto"/>
          <w:sz w:val="32"/>
          <w:szCs w:val="32"/>
          <w:lang w:val="en-GB" w:eastAsia="en-GB"/>
        </w:rPr>
      </w:pPr>
    </w:p>
    <w:p w14:paraId="148D31B3" w14:textId="7C11A48B" w:rsidR="00D04DB4" w:rsidRDefault="00D04DB4" w:rsidP="00D04DB4">
      <w:pPr>
        <w:pStyle w:val="TOCHeading"/>
        <w:spacing w:before="0" w:line="360" w:lineRule="auto"/>
        <w:jc w:val="center"/>
        <w:rPr>
          <w:rFonts w:ascii="Arial" w:eastAsia="Times New Roman" w:hAnsi="Arial" w:cs="Arial"/>
          <w:color w:val="auto"/>
          <w:sz w:val="32"/>
          <w:szCs w:val="32"/>
          <w:lang w:val="en-GB" w:eastAsia="en-GB"/>
        </w:rPr>
      </w:pPr>
      <w:r w:rsidRPr="00D04DB4">
        <w:rPr>
          <w:rFonts w:ascii="Arial" w:eastAsia="Times New Roman" w:hAnsi="Arial" w:cs="Arial"/>
          <w:color w:val="auto"/>
          <w:sz w:val="32"/>
          <w:szCs w:val="32"/>
          <w:lang w:val="en-GB" w:eastAsia="en-GB"/>
        </w:rPr>
        <w:t>Term 1</w:t>
      </w:r>
    </w:p>
    <w:p w14:paraId="4BE26ADF" w14:textId="77777777" w:rsidR="00D04DB4" w:rsidRDefault="00D04DB4">
      <w:pPr>
        <w:rPr>
          <w:rFonts w:ascii="Arial" w:hAnsi="Arial" w:cs="Arial"/>
          <w:b/>
          <w:bCs/>
          <w:sz w:val="32"/>
          <w:szCs w:val="32"/>
          <w:lang w:val="en-GB"/>
        </w:rPr>
      </w:pPr>
      <w:r>
        <w:rPr>
          <w:rFonts w:ascii="Arial" w:hAnsi="Arial" w:cs="Arial"/>
          <w:sz w:val="32"/>
          <w:szCs w:val="32"/>
          <w:lang w:val="en-GB"/>
        </w:rPr>
        <w:br w:type="page"/>
      </w:r>
    </w:p>
    <w:p w14:paraId="4945210C" w14:textId="77777777" w:rsidR="00D04DB4" w:rsidRDefault="00D04DB4" w:rsidP="00D04DB4">
      <w:pPr>
        <w:pStyle w:val="TOCHeading"/>
        <w:spacing w:before="0" w:line="360" w:lineRule="auto"/>
        <w:jc w:val="center"/>
        <w:rPr>
          <w:rFonts w:ascii="Arial" w:eastAsia="Times New Roman" w:hAnsi="Arial" w:cs="Arial"/>
          <w:color w:val="auto"/>
          <w:sz w:val="32"/>
          <w:szCs w:val="32"/>
          <w:lang w:val="en-GB" w:eastAsia="en-GB"/>
        </w:rPr>
      </w:pPr>
    </w:p>
    <w:sdt>
      <w:sdtPr>
        <w:rPr>
          <w:rFonts w:ascii="Arial" w:eastAsia="Times New Roman" w:hAnsi="Arial" w:cs="Arial"/>
          <w:b w:val="0"/>
          <w:bCs w:val="0"/>
          <w:color w:val="auto"/>
          <w:sz w:val="24"/>
          <w:szCs w:val="24"/>
          <w:lang w:eastAsia="en-GB"/>
        </w:rPr>
        <w:id w:val="-1557384767"/>
        <w:docPartObj>
          <w:docPartGallery w:val="Table of Contents"/>
          <w:docPartUnique/>
        </w:docPartObj>
      </w:sdtPr>
      <w:sdtEndPr>
        <w:rPr>
          <w:noProof/>
        </w:rPr>
      </w:sdtEndPr>
      <w:sdtContent>
        <w:p w14:paraId="5A10A0F5" w14:textId="055E7A79" w:rsidR="00BA585B" w:rsidRPr="007F08E2" w:rsidRDefault="00BA585B" w:rsidP="00D04DB4">
          <w:pPr>
            <w:pStyle w:val="TOCHeading"/>
            <w:spacing w:before="0" w:line="360" w:lineRule="auto"/>
            <w:jc w:val="center"/>
            <w:rPr>
              <w:rFonts w:ascii="Arial" w:hAnsi="Arial" w:cs="Arial"/>
              <w:color w:val="000000" w:themeColor="text1"/>
              <w:sz w:val="24"/>
              <w:szCs w:val="24"/>
            </w:rPr>
          </w:pPr>
          <w:r w:rsidRPr="007F08E2">
            <w:rPr>
              <w:rFonts w:ascii="Arial" w:hAnsi="Arial" w:cs="Arial"/>
              <w:color w:val="000000" w:themeColor="text1"/>
              <w:sz w:val="24"/>
              <w:szCs w:val="24"/>
            </w:rPr>
            <w:t>Table of Contents</w:t>
          </w:r>
        </w:p>
        <w:p w14:paraId="5201889D" w14:textId="02E8637D" w:rsidR="00BA585B" w:rsidRPr="007F08E2" w:rsidRDefault="00BA585B" w:rsidP="00BA585B">
          <w:pPr>
            <w:pStyle w:val="TOC1"/>
            <w:tabs>
              <w:tab w:val="right" w:leader="dot" w:pos="9016"/>
            </w:tabs>
            <w:spacing w:before="0"/>
            <w:rPr>
              <w:rFonts w:ascii="Arial" w:hAnsi="Arial" w:cs="Arial"/>
              <w:b w:val="0"/>
              <w:bCs w:val="0"/>
              <w:i w:val="0"/>
              <w:iCs w:val="0"/>
              <w:noProof/>
              <w:color w:val="000000" w:themeColor="text1"/>
            </w:rPr>
          </w:pPr>
          <w:r w:rsidRPr="007F08E2">
            <w:rPr>
              <w:rFonts w:ascii="Arial" w:hAnsi="Arial" w:cs="Arial"/>
              <w:b w:val="0"/>
              <w:bCs w:val="0"/>
              <w:i w:val="0"/>
              <w:iCs w:val="0"/>
              <w:color w:val="000000" w:themeColor="text1"/>
            </w:rPr>
            <w:fldChar w:fldCharType="begin"/>
          </w:r>
          <w:r w:rsidRPr="007F08E2">
            <w:rPr>
              <w:rFonts w:ascii="Arial" w:hAnsi="Arial" w:cs="Arial"/>
              <w:b w:val="0"/>
              <w:bCs w:val="0"/>
              <w:i w:val="0"/>
              <w:iCs w:val="0"/>
              <w:color w:val="000000" w:themeColor="text1"/>
            </w:rPr>
            <w:instrText xml:space="preserve"> TOC \o "1-3" \h \z \u </w:instrText>
          </w:r>
          <w:r w:rsidRPr="007F08E2">
            <w:rPr>
              <w:rFonts w:ascii="Arial" w:hAnsi="Arial" w:cs="Arial"/>
              <w:b w:val="0"/>
              <w:bCs w:val="0"/>
              <w:i w:val="0"/>
              <w:iCs w:val="0"/>
              <w:color w:val="000000" w:themeColor="text1"/>
            </w:rPr>
            <w:fldChar w:fldCharType="separate"/>
          </w:r>
          <w:hyperlink w:anchor="_Toc224435643" w:history="1">
            <w:r w:rsidRPr="007F08E2">
              <w:rPr>
                <w:rStyle w:val="Hyperlink"/>
                <w:rFonts w:ascii="Arial" w:hAnsi="Arial" w:cs="Arial"/>
                <w:b w:val="0"/>
                <w:bCs w:val="0"/>
                <w:i w:val="0"/>
                <w:iCs w:val="0"/>
                <w:noProof/>
                <w:color w:val="000000" w:themeColor="text1"/>
                <w:lang w:val="en-GB"/>
              </w:rPr>
              <w:t>Part 1: Building a Culture of Innovation &amp; Future Work Practices</w:t>
            </w:r>
            <w:r w:rsidRPr="007F08E2">
              <w:rPr>
                <w:rFonts w:ascii="Arial" w:hAnsi="Arial" w:cs="Arial"/>
                <w:b w:val="0"/>
                <w:bCs w:val="0"/>
                <w:i w:val="0"/>
                <w:iCs w:val="0"/>
                <w:noProof/>
                <w:webHidden/>
                <w:color w:val="000000" w:themeColor="text1"/>
              </w:rPr>
              <w:tab/>
            </w:r>
            <w:r w:rsidRPr="007F08E2">
              <w:rPr>
                <w:rFonts w:ascii="Arial" w:hAnsi="Arial" w:cs="Arial"/>
                <w:b w:val="0"/>
                <w:bCs w:val="0"/>
                <w:i w:val="0"/>
                <w:iCs w:val="0"/>
                <w:noProof/>
                <w:webHidden/>
                <w:color w:val="000000" w:themeColor="text1"/>
              </w:rPr>
              <w:fldChar w:fldCharType="begin"/>
            </w:r>
            <w:r w:rsidRPr="007F08E2">
              <w:rPr>
                <w:rFonts w:ascii="Arial" w:hAnsi="Arial" w:cs="Arial"/>
                <w:b w:val="0"/>
                <w:bCs w:val="0"/>
                <w:i w:val="0"/>
                <w:iCs w:val="0"/>
                <w:noProof/>
                <w:webHidden/>
                <w:color w:val="000000" w:themeColor="text1"/>
              </w:rPr>
              <w:instrText xml:space="preserve"> PAGEREF _Toc224435643 \h </w:instrText>
            </w:r>
            <w:r w:rsidRPr="007F08E2">
              <w:rPr>
                <w:rFonts w:ascii="Arial" w:hAnsi="Arial" w:cs="Arial"/>
                <w:b w:val="0"/>
                <w:bCs w:val="0"/>
                <w:i w:val="0"/>
                <w:iCs w:val="0"/>
                <w:noProof/>
                <w:webHidden/>
                <w:color w:val="000000" w:themeColor="text1"/>
              </w:rPr>
            </w:r>
            <w:r w:rsidRPr="007F08E2">
              <w:rPr>
                <w:rFonts w:ascii="Arial" w:hAnsi="Arial" w:cs="Arial"/>
                <w:b w:val="0"/>
                <w:bCs w:val="0"/>
                <w:i w:val="0"/>
                <w:iCs w:val="0"/>
                <w:noProof/>
                <w:webHidden/>
                <w:color w:val="000000" w:themeColor="text1"/>
              </w:rPr>
              <w:fldChar w:fldCharType="separate"/>
            </w:r>
            <w:r w:rsidRPr="007F08E2">
              <w:rPr>
                <w:rFonts w:ascii="Arial" w:hAnsi="Arial" w:cs="Arial"/>
                <w:b w:val="0"/>
                <w:bCs w:val="0"/>
                <w:i w:val="0"/>
                <w:iCs w:val="0"/>
                <w:noProof/>
                <w:webHidden/>
                <w:color w:val="000000" w:themeColor="text1"/>
              </w:rPr>
              <w:t>3</w:t>
            </w:r>
            <w:r w:rsidRPr="007F08E2">
              <w:rPr>
                <w:rFonts w:ascii="Arial" w:hAnsi="Arial" w:cs="Arial"/>
                <w:b w:val="0"/>
                <w:bCs w:val="0"/>
                <w:i w:val="0"/>
                <w:iCs w:val="0"/>
                <w:noProof/>
                <w:webHidden/>
                <w:color w:val="000000" w:themeColor="text1"/>
              </w:rPr>
              <w:fldChar w:fldCharType="end"/>
            </w:r>
          </w:hyperlink>
        </w:p>
        <w:p w14:paraId="1FE2CA86" w14:textId="56FEC130" w:rsidR="00BA585B" w:rsidRPr="007F08E2" w:rsidRDefault="00DE37D7" w:rsidP="00BA585B">
          <w:pPr>
            <w:pStyle w:val="TOC1"/>
            <w:tabs>
              <w:tab w:val="right" w:leader="dot" w:pos="9016"/>
            </w:tabs>
            <w:spacing w:before="0"/>
            <w:rPr>
              <w:rFonts w:ascii="Arial" w:hAnsi="Arial" w:cs="Arial"/>
              <w:b w:val="0"/>
              <w:bCs w:val="0"/>
              <w:i w:val="0"/>
              <w:iCs w:val="0"/>
              <w:noProof/>
              <w:color w:val="000000" w:themeColor="text1"/>
            </w:rPr>
          </w:pPr>
          <w:hyperlink w:anchor="_Toc224435644" w:history="1">
            <w:r w:rsidR="00BA585B" w:rsidRPr="007F08E2">
              <w:rPr>
                <w:rStyle w:val="Hyperlink"/>
                <w:rFonts w:ascii="Arial" w:hAnsi="Arial" w:cs="Arial"/>
                <w:b w:val="0"/>
                <w:bCs w:val="0"/>
                <w:i w:val="0"/>
                <w:iCs w:val="0"/>
                <w:noProof/>
                <w:color w:val="000000" w:themeColor="text1"/>
                <w:lang w:val="en-GB"/>
              </w:rPr>
              <w:t>1. Introduction</w:t>
            </w:r>
            <w:r w:rsidR="00BA585B" w:rsidRPr="007F08E2">
              <w:rPr>
                <w:rFonts w:ascii="Arial" w:hAnsi="Arial" w:cs="Arial"/>
                <w:b w:val="0"/>
                <w:bCs w:val="0"/>
                <w:i w:val="0"/>
                <w:iCs w:val="0"/>
                <w:noProof/>
                <w:webHidden/>
                <w:color w:val="000000" w:themeColor="text1"/>
              </w:rPr>
              <w:tab/>
            </w:r>
            <w:r w:rsidR="00BA585B" w:rsidRPr="007F08E2">
              <w:rPr>
                <w:rFonts w:ascii="Arial" w:hAnsi="Arial" w:cs="Arial"/>
                <w:b w:val="0"/>
                <w:bCs w:val="0"/>
                <w:i w:val="0"/>
                <w:iCs w:val="0"/>
                <w:noProof/>
                <w:webHidden/>
                <w:color w:val="000000" w:themeColor="text1"/>
              </w:rPr>
              <w:fldChar w:fldCharType="begin"/>
            </w:r>
            <w:r w:rsidR="00BA585B" w:rsidRPr="007F08E2">
              <w:rPr>
                <w:rFonts w:ascii="Arial" w:hAnsi="Arial" w:cs="Arial"/>
                <w:b w:val="0"/>
                <w:bCs w:val="0"/>
                <w:i w:val="0"/>
                <w:iCs w:val="0"/>
                <w:noProof/>
                <w:webHidden/>
                <w:color w:val="000000" w:themeColor="text1"/>
              </w:rPr>
              <w:instrText xml:space="preserve"> PAGEREF _Toc224435644 \h </w:instrText>
            </w:r>
            <w:r w:rsidR="00BA585B" w:rsidRPr="007F08E2">
              <w:rPr>
                <w:rFonts w:ascii="Arial" w:hAnsi="Arial" w:cs="Arial"/>
                <w:b w:val="0"/>
                <w:bCs w:val="0"/>
                <w:i w:val="0"/>
                <w:iCs w:val="0"/>
                <w:noProof/>
                <w:webHidden/>
                <w:color w:val="000000" w:themeColor="text1"/>
              </w:rPr>
            </w:r>
            <w:r w:rsidR="00BA585B" w:rsidRPr="007F08E2">
              <w:rPr>
                <w:rFonts w:ascii="Arial" w:hAnsi="Arial" w:cs="Arial"/>
                <w:b w:val="0"/>
                <w:bCs w:val="0"/>
                <w:i w:val="0"/>
                <w:iCs w:val="0"/>
                <w:noProof/>
                <w:webHidden/>
                <w:color w:val="000000" w:themeColor="text1"/>
              </w:rPr>
              <w:fldChar w:fldCharType="separate"/>
            </w:r>
            <w:r w:rsidR="00BA585B" w:rsidRPr="007F08E2">
              <w:rPr>
                <w:rFonts w:ascii="Arial" w:hAnsi="Arial" w:cs="Arial"/>
                <w:b w:val="0"/>
                <w:bCs w:val="0"/>
                <w:i w:val="0"/>
                <w:iCs w:val="0"/>
                <w:noProof/>
                <w:webHidden/>
                <w:color w:val="000000" w:themeColor="text1"/>
              </w:rPr>
              <w:t>3</w:t>
            </w:r>
            <w:r w:rsidR="00BA585B" w:rsidRPr="007F08E2">
              <w:rPr>
                <w:rFonts w:ascii="Arial" w:hAnsi="Arial" w:cs="Arial"/>
                <w:b w:val="0"/>
                <w:bCs w:val="0"/>
                <w:i w:val="0"/>
                <w:iCs w:val="0"/>
                <w:noProof/>
                <w:webHidden/>
                <w:color w:val="000000" w:themeColor="text1"/>
              </w:rPr>
              <w:fldChar w:fldCharType="end"/>
            </w:r>
          </w:hyperlink>
        </w:p>
        <w:p w14:paraId="5A804833" w14:textId="503B72A8"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45" w:history="1">
            <w:r w:rsidR="00BA585B" w:rsidRPr="007F08E2">
              <w:rPr>
                <w:rStyle w:val="Hyperlink"/>
                <w:rFonts w:ascii="Arial" w:hAnsi="Arial" w:cs="Arial"/>
                <w:b w:val="0"/>
                <w:bCs w:val="0"/>
                <w:noProof/>
                <w:color w:val="000000" w:themeColor="text1"/>
                <w:sz w:val="24"/>
                <w:szCs w:val="24"/>
                <w:lang w:val="en-GB"/>
              </w:rPr>
              <w:t>2. Current Culture and Work Practices in Tech Companies</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_Toc224435645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3</w:t>
            </w:r>
            <w:r w:rsidR="00BA585B" w:rsidRPr="007F08E2">
              <w:rPr>
                <w:rFonts w:ascii="Arial" w:hAnsi="Arial" w:cs="Arial"/>
                <w:b w:val="0"/>
                <w:bCs w:val="0"/>
                <w:noProof/>
                <w:webHidden/>
                <w:color w:val="000000" w:themeColor="text1"/>
                <w:sz w:val="24"/>
                <w:szCs w:val="24"/>
              </w:rPr>
              <w:fldChar w:fldCharType="end"/>
            </w:r>
          </w:hyperlink>
        </w:p>
        <w:p w14:paraId="065EBE59" w14:textId="0F34301B"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46" w:history="1">
            <w:r w:rsidR="00BA585B" w:rsidRPr="007F08E2">
              <w:rPr>
                <w:rStyle w:val="Hyperlink"/>
                <w:rFonts w:ascii="Arial" w:hAnsi="Arial" w:cs="Arial"/>
                <w:noProof/>
                <w:color w:val="000000" w:themeColor="text1"/>
                <w:sz w:val="24"/>
                <w:szCs w:val="24"/>
                <w:lang w:val="en-GB"/>
              </w:rPr>
              <w:t>2.1 Innovation Culture in Technology Firms</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_Toc224435646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3</w:t>
            </w:r>
            <w:r w:rsidR="00BA585B" w:rsidRPr="007F08E2">
              <w:rPr>
                <w:rFonts w:ascii="Arial" w:hAnsi="Arial" w:cs="Arial"/>
                <w:noProof/>
                <w:webHidden/>
                <w:color w:val="000000" w:themeColor="text1"/>
                <w:sz w:val="24"/>
                <w:szCs w:val="24"/>
              </w:rPr>
              <w:fldChar w:fldCharType="end"/>
            </w:r>
          </w:hyperlink>
        </w:p>
        <w:p w14:paraId="7BB90C6F" w14:textId="355DE4C5"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47" w:history="1">
            <w:r w:rsidR="00BA585B" w:rsidRPr="007F08E2">
              <w:rPr>
                <w:rStyle w:val="Hyperlink"/>
                <w:rFonts w:ascii="Arial" w:hAnsi="Arial" w:cs="Arial"/>
                <w:noProof/>
                <w:color w:val="000000" w:themeColor="text1"/>
                <w:sz w:val="24"/>
                <w:szCs w:val="24"/>
                <w:lang w:val="en-GB"/>
              </w:rPr>
              <w:t>2.2 Current Work Practices in Tech Organisations</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_Toc224435647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3</w:t>
            </w:r>
            <w:r w:rsidR="00BA585B" w:rsidRPr="007F08E2">
              <w:rPr>
                <w:rFonts w:ascii="Arial" w:hAnsi="Arial" w:cs="Arial"/>
                <w:noProof/>
                <w:webHidden/>
                <w:color w:val="000000" w:themeColor="text1"/>
                <w:sz w:val="24"/>
                <w:szCs w:val="24"/>
              </w:rPr>
              <w:fldChar w:fldCharType="end"/>
            </w:r>
          </w:hyperlink>
        </w:p>
        <w:p w14:paraId="051EEFB2" w14:textId="13E3F9C8"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48" w:history="1">
            <w:r w:rsidR="00BA585B" w:rsidRPr="007F08E2">
              <w:rPr>
                <w:rStyle w:val="Hyperlink"/>
                <w:rFonts w:ascii="Arial" w:hAnsi="Arial" w:cs="Arial"/>
                <w:b w:val="0"/>
                <w:bCs w:val="0"/>
                <w:noProof/>
                <w:color w:val="000000" w:themeColor="text1"/>
                <w:sz w:val="24"/>
                <w:szCs w:val="24"/>
                <w:lang w:val="en-GB"/>
              </w:rPr>
              <w:t>3. Cultural and Structural Initiatives to Embed Innovation at Ather</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_Toc224435648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4</w:t>
            </w:r>
            <w:r w:rsidR="00BA585B" w:rsidRPr="007F08E2">
              <w:rPr>
                <w:rFonts w:ascii="Arial" w:hAnsi="Arial" w:cs="Arial"/>
                <w:b w:val="0"/>
                <w:bCs w:val="0"/>
                <w:noProof/>
                <w:webHidden/>
                <w:color w:val="000000" w:themeColor="text1"/>
                <w:sz w:val="24"/>
                <w:szCs w:val="24"/>
              </w:rPr>
              <w:fldChar w:fldCharType="end"/>
            </w:r>
          </w:hyperlink>
        </w:p>
        <w:p w14:paraId="0EDE2C66" w14:textId="02CB6894"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49" w:history="1">
            <w:r w:rsidR="00BA585B" w:rsidRPr="007F08E2">
              <w:rPr>
                <w:rStyle w:val="Hyperlink"/>
                <w:rFonts w:ascii="Arial" w:hAnsi="Arial" w:cs="Arial"/>
                <w:noProof/>
                <w:color w:val="000000" w:themeColor="text1"/>
                <w:sz w:val="24"/>
                <w:szCs w:val="24"/>
                <w:lang w:val="en-GB"/>
              </w:rPr>
              <w:t>3.1 Innovation-Driven Cultural Initiatives</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_Toc224435649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4</w:t>
            </w:r>
            <w:r w:rsidR="00BA585B" w:rsidRPr="007F08E2">
              <w:rPr>
                <w:rFonts w:ascii="Arial" w:hAnsi="Arial" w:cs="Arial"/>
                <w:noProof/>
                <w:webHidden/>
                <w:color w:val="000000" w:themeColor="text1"/>
                <w:sz w:val="24"/>
                <w:szCs w:val="24"/>
              </w:rPr>
              <w:fldChar w:fldCharType="end"/>
            </w:r>
          </w:hyperlink>
        </w:p>
        <w:p w14:paraId="7C5A0963" w14:textId="1B3CAED6"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50" w:history="1">
            <w:r w:rsidR="00BA585B" w:rsidRPr="007F08E2">
              <w:rPr>
                <w:rStyle w:val="Hyperlink"/>
                <w:rFonts w:ascii="Arial" w:hAnsi="Arial" w:cs="Arial"/>
                <w:noProof/>
                <w:color w:val="000000" w:themeColor="text1"/>
                <w:sz w:val="24"/>
                <w:szCs w:val="24"/>
                <w:lang w:val="en-GB"/>
              </w:rPr>
              <w:t>3.2 Structural Initiatives to Support Innovation</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_Toc224435650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5</w:t>
            </w:r>
            <w:r w:rsidR="00BA585B" w:rsidRPr="007F08E2">
              <w:rPr>
                <w:rFonts w:ascii="Arial" w:hAnsi="Arial" w:cs="Arial"/>
                <w:noProof/>
                <w:webHidden/>
                <w:color w:val="000000" w:themeColor="text1"/>
                <w:sz w:val="24"/>
                <w:szCs w:val="24"/>
              </w:rPr>
              <w:fldChar w:fldCharType="end"/>
            </w:r>
          </w:hyperlink>
        </w:p>
        <w:p w14:paraId="25270DFB" w14:textId="229CEEE7"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1" w:history="1">
            <w:r w:rsidR="00BA585B" w:rsidRPr="007F08E2">
              <w:rPr>
                <w:rStyle w:val="Hyperlink"/>
                <w:rFonts w:ascii="Arial" w:hAnsi="Arial" w:cs="Arial"/>
                <w:b w:val="0"/>
                <w:bCs w:val="0"/>
                <w:noProof/>
                <w:color w:val="000000" w:themeColor="text1"/>
                <w:sz w:val="24"/>
                <w:szCs w:val="24"/>
                <w:lang w:val="en-GB"/>
              </w:rPr>
              <w:t>4. Future of Work Model for Ather (Hybrid / Remote Work)</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_Toc224435651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5</w:t>
            </w:r>
            <w:r w:rsidR="00BA585B" w:rsidRPr="007F08E2">
              <w:rPr>
                <w:rFonts w:ascii="Arial" w:hAnsi="Arial" w:cs="Arial"/>
                <w:b w:val="0"/>
                <w:bCs w:val="0"/>
                <w:noProof/>
                <w:webHidden/>
                <w:color w:val="000000" w:themeColor="text1"/>
                <w:sz w:val="24"/>
                <w:szCs w:val="24"/>
              </w:rPr>
              <w:fldChar w:fldCharType="end"/>
            </w:r>
          </w:hyperlink>
        </w:p>
        <w:p w14:paraId="66502921" w14:textId="1FCE8D5F"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52" w:history="1">
            <w:r w:rsidR="00BA585B" w:rsidRPr="007F08E2">
              <w:rPr>
                <w:rStyle w:val="Hyperlink"/>
                <w:rFonts w:ascii="Arial" w:hAnsi="Arial" w:cs="Arial"/>
                <w:noProof/>
                <w:color w:val="000000" w:themeColor="text1"/>
                <w:sz w:val="24"/>
                <w:szCs w:val="24"/>
                <w:lang w:val="en-GB"/>
              </w:rPr>
              <w:t>4.1 Proposed Future Work Model</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_Toc224435652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5</w:t>
            </w:r>
            <w:r w:rsidR="00BA585B" w:rsidRPr="007F08E2">
              <w:rPr>
                <w:rFonts w:ascii="Arial" w:hAnsi="Arial" w:cs="Arial"/>
                <w:noProof/>
                <w:webHidden/>
                <w:color w:val="000000" w:themeColor="text1"/>
                <w:sz w:val="24"/>
                <w:szCs w:val="24"/>
              </w:rPr>
              <w:fldChar w:fldCharType="end"/>
            </w:r>
          </w:hyperlink>
        </w:p>
        <w:p w14:paraId="2C46B3C0" w14:textId="21C05549" w:rsidR="00BA585B" w:rsidRPr="007F08E2" w:rsidRDefault="00DE37D7" w:rsidP="00BA585B">
          <w:pPr>
            <w:pStyle w:val="TOC3"/>
            <w:tabs>
              <w:tab w:val="right" w:leader="dot" w:pos="9016"/>
            </w:tabs>
            <w:rPr>
              <w:rFonts w:ascii="Arial" w:hAnsi="Arial" w:cs="Arial"/>
              <w:noProof/>
              <w:color w:val="000000" w:themeColor="text1"/>
              <w:sz w:val="24"/>
              <w:szCs w:val="24"/>
            </w:rPr>
          </w:pPr>
          <w:hyperlink w:anchor="_Toc224435653" w:history="1">
            <w:r w:rsidR="00BA585B" w:rsidRPr="007F08E2">
              <w:rPr>
                <w:rStyle w:val="Hyperlink"/>
                <w:rFonts w:ascii="Arial" w:hAnsi="Arial" w:cs="Arial"/>
                <w:noProof/>
                <w:color w:val="000000" w:themeColor="text1"/>
                <w:sz w:val="24"/>
                <w:szCs w:val="24"/>
                <w:lang w:val="en-GB"/>
              </w:rPr>
              <w:t>4.2 Enabling Collaboration and Creativity</w:t>
            </w:r>
            <w:r w:rsidR="00BA585B" w:rsidRPr="007F08E2">
              <w:rPr>
                <w:rFonts w:ascii="Arial" w:hAnsi="Arial" w:cs="Arial"/>
                <w:noProof/>
                <w:webHidden/>
                <w:color w:val="000000" w:themeColor="text1"/>
                <w:sz w:val="24"/>
                <w:szCs w:val="24"/>
              </w:rPr>
              <w:tab/>
            </w:r>
            <w:r w:rsidR="00BA585B" w:rsidRPr="007F08E2">
              <w:rPr>
                <w:rFonts w:ascii="Arial" w:hAnsi="Arial" w:cs="Arial"/>
                <w:noProof/>
                <w:webHidden/>
                <w:color w:val="000000" w:themeColor="text1"/>
                <w:sz w:val="24"/>
                <w:szCs w:val="24"/>
              </w:rPr>
              <w:fldChar w:fldCharType="begin"/>
            </w:r>
            <w:r w:rsidR="00BA585B" w:rsidRPr="007F08E2">
              <w:rPr>
                <w:rFonts w:ascii="Arial" w:hAnsi="Arial" w:cs="Arial"/>
                <w:noProof/>
                <w:webHidden/>
                <w:color w:val="000000" w:themeColor="text1"/>
                <w:sz w:val="24"/>
                <w:szCs w:val="24"/>
              </w:rPr>
              <w:instrText xml:space="preserve"> PAGEREF _Toc224435653 \h </w:instrText>
            </w:r>
            <w:r w:rsidR="00BA585B" w:rsidRPr="007F08E2">
              <w:rPr>
                <w:rFonts w:ascii="Arial" w:hAnsi="Arial" w:cs="Arial"/>
                <w:noProof/>
                <w:webHidden/>
                <w:color w:val="000000" w:themeColor="text1"/>
                <w:sz w:val="24"/>
                <w:szCs w:val="24"/>
              </w:rPr>
            </w:r>
            <w:r w:rsidR="00BA585B" w:rsidRPr="007F08E2">
              <w:rPr>
                <w:rFonts w:ascii="Arial" w:hAnsi="Arial" w:cs="Arial"/>
                <w:noProof/>
                <w:webHidden/>
                <w:color w:val="000000" w:themeColor="text1"/>
                <w:sz w:val="24"/>
                <w:szCs w:val="24"/>
              </w:rPr>
              <w:fldChar w:fldCharType="separate"/>
            </w:r>
            <w:r w:rsidR="00BA585B" w:rsidRPr="007F08E2">
              <w:rPr>
                <w:rFonts w:ascii="Arial" w:hAnsi="Arial" w:cs="Arial"/>
                <w:noProof/>
                <w:webHidden/>
                <w:color w:val="000000" w:themeColor="text1"/>
                <w:sz w:val="24"/>
                <w:szCs w:val="24"/>
              </w:rPr>
              <w:t>6</w:t>
            </w:r>
            <w:r w:rsidR="00BA585B" w:rsidRPr="007F08E2">
              <w:rPr>
                <w:rFonts w:ascii="Arial" w:hAnsi="Arial" w:cs="Arial"/>
                <w:noProof/>
                <w:webHidden/>
                <w:color w:val="000000" w:themeColor="text1"/>
                <w:sz w:val="24"/>
                <w:szCs w:val="24"/>
              </w:rPr>
              <w:fldChar w:fldCharType="end"/>
            </w:r>
          </w:hyperlink>
        </w:p>
        <w:p w14:paraId="2F6AA1A5" w14:textId="61CCD921"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4" w:history="1">
            <w:r w:rsidR="00BA585B" w:rsidRPr="007F08E2">
              <w:rPr>
                <w:rStyle w:val="Hyperlink"/>
                <w:rFonts w:ascii="Arial" w:hAnsi="Arial" w:cs="Arial"/>
                <w:b w:val="0"/>
                <w:bCs w:val="0"/>
                <w:noProof/>
                <w:color w:val="000000" w:themeColor="text1"/>
                <w:sz w:val="24"/>
                <w:szCs w:val="24"/>
                <w:lang w:val="en-GB"/>
              </w:rPr>
              <w:t>5. Motivation and Performance Impact of the Proposed Approach</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_Toc224435654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6</w:t>
            </w:r>
            <w:r w:rsidR="00BA585B" w:rsidRPr="007F08E2">
              <w:rPr>
                <w:rFonts w:ascii="Arial" w:hAnsi="Arial" w:cs="Arial"/>
                <w:b w:val="0"/>
                <w:bCs w:val="0"/>
                <w:noProof/>
                <w:webHidden/>
                <w:color w:val="000000" w:themeColor="text1"/>
                <w:sz w:val="24"/>
                <w:szCs w:val="24"/>
              </w:rPr>
              <w:fldChar w:fldCharType="end"/>
            </w:r>
          </w:hyperlink>
        </w:p>
        <w:p w14:paraId="28C80911" w14:textId="063D43BD"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5" w:history="1">
            <w:r w:rsidR="00BA585B" w:rsidRPr="007F08E2">
              <w:rPr>
                <w:rStyle w:val="Hyperlink"/>
                <w:rFonts w:ascii="Arial" w:hAnsi="Arial" w:cs="Arial"/>
                <w:b w:val="0"/>
                <w:bCs w:val="0"/>
                <w:noProof/>
                <w:color w:val="000000" w:themeColor="text1"/>
                <w:sz w:val="24"/>
                <w:szCs w:val="24"/>
                <w:lang w:val="en-GB"/>
              </w:rPr>
              <w:t>6. Conclusion</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_Toc224435655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6</w:t>
            </w:r>
            <w:r w:rsidR="00BA585B" w:rsidRPr="007F08E2">
              <w:rPr>
                <w:rFonts w:ascii="Arial" w:hAnsi="Arial" w:cs="Arial"/>
                <w:b w:val="0"/>
                <w:bCs w:val="0"/>
                <w:noProof/>
                <w:webHidden/>
                <w:color w:val="000000" w:themeColor="text1"/>
                <w:sz w:val="24"/>
                <w:szCs w:val="24"/>
              </w:rPr>
              <w:fldChar w:fldCharType="end"/>
            </w:r>
          </w:hyperlink>
        </w:p>
        <w:p w14:paraId="1D1087A7" w14:textId="2B7F6FA2" w:rsidR="00BA585B" w:rsidRPr="007F08E2" w:rsidRDefault="00DE37D7" w:rsidP="00BA585B">
          <w:pPr>
            <w:pStyle w:val="TOC1"/>
            <w:tabs>
              <w:tab w:val="right" w:leader="dot" w:pos="9016"/>
            </w:tabs>
            <w:spacing w:before="0"/>
            <w:rPr>
              <w:rFonts w:ascii="Arial" w:hAnsi="Arial" w:cs="Arial"/>
              <w:b w:val="0"/>
              <w:bCs w:val="0"/>
              <w:i w:val="0"/>
              <w:iCs w:val="0"/>
              <w:noProof/>
              <w:color w:val="000000" w:themeColor="text1"/>
            </w:rPr>
          </w:pPr>
          <w:hyperlink w:anchor="_Toc224435656" w:history="1">
            <w:r w:rsidR="00BA585B" w:rsidRPr="007F08E2">
              <w:rPr>
                <w:rStyle w:val="Hyperlink"/>
                <w:rFonts w:ascii="Arial" w:hAnsi="Arial" w:cs="Arial"/>
                <w:b w:val="0"/>
                <w:bCs w:val="0"/>
                <w:i w:val="0"/>
                <w:iCs w:val="0"/>
                <w:noProof/>
                <w:color w:val="000000" w:themeColor="text1"/>
                <w:lang w:val="en-GB"/>
              </w:rPr>
              <w:t>Part 2: Reflection Using Gibbs Reflective Cycle</w:t>
            </w:r>
            <w:r w:rsidR="00BA585B" w:rsidRPr="007F08E2">
              <w:rPr>
                <w:rFonts w:ascii="Arial" w:hAnsi="Arial" w:cs="Arial"/>
                <w:b w:val="0"/>
                <w:bCs w:val="0"/>
                <w:i w:val="0"/>
                <w:iCs w:val="0"/>
                <w:noProof/>
                <w:webHidden/>
                <w:color w:val="000000" w:themeColor="text1"/>
              </w:rPr>
              <w:tab/>
            </w:r>
            <w:r w:rsidR="00BA585B" w:rsidRPr="007F08E2">
              <w:rPr>
                <w:rFonts w:ascii="Arial" w:hAnsi="Arial" w:cs="Arial"/>
                <w:b w:val="0"/>
                <w:bCs w:val="0"/>
                <w:i w:val="0"/>
                <w:iCs w:val="0"/>
                <w:noProof/>
                <w:webHidden/>
                <w:color w:val="000000" w:themeColor="text1"/>
              </w:rPr>
              <w:fldChar w:fldCharType="begin"/>
            </w:r>
            <w:r w:rsidR="00BA585B" w:rsidRPr="007F08E2">
              <w:rPr>
                <w:rFonts w:ascii="Arial" w:hAnsi="Arial" w:cs="Arial"/>
                <w:b w:val="0"/>
                <w:bCs w:val="0"/>
                <w:i w:val="0"/>
                <w:iCs w:val="0"/>
                <w:noProof/>
                <w:webHidden/>
                <w:color w:val="000000" w:themeColor="text1"/>
              </w:rPr>
              <w:instrText xml:space="preserve"> PAGEREF _Toc224435656 \h </w:instrText>
            </w:r>
            <w:r w:rsidR="00BA585B" w:rsidRPr="007F08E2">
              <w:rPr>
                <w:rFonts w:ascii="Arial" w:hAnsi="Arial" w:cs="Arial"/>
                <w:b w:val="0"/>
                <w:bCs w:val="0"/>
                <w:i w:val="0"/>
                <w:iCs w:val="0"/>
                <w:noProof/>
                <w:webHidden/>
                <w:color w:val="000000" w:themeColor="text1"/>
              </w:rPr>
            </w:r>
            <w:r w:rsidR="00BA585B" w:rsidRPr="007F08E2">
              <w:rPr>
                <w:rFonts w:ascii="Arial" w:hAnsi="Arial" w:cs="Arial"/>
                <w:b w:val="0"/>
                <w:bCs w:val="0"/>
                <w:i w:val="0"/>
                <w:iCs w:val="0"/>
                <w:noProof/>
                <w:webHidden/>
                <w:color w:val="000000" w:themeColor="text1"/>
              </w:rPr>
              <w:fldChar w:fldCharType="separate"/>
            </w:r>
            <w:r w:rsidR="00BA585B" w:rsidRPr="007F08E2">
              <w:rPr>
                <w:rFonts w:ascii="Arial" w:hAnsi="Arial" w:cs="Arial"/>
                <w:b w:val="0"/>
                <w:bCs w:val="0"/>
                <w:i w:val="0"/>
                <w:iCs w:val="0"/>
                <w:noProof/>
                <w:webHidden/>
                <w:color w:val="000000" w:themeColor="text1"/>
              </w:rPr>
              <w:t>6</w:t>
            </w:r>
            <w:r w:rsidR="00BA585B" w:rsidRPr="007F08E2">
              <w:rPr>
                <w:rFonts w:ascii="Arial" w:hAnsi="Arial" w:cs="Arial"/>
                <w:b w:val="0"/>
                <w:bCs w:val="0"/>
                <w:i w:val="0"/>
                <w:iCs w:val="0"/>
                <w:noProof/>
                <w:webHidden/>
                <w:color w:val="000000" w:themeColor="text1"/>
              </w:rPr>
              <w:fldChar w:fldCharType="end"/>
            </w:r>
          </w:hyperlink>
        </w:p>
        <w:p w14:paraId="1E30C72B" w14:textId="04518269"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7" w:history="1">
            <w:r w:rsidR="00BA585B" w:rsidRPr="007F08E2">
              <w:rPr>
                <w:rStyle w:val="Hyperlink"/>
                <w:rFonts w:ascii="Arial" w:hAnsi="Arial" w:cs="Arial"/>
                <w:b w:val="0"/>
                <w:bCs w:val="0"/>
                <w:noProof/>
                <w:color w:val="000000" w:themeColor="text1"/>
                <w:sz w:val="24"/>
                <w:szCs w:val="24"/>
                <w:lang w:val="en-GB"/>
              </w:rPr>
              <w:t>1. Description</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_Toc224435657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6</w:t>
            </w:r>
            <w:r w:rsidR="00BA585B" w:rsidRPr="007F08E2">
              <w:rPr>
                <w:rFonts w:ascii="Arial" w:hAnsi="Arial" w:cs="Arial"/>
                <w:b w:val="0"/>
                <w:bCs w:val="0"/>
                <w:noProof/>
                <w:webHidden/>
                <w:color w:val="000000" w:themeColor="text1"/>
                <w:sz w:val="24"/>
                <w:szCs w:val="24"/>
              </w:rPr>
              <w:fldChar w:fldCharType="end"/>
            </w:r>
          </w:hyperlink>
        </w:p>
        <w:p w14:paraId="50558A9F" w14:textId="3E58EE80"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8" w:history="1">
            <w:r w:rsidR="00BA585B" w:rsidRPr="007F08E2">
              <w:rPr>
                <w:rStyle w:val="Hyperlink"/>
                <w:rFonts w:ascii="Arial" w:hAnsi="Arial" w:cs="Arial"/>
                <w:b w:val="0"/>
                <w:bCs w:val="0"/>
                <w:noProof/>
                <w:color w:val="000000" w:themeColor="text1"/>
                <w:sz w:val="24"/>
                <w:szCs w:val="24"/>
                <w:lang w:val="en-GB"/>
              </w:rPr>
              <w:t>2. Feelings</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_Toc224435658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6</w:t>
            </w:r>
            <w:r w:rsidR="00BA585B" w:rsidRPr="007F08E2">
              <w:rPr>
                <w:rFonts w:ascii="Arial" w:hAnsi="Arial" w:cs="Arial"/>
                <w:b w:val="0"/>
                <w:bCs w:val="0"/>
                <w:noProof/>
                <w:webHidden/>
                <w:color w:val="000000" w:themeColor="text1"/>
                <w:sz w:val="24"/>
                <w:szCs w:val="24"/>
              </w:rPr>
              <w:fldChar w:fldCharType="end"/>
            </w:r>
          </w:hyperlink>
        </w:p>
        <w:p w14:paraId="7CB3D2F8" w14:textId="63396F80"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59" w:history="1">
            <w:r w:rsidR="00BA585B" w:rsidRPr="007F08E2">
              <w:rPr>
                <w:rStyle w:val="Hyperlink"/>
                <w:rFonts w:ascii="Arial" w:hAnsi="Arial" w:cs="Arial"/>
                <w:b w:val="0"/>
                <w:bCs w:val="0"/>
                <w:noProof/>
                <w:color w:val="000000" w:themeColor="text1"/>
                <w:sz w:val="24"/>
                <w:szCs w:val="24"/>
                <w:lang w:val="en-GB"/>
              </w:rPr>
              <w:t>3. Evaluation</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_Toc224435659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7</w:t>
            </w:r>
            <w:r w:rsidR="00BA585B" w:rsidRPr="007F08E2">
              <w:rPr>
                <w:rFonts w:ascii="Arial" w:hAnsi="Arial" w:cs="Arial"/>
                <w:b w:val="0"/>
                <w:bCs w:val="0"/>
                <w:noProof/>
                <w:webHidden/>
                <w:color w:val="000000" w:themeColor="text1"/>
                <w:sz w:val="24"/>
                <w:szCs w:val="24"/>
              </w:rPr>
              <w:fldChar w:fldCharType="end"/>
            </w:r>
          </w:hyperlink>
        </w:p>
        <w:p w14:paraId="19B172CD" w14:textId="5B9834FE"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60" w:history="1">
            <w:r w:rsidR="00BA585B" w:rsidRPr="007F08E2">
              <w:rPr>
                <w:rStyle w:val="Hyperlink"/>
                <w:rFonts w:ascii="Arial" w:hAnsi="Arial" w:cs="Arial"/>
                <w:b w:val="0"/>
                <w:bCs w:val="0"/>
                <w:noProof/>
                <w:color w:val="000000" w:themeColor="text1"/>
                <w:sz w:val="24"/>
                <w:szCs w:val="24"/>
                <w:lang w:val="en-GB"/>
              </w:rPr>
              <w:t>4. Analysis</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_Toc224435660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7</w:t>
            </w:r>
            <w:r w:rsidR="00BA585B" w:rsidRPr="007F08E2">
              <w:rPr>
                <w:rFonts w:ascii="Arial" w:hAnsi="Arial" w:cs="Arial"/>
                <w:b w:val="0"/>
                <w:bCs w:val="0"/>
                <w:noProof/>
                <w:webHidden/>
                <w:color w:val="000000" w:themeColor="text1"/>
                <w:sz w:val="24"/>
                <w:szCs w:val="24"/>
              </w:rPr>
              <w:fldChar w:fldCharType="end"/>
            </w:r>
          </w:hyperlink>
        </w:p>
        <w:p w14:paraId="478DDBF1" w14:textId="24640FD7"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61" w:history="1">
            <w:r w:rsidR="00BA585B" w:rsidRPr="007F08E2">
              <w:rPr>
                <w:rStyle w:val="Hyperlink"/>
                <w:rFonts w:ascii="Arial" w:hAnsi="Arial" w:cs="Arial"/>
                <w:b w:val="0"/>
                <w:bCs w:val="0"/>
                <w:noProof/>
                <w:color w:val="000000" w:themeColor="text1"/>
                <w:sz w:val="24"/>
                <w:szCs w:val="24"/>
                <w:lang w:val="en-GB"/>
              </w:rPr>
              <w:t>5. Conclusion</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_Toc224435661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8</w:t>
            </w:r>
            <w:r w:rsidR="00BA585B" w:rsidRPr="007F08E2">
              <w:rPr>
                <w:rFonts w:ascii="Arial" w:hAnsi="Arial" w:cs="Arial"/>
                <w:b w:val="0"/>
                <w:bCs w:val="0"/>
                <w:noProof/>
                <w:webHidden/>
                <w:color w:val="000000" w:themeColor="text1"/>
                <w:sz w:val="24"/>
                <w:szCs w:val="24"/>
              </w:rPr>
              <w:fldChar w:fldCharType="end"/>
            </w:r>
          </w:hyperlink>
        </w:p>
        <w:p w14:paraId="283B929B" w14:textId="4CA51600" w:rsidR="00BA585B" w:rsidRPr="007F08E2" w:rsidRDefault="00DE37D7" w:rsidP="00BA585B">
          <w:pPr>
            <w:pStyle w:val="TOC2"/>
            <w:tabs>
              <w:tab w:val="right" w:leader="dot" w:pos="9016"/>
            </w:tabs>
            <w:spacing w:before="0"/>
            <w:rPr>
              <w:rFonts w:ascii="Arial" w:hAnsi="Arial" w:cs="Arial"/>
              <w:b w:val="0"/>
              <w:bCs w:val="0"/>
              <w:noProof/>
              <w:color w:val="000000" w:themeColor="text1"/>
              <w:sz w:val="24"/>
              <w:szCs w:val="24"/>
            </w:rPr>
          </w:pPr>
          <w:hyperlink w:anchor="_Toc224435662" w:history="1">
            <w:r w:rsidR="00BA585B" w:rsidRPr="007F08E2">
              <w:rPr>
                <w:rStyle w:val="Hyperlink"/>
                <w:rFonts w:ascii="Arial" w:hAnsi="Arial" w:cs="Arial"/>
                <w:b w:val="0"/>
                <w:bCs w:val="0"/>
                <w:noProof/>
                <w:color w:val="000000" w:themeColor="text1"/>
                <w:sz w:val="24"/>
                <w:szCs w:val="24"/>
                <w:lang w:val="en-GB"/>
              </w:rPr>
              <w:t>6. Action Plan: Staying Relevant in the Age of AI</w:t>
            </w:r>
            <w:r w:rsidR="00BA585B" w:rsidRPr="007F08E2">
              <w:rPr>
                <w:rFonts w:ascii="Arial" w:hAnsi="Arial" w:cs="Arial"/>
                <w:b w:val="0"/>
                <w:bCs w:val="0"/>
                <w:noProof/>
                <w:webHidden/>
                <w:color w:val="000000" w:themeColor="text1"/>
                <w:sz w:val="24"/>
                <w:szCs w:val="24"/>
              </w:rPr>
              <w:tab/>
            </w:r>
            <w:r w:rsidR="00BA585B" w:rsidRPr="007F08E2">
              <w:rPr>
                <w:rFonts w:ascii="Arial" w:hAnsi="Arial" w:cs="Arial"/>
                <w:b w:val="0"/>
                <w:bCs w:val="0"/>
                <w:noProof/>
                <w:webHidden/>
                <w:color w:val="000000" w:themeColor="text1"/>
                <w:sz w:val="24"/>
                <w:szCs w:val="24"/>
              </w:rPr>
              <w:fldChar w:fldCharType="begin"/>
            </w:r>
            <w:r w:rsidR="00BA585B" w:rsidRPr="007F08E2">
              <w:rPr>
                <w:rFonts w:ascii="Arial" w:hAnsi="Arial" w:cs="Arial"/>
                <w:b w:val="0"/>
                <w:bCs w:val="0"/>
                <w:noProof/>
                <w:webHidden/>
                <w:color w:val="000000" w:themeColor="text1"/>
                <w:sz w:val="24"/>
                <w:szCs w:val="24"/>
              </w:rPr>
              <w:instrText xml:space="preserve"> PAGEREF _Toc224435662 \h </w:instrText>
            </w:r>
            <w:r w:rsidR="00BA585B" w:rsidRPr="007F08E2">
              <w:rPr>
                <w:rFonts w:ascii="Arial" w:hAnsi="Arial" w:cs="Arial"/>
                <w:b w:val="0"/>
                <w:bCs w:val="0"/>
                <w:noProof/>
                <w:webHidden/>
                <w:color w:val="000000" w:themeColor="text1"/>
                <w:sz w:val="24"/>
                <w:szCs w:val="24"/>
              </w:rPr>
            </w:r>
            <w:r w:rsidR="00BA585B" w:rsidRPr="007F08E2">
              <w:rPr>
                <w:rFonts w:ascii="Arial" w:hAnsi="Arial" w:cs="Arial"/>
                <w:b w:val="0"/>
                <w:bCs w:val="0"/>
                <w:noProof/>
                <w:webHidden/>
                <w:color w:val="000000" w:themeColor="text1"/>
                <w:sz w:val="24"/>
                <w:szCs w:val="24"/>
              </w:rPr>
              <w:fldChar w:fldCharType="separate"/>
            </w:r>
            <w:r w:rsidR="00BA585B" w:rsidRPr="007F08E2">
              <w:rPr>
                <w:rFonts w:ascii="Arial" w:hAnsi="Arial" w:cs="Arial"/>
                <w:b w:val="0"/>
                <w:bCs w:val="0"/>
                <w:noProof/>
                <w:webHidden/>
                <w:color w:val="000000" w:themeColor="text1"/>
                <w:sz w:val="24"/>
                <w:szCs w:val="24"/>
              </w:rPr>
              <w:t>8</w:t>
            </w:r>
            <w:r w:rsidR="00BA585B" w:rsidRPr="007F08E2">
              <w:rPr>
                <w:rFonts w:ascii="Arial" w:hAnsi="Arial" w:cs="Arial"/>
                <w:b w:val="0"/>
                <w:bCs w:val="0"/>
                <w:noProof/>
                <w:webHidden/>
                <w:color w:val="000000" w:themeColor="text1"/>
                <w:sz w:val="24"/>
                <w:szCs w:val="24"/>
              </w:rPr>
              <w:fldChar w:fldCharType="end"/>
            </w:r>
          </w:hyperlink>
        </w:p>
        <w:p w14:paraId="107406EC" w14:textId="51A4D0DC" w:rsidR="00BA585B" w:rsidRPr="007F08E2" w:rsidRDefault="00DE37D7" w:rsidP="00BA585B">
          <w:pPr>
            <w:pStyle w:val="TOC1"/>
            <w:tabs>
              <w:tab w:val="right" w:leader="dot" w:pos="9016"/>
            </w:tabs>
            <w:spacing w:before="0"/>
            <w:rPr>
              <w:rFonts w:ascii="Arial" w:hAnsi="Arial" w:cs="Arial"/>
              <w:b w:val="0"/>
              <w:bCs w:val="0"/>
              <w:i w:val="0"/>
              <w:iCs w:val="0"/>
              <w:noProof/>
              <w:color w:val="000000" w:themeColor="text1"/>
            </w:rPr>
          </w:pPr>
          <w:hyperlink w:anchor="_Toc224435663" w:history="1">
            <w:r w:rsidR="00BA585B" w:rsidRPr="007F08E2">
              <w:rPr>
                <w:rStyle w:val="Hyperlink"/>
                <w:rFonts w:ascii="Arial" w:hAnsi="Arial" w:cs="Arial"/>
                <w:b w:val="0"/>
                <w:bCs w:val="0"/>
                <w:i w:val="0"/>
                <w:iCs w:val="0"/>
                <w:noProof/>
                <w:color w:val="000000" w:themeColor="text1"/>
                <w:lang w:val="en-GB"/>
              </w:rPr>
              <w:t>References</w:t>
            </w:r>
            <w:r w:rsidR="00BA585B" w:rsidRPr="007F08E2">
              <w:rPr>
                <w:rFonts w:ascii="Arial" w:hAnsi="Arial" w:cs="Arial"/>
                <w:b w:val="0"/>
                <w:bCs w:val="0"/>
                <w:i w:val="0"/>
                <w:iCs w:val="0"/>
                <w:noProof/>
                <w:webHidden/>
                <w:color w:val="000000" w:themeColor="text1"/>
              </w:rPr>
              <w:tab/>
            </w:r>
            <w:r w:rsidR="00BA585B" w:rsidRPr="007F08E2">
              <w:rPr>
                <w:rFonts w:ascii="Arial" w:hAnsi="Arial" w:cs="Arial"/>
                <w:b w:val="0"/>
                <w:bCs w:val="0"/>
                <w:i w:val="0"/>
                <w:iCs w:val="0"/>
                <w:noProof/>
                <w:webHidden/>
                <w:color w:val="000000" w:themeColor="text1"/>
              </w:rPr>
              <w:fldChar w:fldCharType="begin"/>
            </w:r>
            <w:r w:rsidR="00BA585B" w:rsidRPr="007F08E2">
              <w:rPr>
                <w:rFonts w:ascii="Arial" w:hAnsi="Arial" w:cs="Arial"/>
                <w:b w:val="0"/>
                <w:bCs w:val="0"/>
                <w:i w:val="0"/>
                <w:iCs w:val="0"/>
                <w:noProof/>
                <w:webHidden/>
                <w:color w:val="000000" w:themeColor="text1"/>
              </w:rPr>
              <w:instrText xml:space="preserve"> PAGEREF _Toc224435663 \h </w:instrText>
            </w:r>
            <w:r w:rsidR="00BA585B" w:rsidRPr="007F08E2">
              <w:rPr>
                <w:rFonts w:ascii="Arial" w:hAnsi="Arial" w:cs="Arial"/>
                <w:b w:val="0"/>
                <w:bCs w:val="0"/>
                <w:i w:val="0"/>
                <w:iCs w:val="0"/>
                <w:noProof/>
                <w:webHidden/>
                <w:color w:val="000000" w:themeColor="text1"/>
              </w:rPr>
            </w:r>
            <w:r w:rsidR="00BA585B" w:rsidRPr="007F08E2">
              <w:rPr>
                <w:rFonts w:ascii="Arial" w:hAnsi="Arial" w:cs="Arial"/>
                <w:b w:val="0"/>
                <w:bCs w:val="0"/>
                <w:i w:val="0"/>
                <w:iCs w:val="0"/>
                <w:noProof/>
                <w:webHidden/>
                <w:color w:val="000000" w:themeColor="text1"/>
              </w:rPr>
              <w:fldChar w:fldCharType="separate"/>
            </w:r>
            <w:r w:rsidR="00BA585B" w:rsidRPr="007F08E2">
              <w:rPr>
                <w:rFonts w:ascii="Arial" w:hAnsi="Arial" w:cs="Arial"/>
                <w:b w:val="0"/>
                <w:bCs w:val="0"/>
                <w:i w:val="0"/>
                <w:iCs w:val="0"/>
                <w:noProof/>
                <w:webHidden/>
                <w:color w:val="000000" w:themeColor="text1"/>
              </w:rPr>
              <w:t>9</w:t>
            </w:r>
            <w:r w:rsidR="00BA585B" w:rsidRPr="007F08E2">
              <w:rPr>
                <w:rFonts w:ascii="Arial" w:hAnsi="Arial" w:cs="Arial"/>
                <w:b w:val="0"/>
                <w:bCs w:val="0"/>
                <w:i w:val="0"/>
                <w:iCs w:val="0"/>
                <w:noProof/>
                <w:webHidden/>
                <w:color w:val="000000" w:themeColor="text1"/>
              </w:rPr>
              <w:fldChar w:fldCharType="end"/>
            </w:r>
          </w:hyperlink>
        </w:p>
        <w:p w14:paraId="47CA5A02" w14:textId="77777777" w:rsidR="001B2CB9" w:rsidRPr="007F08E2" w:rsidRDefault="00BA585B" w:rsidP="001B2CB9">
          <w:pPr>
            <w:rPr>
              <w:rFonts w:ascii="Arial" w:hAnsi="Arial" w:cs="Arial"/>
              <w:noProof/>
            </w:rPr>
          </w:pPr>
          <w:r w:rsidRPr="007F08E2">
            <w:rPr>
              <w:rFonts w:ascii="Arial" w:hAnsi="Arial" w:cs="Arial"/>
              <w:noProof/>
              <w:color w:val="000000" w:themeColor="text1"/>
            </w:rPr>
            <w:fldChar w:fldCharType="end"/>
          </w:r>
        </w:p>
      </w:sdtContent>
    </w:sdt>
    <w:p w14:paraId="00000001" w14:textId="040B7D16" w:rsidR="009F7007" w:rsidRPr="007F08E2" w:rsidRDefault="00DE37D7" w:rsidP="001B2CB9">
      <w:pPr>
        <w:rPr>
          <w:rFonts w:ascii="Arial" w:hAnsi="Arial" w:cs="Arial"/>
        </w:rPr>
      </w:pPr>
      <w:r w:rsidRPr="007F08E2">
        <w:rPr>
          <w:rFonts w:ascii="Arial" w:hAnsi="Arial" w:cs="Arial"/>
          <w:lang w:val="en-GB"/>
        </w:rPr>
        <w:br w:type="page"/>
      </w:r>
    </w:p>
    <w:p w14:paraId="00000002" w14:textId="77777777" w:rsidR="009F7007" w:rsidRPr="007F08E2" w:rsidRDefault="00DE37D7">
      <w:pPr>
        <w:pStyle w:val="Heading1"/>
        <w:rPr>
          <w:rFonts w:ascii="Arial" w:hAnsi="Arial" w:cs="Arial"/>
          <w:lang w:val="en-GB"/>
        </w:rPr>
      </w:pPr>
      <w:bookmarkStart w:id="0" w:name="_gv07dhu0clcr" w:colFirst="0" w:colLast="0"/>
      <w:bookmarkStart w:id="1" w:name="_Toc224435643"/>
      <w:bookmarkEnd w:id="0"/>
      <w:r w:rsidRPr="007F08E2">
        <w:rPr>
          <w:rFonts w:ascii="Arial" w:hAnsi="Arial" w:cs="Arial"/>
          <w:lang w:val="en-GB"/>
        </w:rPr>
        <w:lastRenderedPageBreak/>
        <w:t>Part 1: Building a Culture of Innovation &amp; Future Work Practices</w:t>
      </w:r>
      <w:bookmarkEnd w:id="1"/>
    </w:p>
    <w:p w14:paraId="00000003" w14:textId="77777777" w:rsidR="009F7007" w:rsidRPr="007F08E2" w:rsidRDefault="00DE37D7">
      <w:pPr>
        <w:pStyle w:val="Heading1"/>
        <w:rPr>
          <w:rFonts w:ascii="Arial" w:hAnsi="Arial" w:cs="Arial"/>
          <w:lang w:val="en-GB"/>
        </w:rPr>
      </w:pPr>
      <w:bookmarkStart w:id="2" w:name="_lh627fop7g" w:colFirst="0" w:colLast="0"/>
      <w:bookmarkStart w:id="3" w:name="_Toc224435644"/>
      <w:bookmarkEnd w:id="2"/>
      <w:r w:rsidRPr="007F08E2">
        <w:rPr>
          <w:rFonts w:ascii="Arial" w:hAnsi="Arial" w:cs="Arial"/>
          <w:lang w:val="en-GB"/>
        </w:rPr>
        <w:t>1. Introduction</w:t>
      </w:r>
      <w:bookmarkEnd w:id="3"/>
    </w:p>
    <w:p w14:paraId="00000004" w14:textId="12E93748" w:rsidR="009F7007" w:rsidRPr="00CF0406" w:rsidRDefault="001B2CB9">
      <w:pPr>
        <w:rPr>
          <w:rFonts w:ascii="Arial" w:hAnsi="Arial" w:cs="Arial"/>
          <w:lang w:val="en-GB"/>
        </w:rPr>
      </w:pPr>
      <w:r w:rsidRPr="00CF0406">
        <w:rPr>
          <w:rFonts w:ascii="Arial" w:hAnsi="Arial" w:cs="Arial"/>
          <w:lang w:val="en-GB"/>
        </w:rPr>
        <w:t xml:space="preserve">Innovation drives the competitiveness of the dynamic markets of technology. Companies that integrate innovation in the organisational culture become more responsive to technological shock and changing needs of customers. </w:t>
      </w:r>
      <w:proofErr w:type="spellStart"/>
      <w:r w:rsidRPr="00CF0406">
        <w:rPr>
          <w:rFonts w:ascii="Arial" w:hAnsi="Arial" w:cs="Arial"/>
          <w:lang w:val="en-GB"/>
        </w:rPr>
        <w:t>Ather</w:t>
      </w:r>
      <w:proofErr w:type="spellEnd"/>
      <w:r w:rsidRPr="00CF0406">
        <w:rPr>
          <w:rFonts w:ascii="Arial" w:hAnsi="Arial" w:cs="Arial"/>
          <w:lang w:val="en-GB"/>
        </w:rPr>
        <w:t xml:space="preserve"> aims at promoting innovation and the involvement and performance of its employees. The culture of innovation, collaborative structures and hybrid work can be created to enhance creativity, motivation and organisational performance.</w:t>
      </w:r>
    </w:p>
    <w:p w14:paraId="00000005" w14:textId="77777777" w:rsidR="009F7007" w:rsidRPr="00CF0406" w:rsidRDefault="00DE37D7">
      <w:pPr>
        <w:pStyle w:val="Heading2"/>
        <w:rPr>
          <w:rFonts w:ascii="Arial" w:hAnsi="Arial" w:cs="Arial"/>
          <w:lang w:val="en-GB"/>
        </w:rPr>
      </w:pPr>
      <w:bookmarkStart w:id="4" w:name="_80ny1nicpqdm" w:colFirst="0" w:colLast="0"/>
      <w:bookmarkStart w:id="5" w:name="_Toc224435645"/>
      <w:bookmarkEnd w:id="4"/>
      <w:r w:rsidRPr="00CF0406">
        <w:rPr>
          <w:rFonts w:ascii="Arial" w:hAnsi="Arial" w:cs="Arial"/>
          <w:lang w:val="en-GB"/>
        </w:rPr>
        <w:t>2. Current Culture and Work Practices in Tech Companies</w:t>
      </w:r>
      <w:bookmarkEnd w:id="5"/>
    </w:p>
    <w:p w14:paraId="00000006" w14:textId="77777777" w:rsidR="009F7007" w:rsidRPr="00CF0406" w:rsidRDefault="00DE37D7">
      <w:pPr>
        <w:pStyle w:val="Heading3"/>
        <w:rPr>
          <w:rFonts w:ascii="Arial" w:hAnsi="Arial" w:cs="Arial"/>
          <w:lang w:val="en-GB"/>
        </w:rPr>
      </w:pPr>
      <w:bookmarkStart w:id="6" w:name="_k5mkr2r12h28" w:colFirst="0" w:colLast="0"/>
      <w:bookmarkStart w:id="7" w:name="_Toc224435646"/>
      <w:bookmarkEnd w:id="6"/>
      <w:r w:rsidRPr="00CF0406">
        <w:rPr>
          <w:rFonts w:ascii="Arial" w:hAnsi="Arial" w:cs="Arial"/>
          <w:lang w:val="en-GB"/>
        </w:rPr>
        <w:t>2.1 Innovation Culture in Technology Firms</w:t>
      </w:r>
      <w:bookmarkEnd w:id="7"/>
    </w:p>
    <w:tbl>
      <w:tblPr>
        <w:tblStyle w:val="TableGrid"/>
        <w:tblW w:w="5000" w:type="pct"/>
        <w:tblLook w:val="04A0" w:firstRow="1" w:lastRow="0" w:firstColumn="1" w:lastColumn="0" w:noHBand="0" w:noVBand="1"/>
      </w:tblPr>
      <w:tblGrid>
        <w:gridCol w:w="2265"/>
        <w:gridCol w:w="3641"/>
        <w:gridCol w:w="3336"/>
      </w:tblGrid>
      <w:tr w:rsidR="00CF0406" w:rsidRPr="00CF0406" w14:paraId="7F3A1C0C" w14:textId="77777777" w:rsidTr="007F08E2">
        <w:tc>
          <w:tcPr>
            <w:tcW w:w="1225" w:type="pct"/>
            <w:hideMark/>
          </w:tcPr>
          <w:p w14:paraId="18DFAAE4" w14:textId="77777777" w:rsidR="007F08E2" w:rsidRPr="00CF0406" w:rsidRDefault="007F08E2" w:rsidP="005C1664">
            <w:pPr>
              <w:spacing w:line="360" w:lineRule="auto"/>
              <w:rPr>
                <w:rFonts w:ascii="Arial" w:hAnsi="Arial" w:cs="Arial"/>
                <w:b/>
                <w:bCs/>
                <w:lang w:val="en-IN"/>
              </w:rPr>
            </w:pPr>
            <w:r w:rsidRPr="00CF0406">
              <w:rPr>
                <w:rFonts w:ascii="Arial" w:hAnsi="Arial" w:cs="Arial"/>
                <w:b/>
                <w:bCs/>
                <w:lang w:val="en-IN"/>
              </w:rPr>
              <w:t>Aspect</w:t>
            </w:r>
          </w:p>
        </w:tc>
        <w:tc>
          <w:tcPr>
            <w:tcW w:w="1970" w:type="pct"/>
            <w:hideMark/>
          </w:tcPr>
          <w:p w14:paraId="57AB9D9B" w14:textId="77777777" w:rsidR="007F08E2" w:rsidRPr="00CF0406" w:rsidRDefault="007F08E2" w:rsidP="005C1664">
            <w:pPr>
              <w:spacing w:line="360" w:lineRule="auto"/>
              <w:rPr>
                <w:rFonts w:ascii="Arial" w:hAnsi="Arial" w:cs="Arial"/>
                <w:b/>
                <w:bCs/>
                <w:lang w:val="en-IN"/>
              </w:rPr>
            </w:pPr>
            <w:r w:rsidRPr="00CF0406">
              <w:rPr>
                <w:rFonts w:ascii="Arial" w:hAnsi="Arial" w:cs="Arial"/>
                <w:b/>
                <w:bCs/>
                <w:lang w:val="en-IN"/>
              </w:rPr>
              <w:t>Innovation-Oriented Culture</w:t>
            </w:r>
          </w:p>
        </w:tc>
        <w:tc>
          <w:tcPr>
            <w:tcW w:w="1805" w:type="pct"/>
            <w:hideMark/>
          </w:tcPr>
          <w:p w14:paraId="6DCA26A9" w14:textId="77777777" w:rsidR="007F08E2" w:rsidRPr="00CF0406" w:rsidRDefault="007F08E2" w:rsidP="005C1664">
            <w:pPr>
              <w:spacing w:line="360" w:lineRule="auto"/>
              <w:rPr>
                <w:rFonts w:ascii="Arial" w:hAnsi="Arial" w:cs="Arial"/>
                <w:b/>
                <w:bCs/>
                <w:lang w:val="en-IN"/>
              </w:rPr>
            </w:pPr>
            <w:r w:rsidRPr="00CF0406">
              <w:rPr>
                <w:rFonts w:ascii="Arial" w:hAnsi="Arial" w:cs="Arial"/>
                <w:b/>
                <w:bCs/>
                <w:lang w:val="en-IN"/>
              </w:rPr>
              <w:t>Traditional Culture</w:t>
            </w:r>
          </w:p>
        </w:tc>
      </w:tr>
      <w:tr w:rsidR="00CF0406" w:rsidRPr="00CF0406" w14:paraId="4105A444" w14:textId="77777777" w:rsidTr="007F08E2">
        <w:tc>
          <w:tcPr>
            <w:tcW w:w="1225" w:type="pct"/>
            <w:hideMark/>
          </w:tcPr>
          <w:p w14:paraId="735305E5"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Leadership</w:t>
            </w:r>
          </w:p>
        </w:tc>
        <w:tc>
          <w:tcPr>
            <w:tcW w:w="1970" w:type="pct"/>
            <w:hideMark/>
          </w:tcPr>
          <w:p w14:paraId="5316270A"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Collaborative and participative</w:t>
            </w:r>
          </w:p>
        </w:tc>
        <w:tc>
          <w:tcPr>
            <w:tcW w:w="1805" w:type="pct"/>
            <w:hideMark/>
          </w:tcPr>
          <w:p w14:paraId="13E4866C"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Hierarchical and top-down</w:t>
            </w:r>
          </w:p>
        </w:tc>
      </w:tr>
      <w:tr w:rsidR="00CF0406" w:rsidRPr="00CF0406" w14:paraId="36D440AB" w14:textId="77777777" w:rsidTr="007F08E2">
        <w:tc>
          <w:tcPr>
            <w:tcW w:w="1225" w:type="pct"/>
            <w:hideMark/>
          </w:tcPr>
          <w:p w14:paraId="107BA60A"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Communication</w:t>
            </w:r>
          </w:p>
        </w:tc>
        <w:tc>
          <w:tcPr>
            <w:tcW w:w="1970" w:type="pct"/>
            <w:hideMark/>
          </w:tcPr>
          <w:p w14:paraId="729D7F3C"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Open and transparent</w:t>
            </w:r>
          </w:p>
        </w:tc>
        <w:tc>
          <w:tcPr>
            <w:tcW w:w="1805" w:type="pct"/>
            <w:hideMark/>
          </w:tcPr>
          <w:p w14:paraId="1F270414"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Restricted and formal</w:t>
            </w:r>
          </w:p>
        </w:tc>
      </w:tr>
      <w:tr w:rsidR="00CF0406" w:rsidRPr="00CF0406" w14:paraId="3B41777D" w14:textId="77777777" w:rsidTr="007F08E2">
        <w:tc>
          <w:tcPr>
            <w:tcW w:w="1225" w:type="pct"/>
            <w:hideMark/>
          </w:tcPr>
          <w:p w14:paraId="07C1ABF4"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Employee Role</w:t>
            </w:r>
          </w:p>
        </w:tc>
        <w:tc>
          <w:tcPr>
            <w:tcW w:w="1970" w:type="pct"/>
            <w:hideMark/>
          </w:tcPr>
          <w:p w14:paraId="2BEE5C39"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Empowered and creative</w:t>
            </w:r>
          </w:p>
        </w:tc>
        <w:tc>
          <w:tcPr>
            <w:tcW w:w="1805" w:type="pct"/>
            <w:hideMark/>
          </w:tcPr>
          <w:p w14:paraId="7254D377"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Controlled and task-focused</w:t>
            </w:r>
          </w:p>
        </w:tc>
      </w:tr>
      <w:tr w:rsidR="00CF0406" w:rsidRPr="00CF0406" w14:paraId="5510582B" w14:textId="77777777" w:rsidTr="007F08E2">
        <w:tc>
          <w:tcPr>
            <w:tcW w:w="1225" w:type="pct"/>
            <w:hideMark/>
          </w:tcPr>
          <w:p w14:paraId="5991C89B"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Innovation Output</w:t>
            </w:r>
          </w:p>
        </w:tc>
        <w:tc>
          <w:tcPr>
            <w:tcW w:w="1970" w:type="pct"/>
            <w:hideMark/>
          </w:tcPr>
          <w:p w14:paraId="48C9C61D"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High (20–30% improvement)</w:t>
            </w:r>
          </w:p>
        </w:tc>
        <w:tc>
          <w:tcPr>
            <w:tcW w:w="1805" w:type="pct"/>
            <w:hideMark/>
          </w:tcPr>
          <w:p w14:paraId="7FC21E46"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Low and incremental</w:t>
            </w:r>
          </w:p>
        </w:tc>
      </w:tr>
      <w:tr w:rsidR="00CF0406" w:rsidRPr="00CF0406" w14:paraId="29EB1C80" w14:textId="77777777" w:rsidTr="007F08E2">
        <w:tc>
          <w:tcPr>
            <w:tcW w:w="1225" w:type="pct"/>
            <w:hideMark/>
          </w:tcPr>
          <w:p w14:paraId="6F13434F"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Adaptability</w:t>
            </w:r>
          </w:p>
        </w:tc>
        <w:tc>
          <w:tcPr>
            <w:tcW w:w="1970" w:type="pct"/>
            <w:hideMark/>
          </w:tcPr>
          <w:p w14:paraId="510A17CC"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High flexibility</w:t>
            </w:r>
          </w:p>
        </w:tc>
        <w:tc>
          <w:tcPr>
            <w:tcW w:w="1805" w:type="pct"/>
            <w:hideMark/>
          </w:tcPr>
          <w:p w14:paraId="0B3FCEBF" w14:textId="77777777" w:rsidR="007F08E2" w:rsidRPr="00CF0406" w:rsidRDefault="007F08E2" w:rsidP="005C1664">
            <w:pPr>
              <w:spacing w:line="360" w:lineRule="auto"/>
              <w:rPr>
                <w:rFonts w:ascii="Arial" w:hAnsi="Arial" w:cs="Arial"/>
                <w:lang w:val="en-IN"/>
              </w:rPr>
            </w:pPr>
            <w:r w:rsidRPr="00CF0406">
              <w:rPr>
                <w:rFonts w:ascii="Arial" w:hAnsi="Arial" w:cs="Arial"/>
                <w:lang w:val="en-IN"/>
              </w:rPr>
              <w:t>Resistance to change</w:t>
            </w:r>
          </w:p>
        </w:tc>
      </w:tr>
    </w:tbl>
    <w:p w14:paraId="6C99BE6A" w14:textId="3FA2EFD5" w:rsidR="007F08E2" w:rsidRPr="00CF0406" w:rsidRDefault="007F08E2" w:rsidP="007F08E2">
      <w:pPr>
        <w:jc w:val="center"/>
        <w:rPr>
          <w:rFonts w:ascii="Arial" w:hAnsi="Arial" w:cs="Arial"/>
          <w:b/>
          <w:bCs/>
          <w:lang w:val="en-GB"/>
        </w:rPr>
      </w:pPr>
      <w:r w:rsidRPr="00CF0406">
        <w:rPr>
          <w:rFonts w:ascii="Arial" w:hAnsi="Arial" w:cs="Arial"/>
          <w:b/>
          <w:bCs/>
          <w:lang w:val="en-GB"/>
        </w:rPr>
        <w:t>Table 1: Comparison of Innovation Culture</w:t>
      </w:r>
    </w:p>
    <w:p w14:paraId="00000007" w14:textId="62C252D7" w:rsidR="009F7007" w:rsidRPr="00CF0406" w:rsidRDefault="005C1664">
      <w:pPr>
        <w:rPr>
          <w:rFonts w:ascii="Arial" w:hAnsi="Arial" w:cs="Arial"/>
          <w:lang w:val="en-GB"/>
        </w:rPr>
      </w:pPr>
      <w:r w:rsidRPr="00CF0406">
        <w:rPr>
          <w:rFonts w:ascii="Arial" w:hAnsi="Arial" w:cs="Arial"/>
          <w:lang w:val="en-GB"/>
        </w:rPr>
        <w:t>One of the major drivers of performance and innovation ability is organisational culture. Organisations that have an innovation focus culture promote idea generation, experimentatio</w:t>
      </w:r>
      <w:bookmarkStart w:id="8" w:name="_GoBack"/>
      <w:bookmarkEnd w:id="8"/>
      <w:r w:rsidRPr="00CF0406">
        <w:rPr>
          <w:rFonts w:ascii="Arial" w:hAnsi="Arial" w:cs="Arial"/>
          <w:lang w:val="en-GB"/>
        </w:rPr>
        <w:t xml:space="preserve">n and knowledge sharing as opposed to the traditional rigid organisations which limit creativity and are resistant to change. Technology firms are more empowering, open, and constantly learning than traditional firms, which enhances the adaptive and innovative results. </w:t>
      </w:r>
      <w:proofErr w:type="spellStart"/>
      <w:r w:rsidRPr="00CF0406">
        <w:rPr>
          <w:rFonts w:ascii="Arial" w:hAnsi="Arial" w:cs="Arial"/>
          <w:lang w:val="en-GB"/>
        </w:rPr>
        <w:t>Naveed</w:t>
      </w:r>
      <w:proofErr w:type="spellEnd"/>
      <w:r w:rsidRPr="00CF0406">
        <w:rPr>
          <w:rFonts w:ascii="Arial" w:hAnsi="Arial" w:cs="Arial"/>
          <w:lang w:val="en-GB"/>
        </w:rPr>
        <w:t xml:space="preserve"> et al. (2022) posit that these kinds of cultures improve the effectiveness of the organisation because employees find it easier to accept change. Conversely, centralised decision-making and hierarchical cultures reduce innovation and restrict employee involvement. According to </w:t>
      </w:r>
      <w:proofErr w:type="spellStart"/>
      <w:r w:rsidRPr="00CF0406">
        <w:rPr>
          <w:rFonts w:ascii="Arial" w:hAnsi="Arial" w:cs="Arial"/>
          <w:lang w:val="en-GB"/>
        </w:rPr>
        <w:t>Cocozza</w:t>
      </w:r>
      <w:proofErr w:type="spellEnd"/>
      <w:r w:rsidRPr="00CF0406">
        <w:rPr>
          <w:rFonts w:ascii="Arial" w:hAnsi="Arial" w:cs="Arial"/>
          <w:lang w:val="en-GB"/>
        </w:rPr>
        <w:t xml:space="preserve"> (2023), collaboration leadership is superior to top-down control in promoting innovation. This difference is supported by empirical evidence, where supportive cultures enhance innovation performance by approximately 25% as reported by </w:t>
      </w:r>
      <w:proofErr w:type="spellStart"/>
      <w:r w:rsidRPr="00CF0406">
        <w:rPr>
          <w:rFonts w:ascii="Arial" w:hAnsi="Arial" w:cs="Arial"/>
          <w:lang w:val="en-GB"/>
        </w:rPr>
        <w:t>Shuliang</w:t>
      </w:r>
      <w:proofErr w:type="spellEnd"/>
      <w:r w:rsidRPr="00CF0406">
        <w:rPr>
          <w:rFonts w:ascii="Arial" w:hAnsi="Arial" w:cs="Arial"/>
          <w:lang w:val="en-GB"/>
        </w:rPr>
        <w:t xml:space="preserve">, </w:t>
      </w:r>
      <w:proofErr w:type="spellStart"/>
      <w:r w:rsidRPr="00CF0406">
        <w:rPr>
          <w:rFonts w:ascii="Arial" w:hAnsi="Arial" w:cs="Arial"/>
          <w:lang w:val="en-GB"/>
        </w:rPr>
        <w:t>Rui</w:t>
      </w:r>
      <w:proofErr w:type="spellEnd"/>
      <w:r w:rsidRPr="00CF0406">
        <w:rPr>
          <w:rFonts w:ascii="Arial" w:hAnsi="Arial" w:cs="Arial"/>
          <w:lang w:val="en-GB"/>
        </w:rPr>
        <w:t xml:space="preserve"> and </w:t>
      </w:r>
      <w:proofErr w:type="spellStart"/>
      <w:r w:rsidRPr="00CF0406">
        <w:rPr>
          <w:rFonts w:ascii="Arial" w:hAnsi="Arial" w:cs="Arial"/>
          <w:lang w:val="en-GB"/>
        </w:rPr>
        <w:t>Qingjun</w:t>
      </w:r>
      <w:proofErr w:type="spellEnd"/>
      <w:r w:rsidRPr="00CF0406">
        <w:rPr>
          <w:rFonts w:ascii="Arial" w:hAnsi="Arial" w:cs="Arial"/>
          <w:lang w:val="en-GB"/>
        </w:rPr>
        <w:t xml:space="preserve"> (2024). Nevertheless, culture has to match leadership in order to be effective. As Vargas-</w:t>
      </w:r>
      <w:proofErr w:type="spellStart"/>
      <w:r w:rsidRPr="00CF0406">
        <w:rPr>
          <w:rFonts w:ascii="Arial" w:hAnsi="Arial" w:cs="Arial"/>
          <w:lang w:val="en-GB"/>
        </w:rPr>
        <w:t>Halabi</w:t>
      </w:r>
      <w:proofErr w:type="spellEnd"/>
      <w:r w:rsidRPr="00CF0406">
        <w:rPr>
          <w:rFonts w:ascii="Arial" w:hAnsi="Arial" w:cs="Arial"/>
          <w:lang w:val="en-GB"/>
        </w:rPr>
        <w:t xml:space="preserve"> and </w:t>
      </w:r>
      <w:proofErr w:type="spellStart"/>
      <w:r w:rsidRPr="00CF0406">
        <w:rPr>
          <w:rFonts w:ascii="Arial" w:hAnsi="Arial" w:cs="Arial"/>
          <w:lang w:val="en-GB"/>
        </w:rPr>
        <w:t>Yagüe-Perales</w:t>
      </w:r>
      <w:proofErr w:type="spellEnd"/>
      <w:r w:rsidRPr="00CF0406">
        <w:rPr>
          <w:rFonts w:ascii="Arial" w:hAnsi="Arial" w:cs="Arial"/>
          <w:lang w:val="en-GB"/>
        </w:rPr>
        <w:t xml:space="preserve"> (2024) note, the link between leadership and innovation results is facilitated by culture. Likewise, companies that have high innovation cultures have 20-30% superior </w:t>
      </w:r>
      <w:r w:rsidRPr="00CF0406">
        <w:rPr>
          <w:rFonts w:ascii="Arial" w:hAnsi="Arial" w:cs="Arial"/>
          <w:lang w:val="en-GB"/>
        </w:rPr>
        <w:lastRenderedPageBreak/>
        <w:t xml:space="preserve">performance of new products compared to traditional organisations, as indicated by </w:t>
      </w:r>
      <w:proofErr w:type="spellStart"/>
      <w:r w:rsidRPr="00CF0406">
        <w:rPr>
          <w:rFonts w:ascii="Arial" w:hAnsi="Arial" w:cs="Arial"/>
          <w:lang w:val="en-GB"/>
        </w:rPr>
        <w:t>Xie</w:t>
      </w:r>
      <w:proofErr w:type="spellEnd"/>
      <w:r w:rsidRPr="00CF0406">
        <w:rPr>
          <w:rFonts w:ascii="Arial" w:hAnsi="Arial" w:cs="Arial"/>
          <w:lang w:val="en-GB"/>
        </w:rPr>
        <w:t xml:space="preserve"> et al. (2021).</w:t>
      </w:r>
    </w:p>
    <w:p w14:paraId="00000008" w14:textId="77777777" w:rsidR="009F7007" w:rsidRPr="00CF0406" w:rsidRDefault="00DE37D7">
      <w:pPr>
        <w:pStyle w:val="Heading3"/>
        <w:rPr>
          <w:rFonts w:ascii="Arial" w:hAnsi="Arial" w:cs="Arial"/>
          <w:lang w:val="en-GB"/>
        </w:rPr>
      </w:pPr>
      <w:bookmarkStart w:id="9" w:name="_wj0ap0vlvpvr" w:colFirst="0" w:colLast="0"/>
      <w:bookmarkStart w:id="10" w:name="_Toc224435647"/>
      <w:bookmarkEnd w:id="9"/>
      <w:r w:rsidRPr="00CF0406">
        <w:rPr>
          <w:rFonts w:ascii="Arial" w:hAnsi="Arial" w:cs="Arial"/>
          <w:lang w:val="en-GB"/>
        </w:rPr>
        <w:t>2.2 Current Work Practices in Tech Organisations</w:t>
      </w:r>
      <w:bookmarkEnd w:id="10"/>
    </w:p>
    <w:tbl>
      <w:tblPr>
        <w:tblStyle w:val="TableGrid"/>
        <w:tblW w:w="5000" w:type="pct"/>
        <w:tblLook w:val="04A0" w:firstRow="1" w:lastRow="0" w:firstColumn="1" w:lastColumn="0" w:noHBand="0" w:noVBand="1"/>
      </w:tblPr>
      <w:tblGrid>
        <w:gridCol w:w="2824"/>
        <w:gridCol w:w="3503"/>
        <w:gridCol w:w="2915"/>
      </w:tblGrid>
      <w:tr w:rsidR="00CF0406" w:rsidRPr="00CF0406" w14:paraId="014CB314" w14:textId="77777777" w:rsidTr="007F08E2">
        <w:tc>
          <w:tcPr>
            <w:tcW w:w="1502" w:type="pct"/>
            <w:hideMark/>
          </w:tcPr>
          <w:p w14:paraId="0280478D"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Aspect</w:t>
            </w:r>
          </w:p>
        </w:tc>
        <w:tc>
          <w:tcPr>
            <w:tcW w:w="1863" w:type="pct"/>
            <w:hideMark/>
          </w:tcPr>
          <w:p w14:paraId="0E459F41"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Modern Tech Practices</w:t>
            </w:r>
          </w:p>
        </w:tc>
        <w:tc>
          <w:tcPr>
            <w:tcW w:w="1550" w:type="pct"/>
            <w:hideMark/>
          </w:tcPr>
          <w:p w14:paraId="1FFB287B"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Traditional Practices</w:t>
            </w:r>
          </w:p>
        </w:tc>
      </w:tr>
      <w:tr w:rsidR="00CF0406" w:rsidRPr="00CF0406" w14:paraId="5080823D" w14:textId="77777777" w:rsidTr="007F08E2">
        <w:tc>
          <w:tcPr>
            <w:tcW w:w="1502" w:type="pct"/>
            <w:hideMark/>
          </w:tcPr>
          <w:p w14:paraId="767EC92C"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Structure</w:t>
            </w:r>
          </w:p>
        </w:tc>
        <w:tc>
          <w:tcPr>
            <w:tcW w:w="1863" w:type="pct"/>
            <w:hideMark/>
          </w:tcPr>
          <w:p w14:paraId="78F8A50D"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Cross-functional teams</w:t>
            </w:r>
          </w:p>
        </w:tc>
        <w:tc>
          <w:tcPr>
            <w:tcW w:w="1550" w:type="pct"/>
            <w:hideMark/>
          </w:tcPr>
          <w:p w14:paraId="75E0EA11"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Departmental silos</w:t>
            </w:r>
          </w:p>
        </w:tc>
      </w:tr>
      <w:tr w:rsidR="00CF0406" w:rsidRPr="00CF0406" w14:paraId="78B59950" w14:textId="77777777" w:rsidTr="007F08E2">
        <w:tc>
          <w:tcPr>
            <w:tcW w:w="1502" w:type="pct"/>
            <w:hideMark/>
          </w:tcPr>
          <w:p w14:paraId="6D1145EF"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Work Style</w:t>
            </w:r>
          </w:p>
        </w:tc>
        <w:tc>
          <w:tcPr>
            <w:tcW w:w="1863" w:type="pct"/>
            <w:hideMark/>
          </w:tcPr>
          <w:p w14:paraId="4AB4D19E"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Agile and flexible</w:t>
            </w:r>
          </w:p>
        </w:tc>
        <w:tc>
          <w:tcPr>
            <w:tcW w:w="1550" w:type="pct"/>
            <w:hideMark/>
          </w:tcPr>
          <w:p w14:paraId="15DA748A"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Rigid and fixed</w:t>
            </w:r>
          </w:p>
        </w:tc>
      </w:tr>
      <w:tr w:rsidR="00CF0406" w:rsidRPr="00CF0406" w14:paraId="144BD2FF" w14:textId="77777777" w:rsidTr="007F08E2">
        <w:tc>
          <w:tcPr>
            <w:tcW w:w="1502" w:type="pct"/>
            <w:hideMark/>
          </w:tcPr>
          <w:p w14:paraId="69C78154"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Technology Use</w:t>
            </w:r>
          </w:p>
        </w:tc>
        <w:tc>
          <w:tcPr>
            <w:tcW w:w="1863" w:type="pct"/>
            <w:hideMark/>
          </w:tcPr>
          <w:p w14:paraId="25B969AE"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Data-driven and digital</w:t>
            </w:r>
          </w:p>
        </w:tc>
        <w:tc>
          <w:tcPr>
            <w:tcW w:w="1550" w:type="pct"/>
            <w:hideMark/>
          </w:tcPr>
          <w:p w14:paraId="5517FCD8"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Limited digital use</w:t>
            </w:r>
          </w:p>
        </w:tc>
      </w:tr>
      <w:tr w:rsidR="00CF0406" w:rsidRPr="00CF0406" w14:paraId="5AB04084" w14:textId="77777777" w:rsidTr="007F08E2">
        <w:tc>
          <w:tcPr>
            <w:tcW w:w="1502" w:type="pct"/>
            <w:hideMark/>
          </w:tcPr>
          <w:p w14:paraId="3BEA4306"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Knowledge Sharing</w:t>
            </w:r>
          </w:p>
        </w:tc>
        <w:tc>
          <w:tcPr>
            <w:tcW w:w="1863" w:type="pct"/>
            <w:hideMark/>
          </w:tcPr>
          <w:p w14:paraId="251A1479"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High (≈35% improvement)</w:t>
            </w:r>
          </w:p>
        </w:tc>
        <w:tc>
          <w:tcPr>
            <w:tcW w:w="1550" w:type="pct"/>
            <w:hideMark/>
          </w:tcPr>
          <w:p w14:paraId="749030E2"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Low collaboration</w:t>
            </w:r>
          </w:p>
        </w:tc>
      </w:tr>
      <w:tr w:rsidR="00CF0406" w:rsidRPr="00CF0406" w14:paraId="1A3722B0" w14:textId="77777777" w:rsidTr="007F08E2">
        <w:tc>
          <w:tcPr>
            <w:tcW w:w="1502" w:type="pct"/>
            <w:hideMark/>
          </w:tcPr>
          <w:p w14:paraId="36A7EFE1"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Innovation Capability</w:t>
            </w:r>
          </w:p>
        </w:tc>
        <w:tc>
          <w:tcPr>
            <w:tcW w:w="1863" w:type="pct"/>
            <w:hideMark/>
          </w:tcPr>
          <w:p w14:paraId="63AA621A"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High (≈28–30%)</w:t>
            </w:r>
          </w:p>
        </w:tc>
        <w:tc>
          <w:tcPr>
            <w:tcW w:w="1550" w:type="pct"/>
            <w:hideMark/>
          </w:tcPr>
          <w:p w14:paraId="1A8277B5"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Limited innovation</w:t>
            </w:r>
          </w:p>
        </w:tc>
      </w:tr>
    </w:tbl>
    <w:p w14:paraId="3D6E737C" w14:textId="4CBA0669" w:rsidR="007F08E2" w:rsidRPr="00CF0406" w:rsidRDefault="007F08E2" w:rsidP="007F08E2">
      <w:pPr>
        <w:jc w:val="center"/>
        <w:rPr>
          <w:rFonts w:ascii="Arial" w:hAnsi="Arial" w:cs="Arial"/>
          <w:b/>
          <w:bCs/>
          <w:lang w:val="en-GB"/>
        </w:rPr>
      </w:pPr>
      <w:r w:rsidRPr="00CF0406">
        <w:rPr>
          <w:rFonts w:ascii="Arial" w:hAnsi="Arial" w:cs="Arial"/>
          <w:b/>
          <w:bCs/>
          <w:lang w:val="en-GB"/>
        </w:rPr>
        <w:t>Table 2: Comparison of Work Practices</w:t>
      </w:r>
    </w:p>
    <w:p w14:paraId="00000009" w14:textId="143E7855" w:rsidR="009F7007" w:rsidRPr="00CF0406" w:rsidRDefault="005C1664">
      <w:pPr>
        <w:rPr>
          <w:rFonts w:ascii="Arial" w:hAnsi="Arial" w:cs="Arial"/>
          <w:lang w:val="en-GB"/>
        </w:rPr>
      </w:pPr>
      <w:r w:rsidRPr="00CF0406">
        <w:rPr>
          <w:rFonts w:ascii="Arial" w:hAnsi="Arial" w:cs="Arial"/>
          <w:lang w:val="en-GB"/>
        </w:rPr>
        <w:t>The current technology firms embrace a better and flexible approach to working together as compared to the earlier traditional systems which were based on strict systems with minimal engagement. Agile techniques and cross-functional teams are more efficient when it comes to product development and collaboration faster and stronger than silo-based practices, and therefore, they are more effective in terms of innovation. According to Lam et al. (2021), organisations based on knowledge management systems are approximately 35</w:t>
      </w:r>
      <w:proofErr w:type="gramStart"/>
      <w:r w:rsidRPr="00CF0406">
        <w:rPr>
          <w:rFonts w:ascii="Arial" w:hAnsi="Arial" w:cs="Arial"/>
          <w:lang w:val="en-GB"/>
        </w:rPr>
        <w:t>%  more</w:t>
      </w:r>
      <w:proofErr w:type="gramEnd"/>
      <w:r w:rsidRPr="00CF0406">
        <w:rPr>
          <w:rFonts w:ascii="Arial" w:hAnsi="Arial" w:cs="Arial"/>
          <w:lang w:val="en-GB"/>
        </w:rPr>
        <w:t xml:space="preserve"> innovative, whereas conventional companies have knowledge gaps and reduced speed of advancement. Conversely, intuitive decision-making is considered the conventional approach to decision-making as opposed to data-driven decision-making. According to </w:t>
      </w:r>
      <w:proofErr w:type="spellStart"/>
      <w:r w:rsidRPr="00CF0406">
        <w:rPr>
          <w:rFonts w:ascii="Arial" w:hAnsi="Arial" w:cs="Arial"/>
          <w:lang w:val="en-GB"/>
        </w:rPr>
        <w:t>Foroughi</w:t>
      </w:r>
      <w:proofErr w:type="spellEnd"/>
      <w:r w:rsidRPr="00CF0406">
        <w:rPr>
          <w:rFonts w:ascii="Arial" w:hAnsi="Arial" w:cs="Arial"/>
          <w:lang w:val="en-GB"/>
        </w:rPr>
        <w:t xml:space="preserve"> et al. (2025), companies that operate with big data analytics have an innovation potential about 28 </w:t>
      </w:r>
      <w:proofErr w:type="spellStart"/>
      <w:r w:rsidRPr="00CF0406">
        <w:rPr>
          <w:rFonts w:ascii="Arial" w:hAnsi="Arial" w:cs="Arial"/>
          <w:lang w:val="en-GB"/>
        </w:rPr>
        <w:t>percent</w:t>
      </w:r>
      <w:proofErr w:type="spellEnd"/>
      <w:r w:rsidRPr="00CF0406">
        <w:rPr>
          <w:rFonts w:ascii="Arial" w:hAnsi="Arial" w:cs="Arial"/>
          <w:lang w:val="en-GB"/>
        </w:rPr>
        <w:t xml:space="preserve"> greater. Nevertheless, technology cannot work without cultural support. Abbas and Khan (2023) emphasize that the integration of knowledge management and supportive culture enhances the innovation by almost 30%. This implies that unified and adaptable solutions are better than the conservative orthodox in maintaining innovation and sustainable performance.</w:t>
      </w:r>
    </w:p>
    <w:p w14:paraId="0000000A" w14:textId="77777777" w:rsidR="009F7007" w:rsidRPr="00CF0406" w:rsidRDefault="00DE37D7">
      <w:pPr>
        <w:pStyle w:val="Heading2"/>
        <w:rPr>
          <w:rFonts w:ascii="Arial" w:hAnsi="Arial" w:cs="Arial"/>
          <w:lang w:val="en-GB"/>
        </w:rPr>
      </w:pPr>
      <w:bookmarkStart w:id="11" w:name="_oxl41yerg8fd" w:colFirst="0" w:colLast="0"/>
      <w:bookmarkStart w:id="12" w:name="_Toc224435648"/>
      <w:bookmarkEnd w:id="11"/>
      <w:r w:rsidRPr="00CF0406">
        <w:rPr>
          <w:rFonts w:ascii="Arial" w:hAnsi="Arial" w:cs="Arial"/>
          <w:lang w:val="en-GB"/>
        </w:rPr>
        <w:t>3. Cu</w:t>
      </w:r>
      <w:r w:rsidRPr="00CF0406">
        <w:rPr>
          <w:rFonts w:ascii="Arial" w:hAnsi="Arial" w:cs="Arial"/>
          <w:lang w:val="en-GB"/>
        </w:rPr>
        <w:t xml:space="preserve">ltural and Structural Initiatives to Embed Innovation at </w:t>
      </w:r>
      <w:proofErr w:type="spellStart"/>
      <w:r w:rsidRPr="00CF0406">
        <w:rPr>
          <w:rFonts w:ascii="Arial" w:hAnsi="Arial" w:cs="Arial"/>
          <w:lang w:val="en-GB"/>
        </w:rPr>
        <w:t>Ather</w:t>
      </w:r>
      <w:bookmarkEnd w:id="12"/>
      <w:proofErr w:type="spellEnd"/>
    </w:p>
    <w:p w14:paraId="0000000B" w14:textId="6323E89E" w:rsidR="009F7007" w:rsidRPr="00CF0406" w:rsidRDefault="00DE37D7" w:rsidP="007F08E2">
      <w:pPr>
        <w:pStyle w:val="Heading3"/>
        <w:tabs>
          <w:tab w:val="left" w:pos="4748"/>
        </w:tabs>
        <w:rPr>
          <w:rFonts w:ascii="Arial" w:hAnsi="Arial" w:cs="Arial"/>
          <w:lang w:val="en-GB"/>
        </w:rPr>
      </w:pPr>
      <w:bookmarkStart w:id="13" w:name="_y2edsvnaa88r" w:colFirst="0" w:colLast="0"/>
      <w:bookmarkStart w:id="14" w:name="_Toc224435649"/>
      <w:bookmarkEnd w:id="13"/>
      <w:r w:rsidRPr="00CF0406">
        <w:rPr>
          <w:rFonts w:ascii="Arial" w:hAnsi="Arial" w:cs="Arial"/>
          <w:lang w:val="en-GB"/>
        </w:rPr>
        <w:t>3.1 Innovation-Driven Cultural Initiatives</w:t>
      </w:r>
      <w:bookmarkEnd w:id="14"/>
      <w:r w:rsidR="007F08E2" w:rsidRPr="00CF0406">
        <w:rPr>
          <w:rFonts w:ascii="Arial" w:hAnsi="Arial" w:cs="Arial"/>
          <w:lang w:val="en-GB"/>
        </w:rPr>
        <w:tab/>
      </w:r>
    </w:p>
    <w:tbl>
      <w:tblPr>
        <w:tblStyle w:val="TableGrid"/>
        <w:tblW w:w="5000" w:type="pct"/>
        <w:tblLook w:val="04A0" w:firstRow="1" w:lastRow="0" w:firstColumn="1" w:lastColumn="0" w:noHBand="0" w:noVBand="1"/>
      </w:tblPr>
      <w:tblGrid>
        <w:gridCol w:w="2078"/>
        <w:gridCol w:w="3933"/>
        <w:gridCol w:w="3231"/>
      </w:tblGrid>
      <w:tr w:rsidR="00CF0406" w:rsidRPr="00CF0406" w14:paraId="5487D4D9" w14:textId="77777777" w:rsidTr="007F08E2">
        <w:tc>
          <w:tcPr>
            <w:tcW w:w="1105" w:type="pct"/>
            <w:hideMark/>
          </w:tcPr>
          <w:p w14:paraId="14D5DD53"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Aspect</w:t>
            </w:r>
          </w:p>
        </w:tc>
        <w:tc>
          <w:tcPr>
            <w:tcW w:w="2093" w:type="pct"/>
            <w:hideMark/>
          </w:tcPr>
          <w:p w14:paraId="6B9871B9"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Innovation-Driven Approach</w:t>
            </w:r>
          </w:p>
        </w:tc>
        <w:tc>
          <w:tcPr>
            <w:tcW w:w="1719" w:type="pct"/>
            <w:hideMark/>
          </w:tcPr>
          <w:p w14:paraId="524FA55D"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Traditional Approach</w:t>
            </w:r>
          </w:p>
        </w:tc>
      </w:tr>
      <w:tr w:rsidR="00CF0406" w:rsidRPr="00CF0406" w14:paraId="73235E57" w14:textId="77777777" w:rsidTr="007F08E2">
        <w:tc>
          <w:tcPr>
            <w:tcW w:w="1105" w:type="pct"/>
            <w:hideMark/>
          </w:tcPr>
          <w:p w14:paraId="79FD7088"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Work Style</w:t>
            </w:r>
          </w:p>
        </w:tc>
        <w:tc>
          <w:tcPr>
            <w:tcW w:w="2093" w:type="pct"/>
            <w:hideMark/>
          </w:tcPr>
          <w:p w14:paraId="0AD2FA3C"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Experimentation (</w:t>
            </w:r>
            <w:proofErr w:type="spellStart"/>
            <w:r w:rsidRPr="00CF0406">
              <w:rPr>
                <w:rFonts w:ascii="Arial" w:hAnsi="Arial" w:cs="Arial"/>
                <w:lang w:val="en-IN"/>
              </w:rPr>
              <w:t>hackathons</w:t>
            </w:r>
            <w:proofErr w:type="spellEnd"/>
            <w:r w:rsidRPr="00CF0406">
              <w:rPr>
                <w:rFonts w:ascii="Arial" w:hAnsi="Arial" w:cs="Arial"/>
                <w:lang w:val="en-IN"/>
              </w:rPr>
              <w:t>)</w:t>
            </w:r>
          </w:p>
        </w:tc>
        <w:tc>
          <w:tcPr>
            <w:tcW w:w="1719" w:type="pct"/>
            <w:hideMark/>
          </w:tcPr>
          <w:p w14:paraId="5AD687C4"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Routine processes</w:t>
            </w:r>
          </w:p>
        </w:tc>
      </w:tr>
      <w:tr w:rsidR="00CF0406" w:rsidRPr="00CF0406" w14:paraId="642CFD16" w14:textId="77777777" w:rsidTr="007F08E2">
        <w:tc>
          <w:tcPr>
            <w:tcW w:w="1105" w:type="pct"/>
            <w:hideMark/>
          </w:tcPr>
          <w:p w14:paraId="2EE71E47"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Employee Role</w:t>
            </w:r>
          </w:p>
        </w:tc>
        <w:tc>
          <w:tcPr>
            <w:tcW w:w="2093" w:type="pct"/>
            <w:hideMark/>
          </w:tcPr>
          <w:p w14:paraId="73814835"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Empowered and participative</w:t>
            </w:r>
          </w:p>
        </w:tc>
        <w:tc>
          <w:tcPr>
            <w:tcW w:w="1719" w:type="pct"/>
            <w:hideMark/>
          </w:tcPr>
          <w:p w14:paraId="41BBFEDB"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Controlled and passive</w:t>
            </w:r>
          </w:p>
        </w:tc>
      </w:tr>
      <w:tr w:rsidR="00CF0406" w:rsidRPr="00CF0406" w14:paraId="77E8AA88" w14:textId="77777777" w:rsidTr="007F08E2">
        <w:tc>
          <w:tcPr>
            <w:tcW w:w="1105" w:type="pct"/>
            <w:hideMark/>
          </w:tcPr>
          <w:p w14:paraId="2CF6138E"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Communication</w:t>
            </w:r>
          </w:p>
        </w:tc>
        <w:tc>
          <w:tcPr>
            <w:tcW w:w="2093" w:type="pct"/>
            <w:hideMark/>
          </w:tcPr>
          <w:p w14:paraId="7758EAE6"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Open knowledge sharing</w:t>
            </w:r>
          </w:p>
        </w:tc>
        <w:tc>
          <w:tcPr>
            <w:tcW w:w="1719" w:type="pct"/>
            <w:hideMark/>
          </w:tcPr>
          <w:p w14:paraId="2938823A"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Limited information flow</w:t>
            </w:r>
          </w:p>
        </w:tc>
      </w:tr>
      <w:tr w:rsidR="00CF0406" w:rsidRPr="00CF0406" w14:paraId="790EAE08" w14:textId="77777777" w:rsidTr="007F08E2">
        <w:tc>
          <w:tcPr>
            <w:tcW w:w="1105" w:type="pct"/>
            <w:hideMark/>
          </w:tcPr>
          <w:p w14:paraId="33E31DD7"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Motivation</w:t>
            </w:r>
          </w:p>
        </w:tc>
        <w:tc>
          <w:tcPr>
            <w:tcW w:w="2093" w:type="pct"/>
            <w:hideMark/>
          </w:tcPr>
          <w:p w14:paraId="2AFC934E"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Innovation-based rewards</w:t>
            </w:r>
          </w:p>
        </w:tc>
        <w:tc>
          <w:tcPr>
            <w:tcW w:w="1719" w:type="pct"/>
            <w:hideMark/>
          </w:tcPr>
          <w:p w14:paraId="36ABD4C7"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Fixed rewards</w:t>
            </w:r>
          </w:p>
        </w:tc>
      </w:tr>
      <w:tr w:rsidR="00CF0406" w:rsidRPr="00CF0406" w14:paraId="69D83A1F" w14:textId="77777777" w:rsidTr="007F08E2">
        <w:tc>
          <w:tcPr>
            <w:tcW w:w="1105" w:type="pct"/>
            <w:hideMark/>
          </w:tcPr>
          <w:p w14:paraId="43375DA5"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lastRenderedPageBreak/>
              <w:t>Creativity Level</w:t>
            </w:r>
          </w:p>
        </w:tc>
        <w:tc>
          <w:tcPr>
            <w:tcW w:w="2093" w:type="pct"/>
            <w:hideMark/>
          </w:tcPr>
          <w:p w14:paraId="3E105CA2"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High engagement</w:t>
            </w:r>
          </w:p>
        </w:tc>
        <w:tc>
          <w:tcPr>
            <w:tcW w:w="1719" w:type="pct"/>
            <w:hideMark/>
          </w:tcPr>
          <w:p w14:paraId="14BE7697"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Low innovation</w:t>
            </w:r>
          </w:p>
        </w:tc>
      </w:tr>
    </w:tbl>
    <w:p w14:paraId="54CA09BD" w14:textId="15407E8A" w:rsidR="007F08E2" w:rsidRPr="00CF0406" w:rsidRDefault="007F08E2" w:rsidP="007F08E2">
      <w:pPr>
        <w:jc w:val="center"/>
        <w:rPr>
          <w:rFonts w:ascii="Arial" w:hAnsi="Arial" w:cs="Arial"/>
          <w:b/>
          <w:bCs/>
          <w:lang w:val="en-GB"/>
        </w:rPr>
      </w:pPr>
      <w:r w:rsidRPr="00CF0406">
        <w:rPr>
          <w:rFonts w:ascii="Arial" w:hAnsi="Arial" w:cs="Arial"/>
          <w:b/>
          <w:bCs/>
          <w:lang w:val="en-GB"/>
        </w:rPr>
        <w:t>Table 3: Comparison of Cultural Initiatives</w:t>
      </w:r>
    </w:p>
    <w:p w14:paraId="05FA0E89" w14:textId="77777777" w:rsidR="005C1664" w:rsidRPr="00CF0406" w:rsidRDefault="005C1664" w:rsidP="005C1664">
      <w:pPr>
        <w:rPr>
          <w:rFonts w:ascii="Arial" w:hAnsi="Arial" w:cs="Arial"/>
          <w:lang w:val="en-GB"/>
        </w:rPr>
      </w:pPr>
      <w:r w:rsidRPr="00CF0406">
        <w:rPr>
          <w:rFonts w:ascii="Arial" w:hAnsi="Arial" w:cs="Arial"/>
          <w:lang w:val="en-GB"/>
        </w:rPr>
        <w:t xml:space="preserve">In order to entrench innovation at </w:t>
      </w:r>
      <w:proofErr w:type="spellStart"/>
      <w:r w:rsidRPr="00CF0406">
        <w:rPr>
          <w:rFonts w:ascii="Arial" w:hAnsi="Arial" w:cs="Arial"/>
          <w:lang w:val="en-GB"/>
        </w:rPr>
        <w:t>Ather</w:t>
      </w:r>
      <w:proofErr w:type="spellEnd"/>
      <w:r w:rsidRPr="00CF0406">
        <w:rPr>
          <w:rFonts w:ascii="Arial" w:hAnsi="Arial" w:cs="Arial"/>
          <w:lang w:val="en-GB"/>
        </w:rPr>
        <w:t xml:space="preserve">, the organisational culture should change towards control-less practices and experimentation. Innovation sprints and </w:t>
      </w:r>
      <w:proofErr w:type="spellStart"/>
      <w:r w:rsidRPr="00CF0406">
        <w:rPr>
          <w:rFonts w:ascii="Arial" w:hAnsi="Arial" w:cs="Arial"/>
          <w:lang w:val="en-GB"/>
        </w:rPr>
        <w:t>hackathons</w:t>
      </w:r>
      <w:proofErr w:type="spellEnd"/>
      <w:r w:rsidRPr="00CF0406">
        <w:rPr>
          <w:rFonts w:ascii="Arial" w:hAnsi="Arial" w:cs="Arial"/>
          <w:lang w:val="en-GB"/>
        </w:rPr>
        <w:t xml:space="preserve"> are also more efficient in creativity and collaboration as compared to conventional project cycles because they allow the generation and testing of ideas faster. On the contrary, inflexible procedures restrain worker participation and impede innovation. Psychological safety and employee empowerment are also important. </w:t>
      </w:r>
      <w:proofErr w:type="spellStart"/>
      <w:r w:rsidRPr="00CF0406">
        <w:rPr>
          <w:rFonts w:ascii="Arial" w:hAnsi="Arial" w:cs="Arial"/>
          <w:lang w:val="en-GB"/>
        </w:rPr>
        <w:t>Alsaqqa</w:t>
      </w:r>
      <w:proofErr w:type="spellEnd"/>
      <w:r w:rsidRPr="00CF0406">
        <w:rPr>
          <w:rFonts w:ascii="Arial" w:hAnsi="Arial" w:cs="Arial"/>
          <w:lang w:val="en-GB"/>
        </w:rPr>
        <w:t xml:space="preserve"> (2024) emphasizes that employees feel free to exchange ideas with their colleagues, and they grow more creative and engaged, unlike the hierarchical setting where innovativeness is discouraged.</w:t>
      </w:r>
    </w:p>
    <w:p w14:paraId="0000000C" w14:textId="650C4900" w:rsidR="009F7007" w:rsidRPr="00CF0406" w:rsidRDefault="005C1664" w:rsidP="005C1664">
      <w:pPr>
        <w:rPr>
          <w:rFonts w:ascii="Arial" w:hAnsi="Arial" w:cs="Arial"/>
          <w:lang w:val="en-GB"/>
        </w:rPr>
      </w:pPr>
      <w:r w:rsidRPr="00CF0406">
        <w:rPr>
          <w:rFonts w:ascii="Arial" w:hAnsi="Arial" w:cs="Arial"/>
          <w:lang w:val="en-GB"/>
        </w:rPr>
        <w:t>Knowledge-sharing systems also create a distinction between innovative and traditional companies. According to Brown and Groves (2021), cultural alignment with the strategy and the innovation systems helps to strengthen collaboration, as opposed to separate communication systems. Yet without the right incentive, the participation might not be very high. This implies that reward system that is founded on monetary compensation and professional development is effective compared to fixed rewards when it comes to motivating employees and aligning behaviour towards innovation objectives.</w:t>
      </w:r>
    </w:p>
    <w:p w14:paraId="0000000D" w14:textId="77777777" w:rsidR="009F7007" w:rsidRPr="00CF0406" w:rsidRDefault="00DE37D7">
      <w:pPr>
        <w:pStyle w:val="Heading3"/>
        <w:rPr>
          <w:rFonts w:ascii="Arial" w:hAnsi="Arial" w:cs="Arial"/>
          <w:lang w:val="en-GB"/>
        </w:rPr>
      </w:pPr>
      <w:bookmarkStart w:id="15" w:name="_hxvpcd19hc0x" w:colFirst="0" w:colLast="0"/>
      <w:bookmarkStart w:id="16" w:name="_Toc224435650"/>
      <w:bookmarkEnd w:id="15"/>
      <w:r w:rsidRPr="00CF0406">
        <w:rPr>
          <w:rFonts w:ascii="Arial" w:hAnsi="Arial" w:cs="Arial"/>
          <w:lang w:val="en-GB"/>
        </w:rPr>
        <w:t>3.2 Structur</w:t>
      </w:r>
      <w:r w:rsidRPr="00CF0406">
        <w:rPr>
          <w:rFonts w:ascii="Arial" w:hAnsi="Arial" w:cs="Arial"/>
          <w:lang w:val="en-GB"/>
        </w:rPr>
        <w:t>al Initiatives to Support Innovation</w:t>
      </w:r>
      <w:bookmarkEnd w:id="16"/>
    </w:p>
    <w:tbl>
      <w:tblPr>
        <w:tblStyle w:val="TableGrid"/>
        <w:tblW w:w="5000" w:type="pct"/>
        <w:tblLook w:val="04A0" w:firstRow="1" w:lastRow="0" w:firstColumn="1" w:lastColumn="0" w:noHBand="0" w:noVBand="1"/>
      </w:tblPr>
      <w:tblGrid>
        <w:gridCol w:w="2637"/>
        <w:gridCol w:w="3302"/>
        <w:gridCol w:w="3303"/>
      </w:tblGrid>
      <w:tr w:rsidR="00CF0406" w:rsidRPr="00CF0406" w14:paraId="5810BD97" w14:textId="77777777" w:rsidTr="007F08E2">
        <w:tc>
          <w:tcPr>
            <w:tcW w:w="1400" w:type="pct"/>
            <w:hideMark/>
          </w:tcPr>
          <w:p w14:paraId="55DC1CB5"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Aspect</w:t>
            </w:r>
          </w:p>
        </w:tc>
        <w:tc>
          <w:tcPr>
            <w:tcW w:w="1753" w:type="pct"/>
            <w:hideMark/>
          </w:tcPr>
          <w:p w14:paraId="78462298"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Innovative Structure</w:t>
            </w:r>
          </w:p>
        </w:tc>
        <w:tc>
          <w:tcPr>
            <w:tcW w:w="1753" w:type="pct"/>
            <w:hideMark/>
          </w:tcPr>
          <w:p w14:paraId="35AA0F11" w14:textId="77777777" w:rsidR="007F08E2" w:rsidRPr="00CF0406" w:rsidRDefault="007F08E2" w:rsidP="007F08E2">
            <w:pPr>
              <w:spacing w:line="360" w:lineRule="auto"/>
              <w:jc w:val="center"/>
              <w:rPr>
                <w:rFonts w:ascii="Arial" w:hAnsi="Arial" w:cs="Arial"/>
                <w:b/>
                <w:bCs/>
                <w:lang w:val="en-IN"/>
              </w:rPr>
            </w:pPr>
            <w:r w:rsidRPr="00CF0406">
              <w:rPr>
                <w:rFonts w:ascii="Arial" w:hAnsi="Arial" w:cs="Arial"/>
                <w:b/>
                <w:bCs/>
                <w:lang w:val="en-IN"/>
              </w:rPr>
              <w:t>Traditional Structure</w:t>
            </w:r>
          </w:p>
        </w:tc>
      </w:tr>
      <w:tr w:rsidR="00CF0406" w:rsidRPr="00CF0406" w14:paraId="55F22DE9" w14:textId="77777777" w:rsidTr="007F08E2">
        <w:tc>
          <w:tcPr>
            <w:tcW w:w="1400" w:type="pct"/>
            <w:hideMark/>
          </w:tcPr>
          <w:p w14:paraId="15462F76"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Team Design</w:t>
            </w:r>
          </w:p>
        </w:tc>
        <w:tc>
          <w:tcPr>
            <w:tcW w:w="1753" w:type="pct"/>
            <w:hideMark/>
          </w:tcPr>
          <w:p w14:paraId="40978108"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Cross-functional teams</w:t>
            </w:r>
          </w:p>
        </w:tc>
        <w:tc>
          <w:tcPr>
            <w:tcW w:w="1753" w:type="pct"/>
            <w:hideMark/>
          </w:tcPr>
          <w:p w14:paraId="0F3DEE78"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Departmental silos</w:t>
            </w:r>
          </w:p>
        </w:tc>
      </w:tr>
      <w:tr w:rsidR="00CF0406" w:rsidRPr="00CF0406" w14:paraId="215215F0" w14:textId="77777777" w:rsidTr="007F08E2">
        <w:tc>
          <w:tcPr>
            <w:tcW w:w="1400" w:type="pct"/>
            <w:hideMark/>
          </w:tcPr>
          <w:p w14:paraId="46D825F3"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Decision-Making</w:t>
            </w:r>
          </w:p>
        </w:tc>
        <w:tc>
          <w:tcPr>
            <w:tcW w:w="1753" w:type="pct"/>
            <w:hideMark/>
          </w:tcPr>
          <w:p w14:paraId="6D34C11A"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Fast and flexible</w:t>
            </w:r>
          </w:p>
        </w:tc>
        <w:tc>
          <w:tcPr>
            <w:tcW w:w="1753" w:type="pct"/>
            <w:hideMark/>
          </w:tcPr>
          <w:p w14:paraId="1BE0FCE1"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Slow and hierarchical</w:t>
            </w:r>
          </w:p>
        </w:tc>
      </w:tr>
      <w:tr w:rsidR="00CF0406" w:rsidRPr="00CF0406" w14:paraId="16AF30E4" w14:textId="77777777" w:rsidTr="007F08E2">
        <w:tc>
          <w:tcPr>
            <w:tcW w:w="1400" w:type="pct"/>
            <w:hideMark/>
          </w:tcPr>
          <w:p w14:paraId="652055A0"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Technology Use</w:t>
            </w:r>
          </w:p>
        </w:tc>
        <w:tc>
          <w:tcPr>
            <w:tcW w:w="1753" w:type="pct"/>
            <w:hideMark/>
          </w:tcPr>
          <w:p w14:paraId="2481D93B"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Data-driven systems</w:t>
            </w:r>
          </w:p>
        </w:tc>
        <w:tc>
          <w:tcPr>
            <w:tcW w:w="1753" w:type="pct"/>
            <w:hideMark/>
          </w:tcPr>
          <w:p w14:paraId="24777AD0"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Limited analytics</w:t>
            </w:r>
          </w:p>
        </w:tc>
      </w:tr>
      <w:tr w:rsidR="00CF0406" w:rsidRPr="00CF0406" w14:paraId="2B14AF20" w14:textId="77777777" w:rsidTr="007F08E2">
        <w:tc>
          <w:tcPr>
            <w:tcW w:w="1400" w:type="pct"/>
            <w:hideMark/>
          </w:tcPr>
          <w:p w14:paraId="59F35E90"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Collaboration</w:t>
            </w:r>
          </w:p>
        </w:tc>
        <w:tc>
          <w:tcPr>
            <w:tcW w:w="1753" w:type="pct"/>
            <w:hideMark/>
          </w:tcPr>
          <w:p w14:paraId="687F9BF1"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High integration</w:t>
            </w:r>
          </w:p>
        </w:tc>
        <w:tc>
          <w:tcPr>
            <w:tcW w:w="1753" w:type="pct"/>
            <w:hideMark/>
          </w:tcPr>
          <w:p w14:paraId="028E6065"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Fragmented</w:t>
            </w:r>
          </w:p>
        </w:tc>
      </w:tr>
      <w:tr w:rsidR="00CF0406" w:rsidRPr="00CF0406" w14:paraId="53CA3C8D" w14:textId="77777777" w:rsidTr="007F08E2">
        <w:tc>
          <w:tcPr>
            <w:tcW w:w="1400" w:type="pct"/>
            <w:hideMark/>
          </w:tcPr>
          <w:p w14:paraId="538F2D73"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Innovation Output</w:t>
            </w:r>
          </w:p>
        </w:tc>
        <w:tc>
          <w:tcPr>
            <w:tcW w:w="1753" w:type="pct"/>
            <w:hideMark/>
          </w:tcPr>
          <w:p w14:paraId="36CF88EB"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High and rapid</w:t>
            </w:r>
          </w:p>
        </w:tc>
        <w:tc>
          <w:tcPr>
            <w:tcW w:w="1753" w:type="pct"/>
            <w:hideMark/>
          </w:tcPr>
          <w:p w14:paraId="52C467AD" w14:textId="77777777" w:rsidR="007F08E2" w:rsidRPr="00CF0406" w:rsidRDefault="007F08E2" w:rsidP="007F08E2">
            <w:pPr>
              <w:spacing w:line="360" w:lineRule="auto"/>
              <w:jc w:val="left"/>
              <w:rPr>
                <w:rFonts w:ascii="Arial" w:hAnsi="Arial" w:cs="Arial"/>
                <w:lang w:val="en-IN"/>
              </w:rPr>
            </w:pPr>
            <w:r w:rsidRPr="00CF0406">
              <w:rPr>
                <w:rFonts w:ascii="Arial" w:hAnsi="Arial" w:cs="Arial"/>
                <w:lang w:val="en-IN"/>
              </w:rPr>
              <w:t>Slow and incremental</w:t>
            </w:r>
          </w:p>
        </w:tc>
      </w:tr>
    </w:tbl>
    <w:p w14:paraId="2A2432CF" w14:textId="11C2E440" w:rsidR="007F08E2" w:rsidRPr="00CF0406" w:rsidRDefault="007F08E2" w:rsidP="007F08E2">
      <w:pPr>
        <w:jc w:val="center"/>
        <w:rPr>
          <w:rFonts w:ascii="Arial" w:hAnsi="Arial" w:cs="Arial"/>
          <w:b/>
          <w:bCs/>
          <w:lang w:val="en-GB"/>
        </w:rPr>
      </w:pPr>
      <w:r w:rsidRPr="00CF0406">
        <w:rPr>
          <w:rFonts w:ascii="Arial" w:hAnsi="Arial" w:cs="Arial"/>
          <w:b/>
          <w:bCs/>
          <w:lang w:val="en-GB"/>
        </w:rPr>
        <w:t>Table 4: Comparison of Structural Initiatives</w:t>
      </w:r>
    </w:p>
    <w:p w14:paraId="0000000E" w14:textId="2F603BBE" w:rsidR="009F7007" w:rsidRPr="00CF0406" w:rsidRDefault="005C1664">
      <w:pPr>
        <w:rPr>
          <w:rFonts w:ascii="Arial" w:hAnsi="Arial" w:cs="Arial"/>
          <w:lang w:val="en-GB"/>
        </w:rPr>
      </w:pPr>
      <w:r w:rsidRPr="00CF0406">
        <w:rPr>
          <w:rFonts w:ascii="Arial" w:hAnsi="Arial" w:cs="Arial"/>
          <w:lang w:val="en-GB"/>
        </w:rPr>
        <w:t xml:space="preserve">The organisational hierarchies at </w:t>
      </w:r>
      <w:proofErr w:type="spellStart"/>
      <w:r w:rsidRPr="00CF0406">
        <w:rPr>
          <w:rFonts w:ascii="Arial" w:hAnsi="Arial" w:cs="Arial"/>
          <w:lang w:val="en-GB"/>
        </w:rPr>
        <w:t>Ather</w:t>
      </w:r>
      <w:proofErr w:type="spellEnd"/>
      <w:r w:rsidRPr="00CF0406">
        <w:rPr>
          <w:rFonts w:ascii="Arial" w:hAnsi="Arial" w:cs="Arial"/>
          <w:lang w:val="en-GB"/>
        </w:rPr>
        <w:t xml:space="preserve"> must emphasise upon flexibility and teamwork, instead of strict hierarchies. The cross-functional teams improve innovation capacity since they are faster in problem-solving and product development due to the ability to combine various </w:t>
      </w:r>
      <w:proofErr w:type="gramStart"/>
      <w:r w:rsidRPr="00CF0406">
        <w:rPr>
          <w:rFonts w:ascii="Arial" w:hAnsi="Arial" w:cs="Arial"/>
          <w:lang w:val="en-GB"/>
        </w:rPr>
        <w:t>expertise</w:t>
      </w:r>
      <w:proofErr w:type="gramEnd"/>
      <w:r w:rsidRPr="00CF0406">
        <w:rPr>
          <w:rFonts w:ascii="Arial" w:hAnsi="Arial" w:cs="Arial"/>
          <w:lang w:val="en-GB"/>
        </w:rPr>
        <w:t xml:space="preserve"> as compared to departmental silos. Conversely, the conventional silo-organizations restrict the sharing of knowledge and slow down the decision-making process. Rapid reaction to </w:t>
      </w:r>
      <w:r w:rsidRPr="00CF0406">
        <w:rPr>
          <w:rFonts w:ascii="Arial" w:hAnsi="Arial" w:cs="Arial"/>
          <w:lang w:val="en-GB"/>
        </w:rPr>
        <w:lastRenderedPageBreak/>
        <w:t xml:space="preserve">market and technological changes is also supported by flexible structures. According to Poole and Van de </w:t>
      </w:r>
      <w:proofErr w:type="spellStart"/>
      <w:r w:rsidRPr="00CF0406">
        <w:rPr>
          <w:rFonts w:ascii="Arial" w:hAnsi="Arial" w:cs="Arial"/>
          <w:lang w:val="en-GB"/>
        </w:rPr>
        <w:t>Ven</w:t>
      </w:r>
      <w:proofErr w:type="spellEnd"/>
      <w:r w:rsidRPr="00CF0406">
        <w:rPr>
          <w:rFonts w:ascii="Arial" w:hAnsi="Arial" w:cs="Arial"/>
          <w:lang w:val="en-GB"/>
        </w:rPr>
        <w:t xml:space="preserve"> (2021), organisations that are less bureaucratic work together better than hierarchical service systems that are fixed. Nonetheless, the aspect of flexibility is not enough without the support of technology. Performance is also reinforced by digital infrastructure of innovation. In comparison to intuition-based decisions, data analytics makes evidence-based strategies and makes the outcomes better. According to </w:t>
      </w:r>
      <w:proofErr w:type="spellStart"/>
      <w:r w:rsidRPr="00CF0406">
        <w:rPr>
          <w:rFonts w:ascii="Arial" w:hAnsi="Arial" w:cs="Arial"/>
          <w:lang w:val="en-GB"/>
        </w:rPr>
        <w:t>Foroughi</w:t>
      </w:r>
      <w:proofErr w:type="spellEnd"/>
      <w:r w:rsidRPr="00CF0406">
        <w:rPr>
          <w:rFonts w:ascii="Arial" w:hAnsi="Arial" w:cs="Arial"/>
          <w:lang w:val="en-GB"/>
        </w:rPr>
        <w:t xml:space="preserve"> et al. (2025), analytics and the innovative culture of the organization improve their performance. This implies that combined structural and technological strategies are better. In the same manner, innovation laboratories would be superior to the conventional structures in terms of experimentation and teamwork.</w:t>
      </w:r>
    </w:p>
    <w:p w14:paraId="0000000F" w14:textId="77777777" w:rsidR="009F7007" w:rsidRPr="00CF0406" w:rsidRDefault="00DE37D7">
      <w:pPr>
        <w:pStyle w:val="Heading2"/>
        <w:rPr>
          <w:rFonts w:ascii="Arial" w:hAnsi="Arial" w:cs="Arial"/>
          <w:lang w:val="en-GB"/>
        </w:rPr>
      </w:pPr>
      <w:bookmarkStart w:id="17" w:name="_wfza3b94kw" w:colFirst="0" w:colLast="0"/>
      <w:bookmarkStart w:id="18" w:name="_Toc224435651"/>
      <w:bookmarkEnd w:id="17"/>
      <w:r w:rsidRPr="00CF0406">
        <w:rPr>
          <w:rFonts w:ascii="Arial" w:hAnsi="Arial" w:cs="Arial"/>
          <w:lang w:val="en-GB"/>
        </w:rPr>
        <w:t xml:space="preserve">4. Future of Work Model for </w:t>
      </w:r>
      <w:proofErr w:type="spellStart"/>
      <w:r w:rsidRPr="00CF0406">
        <w:rPr>
          <w:rFonts w:ascii="Arial" w:hAnsi="Arial" w:cs="Arial"/>
          <w:lang w:val="en-GB"/>
        </w:rPr>
        <w:t>Ather</w:t>
      </w:r>
      <w:proofErr w:type="spellEnd"/>
      <w:r w:rsidRPr="00CF0406">
        <w:rPr>
          <w:rFonts w:ascii="Arial" w:hAnsi="Arial" w:cs="Arial"/>
          <w:lang w:val="en-GB"/>
        </w:rPr>
        <w:t xml:space="preserve"> (Hybrid / Remote Work)</w:t>
      </w:r>
      <w:bookmarkEnd w:id="18"/>
    </w:p>
    <w:p w14:paraId="00000010" w14:textId="77777777" w:rsidR="009F7007" w:rsidRPr="00CF0406" w:rsidRDefault="00DE37D7">
      <w:pPr>
        <w:pStyle w:val="Heading3"/>
        <w:rPr>
          <w:rFonts w:ascii="Arial" w:hAnsi="Arial" w:cs="Arial"/>
          <w:lang w:val="en-GB"/>
        </w:rPr>
      </w:pPr>
      <w:bookmarkStart w:id="19" w:name="_aocw4d1i2zge" w:colFirst="0" w:colLast="0"/>
      <w:bookmarkStart w:id="20" w:name="_Toc224435652"/>
      <w:bookmarkEnd w:id="19"/>
      <w:r w:rsidRPr="00CF0406">
        <w:rPr>
          <w:rFonts w:ascii="Arial" w:hAnsi="Arial" w:cs="Arial"/>
          <w:lang w:val="en-GB"/>
        </w:rPr>
        <w:t>4.1 Proposed Future Work Model</w:t>
      </w:r>
      <w:bookmarkEnd w:id="20"/>
    </w:p>
    <w:p w14:paraId="00000011" w14:textId="26036F13" w:rsidR="009F7007" w:rsidRPr="00CF0406" w:rsidRDefault="005C1664">
      <w:pPr>
        <w:rPr>
          <w:rFonts w:ascii="Arial" w:hAnsi="Arial" w:cs="Arial"/>
          <w:lang w:val="en-GB"/>
        </w:rPr>
      </w:pPr>
      <w:r w:rsidRPr="00CF0406">
        <w:rPr>
          <w:rFonts w:ascii="Arial" w:hAnsi="Arial" w:cs="Arial"/>
          <w:lang w:val="en-GB"/>
        </w:rPr>
        <w:t xml:space="preserve">The hybrid work model is more flexible and collaborative than the systems based in the office. Hybrid models are appropriate in innovation because compared to full-time working in an </w:t>
      </w:r>
      <w:proofErr w:type="gramStart"/>
      <w:r w:rsidRPr="00CF0406">
        <w:rPr>
          <w:rFonts w:ascii="Arial" w:hAnsi="Arial" w:cs="Arial"/>
          <w:lang w:val="en-GB"/>
        </w:rPr>
        <w:t>office,</w:t>
      </w:r>
      <w:proofErr w:type="gramEnd"/>
      <w:r w:rsidRPr="00CF0406">
        <w:rPr>
          <w:rFonts w:ascii="Arial" w:hAnsi="Arial" w:cs="Arial"/>
          <w:lang w:val="en-GB"/>
        </w:rPr>
        <w:t xml:space="preserve"> employees are able to combine individual work with face to face work on creative tasks when working remotely. Conversely, complete remote designs can decrease personal interaction, which can weaken the generation of ideas spontaneously. According to many technology companies, productivity gains of approximately 10-15 </w:t>
      </w:r>
      <w:proofErr w:type="spellStart"/>
      <w:r w:rsidRPr="00CF0406">
        <w:rPr>
          <w:rFonts w:ascii="Arial" w:hAnsi="Arial" w:cs="Arial"/>
          <w:lang w:val="en-GB"/>
        </w:rPr>
        <w:t>percent</w:t>
      </w:r>
      <w:proofErr w:type="spellEnd"/>
      <w:r w:rsidRPr="00CF0406">
        <w:rPr>
          <w:rFonts w:ascii="Arial" w:hAnsi="Arial" w:cs="Arial"/>
          <w:lang w:val="en-GB"/>
        </w:rPr>
        <w:t xml:space="preserve"> under hybrid systems occur because of high work-life balance and flexibility. Nevertheless, hybrid work needs to be organised to prevent a lack of communication. This implies that hybrid models are more efficient as compared to traditional and fully remote models provided that they are backed by effective communication systems and performance indicators. </w:t>
      </w:r>
      <w:proofErr w:type="spellStart"/>
      <w:r w:rsidRPr="00CF0406">
        <w:rPr>
          <w:rFonts w:ascii="Arial" w:hAnsi="Arial" w:cs="Arial"/>
          <w:lang w:val="en-GB"/>
        </w:rPr>
        <w:t>Ather</w:t>
      </w:r>
      <w:proofErr w:type="spellEnd"/>
      <w:r w:rsidRPr="00CF0406">
        <w:rPr>
          <w:rFonts w:ascii="Arial" w:hAnsi="Arial" w:cs="Arial"/>
          <w:lang w:val="en-GB"/>
        </w:rPr>
        <w:t xml:space="preserve"> can implement task based scheduling i.e. analytical work is performed at home and collaborative innovation is performed in the office.</w:t>
      </w:r>
    </w:p>
    <w:p w14:paraId="00000012" w14:textId="77777777" w:rsidR="009F7007" w:rsidRPr="00CF0406" w:rsidRDefault="00DE37D7">
      <w:pPr>
        <w:pStyle w:val="Heading3"/>
        <w:rPr>
          <w:rFonts w:ascii="Arial" w:hAnsi="Arial" w:cs="Arial"/>
          <w:lang w:val="en-GB"/>
        </w:rPr>
      </w:pPr>
      <w:bookmarkStart w:id="21" w:name="_wqej9qow2ux3" w:colFirst="0" w:colLast="0"/>
      <w:bookmarkStart w:id="22" w:name="_Toc224435653"/>
      <w:bookmarkEnd w:id="21"/>
      <w:r w:rsidRPr="00CF0406">
        <w:rPr>
          <w:rFonts w:ascii="Arial" w:hAnsi="Arial" w:cs="Arial"/>
          <w:lang w:val="en-GB"/>
        </w:rPr>
        <w:t>4.2 Enabling Collaboration and Creativity</w:t>
      </w:r>
      <w:bookmarkEnd w:id="22"/>
    </w:p>
    <w:p w14:paraId="00000013" w14:textId="2FDF7413" w:rsidR="009F7007" w:rsidRPr="00CF0406" w:rsidRDefault="005C1664">
      <w:pPr>
        <w:rPr>
          <w:rFonts w:ascii="Arial" w:hAnsi="Arial" w:cs="Arial"/>
          <w:lang w:val="en-GB"/>
        </w:rPr>
      </w:pPr>
      <w:r w:rsidRPr="00CF0406">
        <w:rPr>
          <w:rFonts w:ascii="Arial" w:hAnsi="Arial" w:cs="Arial"/>
          <w:lang w:val="en-GB"/>
        </w:rPr>
        <w:t>Hybrid work is based upon good digital infrastructure. Virtual platforms and common digital workspaces allow 24/7 cross-location collaboration compared to the traditional ways of communication. As Lam et al. (2021) demonstrate</w:t>
      </w:r>
      <w:proofErr w:type="gramStart"/>
      <w:r w:rsidRPr="00CF0406">
        <w:rPr>
          <w:rFonts w:ascii="Arial" w:hAnsi="Arial" w:cs="Arial"/>
          <w:lang w:val="en-GB"/>
        </w:rPr>
        <w:t>,</w:t>
      </w:r>
      <w:proofErr w:type="gramEnd"/>
      <w:r w:rsidRPr="00CF0406">
        <w:rPr>
          <w:rFonts w:ascii="Arial" w:hAnsi="Arial" w:cs="Arial"/>
          <w:lang w:val="en-GB"/>
        </w:rPr>
        <w:t xml:space="preserve"> organisations with knowledge management systems have greater open innovation and collaboration. Technology however could not be enough unless there is organised interaction. Virtual brainstorming and innovation workshops must be conducted on a regular </w:t>
      </w:r>
      <w:r w:rsidRPr="00CF0406">
        <w:rPr>
          <w:rFonts w:ascii="Arial" w:hAnsi="Arial" w:cs="Arial"/>
          <w:lang w:val="en-GB"/>
        </w:rPr>
        <w:lastRenderedPageBreak/>
        <w:t>basis. It implies that the integration of digital tools and collaborative practices proves to be more efficient than using either of the two methods to preserve innovativeness.</w:t>
      </w:r>
    </w:p>
    <w:p w14:paraId="00000014" w14:textId="77777777" w:rsidR="009F7007" w:rsidRPr="00CF0406" w:rsidRDefault="00DE37D7">
      <w:pPr>
        <w:pStyle w:val="Heading2"/>
        <w:rPr>
          <w:rFonts w:ascii="Arial" w:hAnsi="Arial" w:cs="Arial"/>
          <w:lang w:val="en-GB"/>
        </w:rPr>
      </w:pPr>
      <w:bookmarkStart w:id="23" w:name="_1805wimfxoy8" w:colFirst="0" w:colLast="0"/>
      <w:bookmarkStart w:id="24" w:name="_Toc224435654"/>
      <w:bookmarkEnd w:id="23"/>
      <w:r w:rsidRPr="00CF0406">
        <w:rPr>
          <w:rFonts w:ascii="Arial" w:hAnsi="Arial" w:cs="Arial"/>
          <w:lang w:val="en-GB"/>
        </w:rPr>
        <w:t>5. Motivation and Performance Impact of the Proposed Approach</w:t>
      </w:r>
      <w:bookmarkEnd w:id="24"/>
    </w:p>
    <w:p w14:paraId="00000015" w14:textId="2C8D6AE3" w:rsidR="009F7007" w:rsidRPr="00CF0406" w:rsidRDefault="001B2CB9">
      <w:pPr>
        <w:rPr>
          <w:rFonts w:ascii="Arial" w:hAnsi="Arial" w:cs="Arial"/>
          <w:lang w:val="en-GB"/>
        </w:rPr>
      </w:pPr>
      <w:r w:rsidRPr="00CF0406">
        <w:rPr>
          <w:rFonts w:ascii="Arial" w:hAnsi="Arial" w:cs="Arial"/>
          <w:lang w:val="en-GB"/>
        </w:rPr>
        <w:t xml:space="preserve">The proposed programmes will be capable of significantly boosting motivation and performance of employees at </w:t>
      </w:r>
      <w:proofErr w:type="spellStart"/>
      <w:r w:rsidRPr="00CF0406">
        <w:rPr>
          <w:rFonts w:ascii="Arial" w:hAnsi="Arial" w:cs="Arial"/>
          <w:lang w:val="en-GB"/>
        </w:rPr>
        <w:t>Ather</w:t>
      </w:r>
      <w:proofErr w:type="spellEnd"/>
      <w:r w:rsidRPr="00CF0406">
        <w:rPr>
          <w:rFonts w:ascii="Arial" w:hAnsi="Arial" w:cs="Arial"/>
          <w:lang w:val="en-GB"/>
        </w:rPr>
        <w:t xml:space="preserve">. Working in work environments that promote creativity, cooperation and experimentation, when the employees are exposed to such environments, they will find creative solutions and contribute to the attainment of organisational goals. Li and Liu (2022) demonstrate that the </w:t>
      </w:r>
      <w:proofErr w:type="gramStart"/>
      <w:r w:rsidRPr="00CF0406">
        <w:rPr>
          <w:rFonts w:ascii="Arial" w:hAnsi="Arial" w:cs="Arial"/>
          <w:lang w:val="en-GB"/>
        </w:rPr>
        <w:t>staff</w:t>
      </w:r>
      <w:proofErr w:type="gramEnd"/>
      <w:r w:rsidRPr="00CF0406">
        <w:rPr>
          <w:rFonts w:ascii="Arial" w:hAnsi="Arial" w:cs="Arial"/>
          <w:lang w:val="en-GB"/>
        </w:rPr>
        <w:t xml:space="preserve"> that works within the framework of an innovation-driven culture indicates significantly higher innovative behaviour and involvement. The organisational learning capacity and sustainability is also increased by sharing systems, collaborative structures within the organisations. According to the research conducted by Abbas and Khan (2023), the organisations that integrate the knowledge management systems with the supporting culture achieve the measurable feedback on the innovation performance and sustainability of the organisation. Organisational decision-making and innovation capacity are also encouraged using digital technologies. Among organisations integrated with an innovation culture and big data analytics, </w:t>
      </w:r>
      <w:proofErr w:type="spellStart"/>
      <w:r w:rsidRPr="00CF0406">
        <w:rPr>
          <w:rFonts w:ascii="Arial" w:hAnsi="Arial" w:cs="Arial"/>
          <w:lang w:val="en-GB"/>
        </w:rPr>
        <w:t>Foroughi</w:t>
      </w:r>
      <w:proofErr w:type="spellEnd"/>
      <w:r w:rsidRPr="00CF0406">
        <w:rPr>
          <w:rFonts w:ascii="Arial" w:hAnsi="Arial" w:cs="Arial"/>
          <w:lang w:val="en-GB"/>
        </w:rPr>
        <w:t xml:space="preserve"> et al. (2025) found that the performance of these organisations in terms of innovation and strategic performance was stronger. Overall, innovation-driven culture, collaborative organisational structure, and hybrid work may contribute to ensuring employee engagement, accelerated product development, and the improvement of organisational performance in </w:t>
      </w:r>
      <w:proofErr w:type="spellStart"/>
      <w:r w:rsidRPr="00CF0406">
        <w:rPr>
          <w:rFonts w:ascii="Arial" w:hAnsi="Arial" w:cs="Arial"/>
          <w:lang w:val="en-GB"/>
        </w:rPr>
        <w:t>Ather</w:t>
      </w:r>
      <w:proofErr w:type="spellEnd"/>
      <w:r w:rsidRPr="00CF0406">
        <w:rPr>
          <w:rFonts w:ascii="Arial" w:hAnsi="Arial" w:cs="Arial"/>
          <w:lang w:val="en-GB"/>
        </w:rPr>
        <w:t>.</w:t>
      </w:r>
    </w:p>
    <w:p w14:paraId="00000016" w14:textId="77777777" w:rsidR="009F7007" w:rsidRPr="00CF0406" w:rsidRDefault="00DE37D7">
      <w:pPr>
        <w:pStyle w:val="Heading2"/>
        <w:rPr>
          <w:rFonts w:ascii="Arial" w:hAnsi="Arial" w:cs="Arial"/>
          <w:lang w:val="en-GB"/>
        </w:rPr>
      </w:pPr>
      <w:bookmarkStart w:id="25" w:name="_bf1ag898kk8u" w:colFirst="0" w:colLast="0"/>
      <w:bookmarkStart w:id="26" w:name="_Toc224435655"/>
      <w:bookmarkEnd w:id="25"/>
      <w:r w:rsidRPr="00CF0406">
        <w:rPr>
          <w:rFonts w:ascii="Arial" w:hAnsi="Arial" w:cs="Arial"/>
          <w:lang w:val="en-GB"/>
        </w:rPr>
        <w:t>6. Conclusion</w:t>
      </w:r>
      <w:bookmarkEnd w:id="26"/>
    </w:p>
    <w:p w14:paraId="00000017" w14:textId="64F8690D" w:rsidR="009F7007" w:rsidRPr="00CF0406" w:rsidRDefault="001B2CB9">
      <w:pPr>
        <w:rPr>
          <w:rFonts w:ascii="Arial" w:hAnsi="Arial" w:cs="Arial"/>
          <w:lang w:val="en-GB"/>
        </w:rPr>
      </w:pPr>
      <w:r w:rsidRPr="00CF0406">
        <w:rPr>
          <w:rFonts w:ascii="Arial" w:hAnsi="Arial" w:cs="Arial"/>
          <w:lang w:val="en-GB"/>
        </w:rPr>
        <w:t xml:space="preserve">Technology companies that are targeting sustainable growth and a competitive advantage are subject to the creation of a strong culture of innovations and new age work practices. Cultural activities can increase the organisational innovation capability significantly; they promote experimentation, organic organisational systems promote teamwork, and hybrid work system promotes creativity. The strategies will help </w:t>
      </w:r>
      <w:proofErr w:type="spellStart"/>
      <w:r w:rsidRPr="00CF0406">
        <w:rPr>
          <w:rFonts w:ascii="Arial" w:hAnsi="Arial" w:cs="Arial"/>
          <w:lang w:val="en-GB"/>
        </w:rPr>
        <w:t>Ather</w:t>
      </w:r>
      <w:proofErr w:type="spellEnd"/>
      <w:r w:rsidRPr="00CF0406">
        <w:rPr>
          <w:rFonts w:ascii="Arial" w:hAnsi="Arial" w:cs="Arial"/>
          <w:lang w:val="en-GB"/>
        </w:rPr>
        <w:t xml:space="preserve"> to further motivate its workforce, accelerate the innovation process and the overall performance of the organisation in the constantly competitive technology environment.</w:t>
      </w:r>
    </w:p>
    <w:p w14:paraId="00000018" w14:textId="77777777" w:rsidR="009F7007" w:rsidRPr="00CF0406" w:rsidRDefault="00DE37D7">
      <w:pPr>
        <w:pStyle w:val="Heading1"/>
        <w:rPr>
          <w:rFonts w:ascii="Arial" w:hAnsi="Arial" w:cs="Arial"/>
          <w:lang w:val="en-GB"/>
        </w:rPr>
      </w:pPr>
      <w:bookmarkStart w:id="27" w:name="_37phmahhip9s" w:colFirst="0" w:colLast="0"/>
      <w:bookmarkStart w:id="28" w:name="_Toc224435656"/>
      <w:bookmarkEnd w:id="27"/>
      <w:r w:rsidRPr="00CF0406">
        <w:rPr>
          <w:rFonts w:ascii="Arial" w:hAnsi="Arial" w:cs="Arial"/>
          <w:lang w:val="en-GB"/>
        </w:rPr>
        <w:lastRenderedPageBreak/>
        <w:t>Part 2: Reflection Using Gibbs Reflective Cycle</w:t>
      </w:r>
      <w:bookmarkEnd w:id="28"/>
    </w:p>
    <w:p w14:paraId="00000019" w14:textId="77777777" w:rsidR="009F7007" w:rsidRPr="00CF0406" w:rsidRDefault="00DE37D7">
      <w:pPr>
        <w:pStyle w:val="Heading2"/>
        <w:rPr>
          <w:rFonts w:ascii="Arial" w:hAnsi="Arial" w:cs="Arial"/>
          <w:lang w:val="en-GB"/>
        </w:rPr>
      </w:pPr>
      <w:bookmarkStart w:id="29" w:name="_ybl6v376pb1" w:colFirst="0" w:colLast="0"/>
      <w:bookmarkStart w:id="30" w:name="_Toc224435657"/>
      <w:bookmarkEnd w:id="29"/>
      <w:r w:rsidRPr="00CF0406">
        <w:rPr>
          <w:rFonts w:ascii="Arial" w:hAnsi="Arial" w:cs="Arial"/>
          <w:lang w:val="en-GB"/>
        </w:rPr>
        <w:t>1. Description</w:t>
      </w:r>
      <w:bookmarkEnd w:id="30"/>
    </w:p>
    <w:p w14:paraId="0000001A" w14:textId="0E7172A2" w:rsidR="009F7007" w:rsidRPr="00CF0406" w:rsidRDefault="001B2CB9">
      <w:pPr>
        <w:rPr>
          <w:rFonts w:ascii="Arial" w:hAnsi="Arial" w:cs="Arial"/>
          <w:lang w:val="en-GB"/>
        </w:rPr>
      </w:pPr>
      <w:r w:rsidRPr="00CF0406">
        <w:rPr>
          <w:rFonts w:ascii="Arial" w:hAnsi="Arial" w:cs="Arial"/>
          <w:lang w:val="en-GB"/>
        </w:rPr>
        <w:t xml:space="preserve">The Human Capital Management module too was quite revealing in the way the organisations manage people in a strategic way to improve performance, innovation and engagement of the workers. Through the module, I have gained knowledge of several good issues that entail organisational culture, talent management, employee motivation, and strategic HR practices. Those concepts enabled me to appreciate the functions of the human resource management in the achievement of the organisational success in other areas besides administration. The analysis of the role of the organisational culture on employee behaviour and innovation was the best learning experience. This understanding enabled me to realise that the HR strategies are closely related to the organisational development and long-term competitiveness. Such an insight was made possible by reflective learning exercises that caused me to internalise the way in which the theoretical concepts are translated to organisational situations on the ground. Through organized reflective practices, the learner will critically analyse his or her experiences and make improved practices that would be adopted in the future. </w:t>
      </w:r>
      <w:proofErr w:type="spellStart"/>
      <w:r w:rsidRPr="00CF0406">
        <w:rPr>
          <w:rFonts w:ascii="Arial" w:hAnsi="Arial" w:cs="Arial"/>
          <w:lang w:val="en-GB"/>
        </w:rPr>
        <w:t>Orsino</w:t>
      </w:r>
      <w:proofErr w:type="spellEnd"/>
      <w:r w:rsidRPr="00CF0406">
        <w:rPr>
          <w:rFonts w:ascii="Arial" w:hAnsi="Arial" w:cs="Arial"/>
          <w:lang w:val="en-GB"/>
        </w:rPr>
        <w:t>, Soto-</w:t>
      </w:r>
      <w:proofErr w:type="spellStart"/>
      <w:r w:rsidRPr="00CF0406">
        <w:rPr>
          <w:rFonts w:ascii="Arial" w:hAnsi="Arial" w:cs="Arial"/>
          <w:lang w:val="en-GB"/>
        </w:rPr>
        <w:t>Faúndez</w:t>
      </w:r>
      <w:proofErr w:type="spellEnd"/>
      <w:r w:rsidRPr="00CF0406">
        <w:rPr>
          <w:rFonts w:ascii="Arial" w:hAnsi="Arial" w:cs="Arial"/>
          <w:lang w:val="en-GB"/>
        </w:rPr>
        <w:t xml:space="preserve"> and </w:t>
      </w:r>
      <w:proofErr w:type="spellStart"/>
      <w:r w:rsidRPr="00CF0406">
        <w:rPr>
          <w:rFonts w:ascii="Arial" w:hAnsi="Arial" w:cs="Arial"/>
          <w:lang w:val="en-GB"/>
        </w:rPr>
        <w:t>Taha</w:t>
      </w:r>
      <w:proofErr w:type="spellEnd"/>
      <w:r w:rsidRPr="00CF0406">
        <w:rPr>
          <w:rFonts w:ascii="Arial" w:hAnsi="Arial" w:cs="Arial"/>
          <w:lang w:val="en-GB"/>
        </w:rPr>
        <w:t xml:space="preserve"> (2026) claim that a structured reflection model, such as the Gibbs reflective cycle, is a systematic piece of advice that can be used to help a person analyse their experience, and enhance their professional learning.</w:t>
      </w:r>
    </w:p>
    <w:p w14:paraId="0000001B" w14:textId="77777777" w:rsidR="009F7007" w:rsidRPr="00CF0406" w:rsidRDefault="00DE37D7">
      <w:pPr>
        <w:pStyle w:val="Heading2"/>
        <w:rPr>
          <w:rFonts w:ascii="Arial" w:hAnsi="Arial" w:cs="Arial"/>
          <w:lang w:val="en-GB"/>
        </w:rPr>
      </w:pPr>
      <w:bookmarkStart w:id="31" w:name="_bt88o6h0m8j1" w:colFirst="0" w:colLast="0"/>
      <w:bookmarkStart w:id="32" w:name="_Toc224435658"/>
      <w:bookmarkEnd w:id="31"/>
      <w:r w:rsidRPr="00CF0406">
        <w:rPr>
          <w:rFonts w:ascii="Arial" w:hAnsi="Arial" w:cs="Arial"/>
          <w:lang w:val="en-GB"/>
        </w:rPr>
        <w:t>2. Feelings</w:t>
      </w:r>
      <w:bookmarkEnd w:id="32"/>
    </w:p>
    <w:p w14:paraId="0000001C" w14:textId="77777777" w:rsidR="009F7007" w:rsidRPr="00CF0406" w:rsidRDefault="00DE37D7">
      <w:pPr>
        <w:rPr>
          <w:rFonts w:ascii="Arial" w:hAnsi="Arial" w:cs="Arial"/>
          <w:lang w:val="en-GB"/>
        </w:rPr>
      </w:pPr>
      <w:r w:rsidRPr="00CF0406">
        <w:rPr>
          <w:rFonts w:ascii="Arial" w:hAnsi="Arial" w:cs="Arial"/>
          <w:lang w:val="en-GB"/>
        </w:rPr>
        <w:t>My initial understanding of human resource management at the onset of the module was that the fundamental role of human resource management was administrat</w:t>
      </w:r>
      <w:r w:rsidRPr="00CF0406">
        <w:rPr>
          <w:rFonts w:ascii="Arial" w:hAnsi="Arial" w:cs="Arial"/>
          <w:lang w:val="en-GB"/>
        </w:rPr>
        <w:t xml:space="preserve">ive, which included recruitment, payroll and employee relations. But as I went through the course, I found out that HR is a strategic element in creating organisational culture, the ability to innovate and employee engagement. This shift of thought led me </w:t>
      </w:r>
      <w:r w:rsidRPr="00CF0406">
        <w:rPr>
          <w:rFonts w:ascii="Arial" w:hAnsi="Arial" w:cs="Arial"/>
          <w:lang w:val="en-GB"/>
        </w:rPr>
        <w:t>to take even more interest in understanding the role of HR strategies in organisational performance. Engaging in reflective learning processes allowed me to learn more about my learning process and professional growth. Reflective practice helps one to refl</w:t>
      </w:r>
      <w:r w:rsidRPr="00CF0406">
        <w:rPr>
          <w:rFonts w:ascii="Arial" w:hAnsi="Arial" w:cs="Arial"/>
          <w:lang w:val="en-GB"/>
        </w:rPr>
        <w:t xml:space="preserve">ect on his or her experiences, strengths, and weaknesses and arrive at better ways of addressing situations in future. As El </w:t>
      </w:r>
      <w:proofErr w:type="spellStart"/>
      <w:r w:rsidRPr="00CF0406">
        <w:rPr>
          <w:rFonts w:ascii="Arial" w:hAnsi="Arial" w:cs="Arial"/>
          <w:lang w:val="en-GB"/>
        </w:rPr>
        <w:t>Zaatari</w:t>
      </w:r>
      <w:proofErr w:type="spellEnd"/>
      <w:r w:rsidRPr="00CF0406">
        <w:rPr>
          <w:rFonts w:ascii="Arial" w:hAnsi="Arial" w:cs="Arial"/>
          <w:lang w:val="en-GB"/>
        </w:rPr>
        <w:t xml:space="preserve"> and </w:t>
      </w:r>
      <w:proofErr w:type="spellStart"/>
      <w:r w:rsidRPr="00CF0406">
        <w:rPr>
          <w:rFonts w:ascii="Arial" w:hAnsi="Arial" w:cs="Arial"/>
          <w:lang w:val="en-GB"/>
        </w:rPr>
        <w:t>Maalouf</w:t>
      </w:r>
      <w:proofErr w:type="spellEnd"/>
      <w:r w:rsidRPr="00CF0406">
        <w:rPr>
          <w:rFonts w:ascii="Arial" w:hAnsi="Arial" w:cs="Arial"/>
          <w:lang w:val="en-GB"/>
        </w:rPr>
        <w:t xml:space="preserve"> (2025) emphasise, reflective learning improves self-awareness and critical thinking, which are necessary to dev</w:t>
      </w:r>
      <w:r w:rsidRPr="00CF0406">
        <w:rPr>
          <w:rFonts w:ascii="Arial" w:hAnsi="Arial" w:cs="Arial"/>
          <w:lang w:val="en-GB"/>
        </w:rPr>
        <w:t xml:space="preserve">elop as a professional. The process of reflection made me more </w:t>
      </w:r>
      <w:r w:rsidRPr="00CF0406">
        <w:rPr>
          <w:rFonts w:ascii="Arial" w:hAnsi="Arial" w:cs="Arial"/>
          <w:lang w:val="en-GB"/>
        </w:rPr>
        <w:lastRenderedPageBreak/>
        <w:t>self-assured in the analysis of organisational issues and reflections on the ways in which HR strategies can help facilitate innovation and employee engagement.</w:t>
      </w:r>
    </w:p>
    <w:p w14:paraId="0000001D" w14:textId="77777777" w:rsidR="009F7007" w:rsidRPr="00CF0406" w:rsidRDefault="00DE37D7">
      <w:pPr>
        <w:pStyle w:val="Heading2"/>
        <w:rPr>
          <w:rFonts w:ascii="Arial" w:hAnsi="Arial" w:cs="Arial"/>
          <w:lang w:val="en-GB"/>
        </w:rPr>
      </w:pPr>
      <w:bookmarkStart w:id="33" w:name="_jys7lou9ihua" w:colFirst="0" w:colLast="0"/>
      <w:bookmarkStart w:id="34" w:name="_Toc224435659"/>
      <w:bookmarkEnd w:id="33"/>
      <w:r w:rsidRPr="00CF0406">
        <w:rPr>
          <w:rFonts w:ascii="Arial" w:hAnsi="Arial" w:cs="Arial"/>
          <w:lang w:val="en-GB"/>
        </w:rPr>
        <w:t>3. Evaluation</w:t>
      </w:r>
      <w:bookmarkEnd w:id="34"/>
    </w:p>
    <w:p w14:paraId="0000001E" w14:textId="355A0C44" w:rsidR="009F7007" w:rsidRPr="00CF0406" w:rsidRDefault="00DE37D7">
      <w:pPr>
        <w:rPr>
          <w:rFonts w:ascii="Arial" w:hAnsi="Arial" w:cs="Arial"/>
          <w:lang w:val="en-GB"/>
        </w:rPr>
      </w:pPr>
      <w:r w:rsidRPr="00CF0406">
        <w:rPr>
          <w:rFonts w:ascii="Arial" w:hAnsi="Arial" w:cs="Arial"/>
          <w:lang w:val="en-GB"/>
        </w:rPr>
        <w:t xml:space="preserve">The possibility of relating the theoretical learning to organisational issues and challenges was one of the most important things in this module. The lectures on organisational culture, leadership, and employee motivation made me realise how HR strategies </w:t>
      </w:r>
      <w:r w:rsidRPr="00CF0406">
        <w:rPr>
          <w:rFonts w:ascii="Arial" w:hAnsi="Arial" w:cs="Arial"/>
          <w:lang w:val="en-GB"/>
        </w:rPr>
        <w:t xml:space="preserve">affect organisational effectiveness and the ability to innovate. The reflective learning tasks especially played an important role in assisting me in assessing my learning process. Reflective writing helps students to reflect upon their experience and see </w:t>
      </w:r>
      <w:r w:rsidRPr="00CF0406">
        <w:rPr>
          <w:rFonts w:ascii="Arial" w:hAnsi="Arial" w:cs="Arial"/>
          <w:lang w:val="en-GB"/>
        </w:rPr>
        <w:t xml:space="preserve">the ways to improve. As </w:t>
      </w:r>
      <w:proofErr w:type="spellStart"/>
      <w:r w:rsidRPr="00CF0406">
        <w:rPr>
          <w:rFonts w:ascii="Arial" w:hAnsi="Arial" w:cs="Arial"/>
          <w:lang w:val="en-GB"/>
        </w:rPr>
        <w:t>Ezezika</w:t>
      </w:r>
      <w:proofErr w:type="spellEnd"/>
      <w:r w:rsidRPr="00CF0406">
        <w:rPr>
          <w:rFonts w:ascii="Arial" w:hAnsi="Arial" w:cs="Arial"/>
          <w:lang w:val="en-GB"/>
        </w:rPr>
        <w:t xml:space="preserve"> and Johnston (2023) describe, reflective writing tasks are beneficial in improving learning outcomes because they allow students to relate theoretical knowledge to their experiences and professional ambitions. </w:t>
      </w:r>
      <w:r w:rsidR="009877E5" w:rsidRPr="00CF0406">
        <w:rPr>
          <w:rFonts w:ascii="Arial" w:hAnsi="Arial" w:cs="Arial"/>
          <w:lang w:val="en-GB"/>
        </w:rPr>
        <w:t>The reflective exercises helped me single out my strengths based on the recognition of skills that I cannot do without, including analytical thinking and communication skills, as well as weaknesses that I need to work on, especially relating HR theories to complex organisational scenarios.</w:t>
      </w:r>
    </w:p>
    <w:p w14:paraId="0000001F" w14:textId="77777777" w:rsidR="009F7007" w:rsidRPr="00CF0406" w:rsidRDefault="00DE37D7">
      <w:pPr>
        <w:pStyle w:val="Heading2"/>
        <w:rPr>
          <w:rFonts w:ascii="Arial" w:hAnsi="Arial" w:cs="Arial"/>
          <w:lang w:val="en-GB"/>
        </w:rPr>
      </w:pPr>
      <w:bookmarkStart w:id="35" w:name="_bg93zmdyr26a" w:colFirst="0" w:colLast="0"/>
      <w:bookmarkStart w:id="36" w:name="_Toc224435660"/>
      <w:bookmarkEnd w:id="35"/>
      <w:r w:rsidRPr="00CF0406">
        <w:rPr>
          <w:rFonts w:ascii="Arial" w:hAnsi="Arial" w:cs="Arial"/>
          <w:lang w:val="en-GB"/>
        </w:rPr>
        <w:t>4. Analysis</w:t>
      </w:r>
      <w:bookmarkEnd w:id="36"/>
    </w:p>
    <w:p w14:paraId="00000020" w14:textId="77777777" w:rsidR="009F7007" w:rsidRPr="00CF0406" w:rsidRDefault="00DE37D7">
      <w:pPr>
        <w:rPr>
          <w:rFonts w:ascii="Arial" w:hAnsi="Arial" w:cs="Arial"/>
          <w:lang w:val="en-GB"/>
        </w:rPr>
      </w:pPr>
      <w:r w:rsidRPr="00CF0406">
        <w:rPr>
          <w:rFonts w:ascii="Arial" w:hAnsi="Arial" w:cs="Arial"/>
          <w:lang w:val="en-GB"/>
        </w:rPr>
        <w:t>The reflection cycle taught by Gibbs and applied to my learning experience assisted me in comprehending the importance of structured reflection in helping me develop professionally on a constant basis. Reflective frameworks</w:t>
      </w:r>
      <w:r w:rsidRPr="00CF0406">
        <w:rPr>
          <w:rFonts w:ascii="Arial" w:hAnsi="Arial" w:cs="Arial"/>
          <w:lang w:val="en-GB"/>
        </w:rPr>
        <w:t xml:space="preserve"> take people through the steps of description, appraisal and enhancement so that they are able to learn new things through the experience and put lessons into inferring the future. </w:t>
      </w:r>
      <w:proofErr w:type="spellStart"/>
      <w:r w:rsidRPr="00CF0406">
        <w:rPr>
          <w:rFonts w:ascii="Arial" w:hAnsi="Arial" w:cs="Arial"/>
          <w:lang w:val="en-GB"/>
        </w:rPr>
        <w:t>Orsino</w:t>
      </w:r>
      <w:proofErr w:type="spellEnd"/>
      <w:r w:rsidRPr="00CF0406">
        <w:rPr>
          <w:rFonts w:ascii="Arial" w:hAnsi="Arial" w:cs="Arial"/>
          <w:lang w:val="en-GB"/>
        </w:rPr>
        <w:t>, Soto-</w:t>
      </w:r>
      <w:proofErr w:type="spellStart"/>
      <w:r w:rsidRPr="00CF0406">
        <w:rPr>
          <w:rFonts w:ascii="Arial" w:hAnsi="Arial" w:cs="Arial"/>
          <w:lang w:val="en-GB"/>
        </w:rPr>
        <w:t>Faundez</w:t>
      </w:r>
      <w:proofErr w:type="spellEnd"/>
      <w:r w:rsidRPr="00CF0406">
        <w:rPr>
          <w:rFonts w:ascii="Arial" w:hAnsi="Arial" w:cs="Arial"/>
          <w:lang w:val="en-GB"/>
        </w:rPr>
        <w:t xml:space="preserve">, and </w:t>
      </w:r>
      <w:proofErr w:type="spellStart"/>
      <w:r w:rsidRPr="00CF0406">
        <w:rPr>
          <w:rFonts w:ascii="Arial" w:hAnsi="Arial" w:cs="Arial"/>
          <w:lang w:val="en-GB"/>
        </w:rPr>
        <w:t>Taha</w:t>
      </w:r>
      <w:proofErr w:type="spellEnd"/>
      <w:r w:rsidRPr="00CF0406">
        <w:rPr>
          <w:rFonts w:ascii="Arial" w:hAnsi="Arial" w:cs="Arial"/>
          <w:lang w:val="en-GB"/>
        </w:rPr>
        <w:t xml:space="preserve"> (2026) identified structured reflection as a</w:t>
      </w:r>
      <w:r w:rsidRPr="00CF0406">
        <w:rPr>
          <w:rFonts w:ascii="Arial" w:hAnsi="Arial" w:cs="Arial"/>
          <w:lang w:val="en-GB"/>
        </w:rPr>
        <w:t xml:space="preserve"> strategy that is useful in promoting critical thinking and improving professional decision-making skills. One more valuable lesson I learned throughout the module is that self-directed learning is crucial to the process of innovation development and attit</w:t>
      </w:r>
      <w:r w:rsidRPr="00CF0406">
        <w:rPr>
          <w:rFonts w:ascii="Arial" w:hAnsi="Arial" w:cs="Arial"/>
          <w:lang w:val="en-GB"/>
        </w:rPr>
        <w:t>ude to growth. Employees in contemporary organisations are supposed to keep on acquiring new skills and adjusting according to the evolving technologies and organisational environments. Reflective learning motivates a person to discover his or her developm</w:t>
      </w:r>
      <w:r w:rsidRPr="00CF0406">
        <w:rPr>
          <w:rFonts w:ascii="Arial" w:hAnsi="Arial" w:cs="Arial"/>
          <w:lang w:val="en-GB"/>
        </w:rPr>
        <w:t xml:space="preserve">ent needs and develop a plan to improve continuously. Reflective learning and professional development can be supported with the help of digital learning tools as well. </w:t>
      </w:r>
      <w:proofErr w:type="spellStart"/>
      <w:r w:rsidRPr="00CF0406">
        <w:rPr>
          <w:rFonts w:ascii="Arial" w:hAnsi="Arial" w:cs="Arial"/>
          <w:lang w:val="en-GB"/>
        </w:rPr>
        <w:t>Zainuddin</w:t>
      </w:r>
      <w:proofErr w:type="spellEnd"/>
      <w:r w:rsidRPr="00CF0406">
        <w:rPr>
          <w:rFonts w:ascii="Arial" w:hAnsi="Arial" w:cs="Arial"/>
          <w:lang w:val="en-GB"/>
        </w:rPr>
        <w:t xml:space="preserve"> et al. (2026) show that online portfolios and e-portfolios enhance reflection</w:t>
      </w:r>
      <w:r w:rsidRPr="00CF0406">
        <w:rPr>
          <w:rFonts w:ascii="Arial" w:hAnsi="Arial" w:cs="Arial"/>
          <w:lang w:val="en-GB"/>
        </w:rPr>
        <w:t xml:space="preserve"> learning experience through enabling students to record the learning process, self-reflect, and build their professional identity. Such tools can assist people in </w:t>
      </w:r>
      <w:r w:rsidRPr="00CF0406">
        <w:rPr>
          <w:rFonts w:ascii="Arial" w:hAnsi="Arial" w:cs="Arial"/>
          <w:lang w:val="en-GB"/>
        </w:rPr>
        <w:lastRenderedPageBreak/>
        <w:t>monitoring their progress and establishing a good learning culture which is conducive to inn</w:t>
      </w:r>
      <w:r w:rsidRPr="00CF0406">
        <w:rPr>
          <w:rFonts w:ascii="Arial" w:hAnsi="Arial" w:cs="Arial"/>
          <w:lang w:val="en-GB"/>
        </w:rPr>
        <w:t xml:space="preserve">ovation and self-development. Reflective practice also enhances the ability to work well in any given environment. </w:t>
      </w:r>
      <w:proofErr w:type="spellStart"/>
      <w:proofErr w:type="gramStart"/>
      <w:r w:rsidRPr="00CF0406">
        <w:rPr>
          <w:rFonts w:ascii="Arial" w:hAnsi="Arial" w:cs="Arial"/>
          <w:lang w:val="en-GB"/>
        </w:rPr>
        <w:t>Soni</w:t>
      </w:r>
      <w:proofErr w:type="spellEnd"/>
      <w:r w:rsidRPr="00CF0406">
        <w:rPr>
          <w:rFonts w:ascii="Arial" w:hAnsi="Arial" w:cs="Arial"/>
          <w:lang w:val="en-GB"/>
        </w:rPr>
        <w:t xml:space="preserve">, Fong and </w:t>
      </w:r>
      <w:proofErr w:type="spellStart"/>
      <w:r w:rsidRPr="00CF0406">
        <w:rPr>
          <w:rFonts w:ascii="Arial" w:hAnsi="Arial" w:cs="Arial"/>
          <w:lang w:val="en-GB"/>
        </w:rPr>
        <w:t>Janda</w:t>
      </w:r>
      <w:proofErr w:type="spellEnd"/>
      <w:r w:rsidRPr="00CF0406">
        <w:rPr>
          <w:rFonts w:ascii="Arial" w:hAnsi="Arial" w:cs="Arial"/>
          <w:lang w:val="en-GB"/>
        </w:rPr>
        <w:t xml:space="preserve"> (2021) underline that reflective supervision allows professionals to get familiar with the various points of view and wo</w:t>
      </w:r>
      <w:r w:rsidRPr="00CF0406">
        <w:rPr>
          <w:rFonts w:ascii="Arial" w:hAnsi="Arial" w:cs="Arial"/>
          <w:lang w:val="en-GB"/>
        </w:rPr>
        <w:t>rk on the culturally responsive communication and collaboration skills.</w:t>
      </w:r>
      <w:proofErr w:type="gramEnd"/>
      <w:r w:rsidRPr="00CF0406">
        <w:rPr>
          <w:rFonts w:ascii="Arial" w:hAnsi="Arial" w:cs="Arial"/>
          <w:lang w:val="en-GB"/>
        </w:rPr>
        <w:t xml:space="preserve"> This is especially so in contemporary organisations, where employees of different cultural backgrounds operate in international teams.</w:t>
      </w:r>
    </w:p>
    <w:p w14:paraId="00000021" w14:textId="77777777" w:rsidR="009F7007" w:rsidRPr="00CF0406" w:rsidRDefault="00DE37D7">
      <w:pPr>
        <w:pStyle w:val="Heading2"/>
        <w:rPr>
          <w:rFonts w:ascii="Arial" w:hAnsi="Arial" w:cs="Arial"/>
          <w:lang w:val="en-GB"/>
        </w:rPr>
      </w:pPr>
      <w:bookmarkStart w:id="37" w:name="_qlb6b8w0vrh5" w:colFirst="0" w:colLast="0"/>
      <w:bookmarkStart w:id="38" w:name="_Toc224435661"/>
      <w:bookmarkEnd w:id="37"/>
      <w:r w:rsidRPr="00CF0406">
        <w:rPr>
          <w:rFonts w:ascii="Arial" w:hAnsi="Arial" w:cs="Arial"/>
          <w:lang w:val="en-GB"/>
        </w:rPr>
        <w:t>5. Conclusion</w:t>
      </w:r>
      <w:bookmarkEnd w:id="38"/>
    </w:p>
    <w:p w14:paraId="00000022" w14:textId="77777777" w:rsidR="009F7007" w:rsidRPr="00CF0406" w:rsidRDefault="00DE37D7">
      <w:pPr>
        <w:rPr>
          <w:rFonts w:ascii="Arial" w:hAnsi="Arial" w:cs="Arial"/>
          <w:lang w:val="en-GB"/>
        </w:rPr>
      </w:pPr>
      <w:r w:rsidRPr="00CF0406">
        <w:rPr>
          <w:rFonts w:ascii="Arial" w:hAnsi="Arial" w:cs="Arial"/>
          <w:lang w:val="en-GB"/>
        </w:rPr>
        <w:t>In general, the Human Capital Manag</w:t>
      </w:r>
      <w:r w:rsidRPr="00CF0406">
        <w:rPr>
          <w:rFonts w:ascii="Arial" w:hAnsi="Arial" w:cs="Arial"/>
          <w:lang w:val="en-GB"/>
        </w:rPr>
        <w:t>ement module has really enhanced my cognitive capabilities in relation to the strategic significance of human resource management in organisations. The module has brought out the correlation between organisational culture, employee engagement, and innovati</w:t>
      </w:r>
      <w:r w:rsidRPr="00CF0406">
        <w:rPr>
          <w:rFonts w:ascii="Arial" w:hAnsi="Arial" w:cs="Arial"/>
          <w:lang w:val="en-GB"/>
        </w:rPr>
        <w:t>on towards the success of an organisation. The reflexive learning practice allowed me to critically assess my learning experience and refer to the strategies of my personal and professional growth. Using the reflective cycle suggested by Gibbs, I managed t</w:t>
      </w:r>
      <w:r w:rsidRPr="00CF0406">
        <w:rPr>
          <w:rFonts w:ascii="Arial" w:hAnsi="Arial" w:cs="Arial"/>
          <w:lang w:val="en-GB"/>
        </w:rPr>
        <w:t>o gain a better insight into the application of theoretical knowledge to practical organisational issues and the role of constant reflection in lifelong learning.</w:t>
      </w:r>
    </w:p>
    <w:p w14:paraId="00000023" w14:textId="77777777" w:rsidR="009F7007" w:rsidRPr="00CF0406" w:rsidRDefault="00DE37D7">
      <w:pPr>
        <w:pStyle w:val="Heading2"/>
        <w:rPr>
          <w:rFonts w:ascii="Arial" w:hAnsi="Arial" w:cs="Arial"/>
          <w:lang w:val="en-GB"/>
        </w:rPr>
      </w:pPr>
      <w:bookmarkStart w:id="39" w:name="_ad9j5q8t3gzh" w:colFirst="0" w:colLast="0"/>
      <w:bookmarkStart w:id="40" w:name="_Toc224435662"/>
      <w:bookmarkEnd w:id="39"/>
      <w:r w:rsidRPr="00CF0406">
        <w:rPr>
          <w:rFonts w:ascii="Arial" w:hAnsi="Arial" w:cs="Arial"/>
          <w:lang w:val="en-GB"/>
        </w:rPr>
        <w:t>6. Action Plan: Staying Relevant in the Age of AI</w:t>
      </w:r>
      <w:bookmarkEnd w:id="40"/>
    </w:p>
    <w:p w14:paraId="00000024" w14:textId="77777777" w:rsidR="009F7007" w:rsidRPr="007F08E2" w:rsidRDefault="00DE37D7">
      <w:pPr>
        <w:rPr>
          <w:rFonts w:ascii="Arial" w:hAnsi="Arial" w:cs="Arial"/>
          <w:lang w:val="en-GB"/>
        </w:rPr>
      </w:pPr>
      <w:r w:rsidRPr="00CF0406">
        <w:rPr>
          <w:rFonts w:ascii="Arial" w:hAnsi="Arial" w:cs="Arial"/>
          <w:lang w:val="en-GB"/>
        </w:rPr>
        <w:t>Artificial intelligence is redefining the f</w:t>
      </w:r>
      <w:r w:rsidRPr="00CF0406">
        <w:rPr>
          <w:rFonts w:ascii="Arial" w:hAnsi="Arial" w:cs="Arial"/>
          <w:lang w:val="en-GB"/>
        </w:rPr>
        <w:t>unctions of numerous professionals because it automates many of the functions and enhances efficiency in organisations. With the further evolution of AI technologies, professionals are forced to keep up with them and run the risk of constantly enhancing th</w:t>
      </w:r>
      <w:r w:rsidRPr="00CF0406">
        <w:rPr>
          <w:rFonts w:ascii="Arial" w:hAnsi="Arial" w:cs="Arial"/>
          <w:lang w:val="en-GB"/>
        </w:rPr>
        <w:t>eir skills and knowledge. Instead of eliminating the human workers, AI will most probably help professionals to work more effectively. I intend to apply AI in my future job by utilising tools to aid in research, data analysis and decision-making. AI can be</w:t>
      </w:r>
      <w:r w:rsidRPr="00CF0406">
        <w:rPr>
          <w:rFonts w:ascii="Arial" w:hAnsi="Arial" w:cs="Arial"/>
          <w:lang w:val="en-GB"/>
        </w:rPr>
        <w:t xml:space="preserve"> used to analyse big data, discern trends and produce insights that can underlie organisational strategies. Nevertheless, human potentials like creativity, ethical judgement, emotional intelligence, and strategic thinking are still paramount since the skil</w:t>
      </w:r>
      <w:r w:rsidRPr="00CF0406">
        <w:rPr>
          <w:rFonts w:ascii="Arial" w:hAnsi="Arial" w:cs="Arial"/>
          <w:lang w:val="en-GB"/>
        </w:rPr>
        <w:t xml:space="preserve">ls can never be replicated by automated systems completely. In order to be relevant in an AI-driven work environment, I will emphasise lifelong learning, digital literacy, and strategic thinking. </w:t>
      </w:r>
      <w:proofErr w:type="gramStart"/>
      <w:r w:rsidRPr="00CF0406">
        <w:rPr>
          <w:rFonts w:ascii="Arial" w:hAnsi="Arial" w:cs="Arial"/>
          <w:lang w:val="en-GB"/>
        </w:rPr>
        <w:t>Taking part in professional development programmes and digit</w:t>
      </w:r>
      <w:r w:rsidRPr="00CF0406">
        <w:rPr>
          <w:rFonts w:ascii="Arial" w:hAnsi="Arial" w:cs="Arial"/>
          <w:lang w:val="en-GB"/>
        </w:rPr>
        <w:t>al learning platforms, as well as reflective learning, will assist me in adjusting to technological changes.</w:t>
      </w:r>
      <w:proofErr w:type="gramEnd"/>
      <w:r w:rsidRPr="00CF0406">
        <w:rPr>
          <w:rFonts w:ascii="Arial" w:hAnsi="Arial" w:cs="Arial"/>
          <w:lang w:val="en-GB"/>
        </w:rPr>
        <w:t xml:space="preserve"> Human creativity and critical thinking, coupled with the use of AI tools, </w:t>
      </w:r>
      <w:r w:rsidRPr="00CF0406">
        <w:rPr>
          <w:rFonts w:ascii="Arial" w:hAnsi="Arial" w:cs="Arial"/>
          <w:lang w:val="en-GB"/>
        </w:rPr>
        <w:lastRenderedPageBreak/>
        <w:t>would help professionals be more productive without losing human expertis</w:t>
      </w:r>
      <w:r w:rsidRPr="00CF0406">
        <w:rPr>
          <w:rFonts w:ascii="Arial" w:hAnsi="Arial" w:cs="Arial"/>
          <w:lang w:val="en-GB"/>
        </w:rPr>
        <w:t>e because technology assists and does not take over.</w:t>
      </w:r>
      <w:r w:rsidRPr="007F08E2">
        <w:rPr>
          <w:rFonts w:ascii="Arial" w:hAnsi="Arial" w:cs="Arial"/>
          <w:lang w:val="en-GB"/>
        </w:rPr>
        <w:br w:type="page"/>
      </w:r>
    </w:p>
    <w:p w14:paraId="00000025" w14:textId="77777777" w:rsidR="009F7007" w:rsidRPr="007F08E2" w:rsidRDefault="00DE37D7">
      <w:pPr>
        <w:pStyle w:val="Heading1"/>
        <w:rPr>
          <w:rFonts w:ascii="Arial" w:hAnsi="Arial" w:cs="Arial"/>
          <w:lang w:val="en-GB"/>
        </w:rPr>
      </w:pPr>
      <w:bookmarkStart w:id="41" w:name="_8b0ciai47m58" w:colFirst="0" w:colLast="0"/>
      <w:bookmarkStart w:id="42" w:name="_Toc224435663"/>
      <w:bookmarkEnd w:id="41"/>
      <w:r w:rsidRPr="007F08E2">
        <w:rPr>
          <w:rFonts w:ascii="Arial" w:hAnsi="Arial" w:cs="Arial"/>
          <w:lang w:val="en-GB"/>
        </w:rPr>
        <w:lastRenderedPageBreak/>
        <w:t>References</w:t>
      </w:r>
      <w:bookmarkEnd w:id="42"/>
    </w:p>
    <w:p w14:paraId="545A0063" w14:textId="77777777" w:rsidR="009877E5" w:rsidRPr="007F08E2" w:rsidRDefault="009877E5" w:rsidP="009877E5">
      <w:pPr>
        <w:spacing w:after="240"/>
        <w:rPr>
          <w:rFonts w:ascii="Arial" w:hAnsi="Arial" w:cs="Arial"/>
          <w:lang w:val="en-GB"/>
        </w:rPr>
      </w:pPr>
      <w:r w:rsidRPr="007F08E2">
        <w:rPr>
          <w:rFonts w:ascii="Arial" w:hAnsi="Arial" w:cs="Arial"/>
          <w:lang w:val="en-GB"/>
        </w:rPr>
        <w:t xml:space="preserve">Abbas, J. and Khan, S.M. (2023) “Green knowledge management and organizational green culture: an interaction for organizational green innovation and green performance,” </w:t>
      </w:r>
      <w:r w:rsidRPr="007F08E2">
        <w:rPr>
          <w:rFonts w:ascii="Arial" w:hAnsi="Arial" w:cs="Arial"/>
          <w:i/>
          <w:iCs/>
          <w:lang w:val="en-GB"/>
        </w:rPr>
        <w:t>Journal of knowledge management</w:t>
      </w:r>
      <w:r w:rsidRPr="007F08E2">
        <w:rPr>
          <w:rFonts w:ascii="Arial" w:hAnsi="Arial" w:cs="Arial"/>
          <w:lang w:val="en-GB"/>
        </w:rPr>
        <w:t xml:space="preserve">, 27(7), pp. 1852–1870. Available at: </w:t>
      </w:r>
      <w:hyperlink r:id="rId9" w:history="1">
        <w:r w:rsidRPr="007F08E2">
          <w:rPr>
            <w:rStyle w:val="Hyperlink"/>
            <w:rFonts w:ascii="Arial" w:hAnsi="Arial" w:cs="Arial"/>
            <w:lang w:val="en-GB"/>
          </w:rPr>
          <w:t>https://doi.org/10.1108/JKM-03-2022-0156</w:t>
        </w:r>
      </w:hyperlink>
      <w:r w:rsidRPr="007F08E2">
        <w:rPr>
          <w:rFonts w:ascii="Arial" w:hAnsi="Arial" w:cs="Arial"/>
          <w:lang w:val="en-GB"/>
        </w:rPr>
        <w:t>.</w:t>
      </w:r>
    </w:p>
    <w:p w14:paraId="1BCDB833"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Alsaqqa</w:t>
      </w:r>
      <w:proofErr w:type="spellEnd"/>
      <w:r w:rsidRPr="007F08E2">
        <w:rPr>
          <w:rFonts w:ascii="Arial" w:hAnsi="Arial" w:cs="Arial"/>
          <w:lang w:val="en-GB"/>
        </w:rPr>
        <w:t xml:space="preserve">, H.H. (2024) “Organizational Culture Relation </w:t>
      </w:r>
      <w:proofErr w:type="gramStart"/>
      <w:r w:rsidRPr="007F08E2">
        <w:rPr>
          <w:rFonts w:ascii="Arial" w:hAnsi="Arial" w:cs="Arial"/>
          <w:lang w:val="en-GB"/>
        </w:rPr>
        <w:t>With</w:t>
      </w:r>
      <w:proofErr w:type="gramEnd"/>
      <w:r w:rsidRPr="007F08E2">
        <w:rPr>
          <w:rFonts w:ascii="Arial" w:hAnsi="Arial" w:cs="Arial"/>
          <w:lang w:val="en-GB"/>
        </w:rPr>
        <w:t xml:space="preserve"> Innovation Comment on ‘Employee-Driven Innovation in Health Organizations: Insights From a Scoping Review,’” </w:t>
      </w:r>
      <w:r w:rsidRPr="007F08E2">
        <w:rPr>
          <w:rFonts w:ascii="Arial" w:hAnsi="Arial" w:cs="Arial"/>
          <w:i/>
          <w:iCs/>
          <w:lang w:val="en-GB"/>
        </w:rPr>
        <w:t>International journal of health policy and management</w:t>
      </w:r>
      <w:r w:rsidRPr="007F08E2">
        <w:rPr>
          <w:rFonts w:ascii="Arial" w:hAnsi="Arial" w:cs="Arial"/>
          <w:lang w:val="en-GB"/>
        </w:rPr>
        <w:t xml:space="preserve">, 13(1), p. 8583. Available at: </w:t>
      </w:r>
      <w:hyperlink r:id="rId10" w:history="1">
        <w:r w:rsidRPr="007F08E2">
          <w:rPr>
            <w:rStyle w:val="Hyperlink"/>
            <w:rFonts w:ascii="Arial" w:hAnsi="Arial" w:cs="Arial"/>
            <w:lang w:val="en-GB"/>
          </w:rPr>
          <w:t>https://doi.org/10.34172/ijhpm.8583</w:t>
        </w:r>
      </w:hyperlink>
      <w:r w:rsidRPr="007F08E2">
        <w:rPr>
          <w:rFonts w:ascii="Arial" w:hAnsi="Arial" w:cs="Arial"/>
          <w:lang w:val="en-GB"/>
        </w:rPr>
        <w:t>.</w:t>
      </w:r>
    </w:p>
    <w:p w14:paraId="3E203506" w14:textId="77777777" w:rsidR="009877E5" w:rsidRPr="007F08E2" w:rsidRDefault="009877E5" w:rsidP="009877E5">
      <w:pPr>
        <w:spacing w:after="240"/>
        <w:rPr>
          <w:rFonts w:ascii="Arial" w:hAnsi="Arial" w:cs="Arial"/>
          <w:lang w:val="en-GB"/>
        </w:rPr>
      </w:pPr>
      <w:r w:rsidRPr="007F08E2">
        <w:rPr>
          <w:rFonts w:ascii="Arial" w:hAnsi="Arial" w:cs="Arial"/>
          <w:lang w:val="en-GB"/>
        </w:rPr>
        <w:t xml:space="preserve">Brown, C. and Groves, J. (2021) </w:t>
      </w:r>
      <w:r w:rsidRPr="007F08E2">
        <w:rPr>
          <w:rFonts w:ascii="Arial" w:hAnsi="Arial" w:cs="Arial"/>
          <w:i/>
          <w:iCs/>
          <w:lang w:val="en-GB"/>
        </w:rPr>
        <w:t>Transforming newsrooms : connecting organizational culture, strategy, and innovation</w:t>
      </w:r>
      <w:r w:rsidRPr="007F08E2">
        <w:rPr>
          <w:rFonts w:ascii="Arial" w:hAnsi="Arial" w:cs="Arial"/>
          <w:lang w:val="en-GB"/>
        </w:rPr>
        <w:t xml:space="preserve">. </w:t>
      </w:r>
      <w:proofErr w:type="gramStart"/>
      <w:r w:rsidRPr="007F08E2">
        <w:rPr>
          <w:rFonts w:ascii="Arial" w:hAnsi="Arial" w:cs="Arial"/>
          <w:lang w:val="en-GB"/>
        </w:rPr>
        <w:t xml:space="preserve">1st ed. London ; </w:t>
      </w:r>
      <w:proofErr w:type="spellStart"/>
      <w:r w:rsidRPr="007F08E2">
        <w:rPr>
          <w:rFonts w:ascii="Arial" w:hAnsi="Arial" w:cs="Arial"/>
          <w:lang w:val="en-GB"/>
        </w:rPr>
        <w:t>Routledge</w:t>
      </w:r>
      <w:proofErr w:type="spellEnd"/>
      <w:r w:rsidRPr="007F08E2">
        <w:rPr>
          <w:rFonts w:ascii="Arial" w:hAnsi="Arial" w:cs="Arial"/>
          <w:lang w:val="en-GB"/>
        </w:rPr>
        <w:t>.</w:t>
      </w:r>
      <w:proofErr w:type="gramEnd"/>
    </w:p>
    <w:p w14:paraId="749EFF5E" w14:textId="77777777" w:rsidR="009877E5" w:rsidRPr="007F08E2" w:rsidRDefault="009877E5" w:rsidP="009877E5">
      <w:pPr>
        <w:spacing w:after="240"/>
        <w:rPr>
          <w:rFonts w:ascii="Arial" w:hAnsi="Arial" w:cs="Arial"/>
          <w:lang w:val="en-GB"/>
        </w:rPr>
      </w:pPr>
      <w:proofErr w:type="spellStart"/>
      <w:proofErr w:type="gramStart"/>
      <w:r w:rsidRPr="007F08E2">
        <w:rPr>
          <w:rFonts w:ascii="Arial" w:hAnsi="Arial" w:cs="Arial"/>
          <w:lang w:val="en-GB"/>
        </w:rPr>
        <w:t>Cocozza</w:t>
      </w:r>
      <w:proofErr w:type="spellEnd"/>
      <w:r w:rsidRPr="007F08E2">
        <w:rPr>
          <w:rFonts w:ascii="Arial" w:hAnsi="Arial" w:cs="Arial"/>
          <w:lang w:val="en-GB"/>
        </w:rPr>
        <w:t xml:space="preserve">, A. (2023) </w:t>
      </w:r>
      <w:r w:rsidRPr="007F08E2">
        <w:rPr>
          <w:rFonts w:ascii="Arial" w:hAnsi="Arial" w:cs="Arial"/>
          <w:i/>
          <w:iCs/>
          <w:lang w:val="en-GB"/>
        </w:rPr>
        <w:t>Understanding Organizational Culture : Innovation, Transparency, Leadership, Community</w:t>
      </w:r>
      <w:r w:rsidRPr="007F08E2">
        <w:rPr>
          <w:rFonts w:ascii="Arial" w:hAnsi="Arial" w:cs="Arial"/>
          <w:lang w:val="en-GB"/>
        </w:rPr>
        <w:t>.</w:t>
      </w:r>
      <w:proofErr w:type="gramEnd"/>
      <w:r w:rsidRPr="007F08E2">
        <w:rPr>
          <w:rFonts w:ascii="Arial" w:hAnsi="Arial" w:cs="Arial"/>
          <w:lang w:val="en-GB"/>
        </w:rPr>
        <w:t xml:space="preserve"> </w:t>
      </w:r>
      <w:proofErr w:type="gramStart"/>
      <w:r w:rsidRPr="007F08E2">
        <w:rPr>
          <w:rFonts w:ascii="Arial" w:hAnsi="Arial" w:cs="Arial"/>
          <w:lang w:val="en-GB"/>
        </w:rPr>
        <w:t>1st ed. 2023.</w:t>
      </w:r>
      <w:proofErr w:type="gramEnd"/>
      <w:r w:rsidRPr="007F08E2">
        <w:rPr>
          <w:rFonts w:ascii="Arial" w:hAnsi="Arial" w:cs="Arial"/>
          <w:lang w:val="en-GB"/>
        </w:rPr>
        <w:t xml:space="preserve"> Cham: Springer Nature Switzerland. Available at: </w:t>
      </w:r>
      <w:hyperlink r:id="rId11" w:history="1">
        <w:r w:rsidRPr="007F08E2">
          <w:rPr>
            <w:rStyle w:val="Hyperlink"/>
            <w:rFonts w:ascii="Arial" w:hAnsi="Arial" w:cs="Arial"/>
            <w:lang w:val="en-GB"/>
          </w:rPr>
          <w:t>https://doi.org/10.1007/978-3-031-43860-8</w:t>
        </w:r>
      </w:hyperlink>
      <w:r w:rsidRPr="007F08E2">
        <w:rPr>
          <w:rFonts w:ascii="Arial" w:hAnsi="Arial" w:cs="Arial"/>
          <w:lang w:val="en-GB"/>
        </w:rPr>
        <w:t>.</w:t>
      </w:r>
    </w:p>
    <w:p w14:paraId="12B7B156" w14:textId="77777777" w:rsidR="009877E5" w:rsidRPr="007F08E2" w:rsidRDefault="009877E5" w:rsidP="009877E5">
      <w:pPr>
        <w:spacing w:after="240"/>
        <w:rPr>
          <w:rFonts w:ascii="Arial" w:hAnsi="Arial" w:cs="Arial"/>
          <w:lang w:val="en-GB"/>
        </w:rPr>
      </w:pPr>
      <w:r w:rsidRPr="007F08E2">
        <w:rPr>
          <w:rFonts w:ascii="Arial" w:hAnsi="Arial" w:cs="Arial"/>
          <w:lang w:val="en-GB"/>
        </w:rPr>
        <w:t xml:space="preserve">El </w:t>
      </w:r>
      <w:proofErr w:type="spellStart"/>
      <w:r w:rsidRPr="007F08E2">
        <w:rPr>
          <w:rFonts w:ascii="Arial" w:hAnsi="Arial" w:cs="Arial"/>
          <w:lang w:val="en-GB"/>
        </w:rPr>
        <w:t>Zaatari</w:t>
      </w:r>
      <w:proofErr w:type="spellEnd"/>
      <w:r w:rsidRPr="007F08E2">
        <w:rPr>
          <w:rFonts w:ascii="Arial" w:hAnsi="Arial" w:cs="Arial"/>
          <w:lang w:val="en-GB"/>
        </w:rPr>
        <w:t xml:space="preserve">, W. and </w:t>
      </w:r>
      <w:proofErr w:type="spellStart"/>
      <w:r w:rsidRPr="007F08E2">
        <w:rPr>
          <w:rFonts w:ascii="Arial" w:hAnsi="Arial" w:cs="Arial"/>
          <w:lang w:val="en-GB"/>
        </w:rPr>
        <w:t>Maalouf</w:t>
      </w:r>
      <w:proofErr w:type="spellEnd"/>
      <w:r w:rsidRPr="007F08E2">
        <w:rPr>
          <w:rFonts w:ascii="Arial" w:hAnsi="Arial" w:cs="Arial"/>
          <w:lang w:val="en-GB"/>
        </w:rPr>
        <w:t xml:space="preserve">, I. (2025) “Exploring nursing students’ experiences of factors influencing reflective practice in clinical setting,” </w:t>
      </w:r>
      <w:r w:rsidRPr="007F08E2">
        <w:rPr>
          <w:rFonts w:ascii="Arial" w:hAnsi="Arial" w:cs="Arial"/>
          <w:i/>
          <w:iCs/>
          <w:lang w:val="en-GB"/>
        </w:rPr>
        <w:t>Learning &amp; teaching in higher education Gulf perspectives</w:t>
      </w:r>
      <w:r w:rsidRPr="007F08E2">
        <w:rPr>
          <w:rFonts w:ascii="Arial" w:hAnsi="Arial" w:cs="Arial"/>
          <w:lang w:val="en-GB"/>
        </w:rPr>
        <w:t xml:space="preserve">, 19(2), pp. 96–112. Available at: </w:t>
      </w:r>
      <w:hyperlink r:id="rId12" w:history="1">
        <w:r w:rsidRPr="007F08E2">
          <w:rPr>
            <w:rStyle w:val="Hyperlink"/>
            <w:rFonts w:ascii="Arial" w:hAnsi="Arial" w:cs="Arial"/>
            <w:lang w:val="en-GB"/>
          </w:rPr>
          <w:t>https://doi.org/10.1108/LTHE-03-2025-0019</w:t>
        </w:r>
      </w:hyperlink>
      <w:r w:rsidRPr="007F08E2">
        <w:rPr>
          <w:rFonts w:ascii="Arial" w:hAnsi="Arial" w:cs="Arial"/>
          <w:lang w:val="en-GB"/>
        </w:rPr>
        <w:t>.</w:t>
      </w:r>
    </w:p>
    <w:p w14:paraId="2C1AF135" w14:textId="77777777" w:rsidR="009877E5" w:rsidRPr="007F08E2" w:rsidRDefault="009877E5" w:rsidP="009877E5">
      <w:pPr>
        <w:spacing w:after="240"/>
        <w:rPr>
          <w:rFonts w:ascii="Arial" w:hAnsi="Arial" w:cs="Arial"/>
          <w:lang w:val="en-GB"/>
        </w:rPr>
      </w:pPr>
      <w:proofErr w:type="spellStart"/>
      <w:proofErr w:type="gramStart"/>
      <w:r w:rsidRPr="007F08E2">
        <w:rPr>
          <w:rFonts w:ascii="Arial" w:hAnsi="Arial" w:cs="Arial"/>
          <w:lang w:val="en-GB"/>
        </w:rPr>
        <w:t>Ezezika</w:t>
      </w:r>
      <w:proofErr w:type="spellEnd"/>
      <w:r w:rsidRPr="007F08E2">
        <w:rPr>
          <w:rFonts w:ascii="Arial" w:hAnsi="Arial" w:cs="Arial"/>
          <w:lang w:val="en-GB"/>
        </w:rPr>
        <w:t xml:space="preserve">, O. and Johnston, N. (2023) “Development and Implementation of a Reflective Writing Assignment for Undergraduate Students in a Large Public Health Biology Course,” </w:t>
      </w:r>
      <w:r w:rsidRPr="007F08E2">
        <w:rPr>
          <w:rFonts w:ascii="Arial" w:hAnsi="Arial" w:cs="Arial"/>
          <w:i/>
          <w:iCs/>
          <w:lang w:val="en-GB"/>
        </w:rPr>
        <w:t>Pedagogy in health promotion</w:t>
      </w:r>
      <w:r w:rsidRPr="007F08E2">
        <w:rPr>
          <w:rFonts w:ascii="Arial" w:hAnsi="Arial" w:cs="Arial"/>
          <w:lang w:val="en-GB"/>
        </w:rPr>
        <w:t>, 9(2), pp. 101–115.</w:t>
      </w:r>
      <w:proofErr w:type="gramEnd"/>
      <w:r w:rsidRPr="007F08E2">
        <w:rPr>
          <w:rFonts w:ascii="Arial" w:hAnsi="Arial" w:cs="Arial"/>
          <w:lang w:val="en-GB"/>
        </w:rPr>
        <w:t xml:space="preserve"> Available at: </w:t>
      </w:r>
      <w:hyperlink r:id="rId13" w:history="1">
        <w:r w:rsidRPr="007F08E2">
          <w:rPr>
            <w:rStyle w:val="Hyperlink"/>
            <w:rFonts w:ascii="Arial" w:hAnsi="Arial" w:cs="Arial"/>
            <w:lang w:val="en-GB"/>
          </w:rPr>
          <w:t>https://doi.org/10.1177/23733799211069993</w:t>
        </w:r>
      </w:hyperlink>
      <w:r w:rsidRPr="007F08E2">
        <w:rPr>
          <w:rFonts w:ascii="Arial" w:hAnsi="Arial" w:cs="Arial"/>
          <w:lang w:val="en-GB"/>
        </w:rPr>
        <w:t>.</w:t>
      </w:r>
    </w:p>
    <w:p w14:paraId="20A4443D"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Foroughi</w:t>
      </w:r>
      <w:proofErr w:type="spellEnd"/>
      <w:r w:rsidRPr="007F08E2">
        <w:rPr>
          <w:rFonts w:ascii="Arial" w:hAnsi="Arial" w:cs="Arial"/>
          <w:lang w:val="en-GB"/>
        </w:rPr>
        <w:t xml:space="preserve">, B. </w:t>
      </w:r>
      <w:r w:rsidRPr="007F08E2">
        <w:rPr>
          <w:rFonts w:ascii="Arial" w:hAnsi="Arial" w:cs="Arial"/>
          <w:i/>
          <w:iCs/>
          <w:lang w:val="en-GB"/>
        </w:rPr>
        <w:t>et al.</w:t>
      </w:r>
      <w:r w:rsidRPr="007F08E2">
        <w:rPr>
          <w:rFonts w:ascii="Arial" w:hAnsi="Arial" w:cs="Arial"/>
          <w:lang w:val="en-GB"/>
        </w:rPr>
        <w:t xml:space="preserve"> (2025) “Roles of big data analytics and organizational culture in developing innovation capabilities: a hybrid PLS</w:t>
      </w:r>
      <w:r w:rsidRPr="007F08E2">
        <w:rPr>
          <w:rFonts w:ascii="Cambria Math" w:hAnsi="Cambria Math" w:cs="Cambria Math"/>
          <w:lang w:val="en-GB"/>
        </w:rPr>
        <w:t>‐</w:t>
      </w:r>
      <w:proofErr w:type="spellStart"/>
      <w:r w:rsidRPr="007F08E2">
        <w:rPr>
          <w:rFonts w:ascii="Arial" w:hAnsi="Arial" w:cs="Arial"/>
          <w:lang w:val="en-GB"/>
        </w:rPr>
        <w:t>fsQCA</w:t>
      </w:r>
      <w:proofErr w:type="spellEnd"/>
      <w:r w:rsidRPr="007F08E2">
        <w:rPr>
          <w:rFonts w:ascii="Arial" w:hAnsi="Arial" w:cs="Arial"/>
          <w:lang w:val="en-GB"/>
        </w:rPr>
        <w:t xml:space="preserve"> approach,” </w:t>
      </w:r>
      <w:r w:rsidRPr="007F08E2">
        <w:rPr>
          <w:rFonts w:ascii="Arial" w:hAnsi="Arial" w:cs="Arial"/>
          <w:i/>
          <w:iCs/>
          <w:lang w:val="en-GB"/>
        </w:rPr>
        <w:t>R &amp; D management</w:t>
      </w:r>
      <w:r w:rsidRPr="007F08E2">
        <w:rPr>
          <w:rFonts w:ascii="Arial" w:hAnsi="Arial" w:cs="Arial"/>
          <w:lang w:val="en-GB"/>
        </w:rPr>
        <w:t xml:space="preserve">, 55(3), pp. 736–754. Available at: </w:t>
      </w:r>
      <w:hyperlink r:id="rId14" w:history="1">
        <w:r w:rsidRPr="007F08E2">
          <w:rPr>
            <w:rStyle w:val="Hyperlink"/>
            <w:rFonts w:ascii="Arial" w:hAnsi="Arial" w:cs="Arial"/>
            <w:lang w:val="en-GB"/>
          </w:rPr>
          <w:t>https://doi.org/10.1111/radm.12719</w:t>
        </w:r>
      </w:hyperlink>
      <w:r w:rsidRPr="007F08E2">
        <w:rPr>
          <w:rFonts w:ascii="Arial" w:hAnsi="Arial" w:cs="Arial"/>
          <w:lang w:val="en-GB"/>
        </w:rPr>
        <w:t>.</w:t>
      </w:r>
    </w:p>
    <w:p w14:paraId="58DAA4A9"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Hassani</w:t>
      </w:r>
      <w:proofErr w:type="spellEnd"/>
      <w:r w:rsidRPr="007F08E2">
        <w:rPr>
          <w:rFonts w:ascii="Arial" w:hAnsi="Arial" w:cs="Arial"/>
          <w:lang w:val="en-GB"/>
        </w:rPr>
        <w:t xml:space="preserve"> </w:t>
      </w:r>
      <w:proofErr w:type="spellStart"/>
      <w:r w:rsidRPr="007F08E2">
        <w:rPr>
          <w:rFonts w:ascii="Arial" w:hAnsi="Arial" w:cs="Arial"/>
          <w:lang w:val="en-GB"/>
        </w:rPr>
        <w:t>Nia</w:t>
      </w:r>
      <w:proofErr w:type="spellEnd"/>
      <w:r w:rsidRPr="007F08E2">
        <w:rPr>
          <w:rFonts w:ascii="Arial" w:hAnsi="Arial" w:cs="Arial"/>
          <w:lang w:val="en-GB"/>
        </w:rPr>
        <w:t xml:space="preserve">, N. </w:t>
      </w:r>
      <w:r w:rsidRPr="007F08E2">
        <w:rPr>
          <w:rFonts w:ascii="Arial" w:hAnsi="Arial" w:cs="Arial"/>
          <w:i/>
          <w:iCs/>
          <w:lang w:val="en-GB"/>
        </w:rPr>
        <w:t>et al.</w:t>
      </w:r>
      <w:r w:rsidRPr="007F08E2">
        <w:rPr>
          <w:rFonts w:ascii="Arial" w:hAnsi="Arial" w:cs="Arial"/>
          <w:lang w:val="en-GB"/>
        </w:rPr>
        <w:t xml:space="preserve"> (2025) “Structured reflective sessions enhance knowledge and clinical skills in operating room technology students: a Solomon four-group study,” </w:t>
      </w:r>
      <w:r w:rsidRPr="007F08E2">
        <w:rPr>
          <w:rFonts w:ascii="Arial" w:hAnsi="Arial" w:cs="Arial"/>
          <w:i/>
          <w:iCs/>
          <w:lang w:val="en-GB"/>
        </w:rPr>
        <w:t>BMC medical education</w:t>
      </w:r>
      <w:r w:rsidRPr="007F08E2">
        <w:rPr>
          <w:rFonts w:ascii="Arial" w:hAnsi="Arial" w:cs="Arial"/>
          <w:lang w:val="en-GB"/>
        </w:rPr>
        <w:t xml:space="preserve">, 26(1). Available at: </w:t>
      </w:r>
      <w:hyperlink r:id="rId15" w:history="1">
        <w:r w:rsidRPr="007F08E2">
          <w:rPr>
            <w:rStyle w:val="Hyperlink"/>
            <w:rFonts w:ascii="Arial" w:hAnsi="Arial" w:cs="Arial"/>
            <w:lang w:val="en-GB"/>
          </w:rPr>
          <w:t>https://doi.org/10.1186/s12909-025-08431-w</w:t>
        </w:r>
      </w:hyperlink>
      <w:r w:rsidRPr="007F08E2">
        <w:rPr>
          <w:rFonts w:ascii="Arial" w:hAnsi="Arial" w:cs="Arial"/>
          <w:lang w:val="en-GB"/>
        </w:rPr>
        <w:t>.</w:t>
      </w:r>
    </w:p>
    <w:p w14:paraId="56EBD2B1" w14:textId="77777777" w:rsidR="009877E5" w:rsidRPr="007F08E2" w:rsidRDefault="009877E5" w:rsidP="009877E5">
      <w:pPr>
        <w:spacing w:after="240"/>
        <w:rPr>
          <w:rFonts w:ascii="Arial" w:hAnsi="Arial" w:cs="Arial"/>
          <w:lang w:val="en-GB"/>
        </w:rPr>
      </w:pPr>
      <w:r w:rsidRPr="007F08E2">
        <w:rPr>
          <w:rFonts w:ascii="Arial" w:hAnsi="Arial" w:cs="Arial"/>
          <w:lang w:val="en-GB"/>
        </w:rPr>
        <w:lastRenderedPageBreak/>
        <w:t xml:space="preserve">Lam, L. </w:t>
      </w:r>
      <w:r w:rsidRPr="007F08E2">
        <w:rPr>
          <w:rFonts w:ascii="Arial" w:hAnsi="Arial" w:cs="Arial"/>
          <w:i/>
          <w:iCs/>
          <w:lang w:val="en-GB"/>
        </w:rPr>
        <w:t>et al.</w:t>
      </w:r>
      <w:r w:rsidRPr="007F08E2">
        <w:rPr>
          <w:rFonts w:ascii="Arial" w:hAnsi="Arial" w:cs="Arial"/>
          <w:lang w:val="en-GB"/>
        </w:rPr>
        <w:t xml:space="preserve"> (2021) “The relation among organizational culture, knowledge management, and innovation capability: Its implication for open innovation,” </w:t>
      </w:r>
      <w:r w:rsidRPr="007F08E2">
        <w:rPr>
          <w:rFonts w:ascii="Arial" w:hAnsi="Arial" w:cs="Arial"/>
          <w:i/>
          <w:iCs/>
          <w:lang w:val="en-GB"/>
        </w:rPr>
        <w:t>Journal of open innovation</w:t>
      </w:r>
      <w:r w:rsidRPr="007F08E2">
        <w:rPr>
          <w:rFonts w:ascii="Arial" w:hAnsi="Arial" w:cs="Arial"/>
          <w:lang w:val="en-GB"/>
        </w:rPr>
        <w:t xml:space="preserve">, 7(1). Available at: </w:t>
      </w:r>
      <w:hyperlink r:id="rId16" w:history="1">
        <w:r w:rsidRPr="007F08E2">
          <w:rPr>
            <w:rStyle w:val="Hyperlink"/>
            <w:rFonts w:ascii="Arial" w:hAnsi="Arial" w:cs="Arial"/>
            <w:lang w:val="en-GB"/>
          </w:rPr>
          <w:t>https://doi.org/10.3390/joitmc7010066</w:t>
        </w:r>
      </w:hyperlink>
      <w:r w:rsidRPr="007F08E2">
        <w:rPr>
          <w:rFonts w:ascii="Arial" w:hAnsi="Arial" w:cs="Arial"/>
          <w:lang w:val="en-GB"/>
        </w:rPr>
        <w:t>.</w:t>
      </w:r>
    </w:p>
    <w:p w14:paraId="2FFEAE56" w14:textId="77777777" w:rsidR="009877E5" w:rsidRPr="007F08E2" w:rsidRDefault="009877E5" w:rsidP="009877E5">
      <w:pPr>
        <w:spacing w:after="240"/>
        <w:rPr>
          <w:rFonts w:ascii="Arial" w:hAnsi="Arial" w:cs="Arial"/>
          <w:lang w:val="en-GB"/>
        </w:rPr>
      </w:pPr>
      <w:r w:rsidRPr="007F08E2">
        <w:rPr>
          <w:rFonts w:ascii="Arial" w:hAnsi="Arial" w:cs="Arial"/>
          <w:lang w:val="en-GB"/>
        </w:rPr>
        <w:t xml:space="preserve">Li, Z. and Liu, L. (2022) “The impact of organizational innovation culture on employees’ innovation </w:t>
      </w:r>
      <w:proofErr w:type="spellStart"/>
      <w:r w:rsidRPr="007F08E2">
        <w:rPr>
          <w:rFonts w:ascii="Arial" w:hAnsi="Arial" w:cs="Arial"/>
          <w:lang w:val="en-GB"/>
        </w:rPr>
        <w:t>behavior</w:t>
      </w:r>
      <w:proofErr w:type="spellEnd"/>
      <w:r w:rsidRPr="007F08E2">
        <w:rPr>
          <w:rFonts w:ascii="Arial" w:hAnsi="Arial" w:cs="Arial"/>
          <w:lang w:val="en-GB"/>
        </w:rPr>
        <w:t xml:space="preserve">,” </w:t>
      </w:r>
      <w:r w:rsidRPr="007F08E2">
        <w:rPr>
          <w:rFonts w:ascii="Arial" w:hAnsi="Arial" w:cs="Arial"/>
          <w:i/>
          <w:iCs/>
          <w:lang w:val="en-GB"/>
        </w:rPr>
        <w:t xml:space="preserve">Social </w:t>
      </w:r>
      <w:proofErr w:type="spellStart"/>
      <w:r w:rsidRPr="007F08E2">
        <w:rPr>
          <w:rFonts w:ascii="Arial" w:hAnsi="Arial" w:cs="Arial"/>
          <w:i/>
          <w:iCs/>
          <w:lang w:val="en-GB"/>
        </w:rPr>
        <w:t>behavior</w:t>
      </w:r>
      <w:proofErr w:type="spellEnd"/>
      <w:r w:rsidRPr="007F08E2">
        <w:rPr>
          <w:rFonts w:ascii="Arial" w:hAnsi="Arial" w:cs="Arial"/>
          <w:i/>
          <w:iCs/>
          <w:lang w:val="en-GB"/>
        </w:rPr>
        <w:t xml:space="preserve"> and personality</w:t>
      </w:r>
      <w:r w:rsidRPr="007F08E2">
        <w:rPr>
          <w:rFonts w:ascii="Arial" w:hAnsi="Arial" w:cs="Arial"/>
          <w:lang w:val="en-GB"/>
        </w:rPr>
        <w:t xml:space="preserve">, 50(12), pp. 1–10. Available at: </w:t>
      </w:r>
      <w:hyperlink r:id="rId17" w:history="1">
        <w:r w:rsidRPr="007F08E2">
          <w:rPr>
            <w:rStyle w:val="Hyperlink"/>
            <w:rFonts w:ascii="Arial" w:hAnsi="Arial" w:cs="Arial"/>
            <w:lang w:val="en-GB"/>
          </w:rPr>
          <w:t>https://doi.org/10.2224/sbp.11934</w:t>
        </w:r>
      </w:hyperlink>
      <w:r w:rsidRPr="007F08E2">
        <w:rPr>
          <w:rFonts w:ascii="Arial" w:hAnsi="Arial" w:cs="Arial"/>
          <w:lang w:val="en-GB"/>
        </w:rPr>
        <w:t>.</w:t>
      </w:r>
    </w:p>
    <w:p w14:paraId="5872F182"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Naveed</w:t>
      </w:r>
      <w:proofErr w:type="spellEnd"/>
      <w:r w:rsidRPr="007F08E2">
        <w:rPr>
          <w:rFonts w:ascii="Arial" w:hAnsi="Arial" w:cs="Arial"/>
          <w:lang w:val="en-GB"/>
        </w:rPr>
        <w:t xml:space="preserve">, R.T. </w:t>
      </w:r>
      <w:r w:rsidRPr="007F08E2">
        <w:rPr>
          <w:rFonts w:ascii="Arial" w:hAnsi="Arial" w:cs="Arial"/>
          <w:i/>
          <w:iCs/>
          <w:lang w:val="en-GB"/>
        </w:rPr>
        <w:t>et al.</w:t>
      </w:r>
      <w:r w:rsidRPr="007F08E2">
        <w:rPr>
          <w:rFonts w:ascii="Arial" w:hAnsi="Arial" w:cs="Arial"/>
          <w:lang w:val="en-GB"/>
        </w:rPr>
        <w:t xml:space="preserve"> (2022) “Do organizations really evolve? </w:t>
      </w:r>
      <w:proofErr w:type="gramStart"/>
      <w:r w:rsidRPr="007F08E2">
        <w:rPr>
          <w:rFonts w:ascii="Arial" w:hAnsi="Arial" w:cs="Arial"/>
          <w:lang w:val="en-GB"/>
        </w:rPr>
        <w:t xml:space="preserve">The critical link between organizational culture and organizational innovation toward organizational effectiveness: Pivotal role of organizational resistance,” </w:t>
      </w:r>
      <w:r w:rsidRPr="007F08E2">
        <w:rPr>
          <w:rFonts w:ascii="Arial" w:hAnsi="Arial" w:cs="Arial"/>
          <w:i/>
          <w:iCs/>
          <w:lang w:val="en-GB"/>
        </w:rPr>
        <w:t>Journal of innovation &amp; knowledge</w:t>
      </w:r>
      <w:r w:rsidRPr="007F08E2">
        <w:rPr>
          <w:rFonts w:ascii="Arial" w:hAnsi="Arial" w:cs="Arial"/>
          <w:lang w:val="en-GB"/>
        </w:rPr>
        <w:t>, 7(2).</w:t>
      </w:r>
      <w:proofErr w:type="gramEnd"/>
      <w:r w:rsidRPr="007F08E2">
        <w:rPr>
          <w:rFonts w:ascii="Arial" w:hAnsi="Arial" w:cs="Arial"/>
          <w:lang w:val="en-GB"/>
        </w:rPr>
        <w:t xml:space="preserve"> Available at: </w:t>
      </w:r>
      <w:hyperlink r:id="rId18" w:history="1">
        <w:r w:rsidRPr="007F08E2">
          <w:rPr>
            <w:rStyle w:val="Hyperlink"/>
            <w:rFonts w:ascii="Arial" w:hAnsi="Arial" w:cs="Arial"/>
            <w:lang w:val="en-GB"/>
          </w:rPr>
          <w:t>https://doi.org/10.1016/j.jik.2022.100178</w:t>
        </w:r>
      </w:hyperlink>
      <w:r w:rsidRPr="007F08E2">
        <w:rPr>
          <w:rFonts w:ascii="Arial" w:hAnsi="Arial" w:cs="Arial"/>
          <w:lang w:val="en-GB"/>
        </w:rPr>
        <w:t>.</w:t>
      </w:r>
    </w:p>
    <w:p w14:paraId="4CA7E104"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Orsini</w:t>
      </w:r>
      <w:proofErr w:type="spellEnd"/>
      <w:r w:rsidRPr="007F08E2">
        <w:rPr>
          <w:rFonts w:ascii="Arial" w:hAnsi="Arial" w:cs="Arial"/>
          <w:lang w:val="en-GB"/>
        </w:rPr>
        <w:t>, C., Soto</w:t>
      </w:r>
      <w:r w:rsidRPr="007F08E2">
        <w:rPr>
          <w:rFonts w:ascii="Cambria Math" w:hAnsi="Cambria Math" w:cs="Cambria Math"/>
          <w:lang w:val="en-GB"/>
        </w:rPr>
        <w:t>‐</w:t>
      </w:r>
      <w:proofErr w:type="spellStart"/>
      <w:r w:rsidRPr="007F08E2">
        <w:rPr>
          <w:rFonts w:ascii="Arial" w:hAnsi="Arial" w:cs="Arial"/>
          <w:lang w:val="en-GB"/>
        </w:rPr>
        <w:t>Faúndez</w:t>
      </w:r>
      <w:proofErr w:type="spellEnd"/>
      <w:r w:rsidRPr="007F08E2">
        <w:rPr>
          <w:rFonts w:ascii="Arial" w:hAnsi="Arial" w:cs="Arial"/>
          <w:lang w:val="en-GB"/>
        </w:rPr>
        <w:t xml:space="preserve">, N. and </w:t>
      </w:r>
      <w:proofErr w:type="spellStart"/>
      <w:r w:rsidRPr="007F08E2">
        <w:rPr>
          <w:rFonts w:ascii="Arial" w:hAnsi="Arial" w:cs="Arial"/>
          <w:lang w:val="en-GB"/>
        </w:rPr>
        <w:t>Taha</w:t>
      </w:r>
      <w:proofErr w:type="spellEnd"/>
      <w:r w:rsidRPr="007F08E2">
        <w:rPr>
          <w:rFonts w:ascii="Arial" w:hAnsi="Arial" w:cs="Arial"/>
          <w:lang w:val="en-GB"/>
        </w:rPr>
        <w:t xml:space="preserve">, M.H. (2026) “Structured Approaches to Reflection: Models and Applications for Clinical Educators’ Professional Development,” </w:t>
      </w:r>
      <w:r w:rsidRPr="007F08E2">
        <w:rPr>
          <w:rFonts w:ascii="Arial" w:hAnsi="Arial" w:cs="Arial"/>
          <w:i/>
          <w:iCs/>
          <w:lang w:val="en-GB"/>
        </w:rPr>
        <w:t>European journal of dental education</w:t>
      </w:r>
      <w:r w:rsidRPr="007F08E2">
        <w:rPr>
          <w:rFonts w:ascii="Arial" w:hAnsi="Arial" w:cs="Arial"/>
          <w:lang w:val="en-GB"/>
        </w:rPr>
        <w:t xml:space="preserve"> [Preprint]. Available at: </w:t>
      </w:r>
      <w:hyperlink r:id="rId19" w:history="1">
        <w:r w:rsidRPr="007F08E2">
          <w:rPr>
            <w:rStyle w:val="Hyperlink"/>
            <w:rFonts w:ascii="Arial" w:hAnsi="Arial" w:cs="Arial"/>
            <w:lang w:val="en-GB"/>
          </w:rPr>
          <w:t>https://doi.org/10.1111/eje.70092</w:t>
        </w:r>
      </w:hyperlink>
      <w:r w:rsidRPr="007F08E2">
        <w:rPr>
          <w:rFonts w:ascii="Arial" w:hAnsi="Arial" w:cs="Arial"/>
          <w:lang w:val="en-GB"/>
        </w:rPr>
        <w:t>.</w:t>
      </w:r>
    </w:p>
    <w:p w14:paraId="5F7039A8" w14:textId="77777777" w:rsidR="009877E5" w:rsidRPr="007F08E2" w:rsidRDefault="009877E5" w:rsidP="009877E5">
      <w:pPr>
        <w:spacing w:after="240"/>
        <w:rPr>
          <w:rFonts w:ascii="Arial" w:hAnsi="Arial" w:cs="Arial"/>
          <w:lang w:val="en-GB"/>
        </w:rPr>
      </w:pPr>
      <w:proofErr w:type="gramStart"/>
      <w:r w:rsidRPr="007F08E2">
        <w:rPr>
          <w:rFonts w:ascii="Arial" w:hAnsi="Arial" w:cs="Arial"/>
          <w:lang w:val="en-GB"/>
        </w:rPr>
        <w:t xml:space="preserve">Poole, M.S. and Van de </w:t>
      </w:r>
      <w:proofErr w:type="spellStart"/>
      <w:r w:rsidRPr="007F08E2">
        <w:rPr>
          <w:rFonts w:ascii="Arial" w:hAnsi="Arial" w:cs="Arial"/>
          <w:lang w:val="en-GB"/>
        </w:rPr>
        <w:t>Ven</w:t>
      </w:r>
      <w:proofErr w:type="spellEnd"/>
      <w:r w:rsidRPr="007F08E2">
        <w:rPr>
          <w:rFonts w:ascii="Arial" w:hAnsi="Arial" w:cs="Arial"/>
          <w:lang w:val="en-GB"/>
        </w:rPr>
        <w:t xml:space="preserve">, A.H. (eds.) (2021) </w:t>
      </w:r>
      <w:r w:rsidRPr="007F08E2">
        <w:rPr>
          <w:rFonts w:ascii="Arial" w:hAnsi="Arial" w:cs="Arial"/>
          <w:i/>
          <w:iCs/>
          <w:lang w:val="en-GB"/>
        </w:rPr>
        <w:t>The Oxford handbook of organizational change and innovation</w:t>
      </w:r>
      <w:r w:rsidRPr="007F08E2">
        <w:rPr>
          <w:rFonts w:ascii="Arial" w:hAnsi="Arial" w:cs="Arial"/>
          <w:lang w:val="en-GB"/>
        </w:rPr>
        <w:t>.</w:t>
      </w:r>
      <w:proofErr w:type="gramEnd"/>
      <w:r w:rsidRPr="007F08E2">
        <w:rPr>
          <w:rFonts w:ascii="Arial" w:hAnsi="Arial" w:cs="Arial"/>
          <w:lang w:val="en-GB"/>
        </w:rPr>
        <w:t xml:space="preserve"> </w:t>
      </w:r>
      <w:proofErr w:type="gramStart"/>
      <w:r w:rsidRPr="007F08E2">
        <w:rPr>
          <w:rFonts w:ascii="Arial" w:hAnsi="Arial" w:cs="Arial"/>
          <w:lang w:val="en-GB"/>
        </w:rPr>
        <w:t>Second edition.</w:t>
      </w:r>
      <w:proofErr w:type="gramEnd"/>
      <w:r w:rsidRPr="007F08E2">
        <w:rPr>
          <w:rFonts w:ascii="Arial" w:hAnsi="Arial" w:cs="Arial"/>
          <w:lang w:val="en-GB"/>
        </w:rPr>
        <w:t xml:space="preserve"> Oxford: Oxford University Press.</w:t>
      </w:r>
    </w:p>
    <w:p w14:paraId="6F60CEC0"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Shuliang</w:t>
      </w:r>
      <w:proofErr w:type="spellEnd"/>
      <w:r w:rsidRPr="007F08E2">
        <w:rPr>
          <w:rFonts w:ascii="Arial" w:hAnsi="Arial" w:cs="Arial"/>
          <w:lang w:val="en-GB"/>
        </w:rPr>
        <w:t xml:space="preserve">, Z., </w:t>
      </w:r>
      <w:proofErr w:type="spellStart"/>
      <w:r w:rsidRPr="007F08E2">
        <w:rPr>
          <w:rFonts w:ascii="Arial" w:hAnsi="Arial" w:cs="Arial"/>
          <w:lang w:val="en-GB"/>
        </w:rPr>
        <w:t>Rui</w:t>
      </w:r>
      <w:proofErr w:type="spellEnd"/>
      <w:r w:rsidRPr="007F08E2">
        <w:rPr>
          <w:rFonts w:ascii="Arial" w:hAnsi="Arial" w:cs="Arial"/>
          <w:lang w:val="en-GB"/>
        </w:rPr>
        <w:t xml:space="preserve">, Z. and </w:t>
      </w:r>
      <w:proofErr w:type="spellStart"/>
      <w:r w:rsidRPr="007F08E2">
        <w:rPr>
          <w:rFonts w:ascii="Arial" w:hAnsi="Arial" w:cs="Arial"/>
          <w:lang w:val="en-GB"/>
        </w:rPr>
        <w:t>Qingjun</w:t>
      </w:r>
      <w:proofErr w:type="spellEnd"/>
      <w:r w:rsidRPr="007F08E2">
        <w:rPr>
          <w:rFonts w:ascii="Arial" w:hAnsi="Arial" w:cs="Arial"/>
          <w:lang w:val="en-GB"/>
        </w:rPr>
        <w:t>, L. (2024) “How does organizational culture affect eco</w:t>
      </w:r>
      <w:r w:rsidRPr="007F08E2">
        <w:rPr>
          <w:rFonts w:ascii="Cambria Math" w:hAnsi="Cambria Math" w:cs="Cambria Math"/>
          <w:lang w:val="en-GB"/>
        </w:rPr>
        <w:t>‐</w:t>
      </w:r>
      <w:r w:rsidRPr="007F08E2">
        <w:rPr>
          <w:rFonts w:ascii="Arial" w:hAnsi="Arial" w:cs="Arial"/>
          <w:lang w:val="en-GB"/>
        </w:rPr>
        <w:t xml:space="preserve">innovation? </w:t>
      </w:r>
      <w:proofErr w:type="gramStart"/>
      <w:r w:rsidRPr="007F08E2">
        <w:rPr>
          <w:rFonts w:ascii="Arial" w:hAnsi="Arial" w:cs="Arial"/>
          <w:lang w:val="en-GB"/>
        </w:rPr>
        <w:t xml:space="preserve">Empirical evidence from the individual and organizational perspective,” </w:t>
      </w:r>
      <w:r w:rsidRPr="007F08E2">
        <w:rPr>
          <w:rFonts w:ascii="Arial" w:hAnsi="Arial" w:cs="Arial"/>
          <w:i/>
          <w:iCs/>
          <w:lang w:val="en-GB"/>
        </w:rPr>
        <w:t>Corporate social-responsibility and environmental management</w:t>
      </w:r>
      <w:r w:rsidRPr="007F08E2">
        <w:rPr>
          <w:rFonts w:ascii="Arial" w:hAnsi="Arial" w:cs="Arial"/>
          <w:lang w:val="en-GB"/>
        </w:rPr>
        <w:t>, 31(6), pp. 5466–5481.</w:t>
      </w:r>
      <w:proofErr w:type="gramEnd"/>
      <w:r w:rsidRPr="007F08E2">
        <w:rPr>
          <w:rFonts w:ascii="Arial" w:hAnsi="Arial" w:cs="Arial"/>
          <w:lang w:val="en-GB"/>
        </w:rPr>
        <w:t xml:space="preserve"> Available at: </w:t>
      </w:r>
      <w:hyperlink r:id="rId20" w:history="1">
        <w:r w:rsidRPr="007F08E2">
          <w:rPr>
            <w:rStyle w:val="Hyperlink"/>
            <w:rFonts w:ascii="Arial" w:hAnsi="Arial" w:cs="Arial"/>
            <w:lang w:val="en-GB"/>
          </w:rPr>
          <w:t>https://doi.org/10.1002/csr.2868</w:t>
        </w:r>
      </w:hyperlink>
      <w:r w:rsidRPr="007F08E2">
        <w:rPr>
          <w:rFonts w:ascii="Arial" w:hAnsi="Arial" w:cs="Arial"/>
          <w:lang w:val="en-GB"/>
        </w:rPr>
        <w:t>.</w:t>
      </w:r>
    </w:p>
    <w:p w14:paraId="6FE88B17"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t>Soni</w:t>
      </w:r>
      <w:proofErr w:type="spellEnd"/>
      <w:r w:rsidRPr="007F08E2">
        <w:rPr>
          <w:rFonts w:ascii="Arial" w:hAnsi="Arial" w:cs="Arial"/>
          <w:lang w:val="en-GB"/>
        </w:rPr>
        <w:t xml:space="preserve">, A., Fong, H. and </w:t>
      </w:r>
      <w:proofErr w:type="spellStart"/>
      <w:r w:rsidRPr="007F08E2">
        <w:rPr>
          <w:rFonts w:ascii="Arial" w:hAnsi="Arial" w:cs="Arial"/>
          <w:lang w:val="en-GB"/>
        </w:rPr>
        <w:t>Janda</w:t>
      </w:r>
      <w:proofErr w:type="spellEnd"/>
      <w:r w:rsidRPr="007F08E2">
        <w:rPr>
          <w:rFonts w:ascii="Arial" w:hAnsi="Arial" w:cs="Arial"/>
          <w:lang w:val="en-GB"/>
        </w:rPr>
        <w:t xml:space="preserve">, T. (2021) “Culturally responsive supervision: A reflective account on the value of acknowledging and working with difference within supervision,” </w:t>
      </w:r>
      <w:r w:rsidRPr="007F08E2">
        <w:rPr>
          <w:rFonts w:ascii="Arial" w:hAnsi="Arial" w:cs="Arial"/>
          <w:i/>
          <w:iCs/>
          <w:lang w:val="en-GB"/>
        </w:rPr>
        <w:t>Educational and child psychology</w:t>
      </w:r>
      <w:r w:rsidRPr="007F08E2">
        <w:rPr>
          <w:rFonts w:ascii="Arial" w:hAnsi="Arial" w:cs="Arial"/>
          <w:lang w:val="en-GB"/>
        </w:rPr>
        <w:t xml:space="preserve">, 38(4), pp. 24–34. Available at: </w:t>
      </w:r>
      <w:hyperlink r:id="rId21" w:history="1">
        <w:r w:rsidRPr="007F08E2">
          <w:rPr>
            <w:rStyle w:val="Hyperlink"/>
            <w:rFonts w:ascii="Arial" w:hAnsi="Arial" w:cs="Arial"/>
            <w:lang w:val="en-GB"/>
          </w:rPr>
          <w:t>https://doi.org/10.53841/bpsecp.2021.38.4.24</w:t>
        </w:r>
      </w:hyperlink>
      <w:r w:rsidRPr="007F08E2">
        <w:rPr>
          <w:rFonts w:ascii="Arial" w:hAnsi="Arial" w:cs="Arial"/>
          <w:lang w:val="en-GB"/>
        </w:rPr>
        <w:t>.</w:t>
      </w:r>
    </w:p>
    <w:p w14:paraId="472CEE69" w14:textId="77777777" w:rsidR="009877E5" w:rsidRPr="007F08E2" w:rsidRDefault="009877E5" w:rsidP="009877E5">
      <w:pPr>
        <w:spacing w:after="240"/>
        <w:rPr>
          <w:rFonts w:ascii="Arial" w:hAnsi="Arial" w:cs="Arial"/>
          <w:lang w:val="en-GB"/>
        </w:rPr>
      </w:pPr>
      <w:r w:rsidRPr="007F08E2">
        <w:rPr>
          <w:rFonts w:ascii="Arial" w:hAnsi="Arial" w:cs="Arial"/>
          <w:lang w:val="en-GB"/>
        </w:rPr>
        <w:t>Vargas-</w:t>
      </w:r>
      <w:proofErr w:type="spellStart"/>
      <w:r w:rsidRPr="007F08E2">
        <w:rPr>
          <w:rFonts w:ascii="Arial" w:hAnsi="Arial" w:cs="Arial"/>
          <w:lang w:val="en-GB"/>
        </w:rPr>
        <w:t>Halabi</w:t>
      </w:r>
      <w:proofErr w:type="spellEnd"/>
      <w:r w:rsidRPr="007F08E2">
        <w:rPr>
          <w:rFonts w:ascii="Arial" w:hAnsi="Arial" w:cs="Arial"/>
          <w:lang w:val="en-GB"/>
        </w:rPr>
        <w:t xml:space="preserve">, T. and </w:t>
      </w:r>
      <w:proofErr w:type="spellStart"/>
      <w:r w:rsidRPr="007F08E2">
        <w:rPr>
          <w:rFonts w:ascii="Arial" w:hAnsi="Arial" w:cs="Arial"/>
          <w:lang w:val="en-GB"/>
        </w:rPr>
        <w:t>Yagüe-Perales</w:t>
      </w:r>
      <w:proofErr w:type="spellEnd"/>
      <w:r w:rsidRPr="007F08E2">
        <w:rPr>
          <w:rFonts w:ascii="Arial" w:hAnsi="Arial" w:cs="Arial"/>
          <w:lang w:val="en-GB"/>
        </w:rPr>
        <w:t xml:space="preserve">, R.M. (2024) “Organizational culture and innovation: exploring the ‘black box,’” </w:t>
      </w:r>
      <w:r w:rsidRPr="007F08E2">
        <w:rPr>
          <w:rFonts w:ascii="Arial" w:hAnsi="Arial" w:cs="Arial"/>
          <w:i/>
          <w:iCs/>
          <w:lang w:val="en-GB"/>
        </w:rPr>
        <w:t>European journal of management and business economics</w:t>
      </w:r>
      <w:r w:rsidRPr="007F08E2">
        <w:rPr>
          <w:rFonts w:ascii="Arial" w:hAnsi="Arial" w:cs="Arial"/>
          <w:lang w:val="en-GB"/>
        </w:rPr>
        <w:t xml:space="preserve">, 33(2), pp. 174–194. Available at: </w:t>
      </w:r>
      <w:hyperlink r:id="rId22" w:history="1">
        <w:r w:rsidRPr="007F08E2">
          <w:rPr>
            <w:rStyle w:val="Hyperlink"/>
            <w:rFonts w:ascii="Arial" w:hAnsi="Arial" w:cs="Arial"/>
            <w:lang w:val="en-GB"/>
          </w:rPr>
          <w:t>https://doi.org/10.1108/EJMBE-07-2021-0203</w:t>
        </w:r>
      </w:hyperlink>
      <w:r w:rsidRPr="007F08E2">
        <w:rPr>
          <w:rFonts w:ascii="Arial" w:hAnsi="Arial" w:cs="Arial"/>
          <w:lang w:val="en-GB"/>
        </w:rPr>
        <w:t>.</w:t>
      </w:r>
    </w:p>
    <w:p w14:paraId="21C31221" w14:textId="77777777" w:rsidR="009877E5" w:rsidRPr="007F08E2" w:rsidRDefault="009877E5" w:rsidP="009877E5">
      <w:pPr>
        <w:spacing w:after="240"/>
        <w:rPr>
          <w:rFonts w:ascii="Arial" w:hAnsi="Arial" w:cs="Arial"/>
          <w:lang w:val="en-GB"/>
        </w:rPr>
      </w:pPr>
      <w:proofErr w:type="spellStart"/>
      <w:r w:rsidRPr="007F08E2">
        <w:rPr>
          <w:rFonts w:ascii="Arial" w:hAnsi="Arial" w:cs="Arial"/>
          <w:lang w:val="en-GB"/>
        </w:rPr>
        <w:lastRenderedPageBreak/>
        <w:t>Xie</w:t>
      </w:r>
      <w:proofErr w:type="spellEnd"/>
      <w:r w:rsidRPr="007F08E2">
        <w:rPr>
          <w:rFonts w:ascii="Arial" w:hAnsi="Arial" w:cs="Arial"/>
          <w:lang w:val="en-GB"/>
        </w:rPr>
        <w:t xml:space="preserve">, X. </w:t>
      </w:r>
      <w:r w:rsidRPr="007F08E2">
        <w:rPr>
          <w:rFonts w:ascii="Arial" w:hAnsi="Arial" w:cs="Arial"/>
          <w:i/>
          <w:iCs/>
          <w:lang w:val="en-GB"/>
        </w:rPr>
        <w:t>et al.</w:t>
      </w:r>
      <w:r w:rsidRPr="007F08E2">
        <w:rPr>
          <w:rFonts w:ascii="Arial" w:hAnsi="Arial" w:cs="Arial"/>
          <w:lang w:val="en-GB"/>
        </w:rPr>
        <w:t xml:space="preserve"> (2021) “Organizational innovation culture and firms’ new product performance in two emerging markets: The moderating effects of institutional environments and organizational cohesion,” </w:t>
      </w:r>
      <w:r w:rsidRPr="007F08E2">
        <w:rPr>
          <w:rFonts w:ascii="Arial" w:hAnsi="Arial" w:cs="Arial"/>
          <w:i/>
          <w:iCs/>
          <w:lang w:val="en-GB"/>
        </w:rPr>
        <w:t>Journal of management &amp; organization</w:t>
      </w:r>
      <w:r w:rsidRPr="007F08E2">
        <w:rPr>
          <w:rFonts w:ascii="Arial" w:hAnsi="Arial" w:cs="Arial"/>
          <w:lang w:val="en-GB"/>
        </w:rPr>
        <w:t xml:space="preserve">, 27(5), pp. 972–991. Available at: </w:t>
      </w:r>
      <w:hyperlink r:id="rId23" w:history="1">
        <w:r w:rsidRPr="007F08E2">
          <w:rPr>
            <w:rStyle w:val="Hyperlink"/>
            <w:rFonts w:ascii="Arial" w:hAnsi="Arial" w:cs="Arial"/>
            <w:lang w:val="en-GB"/>
          </w:rPr>
          <w:t>https://doi.org/10.1017/jmo.2019.8</w:t>
        </w:r>
      </w:hyperlink>
      <w:r w:rsidRPr="007F08E2">
        <w:rPr>
          <w:rFonts w:ascii="Arial" w:hAnsi="Arial" w:cs="Arial"/>
          <w:lang w:val="en-GB"/>
        </w:rPr>
        <w:t>.</w:t>
      </w:r>
    </w:p>
    <w:p w14:paraId="00000028" w14:textId="34A850C6" w:rsidR="009F7007" w:rsidRPr="007F08E2" w:rsidRDefault="009877E5" w:rsidP="009877E5">
      <w:pPr>
        <w:spacing w:after="240"/>
        <w:rPr>
          <w:rFonts w:ascii="Arial" w:hAnsi="Arial" w:cs="Arial"/>
          <w:lang w:val="en-GB"/>
        </w:rPr>
      </w:pPr>
      <w:proofErr w:type="spellStart"/>
      <w:r w:rsidRPr="007F08E2">
        <w:rPr>
          <w:rFonts w:ascii="Arial" w:hAnsi="Arial" w:cs="Arial"/>
          <w:lang w:val="en-GB"/>
        </w:rPr>
        <w:t>Zainuddin</w:t>
      </w:r>
      <w:proofErr w:type="spellEnd"/>
      <w:r w:rsidRPr="007F08E2">
        <w:rPr>
          <w:rFonts w:ascii="Arial" w:hAnsi="Arial" w:cs="Arial"/>
          <w:lang w:val="en-GB"/>
        </w:rPr>
        <w:t xml:space="preserve">, Z. </w:t>
      </w:r>
      <w:r w:rsidRPr="007F08E2">
        <w:rPr>
          <w:rFonts w:ascii="Arial" w:hAnsi="Arial" w:cs="Arial"/>
          <w:i/>
          <w:iCs/>
          <w:lang w:val="en-GB"/>
        </w:rPr>
        <w:t>et al.</w:t>
      </w:r>
      <w:r w:rsidRPr="007F08E2">
        <w:rPr>
          <w:rFonts w:ascii="Arial" w:hAnsi="Arial" w:cs="Arial"/>
          <w:lang w:val="en-GB"/>
        </w:rPr>
        <w:t xml:space="preserve"> (2026) “E-portfolios as authentic assessment in pre-service teacher education: enhancing reflection, professional identity, and digital preparedness,” </w:t>
      </w:r>
      <w:r w:rsidRPr="007F08E2">
        <w:rPr>
          <w:rFonts w:ascii="Arial" w:hAnsi="Arial" w:cs="Arial"/>
          <w:i/>
          <w:iCs/>
          <w:lang w:val="en-GB"/>
        </w:rPr>
        <w:t>Education and information technologies</w:t>
      </w:r>
      <w:r w:rsidRPr="007F08E2">
        <w:rPr>
          <w:rFonts w:ascii="Arial" w:hAnsi="Arial" w:cs="Arial"/>
          <w:lang w:val="en-GB"/>
        </w:rPr>
        <w:t xml:space="preserve"> [Preprint]. Available at: </w:t>
      </w:r>
      <w:hyperlink r:id="rId24" w:history="1">
        <w:r w:rsidRPr="007F08E2">
          <w:rPr>
            <w:rStyle w:val="Hyperlink"/>
            <w:rFonts w:ascii="Arial" w:hAnsi="Arial" w:cs="Arial"/>
            <w:lang w:val="en-GB"/>
          </w:rPr>
          <w:t>https://doi.org/10.1007/s10639-025-13869-y</w:t>
        </w:r>
      </w:hyperlink>
      <w:r w:rsidRPr="007F08E2">
        <w:rPr>
          <w:rFonts w:ascii="Arial" w:hAnsi="Arial" w:cs="Arial"/>
          <w:lang w:val="en-GB"/>
        </w:rPr>
        <w:t>.</w:t>
      </w:r>
    </w:p>
    <w:sectPr w:rsidR="009F7007" w:rsidRPr="007F08E2" w:rsidSect="00BA585B">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1CB6D1" w14:textId="77777777" w:rsidR="00DE37D7" w:rsidRDefault="00DE37D7" w:rsidP="009877E5">
      <w:pPr>
        <w:spacing w:line="240" w:lineRule="auto"/>
      </w:pPr>
      <w:r>
        <w:separator/>
      </w:r>
    </w:p>
  </w:endnote>
  <w:endnote w:type="continuationSeparator" w:id="0">
    <w:p w14:paraId="02DA5466" w14:textId="77777777" w:rsidR="00DE37D7" w:rsidRDefault="00DE37D7" w:rsidP="009877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D46353B-6994-4BC5-85FA-DEB93AA0F5CD}"/>
    <w:embedBold r:id="rId2" w:fontKey="{006B2392-404F-4438-A703-9CF955B23D48}"/>
  </w:font>
  <w:font w:name="Shruti">
    <w:panose1 w:val="020B0502040204020203"/>
    <w:charset w:val="00"/>
    <w:family w:val="swiss"/>
    <w:pitch w:val="variable"/>
    <w:sig w:usb0="00040003" w:usb1="00000000" w:usb2="00000000" w:usb3="00000000" w:csb0="00000001" w:csb1="00000000"/>
    <w:embedRegular r:id="rId3" w:fontKey="{DA5EEE83-E518-40B0-9A87-726DFEDDF33B}"/>
    <w:embedBold r:id="rId4" w:fontKey="{59F678C0-7D66-4432-A9BB-5A9494C1AE9D}"/>
  </w:font>
  <w:font w:name="Cambria">
    <w:panose1 w:val="02040503050406030204"/>
    <w:charset w:val="00"/>
    <w:family w:val="roman"/>
    <w:pitch w:val="variable"/>
    <w:sig w:usb0="E00006FF" w:usb1="420024FF" w:usb2="02000000" w:usb3="00000000" w:csb0="0000019F" w:csb1="00000000"/>
    <w:embedRegular r:id="rId5" w:fontKey="{51EAFD9F-5F49-4847-82EB-0BD2F0AAA118}"/>
    <w:embedBold r:id="rId6" w:fontKey="{39D4E572-95A9-44F0-A33B-3AB832B177A3}"/>
    <w:embedBoldItalic r:id="rId7" w:fontKey="{EBFE1D63-1E3B-463B-A031-8D12FD3F39CD}"/>
  </w:font>
  <w:font w:name="Tahoma">
    <w:panose1 w:val="020B0604030504040204"/>
    <w:charset w:val="00"/>
    <w:family w:val="swiss"/>
    <w:pitch w:val="variable"/>
    <w:sig w:usb0="E1002EFF" w:usb1="C000605B" w:usb2="00000029" w:usb3="00000000" w:csb0="000101FF" w:csb1="00000000"/>
    <w:embedRegular r:id="rId8" w:fontKey="{71F9A41A-AC54-42D5-BBFC-80803A206DAB}"/>
  </w:font>
  <w:font w:name="Cambria Math">
    <w:panose1 w:val="02040503050406030204"/>
    <w:charset w:val="00"/>
    <w:family w:val="roman"/>
    <w:pitch w:val="variable"/>
    <w:sig w:usb0="E00006FF" w:usb1="420024FF" w:usb2="02000000" w:usb3="00000000" w:csb0="0000019F" w:csb1="00000000"/>
    <w:embedRegular r:id="rId9" w:fontKey="{5549EEC5-B012-4AD6-830A-17521529645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766312727"/>
      <w:docPartObj>
        <w:docPartGallery w:val="Page Numbers (Bottom of Page)"/>
        <w:docPartUnique/>
      </w:docPartObj>
    </w:sdtPr>
    <w:sdtEndPr>
      <w:rPr>
        <w:rStyle w:val="PageNumber"/>
      </w:rPr>
    </w:sdtEndPr>
    <w:sdtContent>
      <w:p w14:paraId="2C110E28" w14:textId="5E75D2ED" w:rsidR="009877E5" w:rsidRDefault="009877E5"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6ED149" w14:textId="77777777" w:rsidR="009877E5" w:rsidRDefault="009877E5" w:rsidP="009877E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27095014"/>
      <w:docPartObj>
        <w:docPartGallery w:val="Page Numbers (Bottom of Page)"/>
        <w:docPartUnique/>
      </w:docPartObj>
    </w:sdtPr>
    <w:sdtEndPr>
      <w:rPr>
        <w:rStyle w:val="PageNumber"/>
      </w:rPr>
    </w:sdtEndPr>
    <w:sdtContent>
      <w:p w14:paraId="55973B31" w14:textId="7327EA3B" w:rsidR="009877E5" w:rsidRDefault="009877E5"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C0D51">
          <w:rPr>
            <w:rStyle w:val="PageNumber"/>
            <w:noProof/>
          </w:rPr>
          <w:t>14</w:t>
        </w:r>
        <w:r>
          <w:rPr>
            <w:rStyle w:val="PageNumber"/>
          </w:rPr>
          <w:fldChar w:fldCharType="end"/>
        </w:r>
      </w:p>
    </w:sdtContent>
  </w:sdt>
  <w:p w14:paraId="66169AA2" w14:textId="77777777" w:rsidR="009877E5" w:rsidRDefault="009877E5" w:rsidP="009877E5">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D51051" w14:textId="77777777" w:rsidR="001B2CB9" w:rsidRDefault="001B2C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8D1580" w14:textId="77777777" w:rsidR="00DE37D7" w:rsidRDefault="00DE37D7" w:rsidP="009877E5">
      <w:pPr>
        <w:spacing w:line="240" w:lineRule="auto"/>
      </w:pPr>
      <w:r>
        <w:separator/>
      </w:r>
    </w:p>
  </w:footnote>
  <w:footnote w:type="continuationSeparator" w:id="0">
    <w:p w14:paraId="165CAF0A" w14:textId="77777777" w:rsidR="00DE37D7" w:rsidRDefault="00DE37D7" w:rsidP="009877E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942B0B" w14:textId="77777777" w:rsidR="009877E5" w:rsidRDefault="009877E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D0E96F" w14:textId="77777777" w:rsidR="009877E5" w:rsidRDefault="009877E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21A4EE" w14:textId="77777777" w:rsidR="009877E5" w:rsidRDefault="009877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7007"/>
    <w:rsid w:val="00153168"/>
    <w:rsid w:val="001B2CB9"/>
    <w:rsid w:val="001C0D51"/>
    <w:rsid w:val="005533F9"/>
    <w:rsid w:val="005C0B6B"/>
    <w:rsid w:val="005C1664"/>
    <w:rsid w:val="005F5532"/>
    <w:rsid w:val="007F08E2"/>
    <w:rsid w:val="00945405"/>
    <w:rsid w:val="009877E5"/>
    <w:rsid w:val="009F7007"/>
    <w:rsid w:val="00BA585B"/>
    <w:rsid w:val="00C943BD"/>
    <w:rsid w:val="00CE6111"/>
    <w:rsid w:val="00CF0406"/>
    <w:rsid w:val="00D04DB4"/>
    <w:rsid w:val="00D84080"/>
    <w:rsid w:val="00DE37D7"/>
    <w:rsid w:val="00ED0D9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1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877E5"/>
    <w:pPr>
      <w:tabs>
        <w:tab w:val="center" w:pos="4680"/>
        <w:tab w:val="right" w:pos="9360"/>
      </w:tabs>
      <w:spacing w:line="240" w:lineRule="auto"/>
    </w:pPr>
  </w:style>
  <w:style w:type="character" w:customStyle="1" w:styleId="HeaderChar">
    <w:name w:val="Header Char"/>
    <w:basedOn w:val="DefaultParagraphFont"/>
    <w:link w:val="Header"/>
    <w:uiPriority w:val="99"/>
    <w:rsid w:val="009877E5"/>
  </w:style>
  <w:style w:type="paragraph" w:styleId="Footer">
    <w:name w:val="footer"/>
    <w:basedOn w:val="Normal"/>
    <w:link w:val="FooterChar"/>
    <w:uiPriority w:val="99"/>
    <w:unhideWhenUsed/>
    <w:rsid w:val="009877E5"/>
    <w:pPr>
      <w:tabs>
        <w:tab w:val="center" w:pos="4680"/>
        <w:tab w:val="right" w:pos="9360"/>
      </w:tabs>
      <w:spacing w:line="240" w:lineRule="auto"/>
    </w:pPr>
  </w:style>
  <w:style w:type="character" w:customStyle="1" w:styleId="FooterChar">
    <w:name w:val="Footer Char"/>
    <w:basedOn w:val="DefaultParagraphFont"/>
    <w:link w:val="Footer"/>
    <w:uiPriority w:val="99"/>
    <w:rsid w:val="009877E5"/>
  </w:style>
  <w:style w:type="character" w:styleId="Hyperlink">
    <w:name w:val="Hyperlink"/>
    <w:basedOn w:val="DefaultParagraphFont"/>
    <w:uiPriority w:val="99"/>
    <w:unhideWhenUsed/>
    <w:rsid w:val="009877E5"/>
    <w:rPr>
      <w:color w:val="0000FF" w:themeColor="hyperlink"/>
      <w:u w:val="single"/>
    </w:rPr>
  </w:style>
  <w:style w:type="character" w:styleId="PageNumber">
    <w:name w:val="page number"/>
    <w:basedOn w:val="DefaultParagraphFont"/>
    <w:uiPriority w:val="99"/>
    <w:semiHidden/>
    <w:unhideWhenUsed/>
    <w:rsid w:val="009877E5"/>
  </w:style>
  <w:style w:type="paragraph" w:styleId="TOCHeading">
    <w:name w:val="TOC Heading"/>
    <w:basedOn w:val="Heading1"/>
    <w:next w:val="Normal"/>
    <w:uiPriority w:val="39"/>
    <w:unhideWhenUsed/>
    <w:qFormat/>
    <w:rsid w:val="00BA585B"/>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BA585B"/>
    <w:pPr>
      <w:spacing w:before="120"/>
      <w:jc w:val="left"/>
    </w:pPr>
    <w:rPr>
      <w:rFonts w:asciiTheme="minorHAnsi" w:hAnsiTheme="minorHAnsi"/>
      <w:b/>
      <w:bCs/>
      <w:i/>
      <w:iCs/>
    </w:rPr>
  </w:style>
  <w:style w:type="paragraph" w:styleId="TOC2">
    <w:name w:val="toc 2"/>
    <w:basedOn w:val="Normal"/>
    <w:next w:val="Normal"/>
    <w:autoRedefine/>
    <w:uiPriority w:val="39"/>
    <w:unhideWhenUsed/>
    <w:rsid w:val="00BA585B"/>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BA585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BA585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BA585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BA585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BA585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BA585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BA585B"/>
    <w:pPr>
      <w:ind w:left="1920"/>
      <w:jc w:val="left"/>
    </w:pPr>
    <w:rPr>
      <w:rFonts w:asciiTheme="minorHAnsi" w:hAnsiTheme="minorHAnsi"/>
      <w:sz w:val="20"/>
      <w:szCs w:val="20"/>
    </w:rPr>
  </w:style>
  <w:style w:type="table" w:styleId="TableGrid">
    <w:name w:val="Table Grid"/>
    <w:basedOn w:val="TableNormal"/>
    <w:uiPriority w:val="39"/>
    <w:rsid w:val="007F08E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C0D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D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877E5"/>
    <w:pPr>
      <w:tabs>
        <w:tab w:val="center" w:pos="4680"/>
        <w:tab w:val="right" w:pos="9360"/>
      </w:tabs>
      <w:spacing w:line="240" w:lineRule="auto"/>
    </w:pPr>
  </w:style>
  <w:style w:type="character" w:customStyle="1" w:styleId="HeaderChar">
    <w:name w:val="Header Char"/>
    <w:basedOn w:val="DefaultParagraphFont"/>
    <w:link w:val="Header"/>
    <w:uiPriority w:val="99"/>
    <w:rsid w:val="009877E5"/>
  </w:style>
  <w:style w:type="paragraph" w:styleId="Footer">
    <w:name w:val="footer"/>
    <w:basedOn w:val="Normal"/>
    <w:link w:val="FooterChar"/>
    <w:uiPriority w:val="99"/>
    <w:unhideWhenUsed/>
    <w:rsid w:val="009877E5"/>
    <w:pPr>
      <w:tabs>
        <w:tab w:val="center" w:pos="4680"/>
        <w:tab w:val="right" w:pos="9360"/>
      </w:tabs>
      <w:spacing w:line="240" w:lineRule="auto"/>
    </w:pPr>
  </w:style>
  <w:style w:type="character" w:customStyle="1" w:styleId="FooterChar">
    <w:name w:val="Footer Char"/>
    <w:basedOn w:val="DefaultParagraphFont"/>
    <w:link w:val="Footer"/>
    <w:uiPriority w:val="99"/>
    <w:rsid w:val="009877E5"/>
  </w:style>
  <w:style w:type="character" w:styleId="Hyperlink">
    <w:name w:val="Hyperlink"/>
    <w:basedOn w:val="DefaultParagraphFont"/>
    <w:uiPriority w:val="99"/>
    <w:unhideWhenUsed/>
    <w:rsid w:val="009877E5"/>
    <w:rPr>
      <w:color w:val="0000FF" w:themeColor="hyperlink"/>
      <w:u w:val="single"/>
    </w:rPr>
  </w:style>
  <w:style w:type="character" w:styleId="PageNumber">
    <w:name w:val="page number"/>
    <w:basedOn w:val="DefaultParagraphFont"/>
    <w:uiPriority w:val="99"/>
    <w:semiHidden/>
    <w:unhideWhenUsed/>
    <w:rsid w:val="009877E5"/>
  </w:style>
  <w:style w:type="paragraph" w:styleId="TOCHeading">
    <w:name w:val="TOC Heading"/>
    <w:basedOn w:val="Heading1"/>
    <w:next w:val="Normal"/>
    <w:uiPriority w:val="39"/>
    <w:unhideWhenUsed/>
    <w:qFormat/>
    <w:rsid w:val="00BA585B"/>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BA585B"/>
    <w:pPr>
      <w:spacing w:before="120"/>
      <w:jc w:val="left"/>
    </w:pPr>
    <w:rPr>
      <w:rFonts w:asciiTheme="minorHAnsi" w:hAnsiTheme="minorHAnsi"/>
      <w:b/>
      <w:bCs/>
      <w:i/>
      <w:iCs/>
    </w:rPr>
  </w:style>
  <w:style w:type="paragraph" w:styleId="TOC2">
    <w:name w:val="toc 2"/>
    <w:basedOn w:val="Normal"/>
    <w:next w:val="Normal"/>
    <w:autoRedefine/>
    <w:uiPriority w:val="39"/>
    <w:unhideWhenUsed/>
    <w:rsid w:val="00BA585B"/>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BA585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BA585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BA585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BA585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BA585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BA585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BA585B"/>
    <w:pPr>
      <w:ind w:left="1920"/>
      <w:jc w:val="left"/>
    </w:pPr>
    <w:rPr>
      <w:rFonts w:asciiTheme="minorHAnsi" w:hAnsiTheme="minorHAnsi"/>
      <w:sz w:val="20"/>
      <w:szCs w:val="20"/>
    </w:rPr>
  </w:style>
  <w:style w:type="table" w:styleId="TableGrid">
    <w:name w:val="Table Grid"/>
    <w:basedOn w:val="TableNormal"/>
    <w:uiPriority w:val="39"/>
    <w:rsid w:val="007F08E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C0D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D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3733799211069993" TargetMode="External"/><Relationship Id="rId18" Type="http://schemas.openxmlformats.org/officeDocument/2006/relationships/hyperlink" Target="https://doi.org/10.1016/j.jik.2022.100178" TargetMode="External"/><Relationship Id="rId26" Type="http://schemas.openxmlformats.org/officeDocument/2006/relationships/header" Target="header2.xml"/><Relationship Id="rId3" Type="http://schemas.microsoft.com/office/2007/relationships/stylesWithEffects" Target="stylesWithEffects.xml"/><Relationship Id="rId21" Type="http://schemas.openxmlformats.org/officeDocument/2006/relationships/hyperlink" Target="https://doi.org/10.53841/bpsecp.2021.38.4.24" TargetMode="External"/><Relationship Id="rId7" Type="http://schemas.openxmlformats.org/officeDocument/2006/relationships/endnotes" Target="endnotes.xml"/><Relationship Id="rId12" Type="http://schemas.openxmlformats.org/officeDocument/2006/relationships/hyperlink" Target="https://doi.org/10.1108/LTHE-03-2025-0019" TargetMode="External"/><Relationship Id="rId17" Type="http://schemas.openxmlformats.org/officeDocument/2006/relationships/hyperlink" Target="https://doi.org/10.2224/sbp.11934"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390/joitmc7010066" TargetMode="External"/><Relationship Id="rId20" Type="http://schemas.openxmlformats.org/officeDocument/2006/relationships/hyperlink" Target="https://doi.org/10.1002/csr.2868"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1-43860-8" TargetMode="External"/><Relationship Id="rId24" Type="http://schemas.openxmlformats.org/officeDocument/2006/relationships/hyperlink" Target="https://doi.org/10.1007/s10639-025-13869-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86/s12909-025-08431-w" TargetMode="External"/><Relationship Id="rId23" Type="http://schemas.openxmlformats.org/officeDocument/2006/relationships/hyperlink" Target="https://doi.org/10.1017/jmo.2019.8" TargetMode="External"/><Relationship Id="rId28" Type="http://schemas.openxmlformats.org/officeDocument/2006/relationships/footer" Target="footer2.xml"/><Relationship Id="rId10" Type="http://schemas.openxmlformats.org/officeDocument/2006/relationships/hyperlink" Target="https://doi.org/10.34172/ijhpm.8583" TargetMode="External"/><Relationship Id="rId19" Type="http://schemas.openxmlformats.org/officeDocument/2006/relationships/hyperlink" Target="https://doi.org/10.1111/eje.7009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JKM-03-2022-0156" TargetMode="External"/><Relationship Id="rId14" Type="http://schemas.openxmlformats.org/officeDocument/2006/relationships/hyperlink" Target="https://doi.org/10.1111/radm.12719" TargetMode="External"/><Relationship Id="rId22" Type="http://schemas.openxmlformats.org/officeDocument/2006/relationships/hyperlink" Target="https://doi.org/10.1108/EJMBE-07-2021-0203" TargetMode="External"/><Relationship Id="rId27" Type="http://schemas.openxmlformats.org/officeDocument/2006/relationships/footer" Target="footer1.xml"/><Relationship Id="rId30" Type="http://schemas.openxmlformats.org/officeDocument/2006/relationships/footer" Target="footer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CB36F-5862-40E6-BC72-E3CF45597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4082</Words>
  <Characters>23270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khati</dc:creator>
  <cp:lastModifiedBy>khati</cp:lastModifiedBy>
  <cp:revision>2</cp:revision>
  <dcterms:created xsi:type="dcterms:W3CDTF">2026-03-19T22:55:00Z</dcterms:created>
  <dcterms:modified xsi:type="dcterms:W3CDTF">2026-03-19T22:55:00Z</dcterms:modified>
</cp:coreProperties>
</file>