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4.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Arial" w:cs="Arial" w:eastAsia="Arial" w:hAnsi="Arial"/>
          <w:b w:val="1"/>
          <w:bCs w:val="1"/>
          <w:sz w:val="36"/>
          <w:szCs w:val="36"/>
        </w:rPr>
      </w:pPr>
      <w:r w:rsidDel="00000000" w:rsidR="00000000" w:rsidRPr="00000000">
        <w:rPr>
          <w:rtl w:val="0"/>
        </w:rPr>
      </w:r>
    </w:p>
    <w:p w:rsidR="00000000" w:rsidDel="00000000" w:rsidP="00000000" w:rsidRDefault="00000000" w:rsidRPr="00000000" w14:paraId="00000002">
      <w:pPr>
        <w:jc w:val="center"/>
        <w:rPr>
          <w:rFonts w:ascii="Arial" w:cs="Arial" w:eastAsia="Arial" w:hAnsi="Arial"/>
          <w:b w:val="1"/>
          <w:bCs w:val="1"/>
          <w:sz w:val="36"/>
          <w:szCs w:val="36"/>
        </w:rPr>
      </w:pPr>
      <w:r w:rsidDel="00000000" w:rsidR="00000000" w:rsidRPr="00000000">
        <w:rPr/>
        <w:drawing>
          <wp:inline distB="0" distT="0" distL="0" distR="0">
            <wp:extent cx="3521931" cy="1461514"/>
            <wp:effectExtent b="0" l="0" r="0" t="0"/>
            <wp:docPr descr="University of Wales Trinity Saint David launches new digital healthcare  course - Digital Health and Care Wales" id="1" name="image1.png"/>
            <a:graphic>
              <a:graphicData uri="http://schemas.openxmlformats.org/drawingml/2006/picture">
                <pic:pic>
                  <pic:nvPicPr>
                    <pic:cNvPr descr="University of Wales Trinity Saint David launches new digital healthcare  course - Digital Health and Care Wales" id="0" name="image1.png"/>
                    <pic:cNvPicPr preferRelativeResize="0"/>
                  </pic:nvPicPr>
                  <pic:blipFill>
                    <a:blip r:embed="rId7"/>
                    <a:srcRect b="0" l="0" r="0" t="0"/>
                    <a:stretch>
                      <a:fillRect/>
                    </a:stretch>
                  </pic:blipFill>
                  <pic:spPr>
                    <a:xfrm>
                      <a:off x="0" y="0"/>
                      <a:ext cx="3521931" cy="1461514"/>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jc w:val="center"/>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Promoting Safe and Effective Care for Older Adults: A Case Study of Mrs Thompson’s Health and Social Care Support</w:t>
      </w:r>
    </w:p>
    <w:p w:rsidR="00000000" w:rsidDel="00000000" w:rsidP="00000000" w:rsidRDefault="00000000" w:rsidRPr="00000000" w14:paraId="00000004">
      <w:pPr>
        <w:jc w:val="center"/>
        <w:rPr>
          <w:rFonts w:ascii="Arial" w:cs="Arial" w:eastAsia="Arial" w:hAnsi="Arial"/>
          <w:b w:val="1"/>
          <w:bCs w:val="1"/>
          <w:sz w:val="40"/>
          <w:szCs w:val="40"/>
        </w:rPr>
      </w:pPr>
      <w:r w:rsidDel="00000000" w:rsidR="00000000" w:rsidRPr="00000000">
        <w:rPr>
          <w:rtl w:val="0"/>
        </w:rPr>
      </w:r>
    </w:p>
    <w:p w:rsidR="00000000" w:rsidDel="00000000" w:rsidP="00000000" w:rsidRDefault="00000000" w:rsidRPr="00000000" w14:paraId="00000005">
      <w:pPr>
        <w:jc w:val="center"/>
        <w:rPr>
          <w:sz w:val="28"/>
          <w:szCs w:val="28"/>
        </w:rPr>
      </w:pPr>
      <w:r w:rsidDel="00000000" w:rsidR="00000000" w:rsidRPr="00000000">
        <w:rPr>
          <w:rFonts w:ascii="Arial" w:cs="Arial" w:eastAsia="Arial" w:hAnsi="Arial"/>
          <w:sz w:val="28"/>
          <w:szCs w:val="28"/>
          <w:rtl w:val="0"/>
        </w:rPr>
        <w:t xml:space="preserve">Module Code: LCHS4003</w:t>
      </w:r>
      <w:r w:rsidDel="00000000" w:rsidR="00000000" w:rsidRPr="00000000">
        <w:rPr>
          <w:rtl w:val="0"/>
        </w:rPr>
      </w:r>
    </w:p>
    <w:p w:rsidR="00000000" w:rsidDel="00000000" w:rsidP="00000000" w:rsidRDefault="00000000" w:rsidRPr="00000000" w14:paraId="00000006">
      <w:pPr>
        <w:jc w:val="center"/>
        <w:rPr>
          <w:sz w:val="28"/>
          <w:szCs w:val="28"/>
        </w:rPr>
      </w:pPr>
      <w:r w:rsidDel="00000000" w:rsidR="00000000" w:rsidRPr="00000000">
        <w:rPr>
          <w:rFonts w:ascii="Arial" w:cs="Arial" w:eastAsia="Arial" w:hAnsi="Arial"/>
          <w:sz w:val="28"/>
          <w:szCs w:val="28"/>
          <w:rtl w:val="0"/>
        </w:rPr>
        <w:t xml:space="preserve">Module Title: Introduction to Health and Social Care</w:t>
      </w:r>
      <w:r w:rsidDel="00000000" w:rsidR="00000000" w:rsidRPr="00000000">
        <w:rPr>
          <w:rtl w:val="0"/>
        </w:rPr>
      </w:r>
    </w:p>
    <w:p w:rsidR="00000000" w:rsidDel="00000000" w:rsidP="00000000" w:rsidRDefault="00000000" w:rsidRPr="00000000" w14:paraId="00000007">
      <w:pPr>
        <w:jc w:val="center"/>
        <w:rPr>
          <w:rFonts w:ascii="Arial" w:cs="Arial" w:eastAsia="Arial" w:hAnsi="Arial"/>
          <w:sz w:val="28"/>
          <w:szCs w:val="28"/>
        </w:rPr>
      </w:pPr>
      <w:r w:rsidDel="00000000" w:rsidR="00000000" w:rsidRPr="00000000">
        <w:rPr>
          <w:rFonts w:ascii="Arial" w:cs="Arial" w:eastAsia="Arial" w:hAnsi="Arial"/>
          <w:sz w:val="28"/>
          <w:szCs w:val="28"/>
          <w:rtl w:val="0"/>
        </w:rPr>
        <w:t xml:space="preserve">Programme: Certificate of Higher Education Skills for the Workplace (Health &amp; Social Care)</w:t>
      </w:r>
    </w:p>
    <w:p w:rsidR="00000000" w:rsidDel="00000000" w:rsidP="00000000" w:rsidRDefault="00000000" w:rsidRPr="00000000" w14:paraId="00000008">
      <w:pPr>
        <w:jc w:val="center"/>
        <w:rPr>
          <w:sz w:val="28"/>
          <w:szCs w:val="28"/>
        </w:rPr>
      </w:pPr>
      <w:r w:rsidDel="00000000" w:rsidR="00000000" w:rsidRPr="00000000">
        <w:rPr>
          <w:rtl w:val="0"/>
        </w:rPr>
      </w:r>
    </w:p>
    <w:p w:rsidR="00000000" w:rsidDel="00000000" w:rsidP="00000000" w:rsidRDefault="00000000" w:rsidRPr="00000000" w14:paraId="00000009">
      <w:pPr>
        <w:jc w:val="center"/>
        <w:rPr>
          <w:sz w:val="28"/>
          <w:szCs w:val="28"/>
        </w:rPr>
      </w:pPr>
      <w:r w:rsidDel="00000000" w:rsidR="00000000" w:rsidRPr="00000000">
        <w:rPr>
          <w:rFonts w:ascii="Arial" w:cs="Arial" w:eastAsia="Arial" w:hAnsi="Arial"/>
          <w:sz w:val="28"/>
          <w:szCs w:val="28"/>
          <w:rtl w:val="0"/>
        </w:rPr>
        <w:t xml:space="preserve">Student Name: Chidi Augustine Nwachukwu</w:t>
        <w:br w:type="textWrapping"/>
      </w:r>
      <w:r w:rsidDel="00000000" w:rsidR="00000000" w:rsidRPr="00000000">
        <w:rPr>
          <w:rtl w:val="0"/>
        </w:rPr>
      </w:r>
    </w:p>
    <w:p w:rsidR="00000000" w:rsidDel="00000000" w:rsidP="00000000" w:rsidRDefault="00000000" w:rsidRPr="00000000" w14:paraId="0000000A">
      <w:pPr>
        <w:jc w:val="center"/>
        <w:rPr>
          <w:rFonts w:ascii="Arial" w:cs="Arial" w:eastAsia="Arial" w:hAnsi="Arial"/>
          <w:sz w:val="28"/>
          <w:szCs w:val="28"/>
        </w:rPr>
      </w:pPr>
      <w:r w:rsidDel="00000000" w:rsidR="00000000" w:rsidRPr="00000000">
        <w:rPr>
          <w:rFonts w:ascii="Arial" w:cs="Arial" w:eastAsia="Arial" w:hAnsi="Arial"/>
          <w:sz w:val="28"/>
          <w:szCs w:val="28"/>
          <w:rtl w:val="0"/>
        </w:rPr>
        <w:t xml:space="preserve">Student ID: 2531583 </w:t>
        <w:br w:type="textWrapping"/>
      </w:r>
    </w:p>
    <w:p w:rsidR="00000000" w:rsidDel="00000000" w:rsidP="00000000" w:rsidRDefault="00000000" w:rsidRPr="00000000" w14:paraId="0000000B">
      <w:pPr>
        <w:jc w:val="center"/>
        <w:rPr>
          <w:sz w:val="28"/>
          <w:szCs w:val="28"/>
        </w:rPr>
      </w:pPr>
      <w:r w:rsidDel="00000000" w:rsidR="00000000" w:rsidRPr="00000000">
        <w:rPr>
          <w:rFonts w:ascii="Arial" w:cs="Arial" w:eastAsia="Arial" w:hAnsi="Arial"/>
          <w:sz w:val="28"/>
          <w:szCs w:val="28"/>
          <w:rtl w:val="0"/>
        </w:rPr>
        <w:t xml:space="preserve">Lecturer: Sam Parker</w:t>
      </w:r>
      <w:r w:rsidDel="00000000" w:rsidR="00000000" w:rsidRPr="00000000">
        <w:rPr>
          <w:rtl w:val="0"/>
        </w:rPr>
      </w:r>
    </w:p>
    <w:p w:rsidR="00000000" w:rsidDel="00000000" w:rsidP="00000000" w:rsidRDefault="00000000" w:rsidRPr="00000000" w14:paraId="0000000C">
      <w:pPr>
        <w:jc w:val="center"/>
        <w:rPr>
          <w:sz w:val="28"/>
          <w:szCs w:val="28"/>
        </w:rPr>
      </w:pPr>
      <w:r w:rsidDel="00000000" w:rsidR="00000000" w:rsidRPr="00000000">
        <w:rPr>
          <w:rFonts w:ascii="Arial" w:cs="Arial" w:eastAsia="Arial" w:hAnsi="Arial"/>
          <w:sz w:val="28"/>
          <w:szCs w:val="28"/>
          <w:rtl w:val="0"/>
        </w:rPr>
        <w:t xml:space="preserve">Word Count:1596 </w:t>
        <w:br w:type="textWrapping"/>
      </w:r>
      <w:r w:rsidDel="00000000" w:rsidR="00000000" w:rsidRPr="00000000">
        <w:rPr>
          <w:rtl w:val="0"/>
        </w:rPr>
      </w:r>
    </w:p>
    <w:p w:rsidR="00000000" w:rsidDel="00000000" w:rsidP="00000000" w:rsidRDefault="00000000" w:rsidRPr="00000000" w14:paraId="0000000D">
      <w:pPr>
        <w:jc w:val="center"/>
        <w:rPr>
          <w:sz w:val="28"/>
          <w:szCs w:val="28"/>
        </w:rPr>
      </w:pPr>
      <w:r w:rsidDel="00000000" w:rsidR="00000000" w:rsidRPr="00000000">
        <w:rPr>
          <w:rFonts w:ascii="Arial" w:cs="Arial" w:eastAsia="Arial" w:hAnsi="Arial"/>
          <w:sz w:val="28"/>
          <w:szCs w:val="28"/>
          <w:rtl w:val="0"/>
        </w:rPr>
        <w:t xml:space="preserve">Submission Date: 21 August 2026</w:t>
      </w:r>
      <w:r w:rsidDel="00000000" w:rsidR="00000000" w:rsidRPr="00000000">
        <w:rPr>
          <w:rtl w:val="0"/>
        </w:rPr>
      </w:r>
    </w:p>
    <w:p w:rsidR="00000000" w:rsidDel="00000000" w:rsidP="00000000" w:rsidRDefault="00000000" w:rsidRPr="00000000" w14:paraId="0000000E">
      <w:pPr>
        <w:spacing w:line="360" w:lineRule="auto"/>
        <w:jc w:val="both"/>
        <w:rPr>
          <w:rFonts w:ascii="Arial" w:cs="Arial" w:eastAsia="Arial" w:hAnsi="Arial"/>
        </w:rPr>
        <w:sectPr>
          <w:headerReference r:id="rId8" w:type="default"/>
          <w:headerReference r:id="rId9" w:type="first"/>
          <w:headerReference r:id="rId10" w:type="even"/>
          <w:footerReference r:id="rId11" w:type="default"/>
          <w:footerReference r:id="rId12" w:type="first"/>
          <w:footerReference r:id="rId13" w:type="even"/>
          <w:pgSz w:h="15840" w:w="12240" w:orient="portrait"/>
          <w:pgMar w:bottom="1440" w:top="1440" w:left="1440" w:right="1440" w:header="720" w:footer="720"/>
          <w:pgNumType w:start="1"/>
        </w:sectPr>
      </w:pPr>
      <w:r w:rsidDel="00000000" w:rsidR="00000000" w:rsidRPr="00000000">
        <w:br w:type="page"/>
      </w:r>
      <w:r w:rsidDel="00000000" w:rsidR="00000000" w:rsidRPr="00000000">
        <w:rPr>
          <w:rtl w:val="0"/>
        </w:rPr>
      </w:r>
    </w:p>
    <w:p w:rsidR="00000000" w:rsidDel="00000000" w:rsidP="00000000" w:rsidRDefault="00000000" w:rsidRPr="00000000" w14:paraId="0000000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Arial" w:cs="Arial" w:eastAsia="Arial" w:hAnsi="Arial"/>
          <w:b w:val="1"/>
          <w:bCs w:val="1"/>
          <w:i w:val="0"/>
          <w:iCs w:val="0"/>
          <w:smallCaps w:val="0"/>
          <w:strike w:val="0"/>
          <w:color w:val="000000"/>
          <w:sz w:val="28"/>
          <w:szCs w:val="28"/>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8"/>
          <w:szCs w:val="28"/>
          <w:u w:val="none"/>
          <w:shd w:fill="auto" w:val="clear"/>
          <w:vertAlign w:val="baseline"/>
          <w:rtl w:val="0"/>
        </w:rPr>
        <w:t xml:space="preserve">Table of Contents</w:t>
      </w:r>
    </w:p>
    <w:sdt>
      <w:sdtPr>
        <w:id w:val="2022936380"/>
        <w:docPartObj>
          <w:docPartGallery w:val="Table of Contents"/>
          <w:docPartUnique w:val="1"/>
        </w:docPartObj>
      </w:sdtPr>
      <w:sdtContent>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Calibri" w:cs="Calibri" w:eastAsia="Calibri" w:hAnsi="Calibri"/>
              <w:b w:val="1"/>
              <w:bCs w:val="1"/>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xxed44wo6a8g">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1. Introduction</w:t>
            </w:r>
          </w:hyperlink>
          <w:hyperlink w:anchor="_heading=h.xxed44wo6a8g">
            <w:r w:rsidDel="00000000" w:rsidR="00000000" w:rsidRPr="00000000">
              <w:rPr>
                <w:rFonts w:ascii="Calibri" w:cs="Calibri" w:eastAsia="Calibri" w:hAnsi="Calibri"/>
                <w:b w:val="1"/>
                <w:bCs w:val="1"/>
                <w:i w:val="0"/>
                <w:iCs w:val="0"/>
                <w:smallCaps w:val="0"/>
                <w:strike w:val="0"/>
                <w:color w:val="000000"/>
                <w:sz w:val="22"/>
                <w:szCs w:val="22"/>
                <w:u w:val="none"/>
                <w:shd w:fill="auto" w:val="clear"/>
                <w:vertAlign w:val="baseline"/>
                <w:rtl w:val="0"/>
              </w:rPr>
              <w:tab/>
              <w:t xml:space="preserve">1</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Calibri" w:cs="Calibri" w:eastAsia="Calibri" w:hAnsi="Calibri"/>
              <w:b w:val="1"/>
              <w:bCs w:val="1"/>
              <w:i w:val="0"/>
              <w:iCs w:val="0"/>
              <w:smallCaps w:val="0"/>
              <w:strike w:val="0"/>
              <w:color w:val="000000"/>
              <w:sz w:val="22"/>
              <w:szCs w:val="22"/>
              <w:u w:val="none"/>
              <w:shd w:fill="auto" w:val="clear"/>
              <w:vertAlign w:val="baseline"/>
            </w:rPr>
          </w:pPr>
          <w:hyperlink w:anchor="_heading=h.6uz3kbsamk9j">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2. Effective Communication in Mrs Thompson’s Care</w:t>
            </w:r>
          </w:hyperlink>
          <w:hyperlink w:anchor="_heading=h.6uz3kbsamk9j">
            <w:r w:rsidDel="00000000" w:rsidR="00000000" w:rsidRPr="00000000">
              <w:rPr>
                <w:rFonts w:ascii="Calibri" w:cs="Calibri" w:eastAsia="Calibri" w:hAnsi="Calibri"/>
                <w:b w:val="1"/>
                <w:bCs w:val="1"/>
                <w:i w:val="0"/>
                <w:iCs w:val="0"/>
                <w:smallCaps w:val="0"/>
                <w:strike w:val="0"/>
                <w:color w:val="000000"/>
                <w:sz w:val="22"/>
                <w:szCs w:val="22"/>
                <w:u w:val="none"/>
                <w:shd w:fill="auto" w:val="clear"/>
                <w:vertAlign w:val="baseline"/>
                <w:rtl w:val="0"/>
              </w:rPr>
              <w:tab/>
              <w:t xml:space="preserve">1</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Calibri" w:cs="Calibri" w:eastAsia="Calibri" w:hAnsi="Calibri"/>
              <w:b w:val="1"/>
              <w:bCs w:val="1"/>
              <w:i w:val="0"/>
              <w:iCs w:val="0"/>
              <w:smallCaps w:val="0"/>
              <w:strike w:val="0"/>
              <w:color w:val="000000"/>
              <w:sz w:val="22"/>
              <w:szCs w:val="22"/>
              <w:u w:val="none"/>
              <w:shd w:fill="auto" w:val="clear"/>
              <w:vertAlign w:val="baseline"/>
            </w:rPr>
          </w:pPr>
          <w:hyperlink w:anchor="_heading=h.ieezmia3t5qz">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3. Administrative Skills, Record Keeping and Data Protection</w:t>
            </w:r>
          </w:hyperlink>
          <w:hyperlink w:anchor="_heading=h.ieezmia3t5qz">
            <w:r w:rsidDel="00000000" w:rsidR="00000000" w:rsidRPr="00000000">
              <w:rPr>
                <w:rFonts w:ascii="Calibri" w:cs="Calibri" w:eastAsia="Calibri" w:hAnsi="Calibri"/>
                <w:b w:val="1"/>
                <w:bCs w:val="1"/>
                <w:i w:val="0"/>
                <w:iCs w:val="0"/>
                <w:smallCaps w:val="0"/>
                <w:strike w:val="0"/>
                <w:color w:val="000000"/>
                <w:sz w:val="22"/>
                <w:szCs w:val="22"/>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Calibri" w:cs="Calibri" w:eastAsia="Calibri" w:hAnsi="Calibri"/>
              <w:b w:val="1"/>
              <w:bCs w:val="1"/>
              <w:i w:val="0"/>
              <w:iCs w:val="0"/>
              <w:smallCaps w:val="0"/>
              <w:strike w:val="0"/>
              <w:color w:val="000000"/>
              <w:sz w:val="22"/>
              <w:szCs w:val="22"/>
              <w:u w:val="none"/>
              <w:shd w:fill="auto" w:val="clear"/>
              <w:vertAlign w:val="baseline"/>
            </w:rPr>
          </w:pPr>
          <w:hyperlink w:anchor="_heading=h.immnxiftb5gg">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4. Collaborative and Multi-Agency Working</w:t>
            </w:r>
          </w:hyperlink>
          <w:hyperlink w:anchor="_heading=h.immnxiftb5gg">
            <w:r w:rsidDel="00000000" w:rsidR="00000000" w:rsidRPr="00000000">
              <w:rPr>
                <w:rFonts w:ascii="Calibri" w:cs="Calibri" w:eastAsia="Calibri" w:hAnsi="Calibri"/>
                <w:b w:val="1"/>
                <w:bCs w:val="1"/>
                <w:i w:val="0"/>
                <w:iCs w:val="0"/>
                <w:smallCaps w:val="0"/>
                <w:strike w:val="0"/>
                <w:color w:val="000000"/>
                <w:sz w:val="22"/>
                <w:szCs w:val="22"/>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Calibri" w:cs="Calibri" w:eastAsia="Calibri" w:hAnsi="Calibri"/>
              <w:b w:val="1"/>
              <w:bCs w:val="1"/>
              <w:i w:val="0"/>
              <w:iCs w:val="0"/>
              <w:smallCaps w:val="0"/>
              <w:strike w:val="0"/>
              <w:color w:val="000000"/>
              <w:sz w:val="22"/>
              <w:szCs w:val="22"/>
              <w:u w:val="none"/>
              <w:shd w:fill="auto" w:val="clear"/>
              <w:vertAlign w:val="baseline"/>
            </w:rPr>
          </w:pPr>
          <w:hyperlink w:anchor="_heading=h.m0ukmaxlk0nb">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5. Conclusion</w:t>
            </w:r>
          </w:hyperlink>
          <w:hyperlink w:anchor="_heading=h.m0ukmaxlk0nb">
            <w:r w:rsidDel="00000000" w:rsidR="00000000" w:rsidRPr="00000000">
              <w:rPr>
                <w:rFonts w:ascii="Calibri" w:cs="Calibri" w:eastAsia="Calibri" w:hAnsi="Calibri"/>
                <w:b w:val="1"/>
                <w:bCs w:val="1"/>
                <w:i w:val="0"/>
                <w:iCs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Calibri" w:cs="Calibri" w:eastAsia="Calibri" w:hAnsi="Calibri"/>
              <w:b w:val="1"/>
              <w:bCs w:val="1"/>
              <w:i w:val="0"/>
              <w:iCs w:val="0"/>
              <w:smallCaps w:val="0"/>
              <w:strike w:val="0"/>
              <w:color w:val="000000"/>
              <w:sz w:val="22"/>
              <w:szCs w:val="22"/>
              <w:u w:val="none"/>
              <w:shd w:fill="auto" w:val="clear"/>
              <w:vertAlign w:val="baseline"/>
            </w:rPr>
          </w:pPr>
          <w:hyperlink w:anchor="_heading=h.uxnmmjo9wy9z">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6. References</w:t>
            </w:r>
          </w:hyperlink>
          <w:hyperlink w:anchor="_heading=h.uxnmmjo9wy9z">
            <w:r w:rsidDel="00000000" w:rsidR="00000000" w:rsidRPr="00000000">
              <w:rPr>
                <w:rFonts w:ascii="Calibri" w:cs="Calibri" w:eastAsia="Calibri" w:hAnsi="Calibri"/>
                <w:b w:val="1"/>
                <w:bCs w:val="1"/>
                <w:i w:val="0"/>
                <w:iCs w:val="0"/>
                <w:smallCaps w:val="0"/>
                <w:strike w:val="0"/>
                <w:color w:val="000000"/>
                <w:sz w:val="22"/>
                <w:szCs w:val="22"/>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6">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7">
      <w:pPr>
        <w:spacing w:line="360" w:lineRule="auto"/>
        <w:jc w:val="both"/>
        <w:rPr>
          <w:rFonts w:ascii="Arial" w:cs="Arial" w:eastAsia="Arial" w:hAnsi="Arial"/>
        </w:rPr>
        <w:sectPr>
          <w:type w:val="nextPage"/>
          <w:pgSz w:h="15840" w:w="12240" w:orient="portrait"/>
          <w:pgMar w:bottom="1440" w:top="1440" w:left="1440" w:right="1440" w:header="720" w:footer="720"/>
        </w:sectPr>
      </w:pPr>
      <w:r w:rsidDel="00000000" w:rsidR="00000000" w:rsidRPr="00000000">
        <w:rPr>
          <w:rtl w:val="0"/>
        </w:rPr>
      </w:r>
    </w:p>
    <w:p w:rsidR="00000000" w:rsidDel="00000000" w:rsidP="00000000" w:rsidRDefault="00000000" w:rsidRPr="00000000" w14:paraId="00000018">
      <w:pPr>
        <w:pStyle w:val="Heading1"/>
        <w:spacing w:line="360" w:lineRule="auto"/>
        <w:rPr>
          <w:rFonts w:ascii="Arial" w:cs="Arial" w:eastAsia="Arial" w:hAnsi="Arial"/>
          <w:color w:val="000000"/>
          <w:sz w:val="22"/>
          <w:szCs w:val="22"/>
        </w:rPr>
      </w:pPr>
      <w:bookmarkStart w:colFirst="0" w:colLast="0" w:name="_heading=h.xxed44wo6a8g" w:id="0"/>
      <w:bookmarkEnd w:id="0"/>
      <w:r w:rsidDel="00000000" w:rsidR="00000000" w:rsidRPr="00000000">
        <w:rPr>
          <w:rFonts w:ascii="Arial" w:cs="Arial" w:eastAsia="Arial" w:hAnsi="Arial"/>
          <w:color w:val="000000"/>
          <w:sz w:val="22"/>
          <w:szCs w:val="22"/>
          <w:rtl w:val="0"/>
        </w:rPr>
        <w:t xml:space="preserve">1. Introduction</w:t>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 the UK health and social care is provided by a complex network of professionals, organisations, legislation and policies which aim to address medical, social and safeguarding needs. But as people age and develop dementia, as well as being discharged from hospital and taking medication, and living independently, pressures arise that demand a coordinated, person-centred response (Glasby, 2017; Edwards and Best, 2020). Mrs Thompson is an 84 year old woman who is just coming out of sheltered housing after having been treated for pneumonia. She is of mild dementia, is offered twice daily domo care and has been missing two days of meds, which has led to her increased confusion. She was also discovered in the outdoors in the cold without adequate clothing, for safety reasons and self-neglect. This report focuses on effective communication, keeping records and safeguarding data and working collaboratively across agencies. It suggests that respectful communication, documentation and co-ordination of support are required, to ensure Mrs Thompson's wellbeing, dignity, independence and continuity of support.</w:t>
      </w:r>
    </w:p>
    <w:p w:rsidR="00000000" w:rsidDel="00000000" w:rsidP="00000000" w:rsidRDefault="00000000" w:rsidRPr="00000000" w14:paraId="0000001A">
      <w:pPr>
        <w:pStyle w:val="Heading1"/>
        <w:spacing w:after="240" w:line="360" w:lineRule="auto"/>
        <w:rPr>
          <w:rFonts w:ascii="Arial" w:cs="Arial" w:eastAsia="Arial" w:hAnsi="Arial"/>
          <w:color w:val="000000"/>
          <w:sz w:val="22"/>
          <w:szCs w:val="22"/>
        </w:rPr>
      </w:pPr>
      <w:bookmarkStart w:colFirst="0" w:colLast="0" w:name="_heading=h.6uz3kbsamk9j" w:id="1"/>
      <w:bookmarkEnd w:id="1"/>
      <w:r w:rsidDel="00000000" w:rsidR="00000000" w:rsidRPr="00000000">
        <w:rPr>
          <w:rFonts w:ascii="Arial" w:cs="Arial" w:eastAsia="Arial" w:hAnsi="Arial"/>
          <w:color w:val="000000"/>
          <w:sz w:val="22"/>
          <w:szCs w:val="22"/>
          <w:rtl w:val="0"/>
        </w:rPr>
        <w:t xml:space="preserve">2. Effective Communication in Mrs Thompson’s Care</w:t>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Communication is key to Mrs Thompson's safety as her mild dementia, recent pneumonia and missed medication increases the risk that information could be misinterpreted, forgotten or passed too late. Communication should not be a "default" or "standard" transaction but a key way to recognise changes in thinking, confirm preferences and engage her in decisions – all of which help protect her dignity and prevent avoidable harm (Glasby, 2017; Barnard, 2017). Use short familiar sentences, discuss one issue at a time and allow time for responses, speak calmly and use short sentences. Background noise should be minimised and non-verbal cues should be noted and understanding confirmed with subtle open questions rather than assuming that it is understood. Clear speech, patience, active listening and listening to face and body language are also recommended in NHS guidance for supporting a person with dementia (NHS, 2023). Written reminders, visual medication reminder schedules and regular carers can help to reinforce memory, but should not replace direct conversation. Mrs Thompson should continue to be the main person involved as dementia does not automatically mean the person is unable to make decisions, under the Mental Capacity Act 2005, capacity needs to be presumed until a decision-making assessment determines otherwise. Family members can make important contributions to information about routines, medication and behavioural changes, but should be included by Mrs Thompson's permission and only information needed for care should be shared. It is important to consider that it is not acceptable to assume that family members have decision making powers and to involve them, which can be detrimental to her autonomy and confidentiality. Services also need to not discriminate against her on the basis of her age, disability or make reasonable adjustments where this is likely to put her at a disadvantage compared to others. Extra time, written information which is easy to access, medication reminders, quieter environments and continuity of carers are equality measures not preferential treatments. </w:t>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80" w:line="36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drawing>
          <wp:inline distB="0" distT="0" distL="0" distR="0">
            <wp:extent cx="3158280" cy="3543300"/>
            <wp:effectExtent b="0" l="0" r="0" t="0"/>
            <wp:docPr id="2" name="image2.png"/>
            <a:graphic>
              <a:graphicData uri="http://schemas.openxmlformats.org/drawingml/2006/picture">
                <pic:pic>
                  <pic:nvPicPr>
                    <pic:cNvPr id="0" name="image2.png"/>
                    <pic:cNvPicPr preferRelativeResize="0"/>
                  </pic:nvPicPr>
                  <pic:blipFill>
                    <a:blip r:embed="rId14"/>
                    <a:srcRect b="0" l="0" r="0" t="0"/>
                    <a:stretch>
                      <a:fillRect/>
                    </a:stretch>
                  </pic:blipFill>
                  <pic:spPr>
                    <a:xfrm>
                      <a:off x="0" y="0"/>
                      <a:ext cx="3158280" cy="3543300"/>
                    </a:xfrm>
                    <a:prstGeom prst="rect"/>
                    <a:ln/>
                  </pic:spPr>
                </pic:pic>
              </a:graphicData>
            </a:graphic>
          </wp:inline>
        </w:drawing>
      </w:r>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80" w:line="360" w:lineRule="auto"/>
        <w:ind w:left="0" w:right="0" w:firstLine="0"/>
        <w:jc w:val="center"/>
        <w:rPr>
          <w:rFonts w:ascii="Arial" w:cs="Arial" w:eastAsia="Arial" w:hAnsi="Arial"/>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Figure 1:  SOLER Communication Model in Mrs Thompson’s Care (Self-made)</w:t>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SOLER model can help to enhance listening through a square (non-dominant) body posture, open posture, leaning towards the speaker, proper eye contact, and a relaxed attitude (Gault et al., 2016). It is useful to establish psychological safety for Mrs Thompson to share her uncertainty or struggles with being prescribed medication. But it is not suitable to do it rigidly eye contact, proximity and posture need to be suited to her culture, comfort and emotional state. Effective communication is not about sticking to a template, it is about listening to the child, understanding their rights, reasonable adjustment and checking and double checking so that the child does not have any further medication omission, deterioration, admission to hospital or safeguarding concerns. This will allow for early escalation if there is confusion to ensure concerns are seen by the GP, community nurse and family in a timely fashion. </w:t>
      </w:r>
    </w:p>
    <w:p w:rsidR="00000000" w:rsidDel="00000000" w:rsidP="00000000" w:rsidRDefault="00000000" w:rsidRPr="00000000" w14:paraId="0000001F">
      <w:pPr>
        <w:pStyle w:val="Heading1"/>
        <w:spacing w:line="360" w:lineRule="auto"/>
        <w:rPr>
          <w:rFonts w:ascii="Arial" w:cs="Arial" w:eastAsia="Arial" w:hAnsi="Arial"/>
          <w:b w:val="0"/>
          <w:bCs w:val="0"/>
          <w:color w:val="000000"/>
          <w:sz w:val="22"/>
          <w:szCs w:val="22"/>
        </w:rPr>
      </w:pPr>
      <w:bookmarkStart w:colFirst="0" w:colLast="0" w:name="_heading=h.ieezmia3t5qz" w:id="2"/>
      <w:bookmarkEnd w:id="2"/>
      <w:r w:rsidDel="00000000" w:rsidR="00000000" w:rsidRPr="00000000">
        <w:rPr>
          <w:rFonts w:ascii="Arial" w:cs="Arial" w:eastAsia="Arial" w:hAnsi="Arial"/>
          <w:color w:val="000000"/>
          <w:sz w:val="22"/>
          <w:szCs w:val="22"/>
          <w:rtl w:val="0"/>
        </w:rPr>
        <w:t xml:space="preserve">3. Administrative Skills, Record Keeping and Data Protection </w:t>
      </w:r>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Mrs Thompson's safety is reliant on good administrative practice as any number of issues such as medication management, escalation of incidents and continuity of care rely on information being recorded correctly and acted upon. Her failure to take her medication two days, combined with her confusion and the incident of being found outside with inappropriate clothing may be viewed not as separate events, but rather as an overall pattern that could be a sign of inadequate medication support, a decline in mental functioning, or of a heightened risk of self-neglect. Edwards and Best (2020) state that administration is one of the integral parts of accountable professional practice. Chambers, Cantrell and Booth (2021) point out that the coordination of digital systems is only enhanced when implementation and information governance is reliable. The Medication Administration Record, daily care notes, incident report, hospital discharge information and medication-review request, risk assessment, safeguarding record and an updated care plan should therefore be included on relevant documents. The records should be factual, objective, timely, complete and dated and should reflect the practitioner's own observations and not opinions. Providers must keep secure, accurate, complete and up to date records of care and decisions as part of Regulation 17 of CQC (Care Quality Commission, 2025). In addition to documenting only the missing medication, staff should also write in the dates, probable cause, noticed confusion, intervention(s) performed, who was informed and the result of escalation. This evidence should then be considered when making a decision as to whether domiciliary services provided twice a day are still sufficient. The Data Protection Act 2018 and UK GDPR also mandate that data processing is conducted in a manner that is lawful, fair and transparent (ICO, 2023); that the purpose of the data processing is limited; that data is minimised; that data is accurate; that data is not kept beyond the purpose for which it was collected; that it is integrated, secure and trustworthy; that it is confidential; and that it is accounted for. Mrs Thompson's health information is confidential and must be used sparingly and kept up to date and shared with only those authorised by the school. Secure passwords for electronic records and role restrictions should be used, as well as safe storage of paper records and discussion should be done in a private place. Confidentiality, however, should not be seen as an impediment to sharing information proportionately where multiple incidents of non-adherence, self-neglect or the threat of self-neglect has been identified. If this is the case, then relevant information can be shared with the GP, community nurse, professional safeguarding lead or the local authority, provided that there is a legal basis for the sharing, a purpose for the sharing, there are individuals to whom this information is shared and there is a professional reason for sharing, which is documented (ICO, 2023). Effective administration, therefore, must not only involve the completion of forms, but an interpretation of patterns, increase in concerns, the revision of care plans and the evidence of how the evidence recorded has enhanced Mrs Thompson's safety, dignity and continuity of care.</w:t>
      </w:r>
    </w:p>
    <w:p w:rsidR="00000000" w:rsidDel="00000000" w:rsidP="00000000" w:rsidRDefault="00000000" w:rsidRPr="00000000" w14:paraId="00000021">
      <w:pPr>
        <w:pStyle w:val="Heading1"/>
        <w:spacing w:after="240" w:line="360" w:lineRule="auto"/>
        <w:rPr>
          <w:rFonts w:ascii="Arial" w:cs="Arial" w:eastAsia="Arial" w:hAnsi="Arial"/>
          <w:color w:val="000000"/>
          <w:sz w:val="22"/>
          <w:szCs w:val="22"/>
        </w:rPr>
      </w:pPr>
      <w:bookmarkStart w:colFirst="0" w:colLast="0" w:name="_heading=h.immnxiftb5gg" w:id="3"/>
      <w:bookmarkEnd w:id="3"/>
      <w:r w:rsidDel="00000000" w:rsidR="00000000" w:rsidRPr="00000000">
        <w:rPr>
          <w:rFonts w:ascii="Arial" w:cs="Arial" w:eastAsia="Arial" w:hAnsi="Arial"/>
          <w:color w:val="000000"/>
          <w:sz w:val="22"/>
          <w:szCs w:val="22"/>
          <w:rtl w:val="0"/>
        </w:rPr>
        <w:t xml:space="preserve">4. Collaborative and Multi-Agency Working</w:t>
      </w:r>
    </w:p>
    <w:p w:rsidR="00000000" w:rsidDel="00000000" w:rsidP="00000000" w:rsidRDefault="00000000" w:rsidRPr="00000000" w14:paraId="00000022">
      <w:pPr>
        <w:spacing w:after="240" w:line="360" w:lineRule="auto"/>
        <w:jc w:val="both"/>
        <w:rPr>
          <w:rFonts w:ascii="Arial" w:cs="Arial" w:eastAsia="Arial" w:hAnsi="Arial"/>
        </w:rPr>
      </w:pPr>
      <w:r w:rsidDel="00000000" w:rsidR="00000000" w:rsidRPr="00000000">
        <w:rPr>
          <w:rFonts w:ascii="Arial" w:cs="Arial" w:eastAsia="Arial" w:hAnsi="Arial"/>
          <w:rtl w:val="0"/>
        </w:rPr>
        <w:t xml:space="preserve">Mrs Thompson needs multi-agency support as her needs encompass medication safety, cognitive decline, recovery from pneumonia and daily living and safeguarding needs. The GP should review her medication, investigate increased confusion and consider changing her medication if it is thought she may be having complications due to dementia or post-pneumonia. The community nurse will be able to keep checking her for any deterioration, assess her medication compliance and identify issues with this, whilst the domiciliary care workers will be able to help her daily, remind her to take medication and note any changes in behaviour or concerns. The local authority or social worker should re-evaluate the safeguarding risks and re-evaluate the need for twice-daily care and arrange housing or social care (Anka et al., 2017). Partnership working can minimise fragmented care by bringing together the professionals, around one person-centred plan, as they will share expertise with each other (Glasby and Dickinson, 2014; Glasby, 2017). These can enhance accountability and ensure that Mrs Thompson and where appropriate her family are engaged in the process through shared care plans, multidisciplinary meetings, clear pathways for referral and accurate handovers and a named care coordinator. But, working together does not necessarily work. Lack of communication, lag in information, confusion over responsibilities and conflicting priorities may result in duplication of action or in no action. They should be tackled in a mutually agreed communication, with the allocation of clearly defined roles, timely documentation, lawful information sharing and regular review. Such arrangements can help to ensure continuity, minimise risk and enhance decision making within health and social care services (Edwards and Best, 2020).</w:t>
      </w:r>
    </w:p>
    <w:p w:rsidR="00000000" w:rsidDel="00000000" w:rsidP="00000000" w:rsidRDefault="00000000" w:rsidRPr="00000000" w14:paraId="00000023">
      <w:pPr>
        <w:pStyle w:val="Heading1"/>
        <w:spacing w:after="240" w:line="360" w:lineRule="auto"/>
        <w:rPr>
          <w:rFonts w:ascii="Arial" w:cs="Arial" w:eastAsia="Arial" w:hAnsi="Arial"/>
          <w:color w:val="000000"/>
          <w:sz w:val="22"/>
          <w:szCs w:val="22"/>
        </w:rPr>
      </w:pPr>
      <w:bookmarkStart w:colFirst="0" w:colLast="0" w:name="_heading=h.m0ukmaxlk0nb" w:id="4"/>
      <w:bookmarkEnd w:id="4"/>
      <w:r w:rsidDel="00000000" w:rsidR="00000000" w:rsidRPr="00000000">
        <w:rPr>
          <w:rFonts w:ascii="Arial" w:cs="Arial" w:eastAsia="Arial" w:hAnsi="Arial"/>
          <w:color w:val="000000"/>
          <w:sz w:val="22"/>
          <w:szCs w:val="22"/>
          <w:rtl w:val="0"/>
        </w:rPr>
        <w:t xml:space="preserve">5. Conclusion</w:t>
      </w:r>
    </w:p>
    <w:p w:rsidR="00000000" w:rsidDel="00000000" w:rsidP="00000000" w:rsidRDefault="00000000" w:rsidRPr="00000000" w14:paraId="00000024">
      <w:pPr>
        <w:spacing w:after="240" w:line="360" w:lineRule="auto"/>
        <w:jc w:val="both"/>
        <w:rPr>
          <w:rFonts w:ascii="Arial" w:cs="Arial" w:eastAsia="Arial" w:hAnsi="Arial"/>
        </w:rPr>
      </w:pPr>
      <w:r w:rsidDel="00000000" w:rsidR="00000000" w:rsidRPr="00000000">
        <w:rPr>
          <w:rFonts w:ascii="Arial" w:cs="Arial" w:eastAsia="Arial" w:hAnsi="Arial"/>
          <w:rtl w:val="0"/>
        </w:rPr>
        <w:t xml:space="preserve">Finally, communication needs to be clear, respectful and sensitive to Mrs Thompson's decreasing capacity to understand her dementia, so that she can make informed decisions where possible. This is in line with the Equality Act 2010 which encourages non-discrimination principles and reasonable adjustments. Records are critical as they help with medication safety, continuity, accountability and potential identification of risks. The Data Protection Act 2018 provides for the proper, secure and appropriate collection, storage, processing and dissemination of sensitive data. It is important that GP, community nurse, domiciliary care workers and the local authority work together to ensure a joined up approach to medical, social and safeguarding issues. Multi-agency working can help to minimise fragmentation, avoid harm and maintain independence through person centred working. The needs of Mrs Thompson can only be met effectively by a joint service approach involving effective communication, documentation and partnership working in accordance with the law.</w:t>
      </w:r>
    </w:p>
    <w:p w:rsidR="00000000" w:rsidDel="00000000" w:rsidP="00000000" w:rsidRDefault="00000000" w:rsidRPr="00000000" w14:paraId="00000025">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6">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7">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8">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9">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A">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B">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C">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D">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E">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F">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0">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1">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2">
      <w:pPr>
        <w:pStyle w:val="Heading1"/>
        <w:spacing w:after="240" w:line="360" w:lineRule="auto"/>
        <w:rPr>
          <w:rFonts w:ascii="Arial" w:cs="Arial" w:eastAsia="Arial" w:hAnsi="Arial"/>
          <w:color w:val="000000"/>
          <w:sz w:val="22"/>
          <w:szCs w:val="22"/>
        </w:rPr>
      </w:pPr>
      <w:bookmarkStart w:colFirst="0" w:colLast="0" w:name="_heading=h.uxnmmjo9wy9z" w:id="5"/>
      <w:bookmarkEnd w:id="5"/>
      <w:r w:rsidDel="00000000" w:rsidR="00000000" w:rsidRPr="00000000">
        <w:rPr>
          <w:rFonts w:ascii="Arial" w:cs="Arial" w:eastAsia="Arial" w:hAnsi="Arial"/>
          <w:color w:val="000000"/>
          <w:sz w:val="22"/>
          <w:szCs w:val="22"/>
          <w:rtl w:val="0"/>
        </w:rPr>
        <w:t xml:space="preserve">6. References</w:t>
      </w:r>
    </w:p>
    <w:p w:rsidR="00000000" w:rsidDel="00000000" w:rsidP="00000000" w:rsidRDefault="00000000" w:rsidRPr="00000000" w14:paraId="00000033">
      <w:pPr>
        <w:tabs>
          <w:tab w:val="left" w:leader="none" w:pos="2496"/>
        </w:tabs>
        <w:spacing w:after="240" w:line="360" w:lineRule="auto"/>
        <w:jc w:val="both"/>
        <w:rPr>
          <w:rFonts w:ascii="Arial" w:cs="Arial" w:eastAsia="Arial" w:hAnsi="Arial"/>
        </w:rPr>
      </w:pPr>
      <w:r w:rsidDel="00000000" w:rsidR="00000000" w:rsidRPr="00000000">
        <w:rPr>
          <w:rFonts w:ascii="Arial" w:cs="Arial" w:eastAsia="Arial" w:hAnsi="Arial"/>
          <w:color w:val="222222"/>
          <w:highlight w:val="white"/>
          <w:rtl w:val="0"/>
        </w:rPr>
        <w:t xml:space="preserve">Anka, A., Sorensen, P., Brandon, M. and Bailey, S., (2017). Social work intervention with adults who self-neglect in England: Responding to the Care Act 2014. </w:t>
      </w:r>
      <w:r w:rsidDel="00000000" w:rsidR="00000000" w:rsidRPr="00000000">
        <w:rPr>
          <w:rFonts w:ascii="Arial" w:cs="Arial" w:eastAsia="Arial" w:hAnsi="Arial"/>
          <w:i w:val="1"/>
          <w:iCs w:val="1"/>
          <w:color w:val="222222"/>
          <w:highlight w:val="white"/>
          <w:rtl w:val="0"/>
        </w:rPr>
        <w:t xml:space="preserve">The Journal of Adult Protection</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iCs w:val="1"/>
          <w:color w:val="222222"/>
          <w:highlight w:val="white"/>
          <w:rtl w:val="0"/>
        </w:rPr>
        <w:t xml:space="preserve">19</w:t>
      </w:r>
      <w:r w:rsidDel="00000000" w:rsidR="00000000" w:rsidRPr="00000000">
        <w:rPr>
          <w:rFonts w:ascii="Arial" w:cs="Arial" w:eastAsia="Arial" w:hAnsi="Arial"/>
          <w:color w:val="222222"/>
          <w:highlight w:val="white"/>
          <w:rtl w:val="0"/>
        </w:rPr>
        <w:t xml:space="preserve">(2), pp.67-77.</w:t>
      </w:r>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Care Quality Commission (2025).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Regulation 17: Good Governance - Care Quality Commission</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Cqc.org.uk. Available at: https://www.cqc.org.uk/guidance-regulation/providers/regulations-service-providers-and-managers/health-social-care-act/regulation-17 [Accessed 15 July 2026].</w:t>
      </w:r>
    </w:p>
    <w:p w:rsidR="00000000" w:rsidDel="00000000" w:rsidP="00000000" w:rsidRDefault="00000000" w:rsidRPr="00000000" w14:paraId="00000035">
      <w:pPr>
        <w:spacing w:line="360" w:lineRule="auto"/>
        <w:jc w:val="both"/>
        <w:rPr>
          <w:rFonts w:ascii="Arial" w:cs="Arial" w:eastAsia="Arial" w:hAnsi="Arial"/>
        </w:rPr>
      </w:pPr>
      <w:r w:rsidDel="00000000" w:rsidR="00000000" w:rsidRPr="00000000">
        <w:rPr>
          <w:rFonts w:ascii="Arial" w:cs="Arial" w:eastAsia="Arial" w:hAnsi="Arial"/>
          <w:rtl w:val="0"/>
        </w:rPr>
        <w:t xml:space="preserve">Chambers, D., Cantrell, A. and Booth, A. (2021) </w:t>
      </w:r>
      <w:r w:rsidDel="00000000" w:rsidR="00000000" w:rsidRPr="00000000">
        <w:rPr>
          <w:rFonts w:ascii="Arial" w:cs="Arial" w:eastAsia="Arial" w:hAnsi="Arial"/>
          <w:i w:val="1"/>
          <w:iCs w:val="1"/>
          <w:rtl w:val="0"/>
        </w:rPr>
        <w:t xml:space="preserve">Rapid evidence review: Challenges to implementing digital and data-driven technologies in health and social care</w:t>
      </w:r>
      <w:r w:rsidDel="00000000" w:rsidR="00000000" w:rsidRPr="00000000">
        <w:rPr>
          <w:rFonts w:ascii="Arial" w:cs="Arial" w:eastAsia="Arial" w:hAnsi="Arial"/>
          <w:rtl w:val="0"/>
        </w:rPr>
        <w:t xml:space="preserve">. Sheffield: University of Sheffield.</w:t>
      </w:r>
    </w:p>
    <w:p w:rsidR="00000000" w:rsidDel="00000000" w:rsidP="00000000" w:rsidRDefault="00000000" w:rsidRPr="00000000" w14:paraId="00000036">
      <w:pPr>
        <w:spacing w:line="360" w:lineRule="auto"/>
        <w:jc w:val="both"/>
        <w:rPr>
          <w:rFonts w:ascii="Arial" w:cs="Arial" w:eastAsia="Arial" w:hAnsi="Arial"/>
        </w:rPr>
      </w:pPr>
      <w:r w:rsidDel="00000000" w:rsidR="00000000" w:rsidRPr="00000000">
        <w:rPr>
          <w:rFonts w:ascii="Arial" w:cs="Arial" w:eastAsia="Arial" w:hAnsi="Arial"/>
          <w:rtl w:val="0"/>
        </w:rPr>
        <w:t xml:space="preserve">Edwards, D.J. and Best, S. (eds) (2020) </w:t>
      </w:r>
      <w:r w:rsidDel="00000000" w:rsidR="00000000" w:rsidRPr="00000000">
        <w:rPr>
          <w:rFonts w:ascii="Arial" w:cs="Arial" w:eastAsia="Arial" w:hAnsi="Arial"/>
          <w:i w:val="1"/>
          <w:iCs w:val="1"/>
          <w:rtl w:val="0"/>
        </w:rPr>
        <w:t xml:space="preserve">The textbook of health and social care</w:t>
      </w:r>
      <w:r w:rsidDel="00000000" w:rsidR="00000000" w:rsidRPr="00000000">
        <w:rPr>
          <w:rFonts w:ascii="Arial" w:cs="Arial" w:eastAsia="Arial" w:hAnsi="Arial"/>
          <w:rtl w:val="0"/>
        </w:rPr>
        <w:t xml:space="preserve">. London: SAGE Publications.</w:t>
      </w:r>
    </w:p>
    <w:p w:rsidR="00000000" w:rsidDel="00000000" w:rsidP="00000000" w:rsidRDefault="00000000" w:rsidRPr="00000000" w14:paraId="00000037">
      <w:pPr>
        <w:spacing w:line="360" w:lineRule="auto"/>
        <w:jc w:val="both"/>
        <w:rPr>
          <w:rFonts w:ascii="Arial" w:cs="Arial" w:eastAsia="Arial" w:hAnsi="Arial"/>
        </w:rPr>
      </w:pPr>
      <w:r w:rsidDel="00000000" w:rsidR="00000000" w:rsidRPr="00000000">
        <w:rPr>
          <w:rFonts w:ascii="Arial" w:cs="Arial" w:eastAsia="Arial" w:hAnsi="Arial"/>
          <w:rtl w:val="0"/>
        </w:rPr>
        <w:t xml:space="preserve">Gault, I., Shapcott, J., Luthi, A. and Reid, G. (2016) </w:t>
      </w:r>
      <w:r w:rsidDel="00000000" w:rsidR="00000000" w:rsidRPr="00000000">
        <w:rPr>
          <w:rFonts w:ascii="Arial" w:cs="Arial" w:eastAsia="Arial" w:hAnsi="Arial"/>
          <w:i w:val="1"/>
          <w:iCs w:val="1"/>
          <w:rtl w:val="0"/>
        </w:rPr>
        <w:t xml:space="preserve">Communication in nursing and healthcare: A guide for compassionate practice</w:t>
      </w:r>
      <w:r w:rsidDel="00000000" w:rsidR="00000000" w:rsidRPr="00000000">
        <w:rPr>
          <w:rFonts w:ascii="Arial" w:cs="Arial" w:eastAsia="Arial" w:hAnsi="Arial"/>
          <w:rtl w:val="0"/>
        </w:rPr>
        <w:t xml:space="preserve">. London: SAGE Publications.</w:t>
      </w:r>
    </w:p>
    <w:p w:rsidR="00000000" w:rsidDel="00000000" w:rsidP="00000000" w:rsidRDefault="00000000" w:rsidRPr="00000000" w14:paraId="00000038">
      <w:pPr>
        <w:spacing w:line="360" w:lineRule="auto"/>
        <w:jc w:val="both"/>
        <w:rPr>
          <w:rFonts w:ascii="Arial" w:cs="Arial" w:eastAsia="Arial" w:hAnsi="Arial"/>
        </w:rPr>
      </w:pPr>
      <w:r w:rsidDel="00000000" w:rsidR="00000000" w:rsidRPr="00000000">
        <w:rPr>
          <w:rFonts w:ascii="Arial" w:cs="Arial" w:eastAsia="Arial" w:hAnsi="Arial"/>
          <w:rtl w:val="0"/>
        </w:rPr>
        <w:t xml:space="preserve">Glasby, J. (2017) </w:t>
      </w:r>
      <w:r w:rsidDel="00000000" w:rsidR="00000000" w:rsidRPr="00000000">
        <w:rPr>
          <w:rFonts w:ascii="Arial" w:cs="Arial" w:eastAsia="Arial" w:hAnsi="Arial"/>
          <w:i w:val="1"/>
          <w:iCs w:val="1"/>
          <w:rtl w:val="0"/>
        </w:rPr>
        <w:t xml:space="preserve">Understanding health and social care</w:t>
      </w:r>
      <w:r w:rsidDel="00000000" w:rsidR="00000000" w:rsidRPr="00000000">
        <w:rPr>
          <w:rFonts w:ascii="Arial" w:cs="Arial" w:eastAsia="Arial" w:hAnsi="Arial"/>
          <w:rtl w:val="0"/>
        </w:rPr>
        <w:t xml:space="preserve">. 3rd edn. Bristol: Policy Press.</w:t>
      </w:r>
    </w:p>
    <w:p w:rsidR="00000000" w:rsidDel="00000000" w:rsidP="00000000" w:rsidRDefault="00000000" w:rsidRPr="00000000" w14:paraId="00000039">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Glasby, J. and Dickinson, H. (2014) </w:t>
      </w:r>
      <w:r w:rsidDel="00000000" w:rsidR="00000000" w:rsidRPr="00000000">
        <w:rPr>
          <w:rFonts w:ascii="Arial" w:cs="Arial" w:eastAsia="Arial" w:hAnsi="Arial"/>
          <w:i w:val="1"/>
          <w:iCs w:val="1"/>
          <w:rtl w:val="0"/>
        </w:rPr>
        <w:t xml:space="preserve">Partnership working in health and social care: What is integrated care and how can we deliver it?</w:t>
      </w:r>
      <w:r w:rsidDel="00000000" w:rsidR="00000000" w:rsidRPr="00000000">
        <w:rPr>
          <w:rFonts w:ascii="Arial" w:cs="Arial" w:eastAsia="Arial" w:hAnsi="Arial"/>
          <w:rtl w:val="0"/>
        </w:rPr>
        <w:t xml:space="preserve"> 2nd edn. Bristol: Policy Press.</w:t>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GOV.UK (2013).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Equality Act 2010</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GOV.UK. Available at: https://www.gov.uk/guidance/equality-act-2010-guidance [Accessed 15 July 2026].</w:t>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ICO (2023).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A Guide to the Data Protection Principles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Information Commissioner’s Office. Available at: https://ico.org.uk/for-organisations/uk-gdpr-guidance-and-resources/data-protection-principles/a-guide-to-the-data-protection-principles/ [Accessed 15 July 2026a].</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ICO (2023).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Data sharing: A code of practice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Ico.org.uk. Available at: https://ico.org.uk/for-organisations/uk-gdpr-guidance-and-resources/data-sharing/data-sharing-a-code-of-practice/ [Accessed 15 July 2026b].</w:t>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NHS (2023).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Communicating with Someone with Dementia</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NHS. Available at: https://www.nhs.uk/conditions/dementia/living-with-dementia/communication/ [Accessed 15 July 2026].</w:t>
      </w:r>
    </w:p>
    <w:sectPr>
      <w:footerReference r:id="rId15" w:type="default"/>
      <w:type w:val="nextPage"/>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Cambria"/>
  <w:font w:name="Times New Roman"/>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footer4.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20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480" w:lineRule="auto"/>
    </w:pPr>
    <w:rPr>
      <w:rFonts w:ascii="Cambria" w:cs="Cambria" w:eastAsia="Cambria" w:hAnsi="Cambria"/>
      <w:b w:val="1"/>
      <w:bCs w:val="1"/>
      <w:color w:val="366091"/>
      <w:sz w:val="28"/>
      <w:szCs w:val="28"/>
    </w:rPr>
  </w:style>
  <w:style w:type="paragraph" w:styleId="Heading2">
    <w:name w:val="heading 2"/>
    <w:basedOn w:val="Normal"/>
    <w:next w:val="Normal"/>
    <w:pPr>
      <w:spacing w:line="240" w:lineRule="auto"/>
    </w:pPr>
    <w:rPr>
      <w:rFonts w:ascii="Times New Roman" w:cs="Times New Roman" w:eastAsia="Times New Roman" w:hAnsi="Times New Roman"/>
      <w:b w:val="1"/>
      <w:bCs w:val="1"/>
      <w:sz w:val="36"/>
      <w:szCs w:val="36"/>
    </w:rPr>
  </w:style>
  <w:style w:type="paragraph" w:styleId="Heading3">
    <w:name w:val="heading 3"/>
    <w:basedOn w:val="Normal"/>
    <w:next w:val="Normal"/>
    <w:pPr>
      <w:spacing w:line="240" w:lineRule="auto"/>
    </w:pPr>
    <w:rPr>
      <w:rFonts w:ascii="Times New Roman" w:cs="Times New Roman" w:eastAsia="Times New Roman" w:hAnsi="Times New Roman"/>
      <w:b w:val="1"/>
      <w:bCs w:val="1"/>
      <w:sz w:val="27"/>
      <w:szCs w:val="27"/>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footer" Target="footer2.xml"/><Relationship Id="rId10" Type="http://schemas.openxmlformats.org/officeDocument/2006/relationships/header" Target="header1.xml"/><Relationship Id="rId13" Type="http://schemas.openxmlformats.org/officeDocument/2006/relationships/footer" Target="footer1.xml"/><Relationship Id="rId12" Type="http://schemas.openxmlformats.org/officeDocument/2006/relationships/footer" Target="footer3.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3.xml"/><Relationship Id="rId15" Type="http://schemas.openxmlformats.org/officeDocument/2006/relationships/footer" Target="footer4.xml"/><Relationship Id="rId14" Type="http://schemas.openxmlformats.org/officeDocument/2006/relationships/image" Target="media/image2.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mopJDhJVk02nLoPTa1SXCjwxTcw==">CgMxLjAyDmgueHhlZDQ0d282YThnMg5oLjZ1ejNrYnNhbWs5ajIOaC5pZWV6bWlhM3Q1cXoyDmguaW1tbnhpZnRiNWdnMg5oLm0wdWttYXhsazBuYjIOaC51eG5tbWpvOXd5OXo4AHIhMVlMVDZsUE9ydm1wNVFmdWMxREhRbkNzakVMaWxUckNt</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