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68862" w14:textId="77777777" w:rsidR="00F3605C" w:rsidRPr="00354029" w:rsidRDefault="00F3605C" w:rsidP="00F3605C">
      <w:pPr>
        <w:jc w:val="center"/>
        <w:rPr>
          <w:b/>
          <w:bCs/>
          <w:sz w:val="28"/>
          <w:szCs w:val="32"/>
        </w:rPr>
      </w:pPr>
      <w:r w:rsidRPr="00354029">
        <w:rPr>
          <w:b/>
          <w:bCs/>
          <w:sz w:val="28"/>
          <w:szCs w:val="32"/>
        </w:rPr>
        <w:t>Course: BSc (Hons) Health and Social Care</w:t>
      </w:r>
    </w:p>
    <w:p w14:paraId="4E3B1A80" w14:textId="77777777" w:rsidR="00F3605C" w:rsidRPr="00354029" w:rsidRDefault="00F3605C" w:rsidP="00F3605C">
      <w:pPr>
        <w:jc w:val="center"/>
        <w:rPr>
          <w:b/>
          <w:bCs/>
          <w:sz w:val="28"/>
          <w:szCs w:val="32"/>
        </w:rPr>
      </w:pPr>
      <w:r w:rsidRPr="00354029">
        <w:rPr>
          <w:b/>
          <w:bCs/>
          <w:sz w:val="28"/>
          <w:szCs w:val="32"/>
        </w:rPr>
        <w:t>Module: Independent Project (BMHP6020_BIRM)</w:t>
      </w:r>
    </w:p>
    <w:p w14:paraId="4C7486ED" w14:textId="77777777" w:rsidR="00F3605C" w:rsidRPr="00354029" w:rsidRDefault="00F3605C" w:rsidP="00F3605C">
      <w:pPr>
        <w:jc w:val="center"/>
        <w:rPr>
          <w:b/>
          <w:bCs/>
          <w:sz w:val="28"/>
          <w:szCs w:val="32"/>
        </w:rPr>
      </w:pPr>
    </w:p>
    <w:p w14:paraId="2D69178D" w14:textId="77777777" w:rsidR="00F3605C" w:rsidRPr="00354029" w:rsidRDefault="00F3605C" w:rsidP="00F3605C">
      <w:pPr>
        <w:jc w:val="center"/>
        <w:rPr>
          <w:b/>
          <w:bCs/>
          <w:sz w:val="28"/>
          <w:szCs w:val="32"/>
        </w:rPr>
      </w:pPr>
      <w:r w:rsidRPr="00354029">
        <w:rPr>
          <w:b/>
          <w:bCs/>
          <w:sz w:val="28"/>
          <w:szCs w:val="32"/>
        </w:rPr>
        <w:t>Component 1: Element 1 - Project Proposal</w:t>
      </w:r>
    </w:p>
    <w:p w14:paraId="33B953D1" w14:textId="77777777" w:rsidR="00F3605C" w:rsidRDefault="00F3605C" w:rsidP="00F3605C">
      <w:pPr>
        <w:jc w:val="center"/>
        <w:rPr>
          <w:b/>
          <w:bCs/>
          <w:sz w:val="28"/>
          <w:szCs w:val="32"/>
        </w:rPr>
      </w:pPr>
    </w:p>
    <w:p w14:paraId="67D1395D" w14:textId="77777777" w:rsidR="00F3605C" w:rsidRDefault="00F3605C" w:rsidP="00F3605C">
      <w:pPr>
        <w:jc w:val="center"/>
        <w:rPr>
          <w:b/>
          <w:bCs/>
          <w:sz w:val="28"/>
          <w:szCs w:val="32"/>
        </w:rPr>
      </w:pPr>
    </w:p>
    <w:p w14:paraId="609286B7" w14:textId="77777777" w:rsidR="00F3605C" w:rsidRPr="00354029" w:rsidRDefault="00F3605C" w:rsidP="00F3605C">
      <w:pPr>
        <w:jc w:val="center"/>
        <w:rPr>
          <w:b/>
          <w:bCs/>
          <w:sz w:val="28"/>
          <w:szCs w:val="32"/>
        </w:rPr>
      </w:pPr>
    </w:p>
    <w:p w14:paraId="704703D4" w14:textId="072EB74B" w:rsidR="00F3605C" w:rsidRPr="00354029" w:rsidRDefault="00F3605C" w:rsidP="00F3605C">
      <w:pPr>
        <w:rPr>
          <w:b/>
          <w:bCs/>
          <w:sz w:val="28"/>
          <w:szCs w:val="32"/>
        </w:rPr>
      </w:pPr>
      <w:r w:rsidRPr="00354029">
        <w:rPr>
          <w:b/>
          <w:bCs/>
          <w:sz w:val="28"/>
          <w:szCs w:val="32"/>
        </w:rPr>
        <w:t>Student ID:</w:t>
      </w:r>
      <w:r w:rsidR="00FF4F51">
        <w:rPr>
          <w:b/>
          <w:bCs/>
          <w:sz w:val="28"/>
          <w:szCs w:val="32"/>
          <w:lang w:val="en-GB"/>
        </w:rPr>
        <w:t xml:space="preserve"> 2246128</w:t>
      </w:r>
    </w:p>
    <w:p w14:paraId="6F6AC4B0" w14:textId="63109195" w:rsidR="00F3605C" w:rsidRPr="00354029" w:rsidRDefault="00F3605C" w:rsidP="00F3605C">
      <w:pPr>
        <w:rPr>
          <w:b/>
          <w:bCs/>
          <w:sz w:val="28"/>
          <w:szCs w:val="32"/>
          <w:lang w:val="en-GB"/>
        </w:rPr>
      </w:pPr>
      <w:r w:rsidRPr="00354029">
        <w:rPr>
          <w:b/>
          <w:bCs/>
          <w:sz w:val="28"/>
          <w:szCs w:val="32"/>
        </w:rPr>
        <w:t>Student Name:</w:t>
      </w:r>
      <w:r w:rsidR="00FF4F51">
        <w:rPr>
          <w:b/>
          <w:bCs/>
          <w:sz w:val="28"/>
          <w:szCs w:val="32"/>
          <w:lang w:val="en-GB"/>
        </w:rPr>
        <w:t xml:space="preserve"> Kamran Khan</w:t>
      </w:r>
    </w:p>
    <w:p w14:paraId="6E088AB2" w14:textId="77777777" w:rsidR="00F3605C" w:rsidRPr="00354029" w:rsidRDefault="00F3605C" w:rsidP="00F3605C">
      <w:pPr>
        <w:jc w:val="center"/>
        <w:rPr>
          <w:b/>
          <w:bCs/>
          <w:sz w:val="28"/>
          <w:szCs w:val="32"/>
          <w:lang w:val="en-GB"/>
        </w:rPr>
      </w:pPr>
    </w:p>
    <w:p w14:paraId="58BDCB1E" w14:textId="77777777" w:rsidR="00F3605C" w:rsidRDefault="00F3605C" w:rsidP="00F3605C">
      <w:pPr>
        <w:jc w:val="both"/>
        <w:rPr>
          <w:lang w:val="en-GB"/>
        </w:rPr>
      </w:pPr>
    </w:p>
    <w:p w14:paraId="042632DE" w14:textId="77777777" w:rsidR="00F3605C" w:rsidRDefault="00F3605C" w:rsidP="00F3605C">
      <w:pPr>
        <w:jc w:val="both"/>
        <w:rPr>
          <w:lang w:val="en-GB"/>
        </w:rPr>
      </w:pPr>
    </w:p>
    <w:p w14:paraId="487A1084" w14:textId="77777777" w:rsidR="00F3605C" w:rsidRDefault="00F3605C" w:rsidP="00F3605C">
      <w:pPr>
        <w:jc w:val="both"/>
        <w:rPr>
          <w:lang w:val="en-GB"/>
        </w:rPr>
      </w:pPr>
    </w:p>
    <w:p w14:paraId="0DD875B1" w14:textId="77777777" w:rsidR="00F3605C" w:rsidRDefault="00F3605C" w:rsidP="00F3605C">
      <w:pPr>
        <w:jc w:val="both"/>
        <w:rPr>
          <w:lang w:val="en-GB"/>
        </w:rPr>
      </w:pPr>
    </w:p>
    <w:p w14:paraId="4427C3B1" w14:textId="77777777" w:rsidR="00F3605C" w:rsidRDefault="00F3605C" w:rsidP="00F3605C">
      <w:pPr>
        <w:jc w:val="both"/>
        <w:rPr>
          <w:lang w:val="en-GB"/>
        </w:rPr>
      </w:pPr>
    </w:p>
    <w:p w14:paraId="448B4693" w14:textId="77777777" w:rsidR="00F3605C" w:rsidRDefault="00F3605C" w:rsidP="00F3605C">
      <w:pPr>
        <w:jc w:val="both"/>
        <w:rPr>
          <w:lang w:val="en-GB"/>
        </w:rPr>
      </w:pPr>
    </w:p>
    <w:p w14:paraId="2E1F571C" w14:textId="77777777" w:rsidR="00F3605C" w:rsidRDefault="00F3605C" w:rsidP="00F3605C">
      <w:pPr>
        <w:jc w:val="both"/>
        <w:rPr>
          <w:lang w:val="en-GB"/>
        </w:rPr>
      </w:pPr>
    </w:p>
    <w:p w14:paraId="035DA19F" w14:textId="77777777" w:rsidR="00F3605C" w:rsidRDefault="00F3605C" w:rsidP="00F3605C">
      <w:pPr>
        <w:jc w:val="both"/>
        <w:rPr>
          <w:lang w:val="en-GB"/>
        </w:rPr>
      </w:pPr>
    </w:p>
    <w:p w14:paraId="3A0DF913" w14:textId="77777777" w:rsidR="00F3605C" w:rsidRDefault="00F3605C" w:rsidP="00F3605C">
      <w:pPr>
        <w:jc w:val="both"/>
        <w:rPr>
          <w:lang w:val="en-GB"/>
        </w:rPr>
      </w:pPr>
    </w:p>
    <w:p w14:paraId="45191D1A" w14:textId="77777777" w:rsidR="00F3605C" w:rsidRDefault="00F3605C" w:rsidP="00F3605C">
      <w:pPr>
        <w:jc w:val="both"/>
        <w:rPr>
          <w:lang w:val="en-GB"/>
        </w:rPr>
      </w:pPr>
    </w:p>
    <w:p w14:paraId="6F7E480F" w14:textId="77777777" w:rsidR="00F3605C" w:rsidRDefault="00F3605C" w:rsidP="00F3605C">
      <w:pPr>
        <w:jc w:val="both"/>
        <w:rPr>
          <w:lang w:val="en-GB"/>
        </w:rPr>
      </w:pPr>
    </w:p>
    <w:p w14:paraId="5A9F4A94" w14:textId="77777777" w:rsidR="00F3605C" w:rsidRDefault="00F3605C" w:rsidP="00F3605C">
      <w:pPr>
        <w:jc w:val="both"/>
        <w:rPr>
          <w:lang w:val="en-GB"/>
        </w:rPr>
      </w:pPr>
    </w:p>
    <w:p w14:paraId="7A3CDD64" w14:textId="77777777" w:rsidR="00F3605C" w:rsidRDefault="00F3605C" w:rsidP="00F3605C">
      <w:pPr>
        <w:jc w:val="both"/>
        <w:rPr>
          <w:lang w:val="en-GB"/>
        </w:rPr>
      </w:pPr>
    </w:p>
    <w:p w14:paraId="66029708" w14:textId="77777777" w:rsidR="00F3605C" w:rsidRDefault="00F3605C" w:rsidP="00F3605C">
      <w:pPr>
        <w:jc w:val="both"/>
        <w:rPr>
          <w:lang w:val="en-GB"/>
        </w:rPr>
      </w:pPr>
    </w:p>
    <w:p w14:paraId="2BFCF598" w14:textId="77777777" w:rsidR="00F3605C" w:rsidRPr="0073153F" w:rsidRDefault="00F3605C" w:rsidP="00F3605C">
      <w:pPr>
        <w:jc w:val="center"/>
        <w:rPr>
          <w:b/>
          <w:bCs/>
          <w:sz w:val="28"/>
          <w:szCs w:val="32"/>
        </w:rPr>
      </w:pPr>
      <w:r w:rsidRPr="0073153F">
        <w:rPr>
          <w:b/>
          <w:bCs/>
          <w:sz w:val="28"/>
          <w:szCs w:val="32"/>
        </w:rPr>
        <w:t>Element 1 - Project Proposal</w:t>
      </w:r>
    </w:p>
    <w:p w14:paraId="22669C4A" w14:textId="20F8E2F1" w:rsidR="00F3605C" w:rsidRDefault="00F3605C" w:rsidP="00F3605C">
      <w:pPr>
        <w:jc w:val="center"/>
        <w:rPr>
          <w:b/>
          <w:bCs/>
          <w:sz w:val="28"/>
          <w:szCs w:val="32"/>
          <w:lang w:val="en-GB"/>
        </w:rPr>
      </w:pPr>
      <w:r w:rsidRPr="0073153F">
        <w:rPr>
          <w:b/>
          <w:bCs/>
          <w:sz w:val="28"/>
          <w:szCs w:val="32"/>
        </w:rPr>
        <w:t xml:space="preserve">My Project Title: </w:t>
      </w:r>
      <w:r w:rsidRPr="00F3605C">
        <w:rPr>
          <w:b/>
          <w:bCs/>
          <w:sz w:val="28"/>
          <w:szCs w:val="32"/>
          <w:lang w:val="en-GB"/>
        </w:rPr>
        <w:t>Comparing Mental Health Outcomes and Academic Success Among Foster Care and Non-Foster Care Graduates</w:t>
      </w:r>
    </w:p>
    <w:p w14:paraId="0899F0B2" w14:textId="77777777" w:rsidR="00F3605C" w:rsidRDefault="00F3605C" w:rsidP="00F3605C">
      <w:pPr>
        <w:jc w:val="center"/>
        <w:rPr>
          <w:b/>
          <w:bCs/>
          <w:sz w:val="28"/>
          <w:szCs w:val="32"/>
          <w:lang w:val="en-GB"/>
        </w:rPr>
      </w:pPr>
    </w:p>
    <w:p w14:paraId="192C9D7B" w14:textId="77777777" w:rsidR="009D5BAE" w:rsidRDefault="00F60B07" w:rsidP="00BB4719">
      <w:pPr>
        <w:pStyle w:val="Heading1"/>
        <w:rPr>
          <w:lang w:eastAsia="en-GB"/>
        </w:rPr>
      </w:pPr>
      <w:r w:rsidRPr="00C30A4F">
        <w:rPr>
          <w:rFonts w:eastAsia="Times New Roman"/>
          <w:lang w:eastAsia="en-GB"/>
        </w:rPr>
        <w:t xml:space="preserve">Aim </w:t>
      </w:r>
    </w:p>
    <w:p w14:paraId="100E7A9C" w14:textId="555D3B9C" w:rsidR="00F60B07" w:rsidRPr="009D5BAE" w:rsidRDefault="007F73BD" w:rsidP="009D5BAE">
      <w:pPr>
        <w:jc w:val="both"/>
        <w:rPr>
          <w:szCs w:val="22"/>
          <w:lang w:eastAsia="en-GB"/>
        </w:rPr>
      </w:pPr>
      <w:r>
        <w:t xml:space="preserve">To conduct a </w:t>
      </w:r>
      <w:r w:rsidRPr="008427C4">
        <w:rPr>
          <w:rStyle w:val="Strong"/>
          <w:b w:val="0"/>
          <w:bCs w:val="0"/>
        </w:rPr>
        <w:t>systematic literature review</w:t>
      </w:r>
      <w:r>
        <w:t xml:space="preserve"> comparing mental health outcomes and academic success between graduates </w:t>
      </w:r>
      <w:r w:rsidRPr="008427C4">
        <w:rPr>
          <w:rStyle w:val="Strong"/>
          <w:b w:val="0"/>
          <w:bCs w:val="0"/>
        </w:rPr>
        <w:t>with vs. without</w:t>
      </w:r>
      <w:r>
        <w:t xml:space="preserve"> foster-care histories, identify key disparities and protective factors, and produce actionable recommendations for universities, services, and policymakers</w:t>
      </w:r>
      <w:r w:rsidR="00F60B07" w:rsidRPr="00C30A4F">
        <w:rPr>
          <w:kern w:val="0"/>
          <w:szCs w:val="22"/>
          <w:lang w:eastAsia="en-GB"/>
        </w:rPr>
        <w:t>.</w:t>
      </w:r>
    </w:p>
    <w:p w14:paraId="6E6A7CB0" w14:textId="77777777" w:rsidR="009D5BAE" w:rsidRDefault="00F60B07" w:rsidP="00BB4719">
      <w:pPr>
        <w:pStyle w:val="Heading1"/>
        <w:rPr>
          <w:lang w:eastAsia="en-GB"/>
        </w:rPr>
      </w:pPr>
      <w:r w:rsidRPr="00C30A4F">
        <w:rPr>
          <w:rFonts w:eastAsia="Times New Roman"/>
          <w:lang w:eastAsia="en-GB"/>
        </w:rPr>
        <w:t xml:space="preserve">Objectives </w:t>
      </w:r>
    </w:p>
    <w:p w14:paraId="13760BE2" w14:textId="21DE763B" w:rsidR="005666E3" w:rsidRPr="00394A26" w:rsidRDefault="005666E3" w:rsidP="00394A26">
      <w:pPr>
        <w:pStyle w:val="ListParagraph"/>
        <w:numPr>
          <w:ilvl w:val="0"/>
          <w:numId w:val="4"/>
        </w:numPr>
        <w:jc w:val="both"/>
        <w:rPr>
          <w:szCs w:val="22"/>
          <w:lang w:eastAsia="en-GB"/>
        </w:rPr>
      </w:pPr>
      <w:r w:rsidRPr="00394A26">
        <w:rPr>
          <w:rStyle w:val="Strong"/>
          <w:b w:val="0"/>
          <w:bCs w:val="0"/>
          <w:szCs w:val="22"/>
        </w:rPr>
        <w:t>To define and examine</w:t>
      </w:r>
      <w:r w:rsidRPr="00394A26">
        <w:rPr>
          <w:szCs w:val="22"/>
        </w:rPr>
        <w:t xml:space="preserve"> the key mental health challenges experienced by foster care graduates compared to their non-foster care peers, drawing on existing academic literature and policy reports.</w:t>
      </w:r>
    </w:p>
    <w:p w14:paraId="32B2AB41" w14:textId="77777777" w:rsidR="005666E3" w:rsidRPr="00394A26" w:rsidRDefault="005666E3" w:rsidP="00394A26">
      <w:pPr>
        <w:pStyle w:val="ListParagraph"/>
        <w:numPr>
          <w:ilvl w:val="0"/>
          <w:numId w:val="4"/>
        </w:numPr>
        <w:jc w:val="both"/>
        <w:rPr>
          <w:szCs w:val="22"/>
        </w:rPr>
      </w:pPr>
      <w:r w:rsidRPr="00394A26">
        <w:rPr>
          <w:rStyle w:val="Strong"/>
          <w:b w:val="0"/>
          <w:bCs w:val="0"/>
          <w:szCs w:val="22"/>
        </w:rPr>
        <w:t>To analyse</w:t>
      </w:r>
      <w:r w:rsidRPr="00394A26">
        <w:rPr>
          <w:szCs w:val="22"/>
        </w:rPr>
        <w:t xml:space="preserve"> the relationship between mental health outcomes and academic performance, with particular attention to patterns of resilience and barriers to success in both groups.</w:t>
      </w:r>
    </w:p>
    <w:p w14:paraId="0B60A167" w14:textId="77777777" w:rsidR="005666E3" w:rsidRPr="00394A26" w:rsidRDefault="005666E3" w:rsidP="00394A26">
      <w:pPr>
        <w:pStyle w:val="ListParagraph"/>
        <w:numPr>
          <w:ilvl w:val="0"/>
          <w:numId w:val="4"/>
        </w:numPr>
        <w:jc w:val="both"/>
        <w:rPr>
          <w:szCs w:val="22"/>
        </w:rPr>
      </w:pPr>
      <w:r w:rsidRPr="00394A26">
        <w:rPr>
          <w:rStyle w:val="Strong"/>
          <w:b w:val="0"/>
          <w:bCs w:val="0"/>
          <w:szCs w:val="22"/>
        </w:rPr>
        <w:t>To evaluate</w:t>
      </w:r>
      <w:r w:rsidRPr="00394A26">
        <w:rPr>
          <w:szCs w:val="22"/>
        </w:rPr>
        <w:t xml:space="preserve"> the extent to which existing educational and support interventions address the unique needs of foster care graduates in higher education contexts.</w:t>
      </w:r>
    </w:p>
    <w:p w14:paraId="179B538B" w14:textId="387BD63E" w:rsidR="00F60B07" w:rsidRPr="00394A26" w:rsidRDefault="005666E3" w:rsidP="00394A26">
      <w:pPr>
        <w:pStyle w:val="ListParagraph"/>
        <w:numPr>
          <w:ilvl w:val="0"/>
          <w:numId w:val="4"/>
        </w:numPr>
        <w:jc w:val="both"/>
        <w:rPr>
          <w:kern w:val="0"/>
          <w:szCs w:val="22"/>
          <w:lang w:eastAsia="en-GB"/>
        </w:rPr>
      </w:pPr>
      <w:r w:rsidRPr="00394A26">
        <w:rPr>
          <w:rStyle w:val="Strong"/>
          <w:b w:val="0"/>
          <w:bCs w:val="0"/>
          <w:szCs w:val="22"/>
        </w:rPr>
        <w:t>To provide recommendations</w:t>
      </w:r>
      <w:r w:rsidRPr="00394A26">
        <w:rPr>
          <w:szCs w:val="22"/>
        </w:rPr>
        <w:t xml:space="preserve"> for policymakers, educators, and mental health professionals on strategies to enhance academic achievement and psychological wellbeing among foster care graduates</w:t>
      </w:r>
      <w:r w:rsidR="00F60B07" w:rsidRPr="00394A26">
        <w:rPr>
          <w:kern w:val="0"/>
          <w:szCs w:val="22"/>
          <w:lang w:eastAsia="en-GB"/>
        </w:rPr>
        <w:t>.</w:t>
      </w:r>
    </w:p>
    <w:p w14:paraId="70C5199D" w14:textId="77777777" w:rsidR="009D5BAE" w:rsidRDefault="00F60B07" w:rsidP="00BB4719">
      <w:pPr>
        <w:pStyle w:val="Heading1"/>
        <w:rPr>
          <w:lang w:eastAsia="en-GB"/>
        </w:rPr>
      </w:pPr>
      <w:r w:rsidRPr="00C30A4F">
        <w:rPr>
          <w:rFonts w:eastAsia="Times New Roman"/>
          <w:lang w:eastAsia="en-GB"/>
        </w:rPr>
        <w:t>Background/Rationale</w:t>
      </w:r>
    </w:p>
    <w:p w14:paraId="1517FBF0" w14:textId="10B20C6D" w:rsidR="00F60B07" w:rsidRPr="009D5BAE" w:rsidRDefault="00F60B07" w:rsidP="009D5BAE">
      <w:pPr>
        <w:jc w:val="both"/>
        <w:rPr>
          <w:szCs w:val="22"/>
          <w:lang w:eastAsia="en-GB"/>
        </w:rPr>
      </w:pPr>
      <w:r w:rsidRPr="00C30A4F">
        <w:rPr>
          <w:kern w:val="0"/>
          <w:szCs w:val="22"/>
          <w:lang w:eastAsia="en-GB"/>
        </w:rPr>
        <w:t>Care-experienced young people often face disrupted schooling, housing instability, and elevated exposure to adversity</w:t>
      </w:r>
      <w:r w:rsidR="00DC73A7">
        <w:rPr>
          <w:kern w:val="0"/>
          <w:szCs w:val="22"/>
          <w:lang w:eastAsia="en-GB"/>
        </w:rPr>
        <w:t xml:space="preserve">, </w:t>
      </w:r>
      <w:r w:rsidRPr="00C30A4F">
        <w:rPr>
          <w:kern w:val="0"/>
          <w:szCs w:val="22"/>
          <w:lang w:eastAsia="en-GB"/>
        </w:rPr>
        <w:t>factors linked to poorer mental health and educational attainment</w:t>
      </w:r>
      <w:r w:rsidR="00DC73A7">
        <w:rPr>
          <w:kern w:val="0"/>
          <w:szCs w:val="22"/>
          <w:lang w:eastAsia="en-GB"/>
        </w:rPr>
        <w:t xml:space="preserve"> </w:t>
      </w:r>
      <w:r w:rsidR="00DC73A7">
        <w:t>(Ellis and Johnston, 2024)</w:t>
      </w:r>
      <w:r w:rsidRPr="00C30A4F">
        <w:rPr>
          <w:kern w:val="0"/>
          <w:szCs w:val="22"/>
          <w:lang w:eastAsia="en-GB"/>
        </w:rPr>
        <w:t xml:space="preserve">. Yet many universities </w:t>
      </w:r>
      <w:r w:rsidR="00DC73A7">
        <w:rPr>
          <w:kern w:val="0"/>
          <w:szCs w:val="22"/>
          <w:lang w:eastAsia="en-GB"/>
        </w:rPr>
        <w:t xml:space="preserve">globally and in England </w:t>
      </w:r>
      <w:r w:rsidRPr="00C30A4F">
        <w:rPr>
          <w:kern w:val="0"/>
          <w:szCs w:val="22"/>
          <w:lang w:eastAsia="en-GB"/>
        </w:rPr>
        <w:t>report successful completion among care-experienced students when appropriate supports are available</w:t>
      </w:r>
      <w:r w:rsidR="00DC73A7">
        <w:rPr>
          <w:kern w:val="0"/>
          <w:szCs w:val="22"/>
          <w:lang w:eastAsia="en-GB"/>
        </w:rPr>
        <w:t xml:space="preserve"> </w:t>
      </w:r>
      <w:r w:rsidR="00DC73A7">
        <w:t>(Harrison, 2019)</w:t>
      </w:r>
      <w:r w:rsidRPr="00C30A4F">
        <w:rPr>
          <w:kern w:val="0"/>
          <w:szCs w:val="22"/>
          <w:lang w:eastAsia="en-GB"/>
        </w:rPr>
        <w:t>. The literature is sizeable but scattered: some studies focus on school-age cohorts or “care leavers” prior to higher education</w:t>
      </w:r>
      <w:r w:rsidR="00566D74">
        <w:rPr>
          <w:kern w:val="0"/>
          <w:szCs w:val="22"/>
          <w:lang w:eastAsia="en-GB"/>
        </w:rPr>
        <w:t xml:space="preserve"> </w:t>
      </w:r>
      <w:r w:rsidR="00566D74">
        <w:t>(Pecora and O’Brien, 2019)</w:t>
      </w:r>
      <w:r w:rsidRPr="00C30A4F">
        <w:rPr>
          <w:kern w:val="0"/>
          <w:szCs w:val="22"/>
          <w:lang w:eastAsia="en-GB"/>
        </w:rPr>
        <w:t>, while others aggregate adversity without distinguishing foster care histories</w:t>
      </w:r>
      <w:r w:rsidR="00566D74">
        <w:rPr>
          <w:kern w:val="0"/>
          <w:szCs w:val="22"/>
          <w:lang w:eastAsia="en-GB"/>
        </w:rPr>
        <w:t xml:space="preserve"> </w:t>
      </w:r>
      <w:r w:rsidR="00566D74">
        <w:t xml:space="preserve">(Kothari </w:t>
      </w:r>
      <w:r w:rsidR="00566D74">
        <w:rPr>
          <w:i/>
          <w:iCs/>
        </w:rPr>
        <w:t>et al.</w:t>
      </w:r>
      <w:r w:rsidR="00566D74">
        <w:t>, 2021)</w:t>
      </w:r>
      <w:r w:rsidRPr="00C30A4F">
        <w:rPr>
          <w:kern w:val="0"/>
          <w:szCs w:val="22"/>
          <w:lang w:eastAsia="en-GB"/>
        </w:rPr>
        <w:t>. Graduate-level outcomes remain under-synthesised, particularly the joint picture of mental health and academic achievement post-graduation. For health and social care</w:t>
      </w:r>
      <w:r w:rsidR="00566D74">
        <w:rPr>
          <w:kern w:val="0"/>
          <w:szCs w:val="22"/>
          <w:lang w:eastAsia="en-GB"/>
        </w:rPr>
        <w:t xml:space="preserve"> </w:t>
      </w:r>
      <w:r w:rsidRPr="00C30A4F">
        <w:rPr>
          <w:kern w:val="0"/>
          <w:szCs w:val="22"/>
          <w:lang w:eastAsia="en-GB"/>
        </w:rPr>
        <w:t>and for widening participation teams</w:t>
      </w:r>
      <w:r w:rsidR="00566D74">
        <w:rPr>
          <w:kern w:val="0"/>
          <w:szCs w:val="22"/>
          <w:lang w:eastAsia="en-GB"/>
        </w:rPr>
        <w:t xml:space="preserve">, </w:t>
      </w:r>
      <w:r w:rsidRPr="00C30A4F">
        <w:rPr>
          <w:kern w:val="0"/>
          <w:szCs w:val="22"/>
          <w:lang w:eastAsia="en-GB"/>
        </w:rPr>
        <w:t>clear, comparative evidence is needed to identify where the biggest gaps persist and which interventions close them. This review addresses that need by collating studies that explicitly compare foster care and non-foster care graduates, integrating mental-health and academic endpoints, and highlighting contextual levers (placement stability, financial aid, targeted services). Findings will inform trauma-aware practice, degree-to-work transitions, and resource allocation within universities and community providers.</w:t>
      </w:r>
    </w:p>
    <w:p w14:paraId="37792311" w14:textId="77777777" w:rsidR="009D5BAE" w:rsidRDefault="00F60B07" w:rsidP="00BB4719">
      <w:pPr>
        <w:pStyle w:val="Heading1"/>
        <w:rPr>
          <w:lang w:eastAsia="en-GB"/>
        </w:rPr>
      </w:pPr>
      <w:r w:rsidRPr="00C30A4F">
        <w:rPr>
          <w:rFonts w:eastAsia="Times New Roman"/>
          <w:lang w:eastAsia="en-GB"/>
        </w:rPr>
        <w:t xml:space="preserve">Methods </w:t>
      </w:r>
    </w:p>
    <w:p w14:paraId="03F28761" w14:textId="77777777" w:rsidR="00BB4719" w:rsidRPr="00BB4719" w:rsidRDefault="00F60B07" w:rsidP="00BB4719">
      <w:pPr>
        <w:pStyle w:val="Heading2"/>
      </w:pPr>
      <w:r w:rsidRPr="00BB4719">
        <w:t>Data sources</w:t>
      </w:r>
    </w:p>
    <w:p w14:paraId="63DCD268" w14:textId="0FA339F1" w:rsidR="009D5BAE" w:rsidRDefault="00F60B07" w:rsidP="009D5BAE">
      <w:pPr>
        <w:jc w:val="both"/>
        <w:rPr>
          <w:kern w:val="0"/>
          <w:szCs w:val="22"/>
          <w:lang w:eastAsia="en-GB"/>
        </w:rPr>
      </w:pPr>
      <w:r w:rsidRPr="00C30A4F">
        <w:rPr>
          <w:kern w:val="0"/>
          <w:szCs w:val="22"/>
          <w:lang w:eastAsia="en-GB"/>
        </w:rPr>
        <w:t>Peer-reviewed journal articles, grey literature (government/NGO reports), and policy documents.</w:t>
      </w:r>
    </w:p>
    <w:p w14:paraId="5F5F6566" w14:textId="77777777" w:rsidR="00BB4719" w:rsidRPr="00BB4719" w:rsidRDefault="00F60B07" w:rsidP="00BB4719">
      <w:pPr>
        <w:pStyle w:val="Heading2"/>
      </w:pPr>
      <w:r w:rsidRPr="00BB4719">
        <w:t>Eligibility</w:t>
      </w:r>
    </w:p>
    <w:p w14:paraId="61E75FB4" w14:textId="50EFB00E" w:rsidR="009D5BAE" w:rsidRDefault="00F60B07" w:rsidP="009D5BAE">
      <w:pPr>
        <w:jc w:val="both"/>
        <w:rPr>
          <w:kern w:val="0"/>
          <w:szCs w:val="22"/>
          <w:lang w:eastAsia="en-GB"/>
        </w:rPr>
      </w:pPr>
      <w:r w:rsidRPr="00C30A4F">
        <w:rPr>
          <w:kern w:val="0"/>
          <w:szCs w:val="22"/>
          <w:lang w:eastAsia="en-GB"/>
        </w:rPr>
        <w:t>2010–2025; samples including graduates (post-secondary completers) with explicit foster-care history; a comparator non-foster cohort; outcomes on mental health and/or academic success; quantitative, qualitative, or mixed methods.</w:t>
      </w:r>
    </w:p>
    <w:p w14:paraId="788051B5" w14:textId="77777777" w:rsidR="00BB4719" w:rsidRPr="00BB4719" w:rsidRDefault="00F60B07" w:rsidP="00BB4719">
      <w:pPr>
        <w:pStyle w:val="Heading2"/>
      </w:pPr>
      <w:r w:rsidRPr="00BB4719">
        <w:t>Search &amp; screening</w:t>
      </w:r>
    </w:p>
    <w:p w14:paraId="1C046516" w14:textId="60B4D870" w:rsidR="009D5BAE" w:rsidRDefault="00F60B07" w:rsidP="009D5BAE">
      <w:pPr>
        <w:jc w:val="both"/>
        <w:rPr>
          <w:kern w:val="0"/>
          <w:szCs w:val="22"/>
          <w:lang w:eastAsia="en-GB"/>
        </w:rPr>
      </w:pPr>
      <w:r w:rsidRPr="00C30A4F">
        <w:rPr>
          <w:kern w:val="0"/>
          <w:szCs w:val="22"/>
          <w:lang w:eastAsia="en-GB"/>
        </w:rPr>
        <w:t>Systematic searches in PubMed/MEDLINE, PsycINFO, Scopus, ERIC, CINAHL; PRISMA flow for identification to inclusion.</w:t>
      </w:r>
      <w:r w:rsidR="00845851">
        <w:rPr>
          <w:kern w:val="0"/>
          <w:szCs w:val="22"/>
          <w:lang w:eastAsia="en-GB"/>
        </w:rPr>
        <w:t xml:space="preserve"> Data extraction table for screening and arranging studies.</w:t>
      </w:r>
    </w:p>
    <w:p w14:paraId="72CE0ABD" w14:textId="0B81B24B" w:rsidR="00A0221A" w:rsidRDefault="00A0221A" w:rsidP="00A0221A">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rPr>
          <w:lang w:val="en-GB"/>
        </w:rPr>
        <w:t>: Data extraction Table</w:t>
      </w:r>
    </w:p>
    <w:tbl>
      <w:tblPr>
        <w:tblStyle w:val="TableGrid"/>
        <w:tblW w:w="0" w:type="auto"/>
        <w:tblLook w:val="04A0" w:firstRow="1" w:lastRow="0" w:firstColumn="1" w:lastColumn="0" w:noHBand="0" w:noVBand="1"/>
      </w:tblPr>
      <w:tblGrid>
        <w:gridCol w:w="2254"/>
        <w:gridCol w:w="2254"/>
        <w:gridCol w:w="2254"/>
        <w:gridCol w:w="2254"/>
      </w:tblGrid>
      <w:tr w:rsidR="00845851" w14:paraId="6E410402" w14:textId="77777777" w:rsidTr="00845851">
        <w:tc>
          <w:tcPr>
            <w:tcW w:w="2254" w:type="dxa"/>
          </w:tcPr>
          <w:p w14:paraId="412D3AD5" w14:textId="1B7D873A" w:rsidR="00845851" w:rsidRPr="00CB1D0B" w:rsidRDefault="00845851" w:rsidP="009D5BAE">
            <w:pPr>
              <w:jc w:val="both"/>
              <w:rPr>
                <w:b/>
                <w:bCs/>
                <w:kern w:val="0"/>
                <w:szCs w:val="22"/>
                <w:lang w:eastAsia="en-GB"/>
              </w:rPr>
            </w:pPr>
            <w:r w:rsidRPr="00CB1D0B">
              <w:rPr>
                <w:b/>
                <w:bCs/>
                <w:kern w:val="0"/>
                <w:szCs w:val="22"/>
                <w:lang w:eastAsia="en-GB"/>
              </w:rPr>
              <w:t xml:space="preserve">Study </w:t>
            </w:r>
          </w:p>
        </w:tc>
        <w:tc>
          <w:tcPr>
            <w:tcW w:w="2254" w:type="dxa"/>
          </w:tcPr>
          <w:p w14:paraId="7F36D2DE" w14:textId="4DCA71C7" w:rsidR="00845851" w:rsidRPr="00CB1D0B" w:rsidRDefault="00845851" w:rsidP="009D5BAE">
            <w:pPr>
              <w:jc w:val="both"/>
              <w:rPr>
                <w:b/>
                <w:bCs/>
                <w:kern w:val="0"/>
                <w:szCs w:val="22"/>
                <w:lang w:eastAsia="en-GB"/>
              </w:rPr>
            </w:pPr>
            <w:r w:rsidRPr="00CB1D0B">
              <w:rPr>
                <w:b/>
                <w:bCs/>
                <w:kern w:val="0"/>
                <w:szCs w:val="22"/>
                <w:lang w:eastAsia="en-GB"/>
              </w:rPr>
              <w:t xml:space="preserve">Aim </w:t>
            </w:r>
          </w:p>
        </w:tc>
        <w:tc>
          <w:tcPr>
            <w:tcW w:w="2254" w:type="dxa"/>
          </w:tcPr>
          <w:p w14:paraId="75449883" w14:textId="584ED769" w:rsidR="00845851" w:rsidRPr="00CB1D0B" w:rsidRDefault="00845851" w:rsidP="009D5BAE">
            <w:pPr>
              <w:jc w:val="both"/>
              <w:rPr>
                <w:b/>
                <w:bCs/>
                <w:kern w:val="0"/>
                <w:szCs w:val="22"/>
                <w:lang w:eastAsia="en-GB"/>
              </w:rPr>
            </w:pPr>
            <w:r w:rsidRPr="00CB1D0B">
              <w:rPr>
                <w:b/>
                <w:bCs/>
                <w:kern w:val="0"/>
                <w:szCs w:val="22"/>
                <w:lang w:eastAsia="en-GB"/>
              </w:rPr>
              <w:t xml:space="preserve">Method </w:t>
            </w:r>
          </w:p>
        </w:tc>
        <w:tc>
          <w:tcPr>
            <w:tcW w:w="2254" w:type="dxa"/>
          </w:tcPr>
          <w:p w14:paraId="639BE22F" w14:textId="151327E3" w:rsidR="00845851" w:rsidRPr="00CB1D0B" w:rsidRDefault="00845851" w:rsidP="009D5BAE">
            <w:pPr>
              <w:jc w:val="both"/>
              <w:rPr>
                <w:b/>
                <w:bCs/>
                <w:kern w:val="0"/>
                <w:szCs w:val="22"/>
                <w:lang w:eastAsia="en-GB"/>
              </w:rPr>
            </w:pPr>
            <w:r w:rsidRPr="00CB1D0B">
              <w:rPr>
                <w:b/>
                <w:bCs/>
                <w:kern w:val="0"/>
                <w:szCs w:val="22"/>
                <w:lang w:eastAsia="en-GB"/>
              </w:rPr>
              <w:t xml:space="preserve">Findings </w:t>
            </w:r>
          </w:p>
        </w:tc>
      </w:tr>
      <w:tr w:rsidR="00845851" w14:paraId="12F19147" w14:textId="77777777" w:rsidTr="00845851">
        <w:tc>
          <w:tcPr>
            <w:tcW w:w="2254" w:type="dxa"/>
          </w:tcPr>
          <w:p w14:paraId="4F439FE3" w14:textId="77777777" w:rsidR="00845851" w:rsidRDefault="00845851" w:rsidP="009D5BAE">
            <w:pPr>
              <w:jc w:val="both"/>
              <w:rPr>
                <w:kern w:val="0"/>
                <w:szCs w:val="22"/>
                <w:lang w:eastAsia="en-GB"/>
              </w:rPr>
            </w:pPr>
          </w:p>
        </w:tc>
        <w:tc>
          <w:tcPr>
            <w:tcW w:w="2254" w:type="dxa"/>
          </w:tcPr>
          <w:p w14:paraId="7059952A" w14:textId="77777777" w:rsidR="00845851" w:rsidRDefault="00845851" w:rsidP="009D5BAE">
            <w:pPr>
              <w:jc w:val="both"/>
              <w:rPr>
                <w:kern w:val="0"/>
                <w:szCs w:val="22"/>
                <w:lang w:eastAsia="en-GB"/>
              </w:rPr>
            </w:pPr>
          </w:p>
        </w:tc>
        <w:tc>
          <w:tcPr>
            <w:tcW w:w="2254" w:type="dxa"/>
          </w:tcPr>
          <w:p w14:paraId="37BC53F6" w14:textId="77777777" w:rsidR="00845851" w:rsidRDefault="00845851" w:rsidP="009D5BAE">
            <w:pPr>
              <w:jc w:val="both"/>
              <w:rPr>
                <w:kern w:val="0"/>
                <w:szCs w:val="22"/>
                <w:lang w:eastAsia="en-GB"/>
              </w:rPr>
            </w:pPr>
          </w:p>
        </w:tc>
        <w:tc>
          <w:tcPr>
            <w:tcW w:w="2254" w:type="dxa"/>
          </w:tcPr>
          <w:p w14:paraId="4EEDC6D4" w14:textId="77777777" w:rsidR="00845851" w:rsidRDefault="00845851" w:rsidP="009D5BAE">
            <w:pPr>
              <w:jc w:val="both"/>
              <w:rPr>
                <w:kern w:val="0"/>
                <w:szCs w:val="22"/>
                <w:lang w:eastAsia="en-GB"/>
              </w:rPr>
            </w:pPr>
          </w:p>
        </w:tc>
      </w:tr>
    </w:tbl>
    <w:p w14:paraId="778E3A5F" w14:textId="77777777" w:rsidR="00845851" w:rsidRDefault="00845851" w:rsidP="009D5BAE">
      <w:pPr>
        <w:jc w:val="both"/>
        <w:rPr>
          <w:kern w:val="0"/>
          <w:szCs w:val="22"/>
          <w:lang w:eastAsia="en-GB"/>
        </w:rPr>
      </w:pPr>
    </w:p>
    <w:p w14:paraId="071C0AB1" w14:textId="77777777" w:rsidR="00BB4719" w:rsidRPr="00BB4719" w:rsidRDefault="00F60B07" w:rsidP="00BB4719">
      <w:pPr>
        <w:pStyle w:val="Heading2"/>
      </w:pPr>
      <w:r w:rsidRPr="00BB4719">
        <w:t>Analysis</w:t>
      </w:r>
    </w:p>
    <w:p w14:paraId="46935850" w14:textId="503A6B2B" w:rsidR="009D5BAE" w:rsidRDefault="00845851" w:rsidP="009D5BAE">
      <w:pPr>
        <w:jc w:val="both"/>
        <w:rPr>
          <w:kern w:val="0"/>
          <w:szCs w:val="22"/>
          <w:lang w:eastAsia="en-GB"/>
        </w:rPr>
      </w:pPr>
      <w:r>
        <w:rPr>
          <w:kern w:val="0"/>
          <w:szCs w:val="22"/>
          <w:lang w:eastAsia="en-GB"/>
        </w:rPr>
        <w:t>Thematic analysis</w:t>
      </w:r>
      <w:r w:rsidR="00F60B07" w:rsidRPr="00C30A4F">
        <w:rPr>
          <w:kern w:val="0"/>
          <w:szCs w:val="22"/>
          <w:lang w:eastAsia="en-GB"/>
        </w:rPr>
        <w:t xml:space="preserve"> (manual coding) to integrate mechanisms and moderators; quality appraisal via CASP tools to weight conclusions.</w:t>
      </w:r>
    </w:p>
    <w:p w14:paraId="107B222D" w14:textId="77777777" w:rsidR="00BB4719" w:rsidRPr="00BB4719" w:rsidRDefault="00F60B07" w:rsidP="00BB4719">
      <w:pPr>
        <w:pStyle w:val="Heading2"/>
      </w:pPr>
      <w:r w:rsidRPr="00BB4719">
        <w:t>Ethics</w:t>
      </w:r>
    </w:p>
    <w:p w14:paraId="417A7AAB" w14:textId="0D878FC6" w:rsidR="00F60B07" w:rsidRPr="009D5BAE" w:rsidRDefault="00F60B07" w:rsidP="009D5BAE">
      <w:pPr>
        <w:jc w:val="both"/>
        <w:rPr>
          <w:szCs w:val="22"/>
          <w:lang w:eastAsia="en-GB"/>
        </w:rPr>
      </w:pPr>
      <w:r w:rsidRPr="00C30A4F">
        <w:rPr>
          <w:kern w:val="0"/>
          <w:szCs w:val="22"/>
          <w:lang w:eastAsia="en-GB"/>
        </w:rPr>
        <w:t xml:space="preserve">Secondary analysis only; </w:t>
      </w:r>
      <w:r w:rsidRPr="00D21F2D">
        <w:t>transparent methods; accurate citation; avoidance of plagiarism; reflexive commentary on assumptions</w:t>
      </w:r>
      <w:r w:rsidRPr="00C30A4F">
        <w:rPr>
          <w:kern w:val="0"/>
          <w:szCs w:val="22"/>
          <w:lang w:eastAsia="en-GB"/>
        </w:rPr>
        <w:t xml:space="preserve"> and positionality.</w:t>
      </w:r>
    </w:p>
    <w:p w14:paraId="310D8815" w14:textId="77777777" w:rsidR="009D5BAE" w:rsidRDefault="00F60B07" w:rsidP="00D21F2D">
      <w:pPr>
        <w:pStyle w:val="Heading1"/>
        <w:rPr>
          <w:lang w:eastAsia="en-GB"/>
        </w:rPr>
      </w:pPr>
      <w:r w:rsidRPr="00C30A4F">
        <w:rPr>
          <w:rFonts w:eastAsia="Times New Roman"/>
          <w:lang w:eastAsia="en-GB"/>
        </w:rPr>
        <w:t xml:space="preserve">Resources </w:t>
      </w:r>
    </w:p>
    <w:p w14:paraId="072FC722" w14:textId="35199247" w:rsidR="00F60B07" w:rsidRPr="009D5BAE" w:rsidRDefault="00F60B07" w:rsidP="009D5BAE">
      <w:pPr>
        <w:jc w:val="both"/>
        <w:rPr>
          <w:szCs w:val="22"/>
          <w:lang w:eastAsia="en-GB"/>
        </w:rPr>
      </w:pPr>
      <w:r w:rsidRPr="00C30A4F">
        <w:rPr>
          <w:kern w:val="0"/>
          <w:szCs w:val="22"/>
          <w:lang w:eastAsia="en-GB"/>
        </w:rPr>
        <w:t>Databases: PubMed, PsycINFO, Scopus, ERIC, CINAHL</w:t>
      </w:r>
    </w:p>
    <w:p w14:paraId="4EF7103C" w14:textId="77777777" w:rsidR="00F60B07" w:rsidRPr="00C30A4F" w:rsidRDefault="00F60B07" w:rsidP="00C30A4F">
      <w:pPr>
        <w:jc w:val="both"/>
        <w:rPr>
          <w:kern w:val="0"/>
          <w:szCs w:val="22"/>
          <w:lang w:eastAsia="en-GB"/>
        </w:rPr>
      </w:pPr>
      <w:r w:rsidRPr="00C30A4F">
        <w:rPr>
          <w:kern w:val="0"/>
          <w:szCs w:val="22"/>
          <w:lang w:eastAsia="en-GB"/>
        </w:rPr>
        <w:t>Institutional e-library access</w:t>
      </w:r>
    </w:p>
    <w:p w14:paraId="7736A011" w14:textId="6867C5A4" w:rsidR="00F60B07" w:rsidRPr="00C30A4F" w:rsidRDefault="00F60B07" w:rsidP="00C30A4F">
      <w:pPr>
        <w:jc w:val="both"/>
        <w:rPr>
          <w:kern w:val="0"/>
          <w:szCs w:val="22"/>
          <w:lang w:eastAsia="en-GB"/>
        </w:rPr>
      </w:pPr>
      <w:r w:rsidRPr="00C30A4F">
        <w:rPr>
          <w:kern w:val="0"/>
          <w:szCs w:val="22"/>
          <w:lang w:eastAsia="en-GB"/>
        </w:rPr>
        <w:t>Excel/Google Sheets for coding</w:t>
      </w:r>
    </w:p>
    <w:p w14:paraId="05A796F4" w14:textId="2C0693A5" w:rsidR="00F60B07" w:rsidRPr="00C30A4F" w:rsidRDefault="00F60B07" w:rsidP="00BB4719">
      <w:pPr>
        <w:pStyle w:val="Heading1"/>
        <w:rPr>
          <w:rFonts w:eastAsia="Times New Roman"/>
          <w:lang w:eastAsia="en-GB"/>
        </w:rPr>
      </w:pPr>
      <w:r w:rsidRPr="00C30A4F">
        <w:rPr>
          <w:rFonts w:eastAsia="Times New Roman"/>
          <w:lang w:eastAsia="en-GB"/>
        </w:rPr>
        <w:t xml:space="preserve">Timescale </w:t>
      </w:r>
    </w:p>
    <w:tbl>
      <w:tblPr>
        <w:tblStyle w:val="TableGrid"/>
        <w:tblW w:w="5000" w:type="pct"/>
        <w:tblLook w:val="04A0" w:firstRow="1" w:lastRow="0" w:firstColumn="1" w:lastColumn="0" w:noHBand="0" w:noVBand="1"/>
      </w:tblPr>
      <w:tblGrid>
        <w:gridCol w:w="2561"/>
        <w:gridCol w:w="6455"/>
      </w:tblGrid>
      <w:tr w:rsidR="008427C4" w:rsidRPr="008427C4" w14:paraId="640DA86D" w14:textId="77777777" w:rsidTr="008427C4">
        <w:tc>
          <w:tcPr>
            <w:tcW w:w="1420" w:type="pct"/>
            <w:hideMark/>
          </w:tcPr>
          <w:p w14:paraId="09FCA83C" w14:textId="77777777" w:rsidR="008427C4" w:rsidRPr="008427C4" w:rsidRDefault="008427C4" w:rsidP="008427C4">
            <w:pPr>
              <w:jc w:val="center"/>
              <w:rPr>
                <w:rFonts w:ascii="Arial" w:eastAsia="Times New Roman" w:hAnsi="Arial" w:cs="Arial"/>
                <w:b/>
                <w:bCs/>
                <w:kern w:val="0"/>
                <w:szCs w:val="22"/>
                <w:lang w:eastAsia="en-GB"/>
                <w14:ligatures w14:val="none"/>
              </w:rPr>
            </w:pPr>
            <w:r w:rsidRPr="008427C4">
              <w:rPr>
                <w:rFonts w:ascii="Arial" w:eastAsia="Times New Roman" w:hAnsi="Arial" w:cs="Arial"/>
                <w:b/>
                <w:bCs/>
                <w:kern w:val="0"/>
                <w:szCs w:val="22"/>
                <w:lang w:eastAsia="en-GB"/>
                <w14:ligatures w14:val="none"/>
              </w:rPr>
              <w:t>Period</w:t>
            </w:r>
          </w:p>
        </w:tc>
        <w:tc>
          <w:tcPr>
            <w:tcW w:w="3580" w:type="pct"/>
            <w:hideMark/>
          </w:tcPr>
          <w:p w14:paraId="3CCEC94F" w14:textId="77777777" w:rsidR="008427C4" w:rsidRPr="008427C4" w:rsidRDefault="008427C4" w:rsidP="008427C4">
            <w:pPr>
              <w:jc w:val="center"/>
              <w:rPr>
                <w:rFonts w:ascii="Arial" w:eastAsia="Times New Roman" w:hAnsi="Arial" w:cs="Arial"/>
                <w:b/>
                <w:bCs/>
                <w:kern w:val="0"/>
                <w:szCs w:val="22"/>
                <w:lang w:eastAsia="en-GB"/>
                <w14:ligatures w14:val="none"/>
              </w:rPr>
            </w:pPr>
            <w:r w:rsidRPr="008427C4">
              <w:rPr>
                <w:rFonts w:ascii="Arial" w:eastAsia="Times New Roman" w:hAnsi="Arial" w:cs="Arial"/>
                <w:b/>
                <w:bCs/>
                <w:kern w:val="0"/>
                <w:szCs w:val="22"/>
                <w:lang w:eastAsia="en-GB"/>
                <w14:ligatures w14:val="none"/>
              </w:rPr>
              <w:t>Task</w:t>
            </w:r>
          </w:p>
        </w:tc>
      </w:tr>
      <w:tr w:rsidR="008427C4" w:rsidRPr="008427C4" w14:paraId="57D8C3CF" w14:textId="77777777" w:rsidTr="008427C4">
        <w:tc>
          <w:tcPr>
            <w:tcW w:w="1420" w:type="pct"/>
            <w:hideMark/>
          </w:tcPr>
          <w:p w14:paraId="7B03376F"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b/>
                <w:bCs/>
                <w:kern w:val="0"/>
                <w:szCs w:val="22"/>
                <w:lang w:eastAsia="en-GB"/>
                <w14:ligatures w14:val="none"/>
              </w:rPr>
              <w:t>Oct 2025 (Weeks 1–2)</w:t>
            </w:r>
          </w:p>
        </w:tc>
        <w:tc>
          <w:tcPr>
            <w:tcW w:w="3580" w:type="pct"/>
            <w:hideMark/>
          </w:tcPr>
          <w:p w14:paraId="4572955C"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kern w:val="0"/>
                <w:szCs w:val="22"/>
                <w:lang w:eastAsia="en-GB"/>
                <w14:ligatures w14:val="none"/>
              </w:rPr>
              <w:t>Finalise question &amp; protocol; set criteria; supervisor sign-off.</w:t>
            </w:r>
          </w:p>
        </w:tc>
      </w:tr>
      <w:tr w:rsidR="008427C4" w:rsidRPr="008427C4" w14:paraId="3A2C87B1" w14:textId="77777777" w:rsidTr="008427C4">
        <w:tc>
          <w:tcPr>
            <w:tcW w:w="1420" w:type="pct"/>
            <w:hideMark/>
          </w:tcPr>
          <w:p w14:paraId="31DCD0CA"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b/>
                <w:bCs/>
                <w:kern w:val="0"/>
                <w:szCs w:val="22"/>
                <w:lang w:eastAsia="en-GB"/>
                <w14:ligatures w14:val="none"/>
              </w:rPr>
              <w:t>Nov 2025 (Weeks 3–6)</w:t>
            </w:r>
          </w:p>
        </w:tc>
        <w:tc>
          <w:tcPr>
            <w:tcW w:w="3580" w:type="pct"/>
            <w:hideMark/>
          </w:tcPr>
          <w:p w14:paraId="7F42A122"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kern w:val="0"/>
                <w:szCs w:val="22"/>
                <w:lang w:eastAsia="en-GB"/>
                <w14:ligatures w14:val="none"/>
              </w:rPr>
              <w:t>Run database searches; manage refs; de-duplicate; pilot screening.</w:t>
            </w:r>
          </w:p>
        </w:tc>
      </w:tr>
      <w:tr w:rsidR="008427C4" w:rsidRPr="008427C4" w14:paraId="57C721DC" w14:textId="77777777" w:rsidTr="008427C4">
        <w:tc>
          <w:tcPr>
            <w:tcW w:w="1420" w:type="pct"/>
            <w:hideMark/>
          </w:tcPr>
          <w:p w14:paraId="595E722F"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b/>
                <w:bCs/>
                <w:kern w:val="0"/>
                <w:szCs w:val="22"/>
                <w:lang w:eastAsia="en-GB"/>
                <w14:ligatures w14:val="none"/>
              </w:rPr>
              <w:t>Dec 2025 (Weeks 7–10)</w:t>
            </w:r>
          </w:p>
        </w:tc>
        <w:tc>
          <w:tcPr>
            <w:tcW w:w="3580" w:type="pct"/>
            <w:hideMark/>
          </w:tcPr>
          <w:p w14:paraId="174F4999"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kern w:val="0"/>
                <w:szCs w:val="22"/>
                <w:lang w:eastAsia="en-GB"/>
                <w14:ligatures w14:val="none"/>
              </w:rPr>
              <w:t>Screen titles/abstracts → full texts; draft PRISMA; start extraction template.</w:t>
            </w:r>
          </w:p>
        </w:tc>
      </w:tr>
      <w:tr w:rsidR="008427C4" w:rsidRPr="008427C4" w14:paraId="7C782689" w14:textId="77777777" w:rsidTr="008427C4">
        <w:tc>
          <w:tcPr>
            <w:tcW w:w="1420" w:type="pct"/>
            <w:hideMark/>
          </w:tcPr>
          <w:p w14:paraId="0D6AE65E"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b/>
                <w:bCs/>
                <w:kern w:val="0"/>
                <w:szCs w:val="22"/>
                <w:lang w:eastAsia="en-GB"/>
                <w14:ligatures w14:val="none"/>
              </w:rPr>
              <w:t>Jan 2026 (Weeks 11–14)</w:t>
            </w:r>
          </w:p>
        </w:tc>
        <w:tc>
          <w:tcPr>
            <w:tcW w:w="3580" w:type="pct"/>
            <w:hideMark/>
          </w:tcPr>
          <w:p w14:paraId="591457C6"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kern w:val="0"/>
                <w:szCs w:val="22"/>
                <w:lang w:eastAsia="en-GB"/>
                <w14:ligatures w14:val="none"/>
              </w:rPr>
              <w:t>Complete extraction; CASP/JBI appraisal; begin thematic coding/mapping.</w:t>
            </w:r>
          </w:p>
        </w:tc>
      </w:tr>
      <w:tr w:rsidR="008427C4" w:rsidRPr="008427C4" w14:paraId="5A75C6EE" w14:textId="77777777" w:rsidTr="008427C4">
        <w:tc>
          <w:tcPr>
            <w:tcW w:w="1420" w:type="pct"/>
            <w:hideMark/>
          </w:tcPr>
          <w:p w14:paraId="286B4D48"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b/>
                <w:bCs/>
                <w:kern w:val="0"/>
                <w:szCs w:val="22"/>
                <w:lang w:eastAsia="en-GB"/>
                <w14:ligatures w14:val="none"/>
              </w:rPr>
              <w:t>Feb 2026 (Weeks 15–18)</w:t>
            </w:r>
          </w:p>
        </w:tc>
        <w:tc>
          <w:tcPr>
            <w:tcW w:w="3580" w:type="pct"/>
            <w:hideMark/>
          </w:tcPr>
          <w:p w14:paraId="37809235"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kern w:val="0"/>
                <w:szCs w:val="22"/>
                <w:lang w:eastAsia="en-GB"/>
                <w14:ligatures w14:val="none"/>
              </w:rPr>
              <w:t>Synthesis; write Methods/Results; build tables/figures; draft Discussion.</w:t>
            </w:r>
          </w:p>
        </w:tc>
      </w:tr>
      <w:tr w:rsidR="008427C4" w:rsidRPr="008427C4" w14:paraId="7C65EEBE" w14:textId="77777777" w:rsidTr="008427C4">
        <w:tc>
          <w:tcPr>
            <w:tcW w:w="1420" w:type="pct"/>
            <w:hideMark/>
          </w:tcPr>
          <w:p w14:paraId="735D83D5"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b/>
                <w:bCs/>
                <w:kern w:val="0"/>
                <w:szCs w:val="22"/>
                <w:lang w:eastAsia="en-GB"/>
                <w14:ligatures w14:val="none"/>
              </w:rPr>
              <w:t>Early Mar 2026 (Week 19)</w:t>
            </w:r>
          </w:p>
        </w:tc>
        <w:tc>
          <w:tcPr>
            <w:tcW w:w="3580" w:type="pct"/>
            <w:hideMark/>
          </w:tcPr>
          <w:p w14:paraId="65976761"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kern w:val="0"/>
                <w:szCs w:val="22"/>
                <w:lang w:eastAsia="en-GB"/>
                <w14:ligatures w14:val="none"/>
              </w:rPr>
              <w:t>Full draft → feedback; revise; finalise recommendations.</w:t>
            </w:r>
          </w:p>
        </w:tc>
      </w:tr>
      <w:tr w:rsidR="008427C4" w:rsidRPr="008427C4" w14:paraId="359E7A79" w14:textId="77777777" w:rsidTr="008427C4">
        <w:tc>
          <w:tcPr>
            <w:tcW w:w="1420" w:type="pct"/>
            <w:hideMark/>
          </w:tcPr>
          <w:p w14:paraId="6D84EE8D"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b/>
                <w:bCs/>
                <w:kern w:val="0"/>
                <w:szCs w:val="22"/>
                <w:lang w:eastAsia="en-GB"/>
                <w14:ligatures w14:val="none"/>
              </w:rPr>
              <w:t>Mid Mar 2026 (Week 20)</w:t>
            </w:r>
          </w:p>
        </w:tc>
        <w:tc>
          <w:tcPr>
            <w:tcW w:w="3580" w:type="pct"/>
            <w:hideMark/>
          </w:tcPr>
          <w:p w14:paraId="1FC076E9" w14:textId="77777777" w:rsidR="008427C4" w:rsidRPr="008427C4" w:rsidRDefault="008427C4" w:rsidP="008427C4">
            <w:pPr>
              <w:rPr>
                <w:rFonts w:ascii="Arial" w:eastAsia="Times New Roman" w:hAnsi="Arial" w:cs="Arial"/>
                <w:kern w:val="0"/>
                <w:szCs w:val="22"/>
                <w:lang w:eastAsia="en-GB"/>
                <w14:ligatures w14:val="none"/>
              </w:rPr>
            </w:pPr>
            <w:r w:rsidRPr="008427C4">
              <w:rPr>
                <w:rFonts w:ascii="Arial" w:eastAsia="Times New Roman" w:hAnsi="Arial" w:cs="Arial"/>
                <w:kern w:val="0"/>
                <w:szCs w:val="22"/>
                <w:lang w:eastAsia="en-GB"/>
                <w14:ligatures w14:val="none"/>
              </w:rPr>
              <w:t xml:space="preserve">Proof, format, reference check; Turnitin; </w:t>
            </w:r>
            <w:r w:rsidRPr="008427C4">
              <w:rPr>
                <w:rFonts w:ascii="Arial" w:eastAsia="Times New Roman" w:hAnsi="Arial" w:cs="Arial"/>
                <w:b/>
                <w:bCs/>
                <w:kern w:val="0"/>
                <w:szCs w:val="22"/>
                <w:lang w:eastAsia="en-GB"/>
                <w14:ligatures w14:val="none"/>
              </w:rPr>
              <w:t>submit</w:t>
            </w:r>
            <w:r w:rsidRPr="008427C4">
              <w:rPr>
                <w:rFonts w:ascii="Arial" w:eastAsia="Times New Roman" w:hAnsi="Arial" w:cs="Arial"/>
                <w:kern w:val="0"/>
                <w:szCs w:val="22"/>
                <w:lang w:eastAsia="en-GB"/>
                <w14:ligatures w14:val="none"/>
              </w:rPr>
              <w:t>.</w:t>
            </w:r>
          </w:p>
        </w:tc>
      </w:tr>
    </w:tbl>
    <w:p w14:paraId="0956BBFA" w14:textId="507923B6" w:rsidR="00F60B07" w:rsidRPr="00C30A4F" w:rsidRDefault="00F60B07" w:rsidP="00C30A4F">
      <w:pPr>
        <w:jc w:val="both"/>
        <w:rPr>
          <w:kern w:val="0"/>
          <w:szCs w:val="22"/>
          <w:lang w:eastAsia="en-GB"/>
        </w:rPr>
      </w:pPr>
    </w:p>
    <w:p w14:paraId="0345AF1A" w14:textId="77777777" w:rsidR="009D5BAE" w:rsidRDefault="00F60B07" w:rsidP="00BB4719">
      <w:pPr>
        <w:pStyle w:val="Heading1"/>
        <w:rPr>
          <w:lang w:eastAsia="en-GB"/>
        </w:rPr>
      </w:pPr>
      <w:r w:rsidRPr="00C30A4F">
        <w:rPr>
          <w:rFonts w:eastAsia="Times New Roman"/>
          <w:lang w:eastAsia="en-GB"/>
        </w:rPr>
        <w:t xml:space="preserve">Self-reflection </w:t>
      </w:r>
    </w:p>
    <w:p w14:paraId="50173165" w14:textId="13111A16" w:rsidR="00F60B07" w:rsidRPr="009D5BAE" w:rsidRDefault="00D91840" w:rsidP="009D5BAE">
      <w:pPr>
        <w:jc w:val="both"/>
        <w:rPr>
          <w:szCs w:val="22"/>
          <w:lang w:eastAsia="en-GB"/>
        </w:rPr>
      </w:pPr>
      <w:r>
        <w:t>I bring strong synthesis, organisation, and clear writing. As a foster carer (of children under 10), I have practical insight into care systems, which motivates this topic but may introduce bias. I aim to strengthen critical appraisal and reflexivity, seeking supervisor/peer feedback to challenge assumptions and ensure balanced interpretation</w:t>
      </w:r>
      <w:r w:rsidR="00F60B07" w:rsidRPr="00C30A4F">
        <w:rPr>
          <w:kern w:val="0"/>
          <w:szCs w:val="22"/>
          <w:lang w:eastAsia="en-GB"/>
        </w:rPr>
        <w:t>.</w:t>
      </w:r>
    </w:p>
    <w:p w14:paraId="643855BF" w14:textId="3834A2C1" w:rsidR="00F60B07" w:rsidRDefault="0099468A" w:rsidP="0099468A">
      <w:pPr>
        <w:pStyle w:val="Heading1"/>
        <w:rPr>
          <w:lang w:val="en-GB"/>
        </w:rPr>
      </w:pPr>
      <w:r>
        <w:rPr>
          <w:lang w:val="en-GB"/>
        </w:rPr>
        <w:t>References</w:t>
      </w:r>
    </w:p>
    <w:p w14:paraId="66B15633" w14:textId="77777777" w:rsidR="0099468A" w:rsidRPr="00F4763F" w:rsidRDefault="0099468A" w:rsidP="00F4763F">
      <w:pPr>
        <w:pStyle w:val="NormalWeb"/>
        <w:spacing w:before="0" w:beforeAutospacing="0" w:after="240" w:afterAutospacing="0" w:line="360" w:lineRule="auto"/>
        <w:jc w:val="both"/>
        <w:rPr>
          <w:rFonts w:asciiTheme="minorBidi" w:hAnsiTheme="minorBidi" w:cstheme="minorBidi"/>
          <w:sz w:val="22"/>
          <w:szCs w:val="22"/>
        </w:rPr>
      </w:pPr>
      <w:r w:rsidRPr="00F4763F">
        <w:rPr>
          <w:rFonts w:asciiTheme="minorBidi" w:hAnsiTheme="minorBidi" w:cstheme="minorBidi"/>
          <w:sz w:val="22"/>
          <w:szCs w:val="22"/>
        </w:rPr>
        <w:t xml:space="preserve">Ellis, K. and Johnston, C. (2024) ‘Care and education: instability, stigma and the responsibilisation of educational achievement’, </w:t>
      </w:r>
      <w:r w:rsidRPr="00F4763F">
        <w:rPr>
          <w:rFonts w:asciiTheme="minorBidi" w:hAnsiTheme="minorBidi" w:cstheme="minorBidi"/>
          <w:i/>
          <w:iCs/>
          <w:sz w:val="22"/>
          <w:szCs w:val="22"/>
        </w:rPr>
        <w:t>Children and Youth Services Review</w:t>
      </w:r>
      <w:r w:rsidRPr="00F4763F">
        <w:rPr>
          <w:rFonts w:asciiTheme="minorBidi" w:hAnsiTheme="minorBidi" w:cstheme="minorBidi"/>
          <w:sz w:val="22"/>
          <w:szCs w:val="22"/>
        </w:rPr>
        <w:t>, 156, pp. 107319–107319. Available at: https://doi.org/10.1016/j.childyouth.2023.107319.</w:t>
      </w:r>
    </w:p>
    <w:p w14:paraId="3C44DDB6" w14:textId="77777777" w:rsidR="0099468A" w:rsidRPr="00F4763F" w:rsidRDefault="0099468A" w:rsidP="00F4763F">
      <w:pPr>
        <w:pStyle w:val="NormalWeb"/>
        <w:spacing w:before="0" w:beforeAutospacing="0" w:after="240" w:afterAutospacing="0" w:line="360" w:lineRule="auto"/>
        <w:jc w:val="both"/>
        <w:rPr>
          <w:rFonts w:asciiTheme="minorBidi" w:hAnsiTheme="minorBidi" w:cstheme="minorBidi"/>
          <w:sz w:val="22"/>
          <w:szCs w:val="22"/>
        </w:rPr>
      </w:pPr>
      <w:r w:rsidRPr="00F4763F">
        <w:rPr>
          <w:rFonts w:asciiTheme="minorBidi" w:hAnsiTheme="minorBidi" w:cstheme="minorBidi"/>
          <w:sz w:val="22"/>
          <w:szCs w:val="22"/>
        </w:rPr>
        <w:t xml:space="preserve">Harrison, N. (2019) ‘Patterns of participation in higher education for care-experienced students in England: why has there not been more progress?’, </w:t>
      </w:r>
      <w:r w:rsidRPr="00F4763F">
        <w:rPr>
          <w:rFonts w:asciiTheme="minorBidi" w:hAnsiTheme="minorBidi" w:cstheme="minorBidi"/>
          <w:i/>
          <w:iCs/>
          <w:sz w:val="22"/>
          <w:szCs w:val="22"/>
        </w:rPr>
        <w:t>Studies in Higher Education</w:t>
      </w:r>
      <w:r w:rsidRPr="00F4763F">
        <w:rPr>
          <w:rFonts w:asciiTheme="minorBidi" w:hAnsiTheme="minorBidi" w:cstheme="minorBidi"/>
          <w:sz w:val="22"/>
          <w:szCs w:val="22"/>
        </w:rPr>
        <w:t>, 45(9), pp. 1986–2000. Available at: https://doi.org/10.1080/03075079.2019.1582014.</w:t>
      </w:r>
    </w:p>
    <w:p w14:paraId="38FA5A45" w14:textId="77777777" w:rsidR="0099468A" w:rsidRPr="00F4763F" w:rsidRDefault="0099468A" w:rsidP="00F4763F">
      <w:pPr>
        <w:pStyle w:val="NormalWeb"/>
        <w:spacing w:before="0" w:beforeAutospacing="0" w:after="240" w:afterAutospacing="0" w:line="360" w:lineRule="auto"/>
        <w:jc w:val="both"/>
        <w:rPr>
          <w:rFonts w:asciiTheme="minorBidi" w:hAnsiTheme="minorBidi" w:cstheme="minorBidi"/>
          <w:sz w:val="22"/>
          <w:szCs w:val="22"/>
        </w:rPr>
      </w:pPr>
      <w:r w:rsidRPr="00F4763F">
        <w:rPr>
          <w:rFonts w:asciiTheme="minorBidi" w:hAnsiTheme="minorBidi" w:cstheme="minorBidi"/>
          <w:sz w:val="22"/>
          <w:szCs w:val="22"/>
        </w:rPr>
        <w:t xml:space="preserve">Kothari, B.H. </w:t>
      </w:r>
      <w:r w:rsidRPr="00F4763F">
        <w:rPr>
          <w:rFonts w:asciiTheme="minorBidi" w:hAnsiTheme="minorBidi" w:cstheme="minorBidi"/>
          <w:i/>
          <w:iCs/>
          <w:sz w:val="22"/>
          <w:szCs w:val="22"/>
        </w:rPr>
        <w:t>et al.</w:t>
      </w:r>
      <w:r w:rsidRPr="00F4763F">
        <w:rPr>
          <w:rFonts w:asciiTheme="minorBidi" w:hAnsiTheme="minorBidi" w:cstheme="minorBidi"/>
          <w:sz w:val="22"/>
          <w:szCs w:val="22"/>
        </w:rPr>
        <w:t xml:space="preserve"> (2021) ‘Educational resilience among youth in foster care’, </w:t>
      </w:r>
      <w:r w:rsidRPr="00F4763F">
        <w:rPr>
          <w:rFonts w:asciiTheme="minorBidi" w:hAnsiTheme="minorBidi" w:cstheme="minorBidi"/>
          <w:i/>
          <w:iCs/>
          <w:sz w:val="22"/>
          <w:szCs w:val="22"/>
        </w:rPr>
        <w:t>Psychology in the Schools</w:t>
      </w:r>
      <w:r w:rsidRPr="00F4763F">
        <w:rPr>
          <w:rFonts w:asciiTheme="minorBidi" w:hAnsiTheme="minorBidi" w:cstheme="minorBidi"/>
          <w:sz w:val="22"/>
          <w:szCs w:val="22"/>
        </w:rPr>
        <w:t>, 58(5), pp. 913–934. Available at: https://doi.org/10.1002/pits.22478.</w:t>
      </w:r>
    </w:p>
    <w:p w14:paraId="4AF14F71" w14:textId="752AD7D6" w:rsidR="000B743B" w:rsidRPr="00C30A4F" w:rsidRDefault="0099468A" w:rsidP="00B12DEB">
      <w:pPr>
        <w:pStyle w:val="NormalWeb"/>
        <w:spacing w:before="0" w:beforeAutospacing="0" w:after="240" w:afterAutospacing="0" w:line="360" w:lineRule="auto"/>
        <w:jc w:val="both"/>
        <w:rPr>
          <w:sz w:val="22"/>
          <w:szCs w:val="22"/>
        </w:rPr>
      </w:pPr>
      <w:r w:rsidRPr="00F4763F">
        <w:rPr>
          <w:rFonts w:asciiTheme="minorBidi" w:hAnsiTheme="minorBidi" w:cstheme="minorBidi"/>
          <w:sz w:val="22"/>
          <w:szCs w:val="22"/>
        </w:rPr>
        <w:t xml:space="preserve">Pecora, P.J. and O’Brien, K. (2019) ‘Fostering Success in Education: Educational Outcomes of Students in Foster Care in the United States’, </w:t>
      </w:r>
      <w:r w:rsidRPr="00F4763F">
        <w:rPr>
          <w:rFonts w:asciiTheme="minorBidi" w:hAnsiTheme="minorBidi" w:cstheme="minorBidi"/>
          <w:i/>
          <w:iCs/>
          <w:sz w:val="22"/>
          <w:szCs w:val="22"/>
        </w:rPr>
        <w:t>Children’s well-being</w:t>
      </w:r>
      <w:r w:rsidRPr="00F4763F">
        <w:rPr>
          <w:rFonts w:asciiTheme="minorBidi" w:hAnsiTheme="minorBidi" w:cstheme="minorBidi"/>
          <w:sz w:val="22"/>
          <w:szCs w:val="22"/>
        </w:rPr>
        <w:t>, pp. 29–45. Available at: https://doi.org/10.1007/978-3-030-26372-0_3.</w:t>
      </w:r>
    </w:p>
    <w:sectPr w:rsidR="000B743B" w:rsidRPr="00C30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14103E"/>
    <w:multiLevelType w:val="multilevel"/>
    <w:tmpl w:val="B39C1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F061EF"/>
    <w:multiLevelType w:val="multilevel"/>
    <w:tmpl w:val="CE7CE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ED0BD8"/>
    <w:multiLevelType w:val="hybridMultilevel"/>
    <w:tmpl w:val="2940C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EE53B1"/>
    <w:multiLevelType w:val="multilevel"/>
    <w:tmpl w:val="ED42A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875606">
    <w:abstractNumId w:val="1"/>
  </w:num>
  <w:num w:numId="2" w16cid:durableId="280036446">
    <w:abstractNumId w:val="3"/>
  </w:num>
  <w:num w:numId="3" w16cid:durableId="1692803836">
    <w:abstractNumId w:val="0"/>
  </w:num>
  <w:num w:numId="4" w16cid:durableId="2816167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663"/>
    <w:rsid w:val="000363C5"/>
    <w:rsid w:val="00066064"/>
    <w:rsid w:val="000B743B"/>
    <w:rsid w:val="001B745C"/>
    <w:rsid w:val="001F2594"/>
    <w:rsid w:val="002A5235"/>
    <w:rsid w:val="00340028"/>
    <w:rsid w:val="00394A26"/>
    <w:rsid w:val="00437888"/>
    <w:rsid w:val="00461624"/>
    <w:rsid w:val="004A6622"/>
    <w:rsid w:val="004B1A35"/>
    <w:rsid w:val="00555C51"/>
    <w:rsid w:val="005666E3"/>
    <w:rsid w:val="00566D74"/>
    <w:rsid w:val="00591E72"/>
    <w:rsid w:val="00741EFA"/>
    <w:rsid w:val="007F4686"/>
    <w:rsid w:val="007F73BD"/>
    <w:rsid w:val="00804503"/>
    <w:rsid w:val="008427C4"/>
    <w:rsid w:val="00845851"/>
    <w:rsid w:val="0099468A"/>
    <w:rsid w:val="009B14D7"/>
    <w:rsid w:val="009D5BAE"/>
    <w:rsid w:val="00A0221A"/>
    <w:rsid w:val="00B12DEB"/>
    <w:rsid w:val="00BB4719"/>
    <w:rsid w:val="00BE4882"/>
    <w:rsid w:val="00C30A4F"/>
    <w:rsid w:val="00CA5F87"/>
    <w:rsid w:val="00CB1D0B"/>
    <w:rsid w:val="00D21F2D"/>
    <w:rsid w:val="00D91840"/>
    <w:rsid w:val="00D95A10"/>
    <w:rsid w:val="00DC73A7"/>
    <w:rsid w:val="00E947F1"/>
    <w:rsid w:val="00F26663"/>
    <w:rsid w:val="00F3605C"/>
    <w:rsid w:val="00F4763F"/>
    <w:rsid w:val="00F60B07"/>
    <w:rsid w:val="00FB6C67"/>
    <w:rsid w:val="00FC0260"/>
    <w:rsid w:val="00FE785F"/>
    <w:rsid w:val="00FF1C1C"/>
    <w:rsid w:val="00FF4F51"/>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4:docId w14:val="7489250F"/>
  <w15:chartTrackingRefBased/>
  <w15:docId w15:val="{2D48ECEE-1007-904F-9C21-346F0EA29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663"/>
    <w:pPr>
      <w:spacing w:line="360" w:lineRule="auto"/>
    </w:pPr>
    <w:rPr>
      <w:rFonts w:asciiTheme="minorBidi" w:hAnsiTheme="minorBidi"/>
      <w:sz w:val="22"/>
    </w:rPr>
  </w:style>
  <w:style w:type="paragraph" w:styleId="Heading1">
    <w:name w:val="heading 1"/>
    <w:basedOn w:val="Normal"/>
    <w:next w:val="Normal"/>
    <w:link w:val="Heading1Char"/>
    <w:uiPriority w:val="9"/>
    <w:qFormat/>
    <w:rsid w:val="00F26663"/>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F26663"/>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F2666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2666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2666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2666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2666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2666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663"/>
    <w:rPr>
      <w:rFonts w:asciiTheme="minorBidi" w:eastAsiaTheme="majorEastAsia" w:hAnsiTheme="minorBidi" w:cstheme="majorBidi"/>
      <w:b/>
      <w:color w:val="0F4761" w:themeColor="accent1" w:themeShade="BF"/>
      <w:sz w:val="32"/>
      <w:szCs w:val="40"/>
    </w:rPr>
  </w:style>
  <w:style w:type="character" w:customStyle="1" w:styleId="Heading2Char">
    <w:name w:val="Heading 2 Char"/>
    <w:basedOn w:val="DefaultParagraphFont"/>
    <w:link w:val="Heading2"/>
    <w:uiPriority w:val="9"/>
    <w:rsid w:val="00F26663"/>
    <w:rPr>
      <w:rFonts w:asciiTheme="minorBidi" w:eastAsiaTheme="majorEastAsia" w:hAnsiTheme="minorBidi" w:cstheme="majorBidi"/>
      <w:b/>
      <w:color w:val="0F4761" w:themeColor="accent1" w:themeShade="BF"/>
      <w:sz w:val="28"/>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F266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66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66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6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6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663"/>
    <w:rPr>
      <w:rFonts w:eastAsiaTheme="majorEastAsia" w:cstheme="majorBidi"/>
      <w:color w:val="272727" w:themeColor="text1" w:themeTint="D8"/>
    </w:rPr>
  </w:style>
  <w:style w:type="paragraph" w:styleId="Title">
    <w:name w:val="Title"/>
    <w:basedOn w:val="Normal"/>
    <w:next w:val="Normal"/>
    <w:link w:val="TitleChar"/>
    <w:uiPriority w:val="10"/>
    <w:qFormat/>
    <w:rsid w:val="00F266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6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66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6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663"/>
    <w:pPr>
      <w:spacing w:before="160"/>
      <w:jc w:val="center"/>
    </w:pPr>
    <w:rPr>
      <w:i/>
      <w:iCs/>
      <w:color w:val="404040" w:themeColor="text1" w:themeTint="BF"/>
    </w:rPr>
  </w:style>
  <w:style w:type="character" w:customStyle="1" w:styleId="QuoteChar">
    <w:name w:val="Quote Char"/>
    <w:basedOn w:val="DefaultParagraphFont"/>
    <w:link w:val="Quote"/>
    <w:uiPriority w:val="29"/>
    <w:rsid w:val="00F26663"/>
    <w:rPr>
      <w:rFonts w:asciiTheme="majorBidi" w:hAnsiTheme="majorBidi"/>
      <w:i/>
      <w:iCs/>
      <w:color w:val="404040" w:themeColor="text1" w:themeTint="BF"/>
    </w:rPr>
  </w:style>
  <w:style w:type="paragraph" w:styleId="ListParagraph">
    <w:name w:val="List Paragraph"/>
    <w:basedOn w:val="Normal"/>
    <w:uiPriority w:val="34"/>
    <w:qFormat/>
    <w:rsid w:val="00F26663"/>
    <w:pPr>
      <w:ind w:left="720"/>
      <w:contextualSpacing/>
    </w:pPr>
  </w:style>
  <w:style w:type="character" w:styleId="IntenseEmphasis">
    <w:name w:val="Intense Emphasis"/>
    <w:basedOn w:val="DefaultParagraphFont"/>
    <w:uiPriority w:val="21"/>
    <w:qFormat/>
    <w:rsid w:val="00F26663"/>
    <w:rPr>
      <w:i/>
      <w:iCs/>
      <w:color w:val="0F4761" w:themeColor="accent1" w:themeShade="BF"/>
    </w:rPr>
  </w:style>
  <w:style w:type="paragraph" w:styleId="IntenseQuote">
    <w:name w:val="Intense Quote"/>
    <w:basedOn w:val="Normal"/>
    <w:next w:val="Normal"/>
    <w:link w:val="IntenseQuoteChar"/>
    <w:uiPriority w:val="30"/>
    <w:qFormat/>
    <w:rsid w:val="00F266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6663"/>
    <w:rPr>
      <w:rFonts w:asciiTheme="majorBidi" w:hAnsiTheme="majorBidi"/>
      <w:i/>
      <w:iCs/>
      <w:color w:val="0F4761" w:themeColor="accent1" w:themeShade="BF"/>
    </w:rPr>
  </w:style>
  <w:style w:type="character" w:styleId="IntenseReference">
    <w:name w:val="Intense Reference"/>
    <w:basedOn w:val="DefaultParagraphFont"/>
    <w:uiPriority w:val="32"/>
    <w:qFormat/>
    <w:rsid w:val="00F26663"/>
    <w:rPr>
      <w:b/>
      <w:bCs/>
      <w:smallCaps/>
      <w:color w:val="0F4761" w:themeColor="accent1" w:themeShade="BF"/>
      <w:spacing w:val="5"/>
    </w:rPr>
  </w:style>
  <w:style w:type="paragraph" w:styleId="NormalWeb">
    <w:name w:val="Normal (Web)"/>
    <w:basedOn w:val="Normal"/>
    <w:uiPriority w:val="99"/>
    <w:unhideWhenUsed/>
    <w:rsid w:val="00F60B07"/>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F60B07"/>
    <w:rPr>
      <w:b/>
      <w:bCs/>
    </w:rPr>
  </w:style>
  <w:style w:type="table" w:styleId="TableGrid">
    <w:name w:val="Table Grid"/>
    <w:basedOn w:val="TableNormal"/>
    <w:uiPriority w:val="39"/>
    <w:rsid w:val="009D5B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0221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19506-68DE-5B40-AA40-A3B17534F8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860</Words>
  <Characters>4904</Characters>
  <Application>Microsoft Office Word</Application>
  <DocSecurity>0</DocSecurity>
  <Lines>40</Lines>
  <Paragraphs>11</Paragraphs>
  <ScaleCrop>false</ScaleCrop>
  <Company/>
  <LinksUpToDate>false</LinksUpToDate>
  <CharactersWithSpaces>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kamran khan</cp:lastModifiedBy>
  <cp:revision>2</cp:revision>
  <dcterms:created xsi:type="dcterms:W3CDTF">2025-10-17T19:41:00Z</dcterms:created>
  <dcterms:modified xsi:type="dcterms:W3CDTF">2025-10-17T19:41:00Z</dcterms:modified>
</cp:coreProperties>
</file>