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DC2EB" w14:textId="77777777" w:rsidR="00275BCB" w:rsidRPr="00AC1B4B" w:rsidRDefault="00275BCB" w:rsidP="00AC1B4B">
      <w:pPr>
        <w:jc w:val="center"/>
        <w:rPr>
          <w:rFonts w:ascii="Arial" w:eastAsia="Arial" w:hAnsi="Arial" w:cs="Arial"/>
          <w:b/>
          <w:bCs/>
          <w:sz w:val="22"/>
          <w:szCs w:val="22"/>
          <w:u w:val="single"/>
        </w:rPr>
      </w:pPr>
      <w:r w:rsidRPr="00AC1B4B">
        <w:rPr>
          <w:rFonts w:ascii="Arial" w:eastAsia="Arial" w:hAnsi="Arial" w:cs="Arial"/>
          <w:b/>
          <w:bCs/>
          <w:sz w:val="22"/>
          <w:szCs w:val="22"/>
          <w:u w:val="single"/>
        </w:rPr>
        <w:t>Questions</w:t>
      </w:r>
    </w:p>
    <w:p w14:paraId="6617B588" w14:textId="3736C4F6" w:rsidR="00072FB2" w:rsidRPr="00275BCB" w:rsidRDefault="00072FB2" w:rsidP="24525A68">
      <w:pPr>
        <w:rPr>
          <w:rFonts w:ascii="Arial" w:eastAsia="Arial" w:hAnsi="Arial" w:cs="Arial"/>
          <w:b/>
          <w:bCs/>
          <w:sz w:val="22"/>
          <w:szCs w:val="22"/>
        </w:rPr>
      </w:pPr>
      <w:r w:rsidRPr="24525A68">
        <w:rPr>
          <w:rFonts w:ascii="Arial" w:eastAsia="Arial" w:hAnsi="Arial" w:cs="Arial"/>
          <w:b/>
          <w:bCs/>
          <w:sz w:val="22"/>
          <w:szCs w:val="22"/>
        </w:rPr>
        <w:t xml:space="preserve">Do all 5 background points need to be referred to? </w:t>
      </w:r>
    </w:p>
    <w:p w14:paraId="1707B266" w14:textId="3EC4C070" w:rsidR="28DDD092" w:rsidRDefault="28DDD092" w:rsidP="24525A68">
      <w:pPr>
        <w:rPr>
          <w:rFonts w:ascii="Arial" w:eastAsia="Arial" w:hAnsi="Arial" w:cs="Arial"/>
          <w:sz w:val="22"/>
          <w:szCs w:val="22"/>
        </w:rPr>
      </w:pPr>
      <w:r w:rsidRPr="24525A68">
        <w:rPr>
          <w:rFonts w:ascii="Arial" w:eastAsia="Arial" w:hAnsi="Arial" w:cs="Arial"/>
          <w:sz w:val="22"/>
          <w:szCs w:val="22"/>
        </w:rPr>
        <w:t>Yes. This is a case study and the information is there to give you material for your report.  Ignoring any element of the case study means that the company will be missing part of your risk analysis.  Yo</w:t>
      </w:r>
      <w:r w:rsidR="7C8D3423" w:rsidRPr="24525A68">
        <w:rPr>
          <w:rFonts w:ascii="Arial" w:eastAsia="Arial" w:hAnsi="Arial" w:cs="Arial"/>
          <w:sz w:val="22"/>
          <w:szCs w:val="22"/>
        </w:rPr>
        <w:t>u need to make each word count; remember that this subject is called Application of Employment Law. Your focus should be on applica</w:t>
      </w:r>
      <w:r w:rsidR="6C81B733" w:rsidRPr="24525A68">
        <w:rPr>
          <w:rFonts w:ascii="Arial" w:eastAsia="Arial" w:hAnsi="Arial" w:cs="Arial"/>
          <w:sz w:val="22"/>
          <w:szCs w:val="22"/>
        </w:rPr>
        <w:t xml:space="preserve">tion of law, identification of risk, minimising risk and commercial recommendations. </w:t>
      </w:r>
      <w:r w:rsidRPr="24525A68">
        <w:rPr>
          <w:rFonts w:ascii="Arial" w:eastAsia="Arial" w:hAnsi="Arial" w:cs="Arial"/>
          <w:sz w:val="22"/>
          <w:szCs w:val="22"/>
        </w:rPr>
        <w:t xml:space="preserve">  </w:t>
      </w:r>
    </w:p>
    <w:p w14:paraId="5D5B992E" w14:textId="62101DC6" w:rsidR="4127B2A5" w:rsidRDefault="4127B2A5" w:rsidP="24525A68">
      <w:pPr>
        <w:rPr>
          <w:rFonts w:ascii="Arial" w:eastAsia="Arial" w:hAnsi="Arial" w:cs="Arial"/>
          <w:sz w:val="22"/>
          <w:szCs w:val="22"/>
        </w:rPr>
      </w:pPr>
      <w:r w:rsidRPr="24525A68">
        <w:rPr>
          <w:rFonts w:ascii="Arial" w:eastAsia="Arial" w:hAnsi="Arial" w:cs="Arial"/>
          <w:sz w:val="22"/>
          <w:szCs w:val="22"/>
        </w:rPr>
        <w:t xml:space="preserve">I am particularly interested in reading your justification (or not!) for going beyond compliance.  </w:t>
      </w:r>
    </w:p>
    <w:p w14:paraId="07717544" w14:textId="62453EC2" w:rsidR="00072FB2" w:rsidRDefault="00072FB2" w:rsidP="24525A68">
      <w:pPr>
        <w:rPr>
          <w:rFonts w:ascii="Arial" w:eastAsia="Arial" w:hAnsi="Arial" w:cs="Arial"/>
          <w:b/>
          <w:bCs/>
          <w:color w:val="FF0000"/>
          <w:sz w:val="22"/>
          <w:szCs w:val="22"/>
        </w:rPr>
      </w:pPr>
      <w:r w:rsidRPr="24525A68">
        <w:rPr>
          <w:rFonts w:ascii="Arial" w:eastAsia="Arial" w:hAnsi="Arial" w:cs="Arial"/>
          <w:b/>
          <w:bCs/>
          <w:sz w:val="22"/>
          <w:szCs w:val="22"/>
        </w:rPr>
        <w:t>What kind of expectations are there around metrics and targets? Do you have an example of metrics and targets for the recommendations?</w:t>
      </w:r>
      <w:r w:rsidRPr="24525A68">
        <w:rPr>
          <w:rFonts w:ascii="Arial" w:eastAsia="Arial" w:hAnsi="Arial" w:cs="Arial"/>
          <w:b/>
          <w:bCs/>
          <w:color w:val="FF0000"/>
          <w:sz w:val="22"/>
          <w:szCs w:val="22"/>
        </w:rPr>
        <w:t xml:space="preserve"> </w:t>
      </w:r>
    </w:p>
    <w:p w14:paraId="7D525680" w14:textId="287B48C0" w:rsidR="23DD5456" w:rsidRDefault="23DD5456" w:rsidP="24525A68">
      <w:pPr>
        <w:rPr>
          <w:rFonts w:ascii="Arial" w:eastAsia="Arial" w:hAnsi="Arial" w:cs="Arial"/>
          <w:sz w:val="22"/>
          <w:szCs w:val="22"/>
        </w:rPr>
      </w:pPr>
      <w:r w:rsidRPr="24525A68">
        <w:rPr>
          <w:rFonts w:ascii="Arial" w:eastAsia="Arial" w:hAnsi="Arial" w:cs="Arial"/>
          <w:sz w:val="22"/>
          <w:szCs w:val="22"/>
        </w:rPr>
        <w:t>This is about measuring the impact of your recommendations.  For example, if your recommendation is about how to improve organisational productivity, then the measurement will be an increase in productivity.  In a care home, the recommendations might be in place to improve occ</w:t>
      </w:r>
      <w:r w:rsidR="4F56FF68" w:rsidRPr="24525A68">
        <w:rPr>
          <w:rFonts w:ascii="Arial" w:eastAsia="Arial" w:hAnsi="Arial" w:cs="Arial"/>
          <w:sz w:val="22"/>
          <w:szCs w:val="22"/>
        </w:rPr>
        <w:t>upancy, so that is the measure.</w:t>
      </w:r>
    </w:p>
    <w:p w14:paraId="7865668E" w14:textId="4B9E06A6" w:rsidR="4F56FF68" w:rsidRDefault="4F56FF68" w:rsidP="24525A68">
      <w:pPr>
        <w:rPr>
          <w:rFonts w:ascii="Arial" w:eastAsia="Arial" w:hAnsi="Arial" w:cs="Arial"/>
          <w:sz w:val="22"/>
          <w:szCs w:val="22"/>
        </w:rPr>
      </w:pPr>
      <w:r w:rsidRPr="24525A68">
        <w:rPr>
          <w:rFonts w:ascii="Arial" w:eastAsia="Arial" w:hAnsi="Arial" w:cs="Arial"/>
          <w:sz w:val="22"/>
          <w:szCs w:val="22"/>
        </w:rPr>
        <w:t>If your recommendation is about improving employee satisfaction, then you need to measure that.</w:t>
      </w:r>
    </w:p>
    <w:p w14:paraId="3664259D" w14:textId="68217793" w:rsidR="4F56FF68" w:rsidRDefault="4F56FF68" w:rsidP="24525A68">
      <w:pPr>
        <w:rPr>
          <w:rFonts w:ascii="Arial" w:eastAsia="Arial" w:hAnsi="Arial" w:cs="Arial"/>
          <w:sz w:val="22"/>
          <w:szCs w:val="22"/>
        </w:rPr>
      </w:pPr>
      <w:r w:rsidRPr="24525A68">
        <w:rPr>
          <w:rFonts w:ascii="Arial" w:eastAsia="Arial" w:hAnsi="Arial" w:cs="Arial"/>
          <w:sz w:val="22"/>
          <w:szCs w:val="22"/>
        </w:rPr>
        <w:t>Or, it could be about costs.  If I made a recommendation about sending the entire HR team to the north of England to get the ACAS 5 day mediation training, there would be a considerable cost.  How can this cost be justified? What is the li</w:t>
      </w:r>
      <w:r w:rsidR="57D0CCB1" w:rsidRPr="24525A68">
        <w:rPr>
          <w:rFonts w:ascii="Arial" w:eastAsia="Arial" w:hAnsi="Arial" w:cs="Arial"/>
          <w:sz w:val="22"/>
          <w:szCs w:val="22"/>
        </w:rPr>
        <w:t>kely return on this investment and how will it be measured?</w:t>
      </w:r>
    </w:p>
    <w:p w14:paraId="1FC71FED" w14:textId="2165217E" w:rsidR="26D2326E" w:rsidRDefault="26D2326E" w:rsidP="24525A68">
      <w:pPr>
        <w:rPr>
          <w:rFonts w:ascii="Arial" w:eastAsia="Arial" w:hAnsi="Arial" w:cs="Arial"/>
          <w:sz w:val="22"/>
          <w:szCs w:val="22"/>
        </w:rPr>
      </w:pPr>
      <w:r w:rsidRPr="24525A68">
        <w:rPr>
          <w:rFonts w:ascii="Arial" w:eastAsia="Arial" w:hAnsi="Arial" w:cs="Arial"/>
          <w:sz w:val="22"/>
          <w:szCs w:val="22"/>
        </w:rPr>
        <w:t>At level 7, you should be thinking strategically about the commercial impact of your recomemndations and how it links with organisational strategy and targets.</w:t>
      </w:r>
      <w:r w:rsidR="243EAAD2" w:rsidRPr="24525A68">
        <w:rPr>
          <w:rFonts w:ascii="Arial" w:eastAsia="Arial" w:hAnsi="Arial" w:cs="Arial"/>
          <w:sz w:val="22"/>
          <w:szCs w:val="22"/>
        </w:rPr>
        <w:t xml:space="preserve">  </w:t>
      </w:r>
    </w:p>
    <w:p w14:paraId="1917F579" w14:textId="472DE3E0" w:rsidR="00072FB2" w:rsidRDefault="00072FB2" w:rsidP="24525A68">
      <w:pPr>
        <w:rPr>
          <w:rFonts w:ascii="Arial" w:eastAsia="Arial" w:hAnsi="Arial" w:cs="Arial"/>
          <w:b/>
          <w:bCs/>
          <w:sz w:val="22"/>
          <w:szCs w:val="22"/>
        </w:rPr>
      </w:pPr>
      <w:r w:rsidRPr="24525A68">
        <w:rPr>
          <w:rFonts w:ascii="Arial" w:eastAsia="Arial" w:hAnsi="Arial" w:cs="Arial"/>
          <w:b/>
          <w:bCs/>
          <w:sz w:val="22"/>
          <w:szCs w:val="22"/>
        </w:rPr>
        <w:t xml:space="preserve">Include timings in your recommendations? </w:t>
      </w:r>
    </w:p>
    <w:p w14:paraId="2A92F8AF" w14:textId="673AD6BA" w:rsidR="193CAB81" w:rsidRDefault="193CAB81" w:rsidP="24525A68">
      <w:pPr>
        <w:rPr>
          <w:rFonts w:ascii="Arial" w:eastAsia="Arial" w:hAnsi="Arial" w:cs="Arial"/>
          <w:sz w:val="22"/>
          <w:szCs w:val="22"/>
        </w:rPr>
      </w:pPr>
      <w:r w:rsidRPr="24525A68">
        <w:rPr>
          <w:rFonts w:ascii="Arial" w:eastAsia="Arial" w:hAnsi="Arial" w:cs="Arial"/>
          <w:sz w:val="22"/>
          <w:szCs w:val="22"/>
        </w:rPr>
        <w:t>Yes.  Make your recommendations SMART as far as possible.</w:t>
      </w:r>
    </w:p>
    <w:p w14:paraId="5AEFE172" w14:textId="5BC4F201" w:rsidR="00072FB2" w:rsidRDefault="00072FB2" w:rsidP="24525A68">
      <w:pPr>
        <w:rPr>
          <w:rFonts w:ascii="Arial" w:eastAsia="Arial" w:hAnsi="Arial" w:cs="Arial"/>
          <w:b/>
          <w:bCs/>
          <w:sz w:val="22"/>
          <w:szCs w:val="22"/>
        </w:rPr>
      </w:pPr>
      <w:r w:rsidRPr="24525A68">
        <w:rPr>
          <w:rFonts w:ascii="Arial" w:eastAsia="Arial" w:hAnsi="Arial" w:cs="Arial"/>
          <w:b/>
          <w:bCs/>
          <w:sz w:val="22"/>
          <w:szCs w:val="22"/>
        </w:rPr>
        <w:t xml:space="preserve">Include Case Law? </w:t>
      </w:r>
    </w:p>
    <w:p w14:paraId="670A4C3D" w14:textId="7E5C796E" w:rsidR="00072FB2" w:rsidRDefault="00072FB2" w:rsidP="24525A68">
      <w:pPr>
        <w:rPr>
          <w:rFonts w:ascii="Arial" w:eastAsia="Arial" w:hAnsi="Arial" w:cs="Arial"/>
          <w:color w:val="FF0000"/>
          <w:sz w:val="22"/>
          <w:szCs w:val="22"/>
        </w:rPr>
      </w:pPr>
      <w:r w:rsidRPr="24525A68">
        <w:rPr>
          <w:rFonts w:ascii="Arial" w:eastAsia="Arial" w:hAnsi="Arial" w:cs="Arial"/>
          <w:sz w:val="22"/>
          <w:szCs w:val="22"/>
        </w:rPr>
        <w:t>Yes</w:t>
      </w:r>
      <w:r w:rsidR="00DF7F0E" w:rsidRPr="24525A68">
        <w:rPr>
          <w:rFonts w:ascii="Arial" w:eastAsia="Arial" w:hAnsi="Arial" w:cs="Arial"/>
          <w:sz w:val="22"/>
          <w:szCs w:val="22"/>
        </w:rPr>
        <w:t>,</w:t>
      </w:r>
      <w:r w:rsidRPr="24525A68">
        <w:rPr>
          <w:rFonts w:ascii="Arial" w:eastAsia="Arial" w:hAnsi="Arial" w:cs="Arial"/>
          <w:sz w:val="22"/>
          <w:szCs w:val="22"/>
        </w:rPr>
        <w:t xml:space="preserve"> to highlight examples, Cite Them Right reference guidance</w:t>
      </w:r>
      <w:r w:rsidR="00923570" w:rsidRPr="24525A68">
        <w:rPr>
          <w:rFonts w:ascii="Arial" w:eastAsia="Arial" w:hAnsi="Arial" w:cs="Arial"/>
          <w:sz w:val="22"/>
          <w:szCs w:val="22"/>
        </w:rPr>
        <w:t xml:space="preserve"> can be found here: </w:t>
      </w:r>
      <w:hyperlink r:id="rId7">
        <w:r w:rsidR="00923570" w:rsidRPr="24525A68">
          <w:rPr>
            <w:rStyle w:val="Hyperlink"/>
            <w:rFonts w:ascii="Arial" w:eastAsia="Arial" w:hAnsi="Arial" w:cs="Arial"/>
            <w:color w:val="auto"/>
            <w:sz w:val="22"/>
            <w:szCs w:val="22"/>
          </w:rPr>
          <w:t>https://www-citethemrightonline-com.uwtsd.idm.oclc.org/sourcetype?docid=b-9781350927964&amp;tocid=b-9781350927964-122&amp;st=case+law</w:t>
        </w:r>
      </w:hyperlink>
      <w:r w:rsidR="00923570" w:rsidRPr="24525A68">
        <w:rPr>
          <w:rFonts w:ascii="Arial" w:eastAsia="Arial" w:hAnsi="Arial" w:cs="Arial"/>
          <w:color w:val="FF0000"/>
          <w:sz w:val="22"/>
          <w:szCs w:val="22"/>
        </w:rPr>
        <w:t xml:space="preserve"> </w:t>
      </w:r>
    </w:p>
    <w:p w14:paraId="2235544C" w14:textId="45AC68BA" w:rsidR="7EB8D992" w:rsidRDefault="7EB8D992" w:rsidP="24525A68">
      <w:pPr>
        <w:rPr>
          <w:rFonts w:ascii="Arial" w:eastAsia="Arial" w:hAnsi="Arial" w:cs="Arial"/>
          <w:sz w:val="22"/>
          <w:szCs w:val="22"/>
        </w:rPr>
      </w:pPr>
      <w:r w:rsidRPr="24525A68">
        <w:rPr>
          <w:rFonts w:ascii="Arial" w:eastAsia="Arial" w:hAnsi="Arial" w:cs="Arial"/>
          <w:sz w:val="22"/>
          <w:szCs w:val="22"/>
        </w:rPr>
        <w:t xml:space="preserve">The legislation sets out the framework but case law is how it is applied by ETs, EAT and so on.  These interpretations become the law through doctrine of precedent.  </w:t>
      </w:r>
      <w:r w:rsidR="2CB29889" w:rsidRPr="24525A68">
        <w:rPr>
          <w:rFonts w:ascii="Arial" w:eastAsia="Arial" w:hAnsi="Arial" w:cs="Arial"/>
          <w:sz w:val="22"/>
          <w:szCs w:val="22"/>
        </w:rPr>
        <w:t xml:space="preserve">Using case law in your assignment helps you apply your knowledge and also demonstrate that you are current.  </w:t>
      </w:r>
    </w:p>
    <w:p w14:paraId="76F6BE04" w14:textId="51F34389" w:rsidR="40D6A557" w:rsidRDefault="40D6A557" w:rsidP="24525A68">
      <w:pPr>
        <w:rPr>
          <w:rFonts w:ascii="Arial" w:eastAsia="Arial" w:hAnsi="Arial" w:cs="Arial"/>
          <w:sz w:val="22"/>
          <w:szCs w:val="22"/>
        </w:rPr>
      </w:pPr>
      <w:r w:rsidRPr="24525A68">
        <w:rPr>
          <w:rFonts w:ascii="Arial" w:eastAsia="Arial" w:hAnsi="Arial" w:cs="Arial"/>
          <w:sz w:val="22"/>
          <w:szCs w:val="22"/>
        </w:rPr>
        <w:t>Here is something that might help you when you are doing your reading around case law.  Don’t worry about the Welsh context here, but you will need to think about it in your own practice if you wo</w:t>
      </w:r>
      <w:r w:rsidR="0C7A17B1" w:rsidRPr="24525A68">
        <w:rPr>
          <w:rFonts w:ascii="Arial" w:eastAsia="Arial" w:hAnsi="Arial" w:cs="Arial"/>
          <w:sz w:val="22"/>
          <w:szCs w:val="22"/>
        </w:rPr>
        <w:t>rk for the public sector. Just to add: employment law is not devolved but policies such as Fair Work Wales, Social Partnership and Public Procurement (Wales) Act 2023 do create an overla</w:t>
      </w:r>
      <w:r w:rsidR="45FCD0A2" w:rsidRPr="24525A68">
        <w:rPr>
          <w:rFonts w:ascii="Arial" w:eastAsia="Arial" w:hAnsi="Arial" w:cs="Arial"/>
          <w:sz w:val="22"/>
          <w:szCs w:val="22"/>
        </w:rPr>
        <w:t xml:space="preserve">p. </w:t>
      </w:r>
    </w:p>
    <w:p w14:paraId="3E01E85D" w14:textId="707793E4" w:rsidR="40D6A557" w:rsidRDefault="40D6A557" w:rsidP="24525A68">
      <w:pPr>
        <w:rPr>
          <w:rFonts w:ascii="Arial" w:eastAsia="Arial" w:hAnsi="Arial" w:cs="Arial"/>
          <w:color w:val="FF0000"/>
          <w:sz w:val="22"/>
          <w:szCs w:val="22"/>
        </w:rPr>
      </w:pPr>
      <w:r>
        <w:rPr>
          <w:noProof/>
        </w:rPr>
        <w:lastRenderedPageBreak/>
        <w:drawing>
          <wp:inline distT="0" distB="0" distL="0" distR="0" wp14:anchorId="7AB5BF59" wp14:editId="716A25A1">
            <wp:extent cx="5724525" cy="2838450"/>
            <wp:effectExtent l="0" t="0" r="0" b="0"/>
            <wp:docPr id="20857219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721979" name="Picture 2085721979"/>
                    <pic:cNvPicPr/>
                  </pic:nvPicPr>
                  <pic:blipFill>
                    <a:blip r:embed="rId8">
                      <a:extLst>
                        <a:ext uri="{28A0092B-C50C-407E-A947-70E740481C1C}">
                          <a14:useLocalDpi xmlns:a14="http://schemas.microsoft.com/office/drawing/2010/main"/>
                        </a:ext>
                      </a:extLst>
                    </a:blip>
                    <a:stretch>
                      <a:fillRect/>
                    </a:stretch>
                  </pic:blipFill>
                  <pic:spPr>
                    <a:xfrm>
                      <a:off x="0" y="0"/>
                      <a:ext cx="5724525" cy="2838450"/>
                    </a:xfrm>
                    <a:prstGeom prst="rect">
                      <a:avLst/>
                    </a:prstGeom>
                  </pic:spPr>
                </pic:pic>
              </a:graphicData>
            </a:graphic>
          </wp:inline>
        </w:drawing>
      </w:r>
    </w:p>
    <w:p w14:paraId="2383C889" w14:textId="76FBA730" w:rsidR="24525A68" w:rsidRDefault="24525A68" w:rsidP="24525A68">
      <w:pPr>
        <w:rPr>
          <w:rFonts w:ascii="Arial" w:eastAsia="Arial" w:hAnsi="Arial" w:cs="Arial"/>
          <w:color w:val="FF0000"/>
          <w:sz w:val="22"/>
          <w:szCs w:val="22"/>
        </w:rPr>
      </w:pPr>
    </w:p>
    <w:p w14:paraId="636227FA" w14:textId="2B9E07EB" w:rsidR="00072FB2" w:rsidRDefault="00072FB2" w:rsidP="24525A68">
      <w:pPr>
        <w:rPr>
          <w:rFonts w:ascii="Arial" w:eastAsia="Arial" w:hAnsi="Arial" w:cs="Arial"/>
          <w:b/>
          <w:bCs/>
          <w:sz w:val="22"/>
          <w:szCs w:val="22"/>
        </w:rPr>
      </w:pPr>
      <w:r w:rsidRPr="24525A68">
        <w:rPr>
          <w:rFonts w:ascii="Arial" w:eastAsia="Arial" w:hAnsi="Arial" w:cs="Arial"/>
          <w:b/>
          <w:bCs/>
          <w:sz w:val="22"/>
          <w:szCs w:val="22"/>
        </w:rPr>
        <w:t>Bibliography?</w:t>
      </w:r>
    </w:p>
    <w:p w14:paraId="4CE6701C" w14:textId="0D5F640C" w:rsidR="00072FB2" w:rsidRDefault="00072FB2" w:rsidP="24525A68">
      <w:pPr>
        <w:rPr>
          <w:rFonts w:ascii="Arial" w:eastAsia="Arial" w:hAnsi="Arial" w:cs="Arial"/>
          <w:sz w:val="22"/>
          <w:szCs w:val="22"/>
        </w:rPr>
      </w:pPr>
      <w:r w:rsidRPr="24525A68">
        <w:rPr>
          <w:rFonts w:ascii="Arial" w:eastAsia="Arial" w:hAnsi="Arial" w:cs="Arial"/>
          <w:sz w:val="22"/>
          <w:szCs w:val="22"/>
        </w:rPr>
        <w:t>Ye</w:t>
      </w:r>
      <w:r w:rsidR="00715E68" w:rsidRPr="24525A68">
        <w:rPr>
          <w:rFonts w:ascii="Arial" w:eastAsia="Arial" w:hAnsi="Arial" w:cs="Arial"/>
          <w:sz w:val="22"/>
          <w:szCs w:val="22"/>
        </w:rPr>
        <w:t>s, separate for each task.</w:t>
      </w:r>
    </w:p>
    <w:p w14:paraId="2D25D4FB" w14:textId="08BD3864" w:rsidR="00715E68" w:rsidRDefault="00715E68" w:rsidP="24525A68">
      <w:pPr>
        <w:rPr>
          <w:rFonts w:ascii="Arial" w:eastAsia="Arial" w:hAnsi="Arial" w:cs="Arial"/>
          <w:b/>
          <w:bCs/>
          <w:color w:val="FF0000"/>
          <w:sz w:val="22"/>
          <w:szCs w:val="22"/>
        </w:rPr>
      </w:pPr>
      <w:r w:rsidRPr="24525A68">
        <w:rPr>
          <w:rFonts w:ascii="Arial" w:eastAsia="Arial" w:hAnsi="Arial" w:cs="Arial"/>
          <w:b/>
          <w:bCs/>
          <w:sz w:val="22"/>
          <w:szCs w:val="22"/>
        </w:rPr>
        <w:t>Do you definitely not need the leaflet on the word document?</w:t>
      </w:r>
      <w:r w:rsidRPr="24525A68">
        <w:rPr>
          <w:rFonts w:ascii="Arial" w:eastAsia="Arial" w:hAnsi="Arial" w:cs="Arial"/>
          <w:b/>
          <w:bCs/>
          <w:color w:val="FF0000"/>
          <w:sz w:val="22"/>
          <w:szCs w:val="22"/>
        </w:rPr>
        <w:t xml:space="preserve"> </w:t>
      </w:r>
    </w:p>
    <w:p w14:paraId="75F04A4F" w14:textId="030638CA" w:rsidR="01CF923A" w:rsidRDefault="01CF923A" w:rsidP="24525A68">
      <w:pPr>
        <w:rPr>
          <w:rFonts w:ascii="Arial" w:eastAsia="Arial" w:hAnsi="Arial" w:cs="Arial"/>
          <w:sz w:val="22"/>
          <w:szCs w:val="22"/>
        </w:rPr>
      </w:pPr>
      <w:r w:rsidRPr="24525A68">
        <w:rPr>
          <w:rFonts w:ascii="Arial" w:eastAsia="Arial" w:hAnsi="Arial" w:cs="Arial"/>
          <w:sz w:val="22"/>
          <w:szCs w:val="22"/>
        </w:rPr>
        <w:t xml:space="preserve">I do not. </w:t>
      </w:r>
    </w:p>
    <w:p w14:paraId="39B572D3" w14:textId="1238CD8F" w:rsidR="00715E68" w:rsidRDefault="00715E68" w:rsidP="24525A68">
      <w:pPr>
        <w:rPr>
          <w:rFonts w:ascii="Arial" w:eastAsia="Arial" w:hAnsi="Arial" w:cs="Arial"/>
          <w:b/>
          <w:bCs/>
          <w:sz w:val="22"/>
          <w:szCs w:val="22"/>
        </w:rPr>
      </w:pPr>
      <w:r w:rsidRPr="24525A68">
        <w:rPr>
          <w:rFonts w:ascii="Arial" w:eastAsia="Arial" w:hAnsi="Arial" w:cs="Arial"/>
          <w:b/>
          <w:bCs/>
          <w:sz w:val="22"/>
          <w:szCs w:val="22"/>
        </w:rPr>
        <w:t xml:space="preserve">Can we quote Hannah Belton for example? </w:t>
      </w:r>
    </w:p>
    <w:p w14:paraId="1895186F" w14:textId="05440B1D" w:rsidR="00715E68" w:rsidRDefault="00715E68" w:rsidP="24525A68">
      <w:pPr>
        <w:rPr>
          <w:rFonts w:ascii="Arial" w:eastAsia="Arial" w:hAnsi="Arial" w:cs="Arial"/>
          <w:sz w:val="22"/>
          <w:szCs w:val="22"/>
        </w:rPr>
      </w:pPr>
      <w:r w:rsidRPr="24525A68">
        <w:rPr>
          <w:rFonts w:ascii="Arial" w:eastAsia="Arial" w:hAnsi="Arial" w:cs="Arial"/>
          <w:sz w:val="22"/>
          <w:szCs w:val="22"/>
        </w:rPr>
        <w:t>Yes, provide an example from those slides.</w:t>
      </w:r>
      <w:r w:rsidR="0C531D9F" w:rsidRPr="24525A68">
        <w:rPr>
          <w:rFonts w:ascii="Arial" w:eastAsia="Arial" w:hAnsi="Arial" w:cs="Arial"/>
          <w:sz w:val="22"/>
          <w:szCs w:val="22"/>
        </w:rPr>
        <w:t xml:space="preserve">  You can cite anything or anyone you like so long as they are a credible, relevant academic source.</w:t>
      </w:r>
    </w:p>
    <w:p w14:paraId="785BACD3" w14:textId="32BEC37E" w:rsidR="00715E68" w:rsidRDefault="00923570" w:rsidP="24525A68">
      <w:pPr>
        <w:rPr>
          <w:rFonts w:ascii="Arial" w:eastAsia="Arial" w:hAnsi="Arial" w:cs="Arial"/>
          <w:b/>
          <w:bCs/>
          <w:sz w:val="22"/>
          <w:szCs w:val="22"/>
        </w:rPr>
      </w:pPr>
      <w:r w:rsidRPr="24525A68">
        <w:rPr>
          <w:rFonts w:ascii="Arial" w:eastAsia="Arial" w:hAnsi="Arial" w:cs="Arial"/>
          <w:b/>
          <w:bCs/>
          <w:sz w:val="22"/>
          <w:szCs w:val="22"/>
        </w:rPr>
        <w:t>What should be included in the i</w:t>
      </w:r>
      <w:r w:rsidR="00715E68" w:rsidRPr="24525A68">
        <w:rPr>
          <w:rFonts w:ascii="Arial" w:eastAsia="Arial" w:hAnsi="Arial" w:cs="Arial"/>
          <w:b/>
          <w:bCs/>
          <w:sz w:val="22"/>
          <w:szCs w:val="22"/>
        </w:rPr>
        <w:t xml:space="preserve">ntroduction? </w:t>
      </w:r>
    </w:p>
    <w:p w14:paraId="5D29D9BD" w14:textId="06C9F283" w:rsidR="00715E68" w:rsidRDefault="00715E68" w:rsidP="24525A68">
      <w:pPr>
        <w:rPr>
          <w:rFonts w:ascii="Arial" w:eastAsia="Arial" w:hAnsi="Arial" w:cs="Arial"/>
          <w:sz w:val="22"/>
          <w:szCs w:val="22"/>
        </w:rPr>
      </w:pPr>
      <w:r w:rsidRPr="24525A68">
        <w:rPr>
          <w:rFonts w:ascii="Arial" w:eastAsia="Arial" w:hAnsi="Arial" w:cs="Arial"/>
          <w:sz w:val="22"/>
          <w:szCs w:val="22"/>
        </w:rPr>
        <w:t>Don’t just describe the law, set the scene and start analysis.</w:t>
      </w:r>
    </w:p>
    <w:p w14:paraId="2D33983C" w14:textId="528B2218" w:rsidR="00715E68" w:rsidRDefault="0023537B" w:rsidP="24525A68">
      <w:pPr>
        <w:rPr>
          <w:rFonts w:ascii="Arial" w:eastAsia="Arial" w:hAnsi="Arial" w:cs="Arial"/>
          <w:b/>
          <w:bCs/>
          <w:sz w:val="22"/>
          <w:szCs w:val="22"/>
        </w:rPr>
      </w:pPr>
      <w:r>
        <w:rPr>
          <w:rFonts w:ascii="Arial" w:eastAsia="Arial" w:hAnsi="Arial" w:cs="Arial"/>
          <w:b/>
          <w:bCs/>
          <w:sz w:val="22"/>
          <w:szCs w:val="22"/>
        </w:rPr>
        <w:t>Clarification of l</w:t>
      </w:r>
      <w:r w:rsidR="00715E68" w:rsidRPr="24525A68">
        <w:rPr>
          <w:rFonts w:ascii="Arial" w:eastAsia="Arial" w:hAnsi="Arial" w:cs="Arial"/>
          <w:b/>
          <w:bCs/>
          <w:sz w:val="22"/>
          <w:szCs w:val="22"/>
        </w:rPr>
        <w:t>eaflet</w:t>
      </w:r>
      <w:r>
        <w:rPr>
          <w:rFonts w:ascii="Arial" w:eastAsia="Arial" w:hAnsi="Arial" w:cs="Arial"/>
          <w:b/>
          <w:bCs/>
          <w:sz w:val="22"/>
          <w:szCs w:val="22"/>
        </w:rPr>
        <w:t xml:space="preserve"> layout</w:t>
      </w:r>
      <w:r w:rsidR="00715E68" w:rsidRPr="24525A68">
        <w:rPr>
          <w:rFonts w:ascii="Arial" w:eastAsia="Arial" w:hAnsi="Arial" w:cs="Arial"/>
          <w:b/>
          <w:bCs/>
          <w:sz w:val="22"/>
          <w:szCs w:val="22"/>
        </w:rPr>
        <w:t>?</w:t>
      </w:r>
    </w:p>
    <w:p w14:paraId="7EB858D3" w14:textId="37D885B5" w:rsidR="00715E68" w:rsidRDefault="00715E68" w:rsidP="24525A68">
      <w:pPr>
        <w:rPr>
          <w:rFonts w:ascii="Arial" w:eastAsia="Arial" w:hAnsi="Arial" w:cs="Arial"/>
          <w:sz w:val="22"/>
          <w:szCs w:val="22"/>
        </w:rPr>
      </w:pPr>
      <w:r w:rsidRPr="24525A68">
        <w:rPr>
          <w:rFonts w:ascii="Arial" w:eastAsia="Arial" w:hAnsi="Arial" w:cs="Arial"/>
          <w:sz w:val="22"/>
          <w:szCs w:val="22"/>
        </w:rPr>
        <w:t xml:space="preserve">Can be on one </w:t>
      </w:r>
      <w:r w:rsidR="00711EDE" w:rsidRPr="24525A68">
        <w:rPr>
          <w:rFonts w:ascii="Arial" w:eastAsia="Arial" w:hAnsi="Arial" w:cs="Arial"/>
          <w:sz w:val="22"/>
          <w:szCs w:val="22"/>
        </w:rPr>
        <w:t>page or multiple, example on Canva, student’s own choice</w:t>
      </w:r>
      <w:r w:rsidR="68A86E78" w:rsidRPr="24525A68">
        <w:rPr>
          <w:rFonts w:ascii="Arial" w:eastAsia="Arial" w:hAnsi="Arial" w:cs="Arial"/>
          <w:sz w:val="22"/>
          <w:szCs w:val="22"/>
        </w:rPr>
        <w:t xml:space="preserve">. I did show you some examples in an earlier session, perhaps week 1 or 2. </w:t>
      </w:r>
    </w:p>
    <w:p w14:paraId="3C2C1C36" w14:textId="55511B6D" w:rsidR="00711EDE" w:rsidRDefault="00711EDE" w:rsidP="24525A68">
      <w:pPr>
        <w:rPr>
          <w:rFonts w:ascii="Arial" w:eastAsia="Arial" w:hAnsi="Arial" w:cs="Arial"/>
          <w:b/>
          <w:bCs/>
          <w:sz w:val="22"/>
          <w:szCs w:val="22"/>
        </w:rPr>
      </w:pPr>
      <w:r w:rsidRPr="24525A68">
        <w:rPr>
          <w:rFonts w:ascii="Arial" w:eastAsia="Arial" w:hAnsi="Arial" w:cs="Arial"/>
          <w:b/>
          <w:bCs/>
          <w:sz w:val="22"/>
          <w:szCs w:val="22"/>
        </w:rPr>
        <w:t>It says email/memo at bottom of task descriptions – should this be a report?</w:t>
      </w:r>
      <w:r w:rsidR="00923570" w:rsidRPr="24525A68">
        <w:rPr>
          <w:rFonts w:ascii="Arial" w:eastAsia="Arial" w:hAnsi="Arial" w:cs="Arial"/>
          <w:b/>
          <w:bCs/>
          <w:sz w:val="22"/>
          <w:szCs w:val="22"/>
        </w:rPr>
        <w:t xml:space="preserve"> </w:t>
      </w:r>
    </w:p>
    <w:p w14:paraId="7B76B7BE" w14:textId="3EA7DBEB" w:rsidR="24525A68" w:rsidRDefault="00923570" w:rsidP="0023537B">
      <w:pPr>
        <w:rPr>
          <w:rFonts w:ascii="Arial" w:eastAsia="Arial" w:hAnsi="Arial" w:cs="Arial"/>
          <w:sz w:val="22"/>
          <w:szCs w:val="22"/>
        </w:rPr>
      </w:pPr>
      <w:r w:rsidRPr="24525A68">
        <w:rPr>
          <w:rFonts w:ascii="Arial" w:eastAsia="Arial" w:hAnsi="Arial" w:cs="Arial"/>
          <w:sz w:val="22"/>
          <w:szCs w:val="22"/>
        </w:rPr>
        <w:t>Yes, you can ignore email/memo</w:t>
      </w:r>
    </w:p>
    <w:p w14:paraId="54E9175C" w14:textId="60BAC37B" w:rsidR="00711EDE" w:rsidRDefault="00711EDE" w:rsidP="24525A68">
      <w:pPr>
        <w:rPr>
          <w:rFonts w:ascii="Arial" w:eastAsia="Arial" w:hAnsi="Arial" w:cs="Arial"/>
          <w:b/>
          <w:bCs/>
          <w:sz w:val="22"/>
          <w:szCs w:val="22"/>
        </w:rPr>
      </w:pPr>
      <w:r w:rsidRPr="24525A68">
        <w:rPr>
          <w:rFonts w:ascii="Arial" w:eastAsia="Arial" w:hAnsi="Arial" w:cs="Arial"/>
          <w:b/>
          <w:bCs/>
          <w:sz w:val="22"/>
          <w:szCs w:val="22"/>
        </w:rPr>
        <w:t>Draft deadline still this Friday?</w:t>
      </w:r>
      <w:r w:rsidR="00923570" w:rsidRPr="24525A68">
        <w:rPr>
          <w:rFonts w:ascii="Arial" w:eastAsia="Arial" w:hAnsi="Arial" w:cs="Arial"/>
          <w:b/>
          <w:bCs/>
          <w:sz w:val="22"/>
          <w:szCs w:val="22"/>
        </w:rPr>
        <w:t xml:space="preserve"> </w:t>
      </w:r>
    </w:p>
    <w:p w14:paraId="7D64D3D4" w14:textId="264A6A28" w:rsidR="5E923C5E" w:rsidRDefault="5E923C5E" w:rsidP="24525A68">
      <w:pPr>
        <w:rPr>
          <w:rFonts w:ascii="Arial" w:eastAsia="Arial" w:hAnsi="Arial" w:cs="Arial"/>
          <w:sz w:val="22"/>
          <w:szCs w:val="22"/>
        </w:rPr>
      </w:pPr>
      <w:r w:rsidRPr="24525A68">
        <w:rPr>
          <w:rFonts w:ascii="Arial" w:eastAsia="Arial" w:hAnsi="Arial" w:cs="Arial"/>
          <w:sz w:val="22"/>
          <w:szCs w:val="22"/>
        </w:rPr>
        <w:t xml:space="preserve">Yes </w:t>
      </w:r>
    </w:p>
    <w:p w14:paraId="1ED536DA" w14:textId="5B4BD6A7" w:rsidR="00DF1E83" w:rsidRPr="00677AB6" w:rsidRDefault="00DF1E83" w:rsidP="24525A68">
      <w:pPr>
        <w:rPr>
          <w:rFonts w:ascii="Arial" w:eastAsia="Arial" w:hAnsi="Arial" w:cs="Arial"/>
          <w:b/>
          <w:bCs/>
          <w:color w:val="000000" w:themeColor="text1"/>
          <w:sz w:val="22"/>
          <w:szCs w:val="22"/>
        </w:rPr>
      </w:pPr>
      <w:r w:rsidRPr="24525A68">
        <w:rPr>
          <w:rFonts w:ascii="Arial" w:eastAsia="Arial" w:hAnsi="Arial" w:cs="Arial"/>
          <w:b/>
          <w:bCs/>
          <w:color w:val="000000" w:themeColor="text1"/>
          <w:sz w:val="22"/>
          <w:szCs w:val="22"/>
        </w:rPr>
        <w:t xml:space="preserve">Possibility of </w:t>
      </w:r>
      <w:r w:rsidR="00677AB6" w:rsidRPr="24525A68">
        <w:rPr>
          <w:rFonts w:ascii="Arial" w:eastAsia="Arial" w:hAnsi="Arial" w:cs="Arial"/>
          <w:b/>
          <w:bCs/>
          <w:color w:val="000000" w:themeColor="text1"/>
          <w:sz w:val="22"/>
          <w:szCs w:val="22"/>
        </w:rPr>
        <w:t xml:space="preserve">word count guidance for each part of the </w:t>
      </w:r>
      <w:r w:rsidR="0023537B">
        <w:rPr>
          <w:rFonts w:ascii="Arial" w:eastAsia="Arial" w:hAnsi="Arial" w:cs="Arial"/>
          <w:b/>
          <w:bCs/>
          <w:color w:val="000000" w:themeColor="text1"/>
          <w:sz w:val="22"/>
          <w:szCs w:val="22"/>
        </w:rPr>
        <w:t>repor</w:t>
      </w:r>
      <w:r w:rsidR="00677AB6" w:rsidRPr="24525A68">
        <w:rPr>
          <w:rFonts w:ascii="Arial" w:eastAsia="Arial" w:hAnsi="Arial" w:cs="Arial"/>
          <w:b/>
          <w:bCs/>
          <w:color w:val="000000" w:themeColor="text1"/>
          <w:sz w:val="22"/>
          <w:szCs w:val="22"/>
        </w:rPr>
        <w:t>t?</w:t>
      </w:r>
      <w:r w:rsidR="006E1F9A" w:rsidRPr="24525A68">
        <w:rPr>
          <w:rFonts w:ascii="Arial" w:eastAsia="Arial" w:hAnsi="Arial" w:cs="Arial"/>
          <w:b/>
          <w:bCs/>
          <w:color w:val="FF0000"/>
          <w:sz w:val="22"/>
          <w:szCs w:val="22"/>
        </w:rPr>
        <w:t xml:space="preserve"> </w:t>
      </w:r>
    </w:p>
    <w:p w14:paraId="4E2DEA38" w14:textId="13D70940" w:rsidR="561B5F6D" w:rsidRDefault="561B5F6D" w:rsidP="24525A68">
      <w:pPr>
        <w:rPr>
          <w:rFonts w:ascii="Arial" w:eastAsia="Arial" w:hAnsi="Arial" w:cs="Arial"/>
          <w:b/>
          <w:bCs/>
          <w:sz w:val="22"/>
          <w:szCs w:val="22"/>
        </w:rPr>
      </w:pPr>
      <w:r w:rsidRPr="24525A68">
        <w:rPr>
          <w:rFonts w:ascii="Arial" w:eastAsia="Arial" w:hAnsi="Arial" w:cs="Arial"/>
          <w:sz w:val="22"/>
          <w:szCs w:val="22"/>
        </w:rPr>
        <w:t>Introduction — 150–200 words</w:t>
      </w:r>
    </w:p>
    <w:p w14:paraId="0EF6A4DF" w14:textId="030CA939" w:rsidR="561B5F6D" w:rsidRDefault="561B5F6D" w:rsidP="24525A68">
      <w:pPr>
        <w:spacing w:before="240" w:after="240"/>
        <w:rPr>
          <w:rFonts w:ascii="Arial" w:eastAsia="Arial" w:hAnsi="Arial" w:cs="Arial"/>
          <w:sz w:val="22"/>
          <w:szCs w:val="22"/>
        </w:rPr>
      </w:pPr>
      <w:r w:rsidRPr="24525A68">
        <w:rPr>
          <w:rFonts w:ascii="Arial" w:eastAsia="Arial" w:hAnsi="Arial" w:cs="Arial"/>
          <w:sz w:val="22"/>
          <w:szCs w:val="22"/>
        </w:rPr>
        <w:t>Brief framing of the legal issues raised by the scenario.  I want to see analysis, not scene-setting. Identify the key areas of law in play and signpost your structure.</w:t>
      </w:r>
      <w:r w:rsidR="79639B46" w:rsidRPr="24525A68">
        <w:rPr>
          <w:rFonts w:ascii="Arial" w:eastAsia="Arial" w:hAnsi="Arial" w:cs="Arial"/>
          <w:sz w:val="22"/>
          <w:szCs w:val="22"/>
        </w:rPr>
        <w:t xml:space="preserve">  Please do not just repeat information from the case study. </w:t>
      </w:r>
    </w:p>
    <w:p w14:paraId="4A3D3380" w14:textId="0C8D88CE" w:rsidR="561B5F6D" w:rsidRDefault="561B5F6D" w:rsidP="24525A68">
      <w:pPr>
        <w:spacing w:after="0"/>
        <w:ind w:left="540" w:hanging="540"/>
        <w:rPr>
          <w:rFonts w:ascii="Arial" w:eastAsia="Arial" w:hAnsi="Arial" w:cs="Arial"/>
          <w:color w:val="000000" w:themeColor="text1"/>
          <w:sz w:val="22"/>
          <w:szCs w:val="22"/>
        </w:rPr>
      </w:pPr>
      <w:r w:rsidRPr="24525A68">
        <w:rPr>
          <w:rFonts w:ascii="Arial" w:eastAsia="Arial" w:hAnsi="Arial" w:cs="Arial"/>
          <w:sz w:val="22"/>
          <w:szCs w:val="22"/>
        </w:rPr>
        <w:lastRenderedPageBreak/>
        <w:t>Legal Issue</w:t>
      </w:r>
      <w:r w:rsidR="25974285" w:rsidRPr="24525A68">
        <w:rPr>
          <w:rFonts w:ascii="Arial" w:eastAsia="Arial" w:hAnsi="Arial" w:cs="Arial"/>
          <w:sz w:val="22"/>
          <w:szCs w:val="22"/>
        </w:rPr>
        <w:t>s , analysis, identification of risk</w:t>
      </w:r>
      <w:r w:rsidR="6973AC69" w:rsidRPr="24525A68">
        <w:rPr>
          <w:rFonts w:ascii="Arial" w:eastAsia="Arial" w:hAnsi="Arial" w:cs="Arial"/>
          <w:sz w:val="22"/>
          <w:szCs w:val="22"/>
        </w:rPr>
        <w:t>.</w:t>
      </w:r>
      <w:r w:rsidR="767E4C08" w:rsidRPr="24525A68">
        <w:rPr>
          <w:rFonts w:ascii="Arial" w:eastAsia="Arial" w:hAnsi="Arial" w:cs="Arial"/>
          <w:sz w:val="22"/>
          <w:szCs w:val="22"/>
        </w:rPr>
        <w:t xml:space="preserve"> This should form the majority of the report. A well-structured report will include subject headings to help inform the reader.</w:t>
      </w:r>
    </w:p>
    <w:p w14:paraId="5CFE3D03" w14:textId="2B9EC86D" w:rsidR="24525A68" w:rsidRDefault="24525A68" w:rsidP="24525A68">
      <w:pPr>
        <w:spacing w:after="0"/>
        <w:ind w:left="540" w:hanging="540"/>
        <w:rPr>
          <w:rFonts w:ascii="Arial" w:eastAsia="Arial" w:hAnsi="Arial" w:cs="Arial"/>
          <w:sz w:val="22"/>
          <w:szCs w:val="22"/>
        </w:rPr>
      </w:pPr>
    </w:p>
    <w:p w14:paraId="708FD9C2" w14:textId="5C9C41C7" w:rsidR="6973AC69" w:rsidRDefault="6973AC69" w:rsidP="24525A68">
      <w:pPr>
        <w:spacing w:after="0"/>
        <w:ind w:left="540" w:hanging="540"/>
        <w:rPr>
          <w:rFonts w:ascii="Arial" w:eastAsia="Arial" w:hAnsi="Arial" w:cs="Arial"/>
          <w:color w:val="000000" w:themeColor="text1"/>
          <w:sz w:val="22"/>
          <w:szCs w:val="22"/>
        </w:rPr>
      </w:pPr>
      <w:r w:rsidRPr="24525A68">
        <w:rPr>
          <w:rFonts w:ascii="Arial" w:eastAsia="Arial" w:hAnsi="Arial" w:cs="Arial"/>
          <w:sz w:val="22"/>
          <w:szCs w:val="22"/>
        </w:rPr>
        <w:t xml:space="preserve">  Please remember to address the following points:</w:t>
      </w:r>
      <w:r w:rsidR="71521A33" w:rsidRPr="24525A68">
        <w:rPr>
          <w:rFonts w:ascii="Arial" w:eastAsia="Arial" w:hAnsi="Arial" w:cs="Arial"/>
          <w:color w:val="000000" w:themeColor="text1"/>
          <w:sz w:val="22"/>
          <w:szCs w:val="22"/>
        </w:rPr>
        <w:t xml:space="preserve"> </w:t>
      </w:r>
    </w:p>
    <w:p w14:paraId="35E69F89" w14:textId="6FFFB50F" w:rsidR="24525A68" w:rsidRDefault="24525A68" w:rsidP="24525A68">
      <w:pPr>
        <w:spacing w:after="0"/>
        <w:ind w:left="540" w:hanging="540"/>
        <w:rPr>
          <w:rFonts w:ascii="Arial" w:eastAsia="Arial" w:hAnsi="Arial" w:cs="Arial"/>
          <w:color w:val="000000" w:themeColor="text1"/>
          <w:sz w:val="22"/>
          <w:szCs w:val="22"/>
        </w:rPr>
      </w:pPr>
    </w:p>
    <w:p w14:paraId="383278F9" w14:textId="428DE4FF" w:rsidR="3502909F" w:rsidRDefault="3502909F" w:rsidP="24525A68">
      <w:pPr>
        <w:spacing w:after="0"/>
        <w:ind w:left="540" w:hanging="540"/>
        <w:rPr>
          <w:rFonts w:ascii="Arial" w:eastAsia="Arial" w:hAnsi="Arial" w:cs="Arial"/>
          <w:color w:val="000000" w:themeColor="text1"/>
          <w:sz w:val="22"/>
          <w:szCs w:val="22"/>
        </w:rPr>
      </w:pPr>
      <w:r w:rsidRPr="24525A68">
        <w:rPr>
          <w:rFonts w:ascii="Arial" w:eastAsia="Arial" w:hAnsi="Arial" w:cs="Arial"/>
          <w:color w:val="000000" w:themeColor="text1"/>
          <w:sz w:val="22"/>
          <w:szCs w:val="22"/>
        </w:rPr>
        <w:t>1.</w:t>
      </w:r>
      <w:r>
        <w:tab/>
      </w:r>
      <w:r w:rsidR="71521A33" w:rsidRPr="24525A68">
        <w:rPr>
          <w:rFonts w:ascii="Arial" w:eastAsia="Arial" w:hAnsi="Arial" w:cs="Arial"/>
          <w:color w:val="000000" w:themeColor="text1"/>
          <w:sz w:val="22"/>
          <w:szCs w:val="22"/>
        </w:rPr>
        <w:t>Immediate risks to the Company in terms of employment law, based on your analysis of the</w:t>
      </w:r>
      <w:r w:rsidR="75F1F385" w:rsidRPr="24525A68">
        <w:rPr>
          <w:rFonts w:ascii="Arial" w:eastAsia="Arial" w:hAnsi="Arial" w:cs="Arial"/>
          <w:color w:val="000000" w:themeColor="text1"/>
          <w:sz w:val="22"/>
          <w:szCs w:val="22"/>
        </w:rPr>
        <w:t xml:space="preserve"> </w:t>
      </w:r>
      <w:r w:rsidR="71521A33" w:rsidRPr="24525A68">
        <w:rPr>
          <w:rFonts w:ascii="Arial" w:eastAsia="Arial" w:hAnsi="Arial" w:cs="Arial"/>
          <w:color w:val="000000" w:themeColor="text1"/>
          <w:sz w:val="22"/>
          <w:szCs w:val="22"/>
        </w:rPr>
        <w:t>current situation.</w:t>
      </w:r>
    </w:p>
    <w:p w14:paraId="753D8CC2" w14:textId="02AFF992" w:rsidR="24525A68" w:rsidRDefault="24525A68" w:rsidP="24525A68">
      <w:pPr>
        <w:spacing w:after="0"/>
        <w:ind w:left="540" w:hanging="540"/>
        <w:rPr>
          <w:rFonts w:ascii="Arial" w:eastAsia="Arial" w:hAnsi="Arial" w:cs="Arial"/>
          <w:sz w:val="22"/>
          <w:szCs w:val="22"/>
        </w:rPr>
      </w:pPr>
    </w:p>
    <w:p w14:paraId="79001108" w14:textId="6C8CEE7D" w:rsidR="71521A33" w:rsidRDefault="71521A33" w:rsidP="24525A68">
      <w:pPr>
        <w:spacing w:after="0"/>
        <w:ind w:left="540" w:hanging="540"/>
        <w:rPr>
          <w:rFonts w:ascii="Arial" w:eastAsia="Arial" w:hAnsi="Arial" w:cs="Arial"/>
          <w:color w:val="000000" w:themeColor="text1"/>
          <w:sz w:val="22"/>
          <w:szCs w:val="22"/>
        </w:rPr>
      </w:pPr>
      <w:r w:rsidRPr="24525A68">
        <w:rPr>
          <w:rFonts w:ascii="Arial" w:eastAsia="Arial" w:hAnsi="Arial" w:cs="Arial"/>
          <w:color w:val="000000" w:themeColor="text1"/>
          <w:sz w:val="22"/>
          <w:szCs w:val="22"/>
        </w:rPr>
        <w:t>2.</w:t>
      </w:r>
      <w:r>
        <w:tab/>
      </w:r>
      <w:r w:rsidRPr="24525A68">
        <w:rPr>
          <w:rFonts w:ascii="Arial" w:eastAsia="Arial" w:hAnsi="Arial" w:cs="Arial"/>
          <w:color w:val="000000" w:themeColor="text1"/>
          <w:sz w:val="22"/>
          <w:szCs w:val="22"/>
        </w:rPr>
        <w:t xml:space="preserve">Your advice and recommendations for improving compliance, taking into account the new Employment Rights </w:t>
      </w:r>
      <w:r w:rsidR="0A3EF0B2" w:rsidRPr="24525A68">
        <w:rPr>
          <w:rFonts w:ascii="Arial" w:eastAsia="Arial" w:hAnsi="Arial" w:cs="Arial"/>
          <w:color w:val="000000" w:themeColor="text1"/>
          <w:sz w:val="22"/>
          <w:szCs w:val="22"/>
        </w:rPr>
        <w:t>Act 2025</w:t>
      </w:r>
      <w:r w:rsidRPr="24525A68">
        <w:rPr>
          <w:rFonts w:ascii="Arial" w:eastAsia="Arial" w:hAnsi="Arial" w:cs="Arial"/>
          <w:color w:val="000000" w:themeColor="text1"/>
          <w:sz w:val="22"/>
          <w:szCs w:val="22"/>
        </w:rPr>
        <w:t xml:space="preserve">.  She is aware that some of the details are unknown at this time, but she wants to get ahead of competitors in terms of implementation. </w:t>
      </w:r>
    </w:p>
    <w:p w14:paraId="5EE844AE" w14:textId="02B10EB3" w:rsidR="24525A68" w:rsidRDefault="24525A68" w:rsidP="24525A68">
      <w:pPr>
        <w:spacing w:after="0"/>
        <w:ind w:left="540" w:hanging="540"/>
        <w:rPr>
          <w:rFonts w:ascii="Arial" w:eastAsia="Arial" w:hAnsi="Arial" w:cs="Arial"/>
          <w:sz w:val="22"/>
          <w:szCs w:val="22"/>
        </w:rPr>
      </w:pPr>
    </w:p>
    <w:p w14:paraId="2E22ACB5" w14:textId="69306E24" w:rsidR="71521A33" w:rsidRDefault="71521A33" w:rsidP="24525A68">
      <w:pPr>
        <w:spacing w:after="0"/>
        <w:ind w:left="540" w:hanging="540"/>
        <w:rPr>
          <w:rFonts w:ascii="Arial" w:eastAsia="Arial" w:hAnsi="Arial" w:cs="Arial"/>
          <w:color w:val="000000" w:themeColor="text1"/>
          <w:sz w:val="22"/>
          <w:szCs w:val="22"/>
        </w:rPr>
      </w:pPr>
      <w:r w:rsidRPr="24525A68">
        <w:rPr>
          <w:rFonts w:ascii="Arial" w:eastAsia="Arial" w:hAnsi="Arial" w:cs="Arial"/>
          <w:color w:val="000000" w:themeColor="text1"/>
          <w:sz w:val="22"/>
          <w:szCs w:val="22"/>
        </w:rPr>
        <w:t>3.</w:t>
      </w:r>
      <w:r>
        <w:tab/>
      </w:r>
      <w:r w:rsidRPr="24525A68">
        <w:rPr>
          <w:rFonts w:ascii="Arial" w:eastAsia="Arial" w:hAnsi="Arial" w:cs="Arial"/>
          <w:color w:val="000000" w:themeColor="text1"/>
          <w:sz w:val="22"/>
          <w:szCs w:val="22"/>
        </w:rPr>
        <w:t>The business case from moving from what she describes as “near-compliance” to the prevention of disputes and conflict and your thoughts about the benefits of this, particularly in relation to strengthening the psychological contract, productivity and job quality.</w:t>
      </w:r>
    </w:p>
    <w:p w14:paraId="64B13566" w14:textId="2183312B" w:rsidR="24525A68" w:rsidRDefault="24525A68" w:rsidP="24525A68">
      <w:pPr>
        <w:spacing w:after="0"/>
        <w:ind w:left="540" w:hanging="540"/>
        <w:rPr>
          <w:rFonts w:ascii="Arial" w:eastAsia="Arial" w:hAnsi="Arial" w:cs="Arial"/>
          <w:color w:val="000000" w:themeColor="text1"/>
          <w:sz w:val="22"/>
          <w:szCs w:val="22"/>
        </w:rPr>
      </w:pPr>
    </w:p>
    <w:p w14:paraId="4D64835B" w14:textId="22149B19" w:rsidR="561B5F6D" w:rsidRDefault="561B5F6D" w:rsidP="24525A68">
      <w:pPr>
        <w:rPr>
          <w:rFonts w:ascii="Arial" w:eastAsia="Arial" w:hAnsi="Arial" w:cs="Arial"/>
          <w:b/>
          <w:bCs/>
          <w:sz w:val="22"/>
          <w:szCs w:val="22"/>
        </w:rPr>
      </w:pPr>
      <w:r w:rsidRPr="24525A68">
        <w:t>Recommendations — 300–400 words</w:t>
      </w:r>
    </w:p>
    <w:p w14:paraId="49D74D7C" w14:textId="3CD1D646" w:rsidR="561B5F6D" w:rsidRDefault="561B5F6D" w:rsidP="24525A68">
      <w:pPr>
        <w:spacing w:before="240" w:after="240"/>
        <w:rPr>
          <w:rFonts w:ascii="Arial" w:eastAsia="Arial" w:hAnsi="Arial" w:cs="Arial"/>
          <w:sz w:val="22"/>
          <w:szCs w:val="22"/>
        </w:rPr>
      </w:pPr>
      <w:r w:rsidRPr="24525A68">
        <w:rPr>
          <w:rFonts w:ascii="Arial" w:eastAsia="Arial" w:hAnsi="Arial" w:cs="Arial"/>
          <w:sz w:val="22"/>
          <w:szCs w:val="22"/>
        </w:rPr>
        <w:t xml:space="preserve"> </w:t>
      </w:r>
      <w:r w:rsidR="38B2F11E" w:rsidRPr="24525A68">
        <w:rPr>
          <w:rFonts w:ascii="Arial" w:eastAsia="Arial" w:hAnsi="Arial" w:cs="Arial"/>
          <w:sz w:val="22"/>
          <w:szCs w:val="22"/>
        </w:rPr>
        <w:t>D</w:t>
      </w:r>
      <w:r w:rsidRPr="24525A68">
        <w:rPr>
          <w:rFonts w:ascii="Arial" w:eastAsia="Arial" w:hAnsi="Arial" w:cs="Arial"/>
          <w:sz w:val="22"/>
          <w:szCs w:val="22"/>
        </w:rPr>
        <w:t>on't introduce new legal points here, but connect findings to practical HR action, risk mitigation, and process improvement.</w:t>
      </w:r>
      <w:r w:rsidR="5F1BC5F1" w:rsidRPr="24525A68">
        <w:rPr>
          <w:rFonts w:ascii="Arial" w:eastAsia="Arial" w:hAnsi="Arial" w:cs="Arial"/>
          <w:sz w:val="22"/>
          <w:szCs w:val="22"/>
        </w:rPr>
        <w:t xml:space="preserve">  Keep them SMART.</w:t>
      </w:r>
    </w:p>
    <w:p w14:paraId="38B357F4" w14:textId="62D4D337" w:rsidR="561B5F6D" w:rsidRDefault="561B5F6D" w:rsidP="24525A68">
      <w:pPr>
        <w:rPr>
          <w:rFonts w:ascii="Arial" w:eastAsia="Arial" w:hAnsi="Arial" w:cs="Arial"/>
          <w:b/>
          <w:bCs/>
          <w:sz w:val="22"/>
          <w:szCs w:val="22"/>
        </w:rPr>
      </w:pPr>
      <w:r w:rsidRPr="24525A68">
        <w:t>Conclusion — 150–200 words</w:t>
      </w:r>
    </w:p>
    <w:p w14:paraId="4F6D7F79" w14:textId="571CD8BE" w:rsidR="561B5F6D" w:rsidRDefault="561B5F6D" w:rsidP="24525A68">
      <w:pPr>
        <w:spacing w:before="240" w:after="240"/>
        <w:rPr>
          <w:rFonts w:ascii="Arial" w:eastAsia="Arial" w:hAnsi="Arial" w:cs="Arial"/>
          <w:sz w:val="22"/>
          <w:szCs w:val="22"/>
        </w:rPr>
      </w:pPr>
      <w:r w:rsidRPr="24525A68">
        <w:rPr>
          <w:rFonts w:ascii="Arial" w:eastAsia="Arial" w:hAnsi="Arial" w:cs="Arial"/>
          <w:sz w:val="22"/>
          <w:szCs w:val="22"/>
        </w:rPr>
        <w:t>What is the overall legal exposure? What is the priority advice? One crisp paragraph that a senior leader could act on.</w:t>
      </w:r>
    </w:p>
    <w:p w14:paraId="200A9661" w14:textId="77777777" w:rsidR="00072FB2" w:rsidRDefault="00072FB2" w:rsidP="00072FB2"/>
    <w:p w14:paraId="007F5D5D" w14:textId="77777777" w:rsidR="00072FB2" w:rsidRDefault="00072FB2"/>
    <w:sectPr w:rsidR="00072F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8A136" w14:textId="77777777" w:rsidR="008D4D77" w:rsidRDefault="008D4D77" w:rsidP="008D4D77">
      <w:pPr>
        <w:spacing w:after="0" w:line="240" w:lineRule="auto"/>
      </w:pPr>
      <w:r>
        <w:separator/>
      </w:r>
    </w:p>
  </w:endnote>
  <w:endnote w:type="continuationSeparator" w:id="0">
    <w:p w14:paraId="27774946" w14:textId="77777777" w:rsidR="008D4D77" w:rsidRDefault="008D4D77" w:rsidP="008D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4F0DA" w14:textId="77777777" w:rsidR="008D4D77" w:rsidRDefault="008D4D77" w:rsidP="008D4D77">
      <w:pPr>
        <w:spacing w:after="0" w:line="240" w:lineRule="auto"/>
      </w:pPr>
      <w:r>
        <w:separator/>
      </w:r>
    </w:p>
  </w:footnote>
  <w:footnote w:type="continuationSeparator" w:id="0">
    <w:p w14:paraId="31955266" w14:textId="77777777" w:rsidR="008D4D77" w:rsidRDefault="008D4D77" w:rsidP="008D4D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B3C1F"/>
    <w:multiLevelType w:val="hybridMultilevel"/>
    <w:tmpl w:val="81AAD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10C0B1"/>
    <w:multiLevelType w:val="hybridMultilevel"/>
    <w:tmpl w:val="31A84F00"/>
    <w:lvl w:ilvl="0" w:tplc="1B308948">
      <w:start w:val="1"/>
      <w:numFmt w:val="bullet"/>
      <w:lvlText w:val=""/>
      <w:lvlJc w:val="left"/>
      <w:pPr>
        <w:ind w:left="720" w:hanging="360"/>
      </w:pPr>
      <w:rPr>
        <w:rFonts w:ascii="Symbol" w:hAnsi="Symbol" w:hint="default"/>
      </w:rPr>
    </w:lvl>
    <w:lvl w:ilvl="1" w:tplc="138C44DC">
      <w:start w:val="1"/>
      <w:numFmt w:val="bullet"/>
      <w:lvlText w:val="o"/>
      <w:lvlJc w:val="left"/>
      <w:pPr>
        <w:ind w:left="1440" w:hanging="360"/>
      </w:pPr>
      <w:rPr>
        <w:rFonts w:ascii="Courier New" w:hAnsi="Courier New" w:hint="default"/>
      </w:rPr>
    </w:lvl>
    <w:lvl w:ilvl="2" w:tplc="1DC442A6">
      <w:start w:val="1"/>
      <w:numFmt w:val="bullet"/>
      <w:lvlText w:val=""/>
      <w:lvlJc w:val="left"/>
      <w:pPr>
        <w:ind w:left="2160" w:hanging="360"/>
      </w:pPr>
      <w:rPr>
        <w:rFonts w:ascii="Wingdings" w:hAnsi="Wingdings" w:hint="default"/>
      </w:rPr>
    </w:lvl>
    <w:lvl w:ilvl="3" w:tplc="6F12A746">
      <w:start w:val="1"/>
      <w:numFmt w:val="bullet"/>
      <w:lvlText w:val=""/>
      <w:lvlJc w:val="left"/>
      <w:pPr>
        <w:ind w:left="2880" w:hanging="360"/>
      </w:pPr>
      <w:rPr>
        <w:rFonts w:ascii="Symbol" w:hAnsi="Symbol" w:hint="default"/>
      </w:rPr>
    </w:lvl>
    <w:lvl w:ilvl="4" w:tplc="B92692CE">
      <w:start w:val="1"/>
      <w:numFmt w:val="bullet"/>
      <w:lvlText w:val="o"/>
      <w:lvlJc w:val="left"/>
      <w:pPr>
        <w:ind w:left="3600" w:hanging="360"/>
      </w:pPr>
      <w:rPr>
        <w:rFonts w:ascii="Courier New" w:hAnsi="Courier New" w:hint="default"/>
      </w:rPr>
    </w:lvl>
    <w:lvl w:ilvl="5" w:tplc="59B287FC">
      <w:start w:val="1"/>
      <w:numFmt w:val="bullet"/>
      <w:lvlText w:val=""/>
      <w:lvlJc w:val="left"/>
      <w:pPr>
        <w:ind w:left="4320" w:hanging="360"/>
      </w:pPr>
      <w:rPr>
        <w:rFonts w:ascii="Wingdings" w:hAnsi="Wingdings" w:hint="default"/>
      </w:rPr>
    </w:lvl>
    <w:lvl w:ilvl="6" w:tplc="4F40C684">
      <w:start w:val="1"/>
      <w:numFmt w:val="bullet"/>
      <w:lvlText w:val=""/>
      <w:lvlJc w:val="left"/>
      <w:pPr>
        <w:ind w:left="5040" w:hanging="360"/>
      </w:pPr>
      <w:rPr>
        <w:rFonts w:ascii="Symbol" w:hAnsi="Symbol" w:hint="default"/>
      </w:rPr>
    </w:lvl>
    <w:lvl w:ilvl="7" w:tplc="691CD138">
      <w:start w:val="1"/>
      <w:numFmt w:val="bullet"/>
      <w:lvlText w:val="o"/>
      <w:lvlJc w:val="left"/>
      <w:pPr>
        <w:ind w:left="5760" w:hanging="360"/>
      </w:pPr>
      <w:rPr>
        <w:rFonts w:ascii="Courier New" w:hAnsi="Courier New" w:hint="default"/>
      </w:rPr>
    </w:lvl>
    <w:lvl w:ilvl="8" w:tplc="D0804068">
      <w:start w:val="1"/>
      <w:numFmt w:val="bullet"/>
      <w:lvlText w:val=""/>
      <w:lvlJc w:val="left"/>
      <w:pPr>
        <w:ind w:left="6480" w:hanging="360"/>
      </w:pPr>
      <w:rPr>
        <w:rFonts w:ascii="Wingdings" w:hAnsi="Wingdings" w:hint="default"/>
      </w:rPr>
    </w:lvl>
  </w:abstractNum>
  <w:num w:numId="1" w16cid:durableId="1905336571">
    <w:abstractNumId w:val="1"/>
  </w:num>
  <w:num w:numId="2" w16cid:durableId="825046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FB2"/>
    <w:rsid w:val="00072FB2"/>
    <w:rsid w:val="000825CE"/>
    <w:rsid w:val="000E6B08"/>
    <w:rsid w:val="001845A7"/>
    <w:rsid w:val="0023537B"/>
    <w:rsid w:val="00275BCB"/>
    <w:rsid w:val="003E1F24"/>
    <w:rsid w:val="003E28CC"/>
    <w:rsid w:val="00576516"/>
    <w:rsid w:val="00677AB6"/>
    <w:rsid w:val="006E1F9A"/>
    <w:rsid w:val="00711EDE"/>
    <w:rsid w:val="00715E68"/>
    <w:rsid w:val="008D4D77"/>
    <w:rsid w:val="00923570"/>
    <w:rsid w:val="00976E03"/>
    <w:rsid w:val="00AC1B4B"/>
    <w:rsid w:val="00D10FE4"/>
    <w:rsid w:val="00DF1E83"/>
    <w:rsid w:val="00DF7F0E"/>
    <w:rsid w:val="01CF923A"/>
    <w:rsid w:val="05B89178"/>
    <w:rsid w:val="09788716"/>
    <w:rsid w:val="0A151C12"/>
    <w:rsid w:val="0A3EF0B2"/>
    <w:rsid w:val="0AF97554"/>
    <w:rsid w:val="0C531D9F"/>
    <w:rsid w:val="0C7A17B1"/>
    <w:rsid w:val="0CDBCAB2"/>
    <w:rsid w:val="1301174A"/>
    <w:rsid w:val="172FC724"/>
    <w:rsid w:val="193CAB81"/>
    <w:rsid w:val="1F5B3A62"/>
    <w:rsid w:val="1FEB0644"/>
    <w:rsid w:val="21E04BE2"/>
    <w:rsid w:val="21ECBFDC"/>
    <w:rsid w:val="229516C6"/>
    <w:rsid w:val="2386E4A9"/>
    <w:rsid w:val="23AF9C74"/>
    <w:rsid w:val="23DD5456"/>
    <w:rsid w:val="243EAAD2"/>
    <w:rsid w:val="24525A68"/>
    <w:rsid w:val="25974285"/>
    <w:rsid w:val="269834B5"/>
    <w:rsid w:val="26D2326E"/>
    <w:rsid w:val="274DEF20"/>
    <w:rsid w:val="28DDD092"/>
    <w:rsid w:val="29B43A04"/>
    <w:rsid w:val="2ABC36DC"/>
    <w:rsid w:val="2C30F7EE"/>
    <w:rsid w:val="2CB29889"/>
    <w:rsid w:val="2DBD04D4"/>
    <w:rsid w:val="2E2C7E29"/>
    <w:rsid w:val="3502909F"/>
    <w:rsid w:val="38B2F11E"/>
    <w:rsid w:val="3A05C139"/>
    <w:rsid w:val="3D5314F5"/>
    <w:rsid w:val="3F8ACBEA"/>
    <w:rsid w:val="40D6A557"/>
    <w:rsid w:val="4127B2A5"/>
    <w:rsid w:val="45FCD0A2"/>
    <w:rsid w:val="46E89551"/>
    <w:rsid w:val="47164CE9"/>
    <w:rsid w:val="4ADFFDEF"/>
    <w:rsid w:val="4F56FF68"/>
    <w:rsid w:val="50EFB4D4"/>
    <w:rsid w:val="52EAE0A3"/>
    <w:rsid w:val="54594AD6"/>
    <w:rsid w:val="561B5F6D"/>
    <w:rsid w:val="56CBB598"/>
    <w:rsid w:val="570F5215"/>
    <w:rsid w:val="57D0CCB1"/>
    <w:rsid w:val="59FB510D"/>
    <w:rsid w:val="5A2A66FB"/>
    <w:rsid w:val="5C406FD8"/>
    <w:rsid w:val="5E923C5E"/>
    <w:rsid w:val="5F05A124"/>
    <w:rsid w:val="5F1BC5F1"/>
    <w:rsid w:val="614202FA"/>
    <w:rsid w:val="6158835A"/>
    <w:rsid w:val="61DDA751"/>
    <w:rsid w:val="637DDCB8"/>
    <w:rsid w:val="68944A56"/>
    <w:rsid w:val="68A86E78"/>
    <w:rsid w:val="692FEA1F"/>
    <w:rsid w:val="6973AC69"/>
    <w:rsid w:val="6AA281A1"/>
    <w:rsid w:val="6C81B733"/>
    <w:rsid w:val="71521A33"/>
    <w:rsid w:val="728FD42A"/>
    <w:rsid w:val="74796D9B"/>
    <w:rsid w:val="75F1F385"/>
    <w:rsid w:val="767E4C08"/>
    <w:rsid w:val="79639B46"/>
    <w:rsid w:val="7BF7E624"/>
    <w:rsid w:val="7C0F22F7"/>
    <w:rsid w:val="7C8D3423"/>
    <w:rsid w:val="7EB8D9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F7139B"/>
  <w15:chartTrackingRefBased/>
  <w15:docId w15:val="{1D4B2F08-0B89-4F84-A549-89FAFEEB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F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2F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F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F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F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F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F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F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F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F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2F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F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F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F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FB2"/>
    <w:rPr>
      <w:rFonts w:eastAsiaTheme="majorEastAsia" w:cstheme="majorBidi"/>
      <w:color w:val="272727" w:themeColor="text1" w:themeTint="D8"/>
    </w:rPr>
  </w:style>
  <w:style w:type="paragraph" w:styleId="Title">
    <w:name w:val="Title"/>
    <w:basedOn w:val="Normal"/>
    <w:next w:val="Normal"/>
    <w:link w:val="TitleChar"/>
    <w:uiPriority w:val="10"/>
    <w:qFormat/>
    <w:rsid w:val="00072F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F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FB2"/>
    <w:pPr>
      <w:spacing w:before="160"/>
      <w:jc w:val="center"/>
    </w:pPr>
    <w:rPr>
      <w:i/>
      <w:iCs/>
      <w:color w:val="404040" w:themeColor="text1" w:themeTint="BF"/>
    </w:rPr>
  </w:style>
  <w:style w:type="character" w:customStyle="1" w:styleId="QuoteChar">
    <w:name w:val="Quote Char"/>
    <w:basedOn w:val="DefaultParagraphFont"/>
    <w:link w:val="Quote"/>
    <w:uiPriority w:val="29"/>
    <w:rsid w:val="00072FB2"/>
    <w:rPr>
      <w:i/>
      <w:iCs/>
      <w:color w:val="404040" w:themeColor="text1" w:themeTint="BF"/>
    </w:rPr>
  </w:style>
  <w:style w:type="paragraph" w:styleId="ListParagraph">
    <w:name w:val="List Paragraph"/>
    <w:basedOn w:val="Normal"/>
    <w:uiPriority w:val="34"/>
    <w:qFormat/>
    <w:rsid w:val="00072FB2"/>
    <w:pPr>
      <w:ind w:left="720"/>
      <w:contextualSpacing/>
    </w:pPr>
  </w:style>
  <w:style w:type="character" w:styleId="IntenseEmphasis">
    <w:name w:val="Intense Emphasis"/>
    <w:basedOn w:val="DefaultParagraphFont"/>
    <w:uiPriority w:val="21"/>
    <w:qFormat/>
    <w:rsid w:val="00072FB2"/>
    <w:rPr>
      <w:i/>
      <w:iCs/>
      <w:color w:val="0F4761" w:themeColor="accent1" w:themeShade="BF"/>
    </w:rPr>
  </w:style>
  <w:style w:type="paragraph" w:styleId="IntenseQuote">
    <w:name w:val="Intense Quote"/>
    <w:basedOn w:val="Normal"/>
    <w:next w:val="Normal"/>
    <w:link w:val="IntenseQuoteChar"/>
    <w:uiPriority w:val="30"/>
    <w:qFormat/>
    <w:rsid w:val="00072F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FB2"/>
    <w:rPr>
      <w:i/>
      <w:iCs/>
      <w:color w:val="0F4761" w:themeColor="accent1" w:themeShade="BF"/>
    </w:rPr>
  </w:style>
  <w:style w:type="character" w:styleId="IntenseReference">
    <w:name w:val="Intense Reference"/>
    <w:basedOn w:val="DefaultParagraphFont"/>
    <w:uiPriority w:val="32"/>
    <w:qFormat/>
    <w:rsid w:val="00072FB2"/>
    <w:rPr>
      <w:b/>
      <w:bCs/>
      <w:smallCaps/>
      <w:color w:val="0F4761" w:themeColor="accent1" w:themeShade="BF"/>
      <w:spacing w:val="5"/>
    </w:rPr>
  </w:style>
  <w:style w:type="paragraph" w:styleId="Header">
    <w:name w:val="header"/>
    <w:basedOn w:val="Normal"/>
    <w:link w:val="HeaderChar"/>
    <w:uiPriority w:val="99"/>
    <w:unhideWhenUsed/>
    <w:rsid w:val="008D4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D77"/>
  </w:style>
  <w:style w:type="paragraph" w:styleId="Footer">
    <w:name w:val="footer"/>
    <w:basedOn w:val="Normal"/>
    <w:link w:val="FooterChar"/>
    <w:uiPriority w:val="99"/>
    <w:unhideWhenUsed/>
    <w:rsid w:val="008D4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D77"/>
  </w:style>
  <w:style w:type="character" w:styleId="Hyperlink">
    <w:name w:val="Hyperlink"/>
    <w:basedOn w:val="DefaultParagraphFont"/>
    <w:uiPriority w:val="99"/>
    <w:unhideWhenUsed/>
    <w:rsid w:val="00923570"/>
    <w:rPr>
      <w:color w:val="467886" w:themeColor="hyperlink"/>
      <w:u w:val="single"/>
    </w:rPr>
  </w:style>
  <w:style w:type="character" w:styleId="UnresolvedMention">
    <w:name w:val="Unresolved Mention"/>
    <w:basedOn w:val="DefaultParagraphFont"/>
    <w:uiPriority w:val="99"/>
    <w:semiHidden/>
    <w:unhideWhenUsed/>
    <w:rsid w:val="009235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citethemrightonline-com.uwtsd.idm.oclc.org/sourcetype?docid=b-9781350927964&amp;tocid=b-9781350927964-122&amp;st=case+la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742</Words>
  <Characters>4232</Characters>
  <Application>Microsoft Office Word</Application>
  <DocSecurity>0</DocSecurity>
  <Lines>35</Lines>
  <Paragraphs>9</Paragraphs>
  <ScaleCrop>false</ScaleCrop>
  <Company>University of Wales Trinity Saint David</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3</cp:revision>
  <dcterms:created xsi:type="dcterms:W3CDTF">2026-04-30T10:16:00Z</dcterms:created>
  <dcterms:modified xsi:type="dcterms:W3CDTF">2026-04-30T10:16:00Z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095566f3-3a68-47ee-8e6e-3a3617f5d35c</vt:lpwstr>
  </property>
</Properties>
</file>