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p>
    <w:p>
      <w:pPr>
        <w:jc w:val="center"/>
      </w:pPr>
    </w:p>
    <w:p>
      <w:pPr>
        <w:jc w:val="center"/>
        <w:rPr>
          <w:rFonts w:hint="default"/>
        </w:rPr>
      </w:pPr>
      <w:r>
        <w:rPr>
          <w:rFonts w:hint="default"/>
        </w:rPr>
        <w:fldChar w:fldCharType="begin"/>
      </w:r>
      <w:r>
        <w:rPr>
          <w:rFonts w:hint="default"/>
        </w:rPr>
        <w:instrText xml:space="preserve"> HYPERLINK "https://sway.office.com/u7XWiA8qc70tCKdA?ref=Link" </w:instrText>
      </w:r>
      <w:r>
        <w:rPr>
          <w:rFonts w:hint="default"/>
        </w:rPr>
        <w:fldChar w:fldCharType="separate"/>
      </w:r>
      <w:r>
        <w:rPr>
          <w:rStyle w:val="4"/>
          <w:rFonts w:hint="default"/>
        </w:rPr>
        <w:t>https://sway.office.com/u7XWiA8qc70tCKdA?ref=Link</w:t>
      </w:r>
      <w:r>
        <w:rPr>
          <w:rFonts w:hint="default"/>
        </w:rPr>
        <w:fldChar w:fldCharType="end"/>
      </w:r>
    </w:p>
    <w:p>
      <w:pPr>
        <w:jc w:val="center"/>
        <w:rPr>
          <w:rFonts w:hint="default"/>
        </w:rPr>
      </w:pPr>
    </w:p>
    <w:p>
      <w:pPr>
        <w:jc w:val="center"/>
      </w:pPr>
    </w:p>
    <w:p>
      <w:pPr>
        <w:jc w:val="center"/>
      </w:pPr>
    </w:p>
    <w:p>
      <w:pPr>
        <w:jc w:val="center"/>
      </w:pPr>
    </w:p>
    <w:p>
      <w:pPr>
        <w:jc w:val="center"/>
      </w:pPr>
    </w:p>
    <w:p>
      <w:pPr>
        <w:jc w:val="center"/>
      </w:pPr>
      <w:bookmarkStart w:id="0" w:name="_GoBack"/>
      <w:bookmarkEnd w:id="0"/>
    </w:p>
    <w:p>
      <w:pPr>
        <w:jc w:val="center"/>
      </w:pPr>
    </w:p>
    <w:p>
      <w:pPr>
        <w:jc w:val="center"/>
      </w:pPr>
    </w:p>
    <w:p>
      <w:pPr>
        <w:jc w:val="center"/>
      </w:pPr>
    </w:p>
    <w:p>
      <w:pPr>
        <w:jc w:val="center"/>
      </w:pPr>
    </w:p>
    <w:p>
      <w:pPr>
        <w:jc w:val="center"/>
      </w:pPr>
    </w:p>
    <w:p>
      <w:pPr>
        <w:jc w:val="center"/>
      </w:pPr>
    </w:p>
    <w:p>
      <w:pPr>
        <w:jc w:val="center"/>
      </w:pPr>
      <w:r>
        <w:drawing>
          <wp:inline distT="0" distB="0" distL="0" distR="0">
            <wp:extent cx="5943600" cy="3119755"/>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
                    <pic:cNvPicPr>
                      <a:picLocks noChangeAspect="1"/>
                    </pic:cNvPicPr>
                  </pic:nvPicPr>
                  <pic:blipFill>
                    <a:blip r:embed="rId4" cstate="print"/>
                    <a:stretch>
                      <a:fillRect/>
                    </a:stretch>
                  </pic:blipFill>
                  <pic:spPr>
                    <a:xfrm>
                      <a:off x="0" y="0"/>
                      <a:ext cx="5943600" cy="3119763"/>
                    </a:xfrm>
                    <a:prstGeom prst="rect">
                      <a:avLst/>
                    </a:prstGeom>
                  </pic:spPr>
                </pic:pic>
              </a:graphicData>
            </a:graphic>
          </wp:inline>
        </w:drawing>
      </w:r>
    </w:p>
    <w:p>
      <w:pPr>
        <w:pStyle w:val="8"/>
      </w:pPr>
      <w:r>
        <w:t>Individual Development</w:t>
      </w:r>
    </w:p>
    <w:p>
      <w:pPr>
        <w:pStyle w:val="9"/>
        <w:jc w:val="both"/>
        <w:rPr>
          <w:sz w:val="24"/>
          <w:szCs w:val="24"/>
        </w:rPr>
      </w:pPr>
      <w:r>
        <w:rPr>
          <w:sz w:val="24"/>
          <w:szCs w:val="24"/>
        </w:rPr>
        <w:t>I declare that child development is a easy and simple subject…if only that were true! I see child development as one giant complex maze, as it should be, because children are complex and fascinating. The theories in how they grow and learn deserve to be as mind boggling as them. The four areas that I am going dive in deeper with are; physical development, cognitive development, social development and emotional development. Bruce and Meggitt (pg. 57) Talk about the “separated strands” in development and although they are “isolated from each other” we need to view all of these areas to see the wider picture on how children develop. </w:t>
      </w:r>
    </w:p>
    <w:p>
      <w:pPr>
        <w:jc w:val="center"/>
        <w:rPr>
          <w:sz w:val="24"/>
          <w:szCs w:val="24"/>
        </w:rPr>
      </w:pPr>
      <w:r>
        <w:rPr>
          <w:sz w:val="24"/>
          <w:szCs w:val="24"/>
        </w:rPr>
        <w:drawing>
          <wp:inline distT="0" distB="0" distL="0" distR="0">
            <wp:extent cx="5943600" cy="3962400"/>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2"/>
                    <pic:cNvPicPr>
                      <a:picLocks noChangeAspect="1"/>
                    </pic:cNvPicPr>
                  </pic:nvPicPr>
                  <pic:blipFill>
                    <a:blip r:embed="rId5" cstate="print"/>
                    <a:stretch>
                      <a:fillRect/>
                    </a:stretch>
                  </pic:blipFill>
                  <pic:spPr>
                    <a:xfrm>
                      <a:off x="0" y="0"/>
                      <a:ext cx="5943600" cy="3962400"/>
                    </a:xfrm>
                    <a:prstGeom prst="rect">
                      <a:avLst/>
                    </a:prstGeom>
                  </pic:spPr>
                </pic:pic>
              </a:graphicData>
            </a:graphic>
          </wp:inline>
        </w:drawing>
      </w:r>
    </w:p>
    <w:p>
      <w:pPr>
        <w:pStyle w:val="9"/>
        <w:rPr>
          <w:sz w:val="24"/>
          <w:szCs w:val="24"/>
        </w:rPr>
      </w:pPr>
      <w:r>
        <w:rPr>
          <w:sz w:val="24"/>
          <w:szCs w:val="24"/>
        </w:rPr>
        <w:t>Nature versus Nurture</w:t>
      </w:r>
    </w:p>
    <w:p>
      <w:pPr>
        <w:jc w:val="center"/>
        <w:rPr>
          <w:sz w:val="24"/>
          <w:szCs w:val="24"/>
        </w:rPr>
      </w:pPr>
      <w:r>
        <w:rPr>
          <w:sz w:val="24"/>
          <w:szCs w:val="24"/>
        </w:rPr>
        <w:drawing>
          <wp:inline distT="0" distB="0" distL="0" distR="0">
            <wp:extent cx="5943600" cy="5943600"/>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3"/>
                    <pic:cNvPicPr>
                      <a:picLocks noChangeAspect="1"/>
                    </pic:cNvPicPr>
                  </pic:nvPicPr>
                  <pic:blipFill>
                    <a:blip r:embed="rId6" cstate="print"/>
                    <a:stretch>
                      <a:fillRect/>
                    </a:stretch>
                  </pic:blipFill>
                  <pic:spPr>
                    <a:xfrm>
                      <a:off x="0" y="0"/>
                      <a:ext cx="5943600" cy="5943600"/>
                    </a:xfrm>
                    <a:prstGeom prst="rect">
                      <a:avLst/>
                    </a:prstGeom>
                  </pic:spPr>
                </pic:pic>
              </a:graphicData>
            </a:graphic>
          </wp:inline>
        </w:drawing>
      </w:r>
    </w:p>
    <w:p>
      <w:pPr>
        <w:pStyle w:val="7"/>
        <w:jc w:val="both"/>
        <w:rPr>
          <w:sz w:val="24"/>
          <w:szCs w:val="24"/>
        </w:rPr>
      </w:pPr>
      <w:r>
        <w:rPr>
          <w:sz w:val="24"/>
          <w:szCs w:val="24"/>
        </w:rPr>
        <w:t>For physical development, I want to look into the age-old debate of Nature vs. Nurture. This debate looks into what is the biggest contributing factor between genetics (nature) and environment (nurture).  Cherry (2020) wrote that the debate discusses on whether it is “genetic or environmental factors” that have the biggest influence on child development . The controversy that comes from this, is whether that intelligence and physical progression is fixed by biology or if it is in fact our experiences and surrounding that help us to evolve. Some even believe that there could be an argument for both.</w:t>
      </w:r>
    </w:p>
    <w:p>
      <w:pPr>
        <w:pStyle w:val="7"/>
        <w:jc w:val="both"/>
        <w:rPr>
          <w:sz w:val="24"/>
          <w:szCs w:val="24"/>
        </w:rPr>
      </w:pPr>
      <w:r>
        <w:rPr>
          <w:sz w:val="24"/>
          <w:szCs w:val="24"/>
        </w:rPr>
        <w:t>What is meant by nature? Keenan, Evans and Crowley (Pg. 17.2016.) explains that it is the “position that our genetic inheritance” that we receive from our parents, that is the “primary influence” in which children develop. The genetic make-up we gain through our own development and environment is called “phenotype” and it is here that we can see our characteristics. When comparing ourselves with our siblings, we only share half of the genetic material given from our parents (Keenan, Evans and Crowley,2016). However, the similar genes shared would not be enough to create another identical version of ourselves, even in the case of identical twins. Personally I can see this with my sister. We have the same mother but different fathers, so although the material that we have inherited is a much smaller amount than what it would be with having the same dads, I can agree that we are both uniquely our own people and very rarely see a huge resemblance in terms of our personalities.</w:t>
      </w:r>
    </w:p>
    <w:p>
      <w:pPr>
        <w:pStyle w:val="7"/>
        <w:jc w:val="both"/>
        <w:rPr>
          <w:sz w:val="24"/>
          <w:szCs w:val="24"/>
        </w:rPr>
      </w:pPr>
      <w:r>
        <w:rPr>
          <w:sz w:val="24"/>
          <w:szCs w:val="24"/>
        </w:rPr>
        <w:t>Sigmund Freud was an Austrian neurologist in the 20th century and he is the founder of the Psychoanalytical Theory (Cherry, 2020). Freud believed that there were three parts that made up our personality. These are; the ID - wants instant gratification and will just do things without weighing up any consequences. Superego - enforces good behaviour and follows the rules without considering the gratification aspect Finally, the Ego - is in the middle of the two and attempts to keep a steady balance that satisfies both sides (Mcleod, 2018) These three areas was believed to cover a persons personality (Freud 1917).</w:t>
      </w:r>
    </w:p>
    <w:p>
      <w:pPr>
        <w:pStyle w:val="7"/>
        <w:jc w:val="both"/>
        <w:rPr>
          <w:sz w:val="24"/>
          <w:szCs w:val="24"/>
        </w:rPr>
      </w:pPr>
      <w:r>
        <w:rPr>
          <w:sz w:val="24"/>
          <w:szCs w:val="24"/>
        </w:rPr>
        <w:t>I see nurture as the complete opposite to nature, the development from nurture is pulled from the environmental factors and this has the open idea that a child's experience can be changed, if the environment is changed. Nurture looks into parenting, education, culture and learning.  A theorist that supported the nurture argument was Skinner (1948), he conducted his experiments on rodents and pigeons and as he believed that the only different between humans and animals was the sophistication that they brought to learning experiences. He considered himself a behaviourist theorist, so he strongly agreed with rewards to get a child or animal to behave how he wished. Skinner persuaded their behaviour through operant conditioning.</w:t>
      </w:r>
    </w:p>
    <w:p>
      <w:pPr>
        <w:pStyle w:val="7"/>
        <w:jc w:val="both"/>
        <w:rPr>
          <w:sz w:val="24"/>
          <w:szCs w:val="24"/>
        </w:rPr>
      </w:pPr>
      <w:r>
        <w:rPr>
          <w:sz w:val="24"/>
          <w:szCs w:val="24"/>
        </w:rPr>
        <w:t xml:space="preserve">In comparison, both of these developments are respected in their own right and I imagine they would have been psychological breakthroughs in their time. Both nature and nurture are similar in terms of having a third party being the influence, natures third party is what genetics are inherited by the parent, in turn this is their foundation in which they build on. Nurtures third party is the environment in which the child is born in. Another similarity shows that in both cases these third parties cannot be chosen by the child. Nature and nurture suggests, looking at Freud and the theorists from nurture, although the situation cannot be altered, they can be improved whether that be including phenotypes  or including experiences and changing environment. </w:t>
      </w:r>
    </w:p>
    <w:p>
      <w:pPr>
        <w:pStyle w:val="7"/>
        <w:jc w:val="both"/>
        <w:rPr>
          <w:sz w:val="24"/>
          <w:szCs w:val="24"/>
        </w:rPr>
      </w:pPr>
      <w:r>
        <w:rPr>
          <w:sz w:val="24"/>
          <w:szCs w:val="24"/>
        </w:rPr>
        <w:t>In contrast, nurture allows other people to actively be involved with the development. Whilst nature is focused on the individual progressing from genetic make-up. The environment that someone is raised is easier to change as it would involve moving to a new place, it may not always be changed as some circumstances it is not doable.  Genetics differ as they cannot be changed at all, once they are rooted into the persons make-up.</w:t>
      </w:r>
    </w:p>
    <w:p>
      <w:pPr>
        <w:pStyle w:val="7"/>
        <w:jc w:val="both"/>
        <w:rPr>
          <w:sz w:val="24"/>
          <w:szCs w:val="24"/>
        </w:rPr>
      </w:pPr>
      <w:r>
        <w:rPr>
          <w:sz w:val="24"/>
          <w:szCs w:val="24"/>
        </w:rPr>
        <w:t>In conclusion, upon looking at the evidence presented I think they are individually outdated approaches and actually work hand-in-hand “rather than discussing nature versus nurture, we commonly talk about the interaction between nature and nurture” (Keenan, Evans and Crowley, 2016). Using both sides of the debate together, it leads to a well rounded developing child. The physical development of a child would not be possible without the cognitive, this links to my next blog.</w:t>
      </w:r>
    </w:p>
    <w:p>
      <w:pPr>
        <w:pStyle w:val="9"/>
        <w:rPr>
          <w:sz w:val="24"/>
          <w:szCs w:val="24"/>
        </w:rPr>
      </w:pPr>
      <w:r>
        <w:rPr>
          <w:sz w:val="24"/>
          <w:szCs w:val="24"/>
        </w:rPr>
        <w:t>How do Children Think?</w:t>
      </w:r>
    </w:p>
    <w:p>
      <w:pPr>
        <w:jc w:val="center"/>
        <w:rPr>
          <w:sz w:val="24"/>
          <w:szCs w:val="24"/>
        </w:rPr>
      </w:pPr>
      <w:r>
        <w:rPr>
          <w:sz w:val="24"/>
          <w:szCs w:val="24"/>
        </w:rPr>
        <w:drawing>
          <wp:inline distT="0" distB="0" distL="0" distR="0">
            <wp:extent cx="5943600" cy="5631180"/>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4"/>
                    <pic:cNvPicPr>
                      <a:picLocks noChangeAspect="1"/>
                    </pic:cNvPicPr>
                  </pic:nvPicPr>
                  <pic:blipFill>
                    <a:blip r:embed="rId7" cstate="print"/>
                    <a:stretch>
                      <a:fillRect/>
                    </a:stretch>
                  </pic:blipFill>
                  <pic:spPr>
                    <a:xfrm>
                      <a:off x="0" y="0"/>
                      <a:ext cx="5943600" cy="5631561"/>
                    </a:xfrm>
                    <a:prstGeom prst="rect">
                      <a:avLst/>
                    </a:prstGeom>
                  </pic:spPr>
                </pic:pic>
              </a:graphicData>
            </a:graphic>
          </wp:inline>
        </w:drawing>
      </w:r>
    </w:p>
    <w:p>
      <w:pPr>
        <w:pStyle w:val="7"/>
        <w:jc w:val="both"/>
        <w:rPr>
          <w:sz w:val="24"/>
          <w:szCs w:val="24"/>
        </w:rPr>
      </w:pPr>
      <w:r>
        <w:rPr>
          <w:sz w:val="24"/>
          <w:szCs w:val="24"/>
        </w:rPr>
        <w:t>When a baby is born, their brain is very underdeveloped. In my previous blog whilst discussing the nature versus nurture debate I stated that newborns are considered to have inherited some genes from their parents it also requires the environment that they are born in to (Keenan, Evans and Crowley,2016). Therefore, with this in mind they start off with a small fundamental of who they will become and the rest is down to them. However, it was believed that newborns are clean slates, completely untouched by the world, this was the “Tabula Rasa Theory” (Locke 1689).  A child’s brain develops a lot faster than at any other point in their life (Center on the Developing Child, 2016). The brain is the only organ that is not complete when born, and it begins to slow down around a child’s seventh birthday (Fitzgerald &amp; Maconochie, 2019). The first 1001 days are important to a newborn as here, the relationships and experiences give children the opportunity to learn and with what is learnt in the first 1001 stays with them throughout their life (Shonkoff, 2010), even if they cannot be remembered.</w:t>
      </w:r>
    </w:p>
    <w:p>
      <w:pPr>
        <w:pStyle w:val="7"/>
        <w:jc w:val="both"/>
        <w:rPr>
          <w:sz w:val="24"/>
          <w:szCs w:val="24"/>
        </w:rPr>
      </w:pPr>
      <w:r>
        <w:rPr>
          <w:sz w:val="24"/>
          <w:szCs w:val="24"/>
        </w:rPr>
        <w:t>There are many theories as to how a child’s brain actually develops. However, it was the influential work of Jean Piaget’s theory of cognitive development and in contrast  to Piaget,  Lev Vygotsky’s Sociocultural Theory gives a better understanding in how young minds develop and how they think. The Reggio Emilia theory (1945) is heavily aimed towards early years education and puts children in the driving seat. This approach allows them to play, create and think for themselves. As children are curious creatures, creating allows them to question what’s in front of them and when play is enjoyable, it helps to “increase their understanding and improve their language competence”, this keeps children interested and motivated (1990 cited in Welsh Government, 2008) allowing them to think for themselves. Personally, I haven’t had a lot of experience with young children to notice their cognitive development. However, my sister has autism and although she can communicate well, she struggles on picking up social cues and has learning difficulties. The best way to explain it is  that she is a child on the inside. My sister does not react and rationalise how adults do, so I approach teaching her like a child but giving her the respect of an adult.</w:t>
      </w:r>
    </w:p>
    <w:p>
      <w:pPr>
        <w:pStyle w:val="7"/>
        <w:jc w:val="both"/>
        <w:rPr>
          <w:sz w:val="24"/>
          <w:szCs w:val="24"/>
        </w:rPr>
      </w:pPr>
      <w:r>
        <w:rPr>
          <w:sz w:val="24"/>
          <w:szCs w:val="24"/>
        </w:rPr>
        <w:t>Children show signs of being able to problem solve and reason from early on. After the twelve months of their lives, they start to follow rules and they demonstrate this in make-believe play. During play, they follow rules that keep it enjoyable and avoid anything that could get in the way of play (Duncan &amp; Tarulli, 2003). The ability to conform to rules, shows early signs of problem-solving as they want to keep playing. They demonstrate great problem-solving skills when using tools. Anything can be used as a tool that fits the purpose of what they need it form (Keenan, Evans and Crowley), I remember using socks and shoes as bags to store my toys (my parents clearly enjoyed this phase!).</w:t>
      </w:r>
    </w:p>
    <w:p>
      <w:pPr>
        <w:pStyle w:val="7"/>
        <w:jc w:val="both"/>
        <w:rPr>
          <w:sz w:val="24"/>
          <w:szCs w:val="24"/>
        </w:rPr>
      </w:pPr>
      <w:r>
        <w:rPr>
          <w:sz w:val="24"/>
          <w:szCs w:val="24"/>
        </w:rPr>
        <w:t>Piaget’s (1936) developed his cognitive development theory with the ideology that children show a different level of understanding these concepts through stages in life. The stages are Sensorimotor - is from 0 - 2 years and here children learn through their senses with their new developed movement. Preoperational - 2 - 7 years, the behaviour they demonstrate is their own ideas on experiences but are unable to focus on more than one concept. Concrete Operational - 7 - 11 years, they are able to put their own thoughts and feeling to reasoning from experiences. Formal Operations - 11 or 12 years, are able to play on hyperthetical scenarios. Piaget believed that all children passed through the same stages mentioned but there was no set timeline in which a child would progress through the stages. However, he believed that once a child had grown any older, they stopped developing (Piaget 1936).</w:t>
      </w:r>
    </w:p>
    <w:p>
      <w:pPr>
        <w:pStyle w:val="7"/>
        <w:jc w:val="both"/>
        <w:rPr>
          <w:sz w:val="24"/>
          <w:szCs w:val="24"/>
        </w:rPr>
      </w:pPr>
      <w:r>
        <w:rPr>
          <w:sz w:val="24"/>
          <w:szCs w:val="24"/>
        </w:rPr>
        <w:t>In contrast to Piaget, Vygotsky (1920)  saw that social and cognitive development were not separate, in fact they worked well together. Play was considered as a big way of learning for children. Vygotsky (1920) created the “Zone of Proximal Development” and this challenged children’s hardest task to do on their own and their hardest task when assisted. (Mooney, 2013). He strongly believed that the best way to learn was through socialising with their peers and caregivers.</w:t>
      </w:r>
    </w:p>
    <w:p>
      <w:pPr>
        <w:pStyle w:val="9"/>
        <w:rPr>
          <w:sz w:val="24"/>
          <w:szCs w:val="24"/>
        </w:rPr>
      </w:pPr>
      <w:r>
        <w:rPr>
          <w:sz w:val="24"/>
          <w:szCs w:val="24"/>
        </w:rPr>
        <w:t>Social Development</w:t>
      </w:r>
    </w:p>
    <w:p>
      <w:pPr>
        <w:jc w:val="both"/>
        <w:rPr>
          <w:sz w:val="24"/>
          <w:szCs w:val="24"/>
        </w:rPr>
      </w:pPr>
      <w:r>
        <w:rPr>
          <w:sz w:val="24"/>
          <w:szCs w:val="24"/>
        </w:rPr>
        <w:drawing>
          <wp:inline distT="0" distB="0" distL="0" distR="0">
            <wp:extent cx="5943600" cy="3808730"/>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5"/>
                    <pic:cNvPicPr>
                      <a:picLocks noChangeAspect="1"/>
                    </pic:cNvPicPr>
                  </pic:nvPicPr>
                  <pic:blipFill>
                    <a:blip r:embed="rId8" cstate="print"/>
                    <a:stretch>
                      <a:fillRect/>
                    </a:stretch>
                  </pic:blipFill>
                  <pic:spPr>
                    <a:xfrm>
                      <a:off x="0" y="0"/>
                      <a:ext cx="5943600" cy="3809166"/>
                    </a:xfrm>
                    <a:prstGeom prst="rect">
                      <a:avLst/>
                    </a:prstGeom>
                  </pic:spPr>
                </pic:pic>
              </a:graphicData>
            </a:graphic>
          </wp:inline>
        </w:drawing>
      </w:r>
    </w:p>
    <w:p>
      <w:pPr>
        <w:pStyle w:val="7"/>
        <w:jc w:val="both"/>
        <w:rPr>
          <w:sz w:val="24"/>
          <w:szCs w:val="24"/>
        </w:rPr>
      </w:pPr>
      <w:r>
        <w:rPr>
          <w:sz w:val="24"/>
          <w:szCs w:val="24"/>
        </w:rPr>
        <w:t>Social development in children involves how they learn from others. Between the  1920’s - 1930’s childrens social development was a heavy focus for researchers and it was here that a lot of methods were created. The different areas that this research focussed on was “sociability, assertiveness, aggression, leadership, group dynamics, peer acceptance and individual differences in social skills” (Rubin &amp; Coplan, 1992) all of these areas demonstrate a general understanding on how children socially interact.</w:t>
      </w:r>
    </w:p>
    <w:p>
      <w:pPr>
        <w:pStyle w:val="7"/>
        <w:jc w:val="both"/>
        <w:rPr>
          <w:sz w:val="24"/>
          <w:szCs w:val="24"/>
        </w:rPr>
      </w:pPr>
      <w:r>
        <w:rPr>
          <w:sz w:val="24"/>
          <w:szCs w:val="24"/>
        </w:rPr>
        <w:t>John Watson used Pavlov’s principles of classical conditioning in his research and he concluded that the environment in which chldren learn is the dominant factor. Socially learning in an environment, has the potential to be manipulated by the educator and in the ideology of Watson, means that the child can be moulded whatever way the educator/ parent wishes. Watson boasted “Give me a dozen healthy infants, well-formed, and my own specified world to bring them up in, and I’ll guarantee to take any one at random and train him to become any type of specialist”  (Watson, 1928) I find this theory rather arrogant as it takes the idea of free will away and the idea of moulding a child to ones own ideology doesn’t sit right with me. However, understand that this does happen in some cultures and that Watson means hypercritically he could, although he never tested this theory.</w:t>
      </w:r>
    </w:p>
    <w:p>
      <w:pPr>
        <w:pStyle w:val="7"/>
        <w:jc w:val="both"/>
        <w:rPr>
          <w:sz w:val="24"/>
          <w:szCs w:val="24"/>
        </w:rPr>
      </w:pPr>
      <w:r>
        <w:rPr>
          <w:sz w:val="24"/>
          <w:szCs w:val="24"/>
        </w:rPr>
        <w:t>Social referencing is using other people’s emotions to make their own interpretation and understanding of a situations (Sorce, Emde, Campos &amp; Kilnnert, 1985). My own experience of this would be, that I believe my mother to be a great disciplinarian as she rarely shouted, but she had “</w:t>
      </w:r>
      <w:r>
        <w:rPr>
          <w:rStyle w:val="13"/>
          <w:sz w:val="24"/>
          <w:szCs w:val="24"/>
        </w:rPr>
        <w:t>the look</w:t>
      </w:r>
      <w:r>
        <w:rPr>
          <w:sz w:val="24"/>
          <w:szCs w:val="24"/>
        </w:rPr>
        <w:t>” which managed to show her disapproval and opinion on the matter when I misbehaved so I knew when to stop. Social referencing can be spotted at twelve months old and there was an experienc ecalled “The Visual Cliff” Sorce et al (1985) placed year old infants on top of the cliff, which was covered with glass so that there is no actual harm to the children, and the parents stood the other side of the room. The parents were asked to first show a happy smiling face, this expression allowed the children know that the cliff was safe and they moved from the cliff to move closer to the parent. When the latter expression was shown, the infant picked up on the social cue that it was not safe to continue and so they did not move off the cliff. Bandura (1971) is best known for his Social Learning Theory and he believed that behaviour can be explained through “continuous reciporical interaction” (Bandura). In his research, he found that certain behaviours was a direct response from the consequences experiences. If a child saw another child throwing a cup on the floor and getting shouted at, the first child would not take this action.</w:t>
      </w:r>
    </w:p>
    <w:p>
      <w:pPr>
        <w:pStyle w:val="7"/>
        <w:jc w:val="both"/>
        <w:rPr>
          <w:sz w:val="24"/>
          <w:szCs w:val="24"/>
        </w:rPr>
      </w:pPr>
      <w:r>
        <w:rPr>
          <w:sz w:val="24"/>
          <w:szCs w:val="24"/>
        </w:rPr>
        <w:t>A child’s attachment is best described through Bowlby’s Theory of Attachment. Newborns are powerless at birth, they’re unable to care for themselves which makes them reliant on their carers to provide for them. Although it’s unlikely for predators to cause a threat to a newborn, there are still dangers out there in which they need to protected from. In Bowlby’s attachment theory (1958, 1960) he suggests that an attachment relationship is formed between the caregiver and infant. In his research it showed that children formed closer bonds to a select few adults, whom they spent most of their time with. This attachment that newborns present is not so much of knowing they’ll be fed but it is who they feel safe and secure with. I have experienced this theory with my second cousins, they live away from me so I do not get to see them often and when I do it is clear that I am not on their trusting list but they know who I am and that I am not a danger, therefore it takes a few hours for them to warm up to me. Bowlby’s theory showed positive outcomes such as higher self confidence, efficacy, self esteem and the capacity to care for others (Pound, 2006).</w:t>
      </w:r>
    </w:p>
    <w:p>
      <w:pPr>
        <w:pStyle w:val="7"/>
        <w:jc w:val="both"/>
        <w:rPr>
          <w:sz w:val="24"/>
          <w:szCs w:val="24"/>
        </w:rPr>
      </w:pPr>
      <w:r>
        <w:rPr>
          <w:sz w:val="24"/>
          <w:szCs w:val="24"/>
        </w:rPr>
        <w:t>Linking to attachment, culture has a big part to play as different cultures present different ideas on relationships between children and caregivers. Most of what we know on attachment theories are about Causation American  middle-class families. Differences present between American and European babies, such as German infants were raised to be more independent (Grossman et al, 2005). Through culture, children socially learn from others of what is acceptable on which way to act and in turn it helps as another factor to shape them.</w:t>
      </w:r>
    </w:p>
    <w:p>
      <w:pPr>
        <w:pStyle w:val="9"/>
        <w:jc w:val="both"/>
        <w:rPr>
          <w:sz w:val="24"/>
          <w:szCs w:val="24"/>
        </w:rPr>
      </w:pPr>
      <w:r>
        <w:rPr>
          <w:sz w:val="24"/>
          <w:szCs w:val="24"/>
        </w:rPr>
        <w:t>Emotional Development</w:t>
      </w:r>
    </w:p>
    <w:p>
      <w:pPr>
        <w:jc w:val="both"/>
        <w:rPr>
          <w:sz w:val="24"/>
          <w:szCs w:val="24"/>
        </w:rPr>
      </w:pPr>
      <w:r>
        <w:rPr>
          <w:sz w:val="24"/>
          <w:szCs w:val="24"/>
        </w:rPr>
        <w:drawing>
          <wp:inline distT="0" distB="0" distL="0" distR="0">
            <wp:extent cx="5943600" cy="4457700"/>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6"/>
                    <pic:cNvPicPr>
                      <a:picLocks noChangeAspect="1"/>
                    </pic:cNvPicPr>
                  </pic:nvPicPr>
                  <pic:blipFill>
                    <a:blip r:embed="rId9" cstate="print"/>
                    <a:stretch>
                      <a:fillRect/>
                    </a:stretch>
                  </pic:blipFill>
                  <pic:spPr>
                    <a:xfrm>
                      <a:off x="0" y="0"/>
                      <a:ext cx="5943600" cy="4457700"/>
                    </a:xfrm>
                    <a:prstGeom prst="rect">
                      <a:avLst/>
                    </a:prstGeom>
                  </pic:spPr>
                </pic:pic>
              </a:graphicData>
            </a:graphic>
          </wp:inline>
        </w:drawing>
      </w:r>
    </w:p>
    <w:p>
      <w:pPr>
        <w:pStyle w:val="7"/>
        <w:jc w:val="both"/>
        <w:rPr>
          <w:sz w:val="24"/>
          <w:szCs w:val="24"/>
        </w:rPr>
      </w:pPr>
      <w:r>
        <w:rPr>
          <w:sz w:val="24"/>
          <w:szCs w:val="24"/>
        </w:rPr>
        <w:t>When babies are born, they are considered to have very basic emotions as they have not yet had the opportunity to have complex ones. The basic emotions are disgust, happiness, fear, anger, sadness, interest and surprise (Campos et alm 1983). There are different ideas as to when exactly an infant will express these emotions, however, psychologists agree that by six months old infants have shown all of the basic emotions. Children will experience different milestones from zero months - 11 years of age. From 0 - 7 months they will show the basic emotions, listed above, 7 - 12 months they will demonstrate distress from strangers they do not wish to be around and demonstrate social referencing and from 2 - 11 years of age they will gain more awareness as to how to express and have bigger understanding of their emotions and the correct feelings to have about experiences.</w:t>
      </w:r>
    </w:p>
    <w:p>
      <w:pPr>
        <w:pStyle w:val="7"/>
        <w:jc w:val="both"/>
        <w:rPr>
          <w:sz w:val="24"/>
          <w:szCs w:val="24"/>
        </w:rPr>
      </w:pPr>
      <w:r>
        <w:rPr>
          <w:sz w:val="24"/>
          <w:szCs w:val="24"/>
        </w:rPr>
        <w:t>Erikson (1950) created the “Eight Ages of Man” in Psychosocial Development theory. These ages were to created to represent each stage of an entire life span, each age was to correspond with the different experiences and emotions someone would go through in their lifetime. His theory involves both social and cultural factors, which influences the human emotions. Completing these different stages, would lead to them taking what they have learned in the previous stage, however, failing to complete a stage would mean drawbacks in the inidividuals development. Drawbacks in any of these stages would potentially result in lacking emotionally later on in life.</w:t>
      </w:r>
    </w:p>
    <w:p>
      <w:pPr>
        <w:pStyle w:val="7"/>
        <w:jc w:val="both"/>
        <w:rPr>
          <w:sz w:val="24"/>
          <w:szCs w:val="24"/>
        </w:rPr>
      </w:pPr>
      <w:r>
        <w:rPr>
          <w:sz w:val="24"/>
          <w:szCs w:val="24"/>
        </w:rPr>
        <w:t> There are three distintive parts in our brain, the reptile brain, limbic system and the neo cortex. The reptile brain helps with our basic human functions that we do without thinking. The limbic part of a brain focuses on relative facts and forgets anything that isn’t needed. For example, when you are in love with someone it holds onto the truth and factual side of why you are in love with that person, whereas the neo-cortex part of our brain assists us in problem solving and understanding how we are emotionally perceiving things. Understanding emotions is a great form of learning, the more emotions that we understand and experience contributes to our social functioning. As a professor of cognition, Gardner (1983) looked into emotional intelligence and wanted to gain a better understanding of how people are intelligent, rather than how much intelligence someone has. Intelligences that Gardner focussed on was linguistic, musical, logical-mathematical, spacial, bodily kinaesthetic and naturalist intelligence. Using these inteliigences, Gardner believes that it is down to us to gain more knowledge beyond our own experiences, “Every time we are exposed to a new individual…our own horizons broaden” (Gardner 1983) and we can connect to others on a higher emotional scale.</w:t>
      </w:r>
    </w:p>
    <w:p>
      <w:pPr>
        <w:pStyle w:val="7"/>
        <w:jc w:val="both"/>
        <w:rPr>
          <w:sz w:val="24"/>
          <w:szCs w:val="24"/>
        </w:rPr>
      </w:pPr>
      <w:r>
        <w:rPr>
          <w:sz w:val="24"/>
          <w:szCs w:val="24"/>
        </w:rPr>
        <w:t>When around children, you often tell that they have a strong sense of who they are. In my case, I was a little diva who knew that I loved performing and The Tweenies. Children will gain a sense of who they are in the first year of their life (Bruce &amp; Meggitt, pg. 143) they’ll small understanding of what makes them happy (like playing peekaboo) and also what they dislike (loud scary thunderstorms). As babies grow they, they learn more about their feelings and therefore adding onto their list for likes and dislikes. Self concept is formed from our own view of how we see us and the view of how others percieve us (Keenan, Evans and Crowley,2016). The child’s individual personality first finds its place within it’s family and as they grow that slowly turns into how they fit into society with their own identity. Depending on our self-concept, if we see ourselves in a good or bad way, will determine the quality of self-esteem, you will normally see high self-esteem in children as they would not have had much bad or wrong doings as adults experiences. When I was younger, as I was a little diva I felt as though I had confidence coming out of my ears and there was not a thing in the world that could bring me down. I would talk to strangers without any issue and be the first to speak out (even though sometimes it may have been considered cheeky). Unfortunately, now I cannot say the same. I get terribly anxious and I find it easier to stay quiet rather than speak out. It’s sad to see that the world does that to us, however I can see the positive in it as without bad experiences we would be all too cocky and naive in things we should take with caution.</w:t>
      </w:r>
    </w:p>
    <w:p>
      <w:pPr>
        <w:pStyle w:val="7"/>
        <w:jc w:val="both"/>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p>
    <w:p>
      <w:pPr>
        <w:pStyle w:val="7"/>
        <w:jc w:val="both"/>
        <w:rPr>
          <w:rFonts w:hint="default"/>
          <w:lang w:val="en-GB"/>
        </w:rPr>
      </w:pPr>
      <w:r>
        <w:rPr>
          <w:rFonts w:hint="default"/>
          <w:lang w:val="en-GB"/>
        </w:rPr>
        <w:t xml:space="preserve">References: </w:t>
      </w:r>
    </w:p>
    <w:p>
      <w:pPr>
        <w:pStyle w:val="7"/>
        <w:jc w:val="both"/>
        <w:rPr>
          <w:rFonts w:hint="default"/>
          <w:lang w:val="en-GB"/>
        </w:rPr>
      </w:pP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Bruce, Tina, and Carolyn Meggitt. </w:t>
      </w:r>
      <w:r>
        <w:rPr>
          <w:rFonts w:hint="default" w:ascii="Times New Roman" w:hAnsi="Times New Roman" w:cs="Times New Roman"/>
          <w:i/>
          <w:iCs/>
          <w:sz w:val="24"/>
          <w:szCs w:val="24"/>
        </w:rPr>
        <w:t>Child Care &amp; Education</w:t>
      </w:r>
      <w:r>
        <w:rPr>
          <w:rFonts w:hint="default" w:ascii="Times New Roman" w:hAnsi="Times New Roman" w:cs="Times New Roman"/>
          <w:sz w:val="24"/>
          <w:szCs w:val="24"/>
        </w:rPr>
        <w:t>. 2002. 3rd ed., Hodder &amp; Stoughton, 28 June 2002, p. 57.</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Cherry, Kendra. “The Age Old Debate of Nature vs. Burture.” </w:t>
      </w:r>
      <w:r>
        <w:rPr>
          <w:rFonts w:hint="default" w:ascii="Times New Roman" w:hAnsi="Times New Roman" w:cs="Times New Roman"/>
          <w:i/>
          <w:iCs/>
          <w:sz w:val="24"/>
          <w:szCs w:val="24"/>
        </w:rPr>
        <w:t>Very Well Mind</w:t>
      </w:r>
      <w:r>
        <w:rPr>
          <w:rFonts w:hint="default" w:ascii="Times New Roman" w:hAnsi="Times New Roman" w:cs="Times New Roman"/>
          <w:sz w:val="24"/>
          <w:szCs w:val="24"/>
        </w:rPr>
        <w:t>, 3 June 2020, www.verywellmind.com/what-is-nature-versus-nurture-2795392. Accessed 17 Mar. 2021.</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Keenan, Thomas, et al. </w:t>
      </w:r>
      <w:r>
        <w:rPr>
          <w:rFonts w:hint="default" w:ascii="Times New Roman" w:hAnsi="Times New Roman" w:cs="Times New Roman"/>
          <w:i/>
          <w:iCs/>
          <w:sz w:val="24"/>
          <w:szCs w:val="24"/>
        </w:rPr>
        <w:t>An Introduction to Child Development</w:t>
      </w:r>
      <w:r>
        <w:rPr>
          <w:rFonts w:hint="default" w:ascii="Times New Roman" w:hAnsi="Times New Roman" w:cs="Times New Roman"/>
          <w:sz w:val="24"/>
          <w:szCs w:val="24"/>
        </w:rPr>
        <w:t>. 3rd ed., London, SAGE EDGE, 2016, p. 17.</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 “What Is Psychoanalysis?” </w:t>
      </w:r>
      <w:r>
        <w:rPr>
          <w:rFonts w:hint="default" w:ascii="Times New Roman" w:hAnsi="Times New Roman" w:cs="Times New Roman"/>
          <w:i/>
          <w:iCs/>
          <w:sz w:val="24"/>
          <w:szCs w:val="24"/>
        </w:rPr>
        <w:t>Verywell Mind</w:t>
      </w:r>
      <w:r>
        <w:rPr>
          <w:rFonts w:hint="default" w:ascii="Times New Roman" w:hAnsi="Times New Roman" w:cs="Times New Roman"/>
          <w:sz w:val="24"/>
          <w:szCs w:val="24"/>
        </w:rPr>
        <w:t>, Verywellmind, 21 Feb. 2006, www.verywellmind.com/what-is-psychoanalysis-2795246.</w:t>
      </w:r>
    </w:p>
    <w:p>
      <w:pPr>
        <w:pStyle w:val="6"/>
        <w:keepNext w:val="0"/>
        <w:keepLines w:val="0"/>
        <w:widowControl/>
        <w:suppressLineNumbers w:val="0"/>
        <w:spacing w:before="0" w:beforeAutospacing="0" w:after="0" w:afterAutospacing="0"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Mcleod, Saul. “What Are the Most Interesting Ideas of Sigmund Freud?” </w:t>
      </w:r>
      <w:r>
        <w:rPr>
          <w:rFonts w:hint="default" w:ascii="Times New Roman" w:hAnsi="Times New Roman" w:cs="Times New Roman"/>
          <w:i/>
          <w:iCs/>
          <w:sz w:val="24"/>
          <w:szCs w:val="24"/>
        </w:rPr>
        <w:t>Simplypsychology.org</w:t>
      </w:r>
      <w:r>
        <w:rPr>
          <w:rFonts w:hint="default" w:ascii="Times New Roman" w:hAnsi="Times New Roman" w:cs="Times New Roman"/>
          <w:sz w:val="24"/>
          <w:szCs w:val="24"/>
        </w:rPr>
        <w:t xml:space="preserve">, Simply Psychology, 5 Feb. 2008,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"http://www.simplypsychology.org/Sigmund-Freud.html."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www.simplypsychology.org/Sigmund-Freud.html.</w:t>
      </w:r>
      <w:r>
        <w:rPr>
          <w:rFonts w:hint="default" w:ascii="Times New Roman" w:hAnsi="Times New Roman" w:cs="Times New Roman"/>
          <w:sz w:val="24"/>
          <w:szCs w:val="24"/>
        </w:rPr>
        <w:fldChar w:fldCharType="end"/>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Pound, Linda. </w:t>
      </w:r>
      <w:r>
        <w:rPr>
          <w:rFonts w:hint="default" w:ascii="Times New Roman" w:hAnsi="Times New Roman" w:cs="Times New Roman"/>
          <w:i/>
          <w:iCs/>
          <w:sz w:val="24"/>
          <w:szCs w:val="24"/>
        </w:rPr>
        <w:t>How Children Learn</w:t>
      </w:r>
      <w:r>
        <w:rPr>
          <w:rFonts w:hint="default" w:ascii="Times New Roman" w:hAnsi="Times New Roman" w:cs="Times New Roman"/>
          <w:sz w:val="24"/>
          <w:szCs w:val="24"/>
        </w:rPr>
        <w:t>. Practical Pre-School, 2006, p. 17.</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Mooney, Carol Gargart. </w:t>
      </w:r>
      <w:r>
        <w:rPr>
          <w:rFonts w:hint="default" w:ascii="Times New Roman" w:hAnsi="Times New Roman" w:cs="Times New Roman"/>
          <w:i/>
          <w:iCs/>
          <w:sz w:val="24"/>
          <w:szCs w:val="24"/>
        </w:rPr>
        <w:t>Theories of Childhood</w:t>
      </w:r>
      <w:r>
        <w:rPr>
          <w:rFonts w:hint="default" w:ascii="Times New Roman" w:hAnsi="Times New Roman" w:cs="Times New Roman"/>
          <w:sz w:val="24"/>
          <w:szCs w:val="24"/>
        </w:rPr>
        <w:t>. 2000. 2nd ed., America, Redleaf Press, 2013.</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Fitzgerald, Damien, and Heloise Maconochie. </w:t>
      </w:r>
      <w:r>
        <w:rPr>
          <w:rFonts w:hint="default" w:ascii="Times New Roman" w:hAnsi="Times New Roman" w:cs="Times New Roman"/>
          <w:i/>
          <w:iCs/>
          <w:sz w:val="24"/>
          <w:szCs w:val="24"/>
        </w:rPr>
        <w:t>Early Childhood Studies</w:t>
      </w:r>
      <w:r>
        <w:rPr>
          <w:rFonts w:hint="default" w:ascii="Times New Roman" w:hAnsi="Times New Roman" w:cs="Times New Roman"/>
          <w:sz w:val="24"/>
          <w:szCs w:val="24"/>
        </w:rPr>
        <w:t>. 2019. London, SAGE, 2019.</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Welsh Government. </w:t>
      </w:r>
      <w:r>
        <w:rPr>
          <w:rFonts w:hint="default" w:ascii="Times New Roman" w:hAnsi="Times New Roman" w:cs="Times New Roman"/>
          <w:i/>
          <w:iCs/>
          <w:sz w:val="24"/>
          <w:szCs w:val="24"/>
        </w:rPr>
        <w:t>Yr Adran Plant, Addysg, Dysgu Gydol Oes a Sgiliau Department for Children, Education, Lifelong Learning and Skills Welsh Language Development</w:t>
      </w:r>
      <w:r>
        <w:rPr>
          <w:rFonts w:hint="default" w:ascii="Times New Roman" w:hAnsi="Times New Roman" w:cs="Times New Roman"/>
          <w:sz w:val="24"/>
          <w:szCs w:val="24"/>
        </w:rPr>
        <w:t>. , 2008.</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Shonkoff, Jack P. “Building a New Biodevelopmental Framework to Guide the Future of Early Childhood Policy.” </w:t>
      </w:r>
      <w:r>
        <w:rPr>
          <w:rFonts w:hint="default" w:ascii="Times New Roman" w:hAnsi="Times New Roman" w:cs="Times New Roman"/>
          <w:i/>
          <w:iCs/>
          <w:sz w:val="24"/>
          <w:szCs w:val="24"/>
        </w:rPr>
        <w:t>Child Development</w:t>
      </w:r>
      <w:r>
        <w:rPr>
          <w:rFonts w:hint="default" w:ascii="Times New Roman" w:hAnsi="Times New Roman" w:cs="Times New Roman"/>
          <w:sz w:val="24"/>
          <w:szCs w:val="24"/>
        </w:rPr>
        <w:t>, vol. 81, no. 1, Jan. 2010, pp. 357–367, 10.1111/j.1467-8624.2009.01399.x. Accessed 11 May 2019.</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“What Is the Reggio Emilia Approach? – Child Discovery Center.” </w:t>
      </w:r>
      <w:r>
        <w:rPr>
          <w:rFonts w:hint="default" w:ascii="Times New Roman" w:hAnsi="Times New Roman" w:cs="Times New Roman"/>
          <w:i/>
          <w:iCs/>
          <w:sz w:val="24"/>
          <w:szCs w:val="24"/>
        </w:rPr>
        <w:t>Childdiscoverycenter.org</w:t>
      </w:r>
      <w:r>
        <w:rPr>
          <w:rFonts w:hint="default" w:ascii="Times New Roman" w:hAnsi="Times New Roman" w:cs="Times New Roman"/>
          <w:sz w:val="24"/>
          <w:szCs w:val="24"/>
        </w:rPr>
        <w:t>, 2018, childdiscoverycenter.org/non-traditional-classroom/what-is-the-reggio-emilia-approach/.</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Duncan, Robert M., and Donato Tarulli. “Play as the Leading Activity of the Preschool Period: Insights from Vygotsky, Leont’ev, and Bakhtin.” </w:t>
      </w:r>
      <w:r>
        <w:rPr>
          <w:rFonts w:hint="default" w:ascii="Times New Roman" w:hAnsi="Times New Roman" w:cs="Times New Roman"/>
          <w:i/>
          <w:iCs/>
          <w:sz w:val="24"/>
          <w:szCs w:val="24"/>
        </w:rPr>
        <w:t>Early Education and Development</w:t>
      </w:r>
      <w:r>
        <w:rPr>
          <w:rFonts w:hint="default" w:ascii="Times New Roman" w:hAnsi="Times New Roman" w:cs="Times New Roman"/>
          <w:sz w:val="24"/>
          <w:szCs w:val="24"/>
        </w:rPr>
        <w:t>, vol. 14, no. 3, 2003, pp. 271–92, eric.ed.gov/?id=EJ676594.</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Rubin, Kenneth H., and Robert J. Coplan. “Social Withdrawal in Childhood.” </w:t>
      </w:r>
      <w:r>
        <w:rPr>
          <w:rFonts w:hint="default" w:ascii="Times New Roman" w:hAnsi="Times New Roman" w:cs="Times New Roman"/>
          <w:i/>
          <w:iCs/>
          <w:sz w:val="24"/>
          <w:szCs w:val="24"/>
        </w:rPr>
        <w:t>Annual Review of Psychology</w:t>
      </w:r>
      <w:r>
        <w:rPr>
          <w:rFonts w:hint="default" w:ascii="Times New Roman" w:hAnsi="Times New Roman" w:cs="Times New Roman"/>
          <w:sz w:val="24"/>
          <w:szCs w:val="24"/>
        </w:rPr>
        <w:t>, vol. 60, no. 1, 1992, p. , 10.1146/annurev.psych.60.110707.163642.</w:t>
      </w:r>
    </w:p>
    <w:p>
      <w:pPr>
        <w:pStyle w:val="6"/>
        <w:keepNext w:val="0"/>
        <w:keepLines w:val="0"/>
        <w:widowControl/>
        <w:suppressLineNumbers w:val="0"/>
        <w:spacing w:before="0" w:beforeAutospacing="0" w:after="0" w:afterAutospacing="0" w:line="480" w:lineRule="auto"/>
      </w:pPr>
      <w:r>
        <w:rPr>
          <w:rFonts w:hint="default" w:ascii="Times New Roman" w:hAnsi="Times New Roman" w:cs="Times New Roman"/>
          <w:sz w:val="24"/>
          <w:szCs w:val="24"/>
        </w:rPr>
        <w:t xml:space="preserve">Gewirtz, Jacob L., and Martha Peláez-Nogueras. “Social Referencing as a Learned Process.” </w:t>
      </w:r>
      <w:r>
        <w:rPr>
          <w:rFonts w:hint="default" w:ascii="Times New Roman" w:hAnsi="Times New Roman" w:cs="Times New Roman"/>
          <w:i/>
          <w:iCs/>
          <w:sz w:val="24"/>
          <w:szCs w:val="24"/>
        </w:rPr>
        <w:t>Social Referencing and the Social Construction of Reality in Infancy</w:t>
      </w:r>
      <w:r>
        <w:rPr>
          <w:rFonts w:hint="default" w:ascii="Times New Roman" w:hAnsi="Times New Roman" w:cs="Times New Roman"/>
          <w:sz w:val="24"/>
          <w:szCs w:val="24"/>
        </w:rPr>
        <w:t>, 1992, pp. 151–173, 10.1007/978-1-4899-2462-9_7.</w:t>
      </w:r>
    </w:p>
    <w:p>
      <w:pPr>
        <w:pStyle w:val="7"/>
        <w:jc w:val="both"/>
        <w:rPr>
          <w:rFonts w:hint="default"/>
          <w:lang w:val="en-GB"/>
        </w:rPr>
      </w:pPr>
    </w:p>
    <w:sectPr>
      <w:pgSz w:w="12240" w:h="15840"/>
      <w:pgMar w:top="1440" w:right="1440" w:bottom="1440" w:left="1440" w:header="720" w:footer="720"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BBF7C17"/>
    <w:rsid w:val="30643B4D"/>
    <w:rsid w:val="3AEF409C"/>
    <w:rsid w:val="545D36C8"/>
    <w:rsid w:val="722F429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sz w:val="21"/>
      <w:szCs w:val="22"/>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FollowedHyperlink"/>
    <w:basedOn w:val="2"/>
    <w:uiPriority w:val="0"/>
    <w:rPr>
      <w:color w:val="800080"/>
      <w:u w:val="single"/>
    </w:rPr>
  </w:style>
  <w:style w:type="character" w:styleId="5">
    <w:name w:val="Hyperlink"/>
    <w:basedOn w:val="2"/>
    <w:qFormat/>
    <w:uiPriority w:val="0"/>
    <w:rPr>
      <w:color w:val="0000FF"/>
      <w:u w:val="single"/>
    </w:rPr>
  </w:style>
  <w:style w:type="paragraph" w:styleId="6">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customStyle="1" w:styleId="7">
    <w:name w:val="Normal1"/>
    <w:basedOn w:val="1"/>
    <w:unhideWhenUsed/>
    <w:qFormat/>
    <w:uiPriority w:val="1"/>
    <w:rPr>
      <w:rFonts w:ascii="Calibri"/>
    </w:rPr>
  </w:style>
  <w:style w:type="paragraph" w:customStyle="1" w:styleId="8">
    <w:name w:val="Title1"/>
    <w:basedOn w:val="7"/>
    <w:next w:val="7"/>
    <w:unhideWhenUsed/>
    <w:qFormat/>
    <w:uiPriority w:val="1"/>
    <w:rPr>
      <w:rFonts w:ascii="Calibri Light"/>
      <w:sz w:val="56"/>
    </w:rPr>
  </w:style>
  <w:style w:type="paragraph" w:customStyle="1" w:styleId="9">
    <w:name w:val="Heading1"/>
    <w:basedOn w:val="7"/>
    <w:next w:val="7"/>
    <w:unhideWhenUsed/>
    <w:qFormat/>
    <w:uiPriority w:val="1"/>
    <w:pPr>
      <w:keepNext/>
      <w:spacing w:before="480" w:after="120"/>
      <w:outlineLvl w:val="0"/>
    </w:pPr>
    <w:rPr>
      <w:rFonts w:ascii="Calibri Light"/>
      <w:color w:val="4F81BD" w:themeColor="accent1"/>
      <w:sz w:val="32"/>
    </w:rPr>
  </w:style>
  <w:style w:type="paragraph" w:customStyle="1" w:styleId="10">
    <w:name w:val="Heading2"/>
    <w:basedOn w:val="7"/>
    <w:next w:val="7"/>
    <w:unhideWhenUsed/>
    <w:qFormat/>
    <w:uiPriority w:val="1"/>
    <w:pPr>
      <w:keepNext/>
      <w:spacing w:before="40" w:after="0"/>
      <w:outlineLvl w:val="1"/>
    </w:pPr>
    <w:rPr>
      <w:rFonts w:ascii="Calibri Light"/>
      <w:color w:val="4F81BD" w:themeColor="accent1"/>
      <w:sz w:val="26"/>
    </w:rPr>
  </w:style>
  <w:style w:type="character" w:customStyle="1" w:styleId="11">
    <w:name w:val="EmphasizeItalicize"/>
    <w:unhideWhenUsed/>
    <w:qFormat/>
    <w:uiPriority w:val="1"/>
    <w:rPr>
      <w:rFonts w:ascii="Calibri"/>
      <w:b/>
      <w:i/>
    </w:rPr>
  </w:style>
  <w:style w:type="character" w:customStyle="1" w:styleId="12">
    <w:name w:val="Strong1"/>
    <w:unhideWhenUsed/>
    <w:qFormat/>
    <w:uiPriority w:val="1"/>
    <w:rPr>
      <w:rFonts w:ascii="Calibri"/>
      <w:b/>
    </w:rPr>
  </w:style>
  <w:style w:type="character" w:customStyle="1" w:styleId="13">
    <w:name w:val="Emphasis1"/>
    <w:unhideWhenUsed/>
    <w:qFormat/>
    <w:uiPriority w:val="1"/>
    <w:rPr>
      <w:rFonts w:ascii="Calibri"/>
      <w:i/>
    </w:rPr>
  </w:style>
  <w:style w:type="character" w:customStyle="1" w:styleId="14">
    <w:name w:val="SwayHyperlink"/>
    <w:unhideWhenUsed/>
    <w:qFormat/>
    <w:uiPriority w:val="1"/>
    <w:rPr>
      <w:rFonts w:ascii="Calibri"/>
      <w:color w:val="0000FF" w:themeColor="hyperlink"/>
      <w:u w:val="single"/>
    </w:rPr>
  </w:style>
  <w:style w:type="character" w:customStyle="1" w:styleId="15">
    <w:name w:val="BoldHyperlink"/>
    <w:unhideWhenUsed/>
    <w:qFormat/>
    <w:uiPriority w:val="1"/>
    <w:rPr>
      <w:rFonts w:ascii="Calibri"/>
      <w:b/>
      <w:color w:val="0000FF" w:themeColor="hyperlink"/>
      <w:u w:val="single"/>
    </w:rPr>
  </w:style>
  <w:style w:type="character" w:customStyle="1" w:styleId="16">
    <w:name w:val="ItalicHyperlink"/>
    <w:unhideWhenUsed/>
    <w:qFormat/>
    <w:uiPriority w:val="1"/>
    <w:rPr>
      <w:rFonts w:ascii="Calibri"/>
      <w:i/>
      <w:color w:val="0000FF" w:themeColor="hyperlink"/>
      <w:u w:val="single"/>
    </w:rPr>
  </w:style>
  <w:style w:type="character" w:customStyle="1" w:styleId="17">
    <w:name w:val="BoldItalicHyperlink"/>
    <w:unhideWhenUsed/>
    <w:qFormat/>
    <w:uiPriority w:val="1"/>
    <w:rPr>
      <w:rFonts w:ascii="Calibri"/>
      <w:b/>
      <w:i/>
      <w:color w:val="0000FF" w:themeColor="hyperlink"/>
      <w:u w:val="single"/>
    </w:rPr>
  </w:style>
  <w:style w:type="paragraph" w:customStyle="1" w:styleId="18">
    <w:name w:val="Caption1"/>
    <w:basedOn w:val="7"/>
    <w:next w:val="7"/>
    <w:unhideWhenUsed/>
    <w:qFormat/>
    <w:uiPriority w:val="1"/>
    <w:rPr>
      <w:rFonts w:ascii="Calibri"/>
      <w:i/>
    </w:rPr>
  </w:style>
  <w:style w:type="paragraph" w:customStyle="1" w:styleId="19">
    <w:name w:val="FootnoteText"/>
    <w:basedOn w:val="7"/>
    <w:next w:val="7"/>
    <w:unhideWhenUsed/>
    <w:qFormat/>
    <w:uiPriority w:val="1"/>
    <w:rPr>
      <w:rFonts w:ascii="Calibri"/>
    </w:rPr>
  </w:style>
  <w:style w:type="paragraph" w:customStyle="1" w:styleId="20">
    <w:name w:val="IntenseQuote"/>
    <w:basedOn w:val="7"/>
    <w:next w:val="7"/>
    <w:unhideWhenUsed/>
    <w:qFormat/>
    <w:uiPriority w:val="1"/>
    <w:pPr>
      <w:pBdr>
        <w:top w:val="single" w:color="4F81BD" w:themeColor="accent1" w:sz="4" w:space="10"/>
        <w:bottom w:val="single" w:color="4F81BD" w:themeColor="accent1" w:sz="4" w:space="10"/>
      </w:pBdr>
      <w:spacing w:before="360" w:after="360"/>
      <w:ind w:left="0" w:right="0"/>
      <w:jc w:val="center"/>
    </w:pPr>
    <w:rPr>
      <w:rFonts w:ascii="Calibri"/>
      <w:i/>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8</TotalTime>
  <ScaleCrop>false</ScaleCrop>
  <LinksUpToDate>false</LinksUpToDate>
  <Application>WPS Office_11.2.0.10078_F1E327BC-269C-435d-A152-05C5408002CA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2021-03-29T20:41:52Z</dcterms:created>
  <dc:creator>jessi</dc:creator>
  <cp:lastModifiedBy>Jessica Bowler</cp:lastModifiedBy>
  <dcterms:modified xsi:type="dcterms:W3CDTF">2021-03-29T20:54:09Z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2057-11.2.0.10078</vt:lpwstr>
  </property>
</Properties>
</file>