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D5969" w:rsidP="00DD5969" w:rsidRDefault="00DD5969" w14:paraId="01382298" w14:textId="77777777">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rsidRPr="0066224E" w:rsidR="00DD5969" w:rsidP="00DD5969" w:rsidRDefault="00DD5969" w14:paraId="6193D1EC" w14:textId="77777777">
      <w:pPr>
        <w:spacing w:before="212"/>
        <w:jc w:val="center"/>
        <w:rPr>
          <w:rFonts w:ascii="Arial"/>
          <w:b/>
          <w:sz w:val="36"/>
          <w:szCs w:val="36"/>
        </w:rPr>
      </w:pPr>
    </w:p>
    <w:p w:rsidR="00DD5969" w:rsidP="00DD5969" w:rsidRDefault="00DD5969" w14:paraId="5B9AE89A" w14:textId="77777777">
      <w:pPr>
        <w:spacing w:before="212"/>
        <w:rPr>
          <w:rFonts w:ascii="Arial"/>
          <w:b/>
          <w:sz w:val="56"/>
        </w:rPr>
      </w:pPr>
    </w:p>
    <w:p w:rsidRPr="0000375B" w:rsidR="00DD5969" w:rsidP="00DD5969" w:rsidRDefault="00DD5969" w14:paraId="7EE9271E" w14:textId="1D9CA26E">
      <w:pPr>
        <w:spacing w:before="212"/>
        <w:rPr>
          <w:rFonts w:ascii="Arial"/>
          <w:b/>
          <w:sz w:val="48"/>
          <w:szCs w:val="48"/>
          <w:lang w:val="fr-FR"/>
        </w:rPr>
      </w:pPr>
      <w:r w:rsidRPr="0000375B">
        <w:rPr>
          <w:rFonts w:ascii="Arial"/>
          <w:b/>
          <w:sz w:val="48"/>
          <w:szCs w:val="48"/>
          <w:lang w:val="fr-FR"/>
        </w:rPr>
        <w:t>MODULE CODE:</w:t>
      </w:r>
      <w:r w:rsidR="0007198D">
        <w:rPr>
          <w:rFonts w:ascii="Arial"/>
          <w:b/>
          <w:sz w:val="48"/>
          <w:szCs w:val="48"/>
          <w:lang w:val="fr-FR"/>
        </w:rPr>
        <w:t xml:space="preserve"> </w:t>
      </w:r>
      <w:r w:rsidRPr="0000375B" w:rsid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rsidRPr="0000375B" w:rsidR="00347EA1" w:rsidP="00DD5969" w:rsidRDefault="00347EA1" w14:paraId="5051A2D5" w14:textId="77777777">
      <w:pPr>
        <w:spacing w:before="212"/>
        <w:rPr>
          <w:rFonts w:ascii="Arial"/>
          <w:b/>
          <w:sz w:val="48"/>
          <w:szCs w:val="48"/>
          <w:lang w:val="fr-FR"/>
        </w:rPr>
      </w:pPr>
    </w:p>
    <w:p w:rsidRPr="00DD5969" w:rsidR="00DD5969" w:rsidP="3F0FD7BF" w:rsidRDefault="00DD5969" w14:paraId="7681432B" w14:textId="6834F2FB">
      <w:pPr>
        <w:spacing w:before="3"/>
        <w:rPr>
          <w:rFonts w:ascii="Arial"/>
          <w:b w:val="1"/>
          <w:bCs w:val="1"/>
          <w:sz w:val="48"/>
          <w:szCs w:val="48"/>
        </w:rPr>
      </w:pPr>
      <w:r w:rsidRPr="3F0FD7BF" w:rsidR="00DD5969">
        <w:rPr>
          <w:rFonts w:ascii="Arial"/>
          <w:b w:val="1"/>
          <w:bCs w:val="1"/>
          <w:sz w:val="48"/>
          <w:szCs w:val="48"/>
        </w:rPr>
        <w:t>STUDENT NAME:</w:t>
      </w:r>
      <w:r w:rsidRPr="3F0FD7BF" w:rsidR="4B2C4192">
        <w:rPr>
          <w:rFonts w:ascii="Arial"/>
          <w:b w:val="1"/>
          <w:bCs w:val="1"/>
          <w:sz w:val="48"/>
          <w:szCs w:val="48"/>
        </w:rPr>
        <w:t xml:space="preserve"> Keira Wickham</w:t>
      </w:r>
    </w:p>
    <w:p w:rsidRPr="00DD5969" w:rsidR="00DD5969" w:rsidP="00DD5969" w:rsidRDefault="00DD5969" w14:paraId="0D16D138" w14:textId="77777777">
      <w:pPr>
        <w:spacing w:before="3"/>
        <w:rPr>
          <w:rFonts w:ascii="Arial"/>
          <w:b/>
          <w:sz w:val="48"/>
          <w:szCs w:val="48"/>
        </w:rPr>
      </w:pPr>
    </w:p>
    <w:p w:rsidRPr="00DD5969" w:rsidR="00DD5969" w:rsidP="3F0FD7BF" w:rsidRDefault="00DD5969" w14:paraId="18107AFF" w14:textId="740A371E">
      <w:pPr>
        <w:spacing w:before="3"/>
        <w:rPr>
          <w:rFonts w:ascii="Arial"/>
          <w:b w:val="1"/>
          <w:bCs w:val="1"/>
          <w:sz w:val="48"/>
          <w:szCs w:val="48"/>
        </w:rPr>
      </w:pPr>
      <w:r w:rsidRPr="3F0FD7BF" w:rsidR="00DD5969">
        <w:rPr>
          <w:rFonts w:ascii="Arial"/>
          <w:b w:val="1"/>
          <w:bCs w:val="1"/>
          <w:sz w:val="48"/>
          <w:szCs w:val="48"/>
        </w:rPr>
        <w:t xml:space="preserve">STUDENT </w:t>
      </w:r>
      <w:r w:rsidRPr="3F0FD7BF" w:rsidR="007203C3">
        <w:rPr>
          <w:rFonts w:ascii="Arial"/>
          <w:b w:val="1"/>
          <w:bCs w:val="1"/>
          <w:sz w:val="48"/>
          <w:szCs w:val="48"/>
        </w:rPr>
        <w:t>NUMBER</w:t>
      </w:r>
      <w:r w:rsidRPr="3F0FD7BF" w:rsidR="00DD5969">
        <w:rPr>
          <w:rFonts w:ascii="Arial"/>
          <w:b w:val="1"/>
          <w:bCs w:val="1"/>
          <w:sz w:val="48"/>
          <w:szCs w:val="48"/>
        </w:rPr>
        <w:t>:</w:t>
      </w:r>
      <w:r w:rsidRPr="3F0FD7BF" w:rsidR="35E3146C">
        <w:rPr>
          <w:rFonts w:ascii="Arial"/>
          <w:b w:val="1"/>
          <w:bCs w:val="1"/>
          <w:sz w:val="48"/>
          <w:szCs w:val="48"/>
        </w:rPr>
        <w:t xml:space="preserve"> 2300800</w:t>
      </w:r>
    </w:p>
    <w:p w:rsidR="00DD5969" w:rsidP="00347EA1" w:rsidRDefault="00DD5969" w14:paraId="4FD52B0A" w14:textId="77777777">
      <w:pPr>
        <w:rPr>
          <w:rFonts w:ascii="Arial"/>
          <w:b/>
          <w:sz w:val="47"/>
        </w:rPr>
      </w:pPr>
    </w:p>
    <w:p w:rsidRPr="00192D3C" w:rsidR="00DD5969" w:rsidP="00DD5969" w:rsidRDefault="00DD5969" w14:paraId="33AC1703" w14:textId="77777777">
      <w:pPr>
        <w:ind w:left="100"/>
        <w:jc w:val="center"/>
        <w:rPr>
          <w:rFonts w:ascii="Arial"/>
          <w:b/>
          <w:sz w:val="47"/>
        </w:rPr>
      </w:pPr>
    </w:p>
    <w:p w:rsidR="00DD5969" w:rsidP="00DD5969" w:rsidRDefault="00DD5969" w14:paraId="274DD003" w14:textId="77777777">
      <w:pPr>
        <w:ind w:left="100"/>
        <w:rPr>
          <w:rFonts w:ascii="Arial"/>
          <w:b/>
          <w:sz w:val="47"/>
        </w:rPr>
      </w:pPr>
    </w:p>
    <w:p w:rsidR="00347EA1" w:rsidP="00DD5969" w:rsidRDefault="00347EA1" w14:paraId="467BE871" w14:textId="77777777">
      <w:pPr>
        <w:ind w:left="100"/>
        <w:rPr>
          <w:rFonts w:ascii="Arial"/>
          <w:b/>
          <w:sz w:val="47"/>
        </w:rPr>
      </w:pPr>
    </w:p>
    <w:p w:rsidR="00DD5969" w:rsidP="00DD5969" w:rsidRDefault="00DD5969" w14:paraId="69F83F2B" w14:textId="77777777">
      <w:pPr>
        <w:jc w:val="center"/>
        <w:rPr>
          <w:rFonts w:ascii="Arial"/>
          <w:b/>
          <w:sz w:val="40"/>
        </w:rPr>
      </w:pPr>
    </w:p>
    <w:p w:rsidR="0000375B" w:rsidP="00DD5969" w:rsidRDefault="0000375B" w14:paraId="3A56DF45" w14:textId="77777777">
      <w:pPr>
        <w:jc w:val="center"/>
        <w:rPr>
          <w:rFonts w:ascii="Arial"/>
          <w:b/>
          <w:sz w:val="40"/>
        </w:rPr>
      </w:pPr>
    </w:p>
    <w:p w:rsidRPr="00192D3C" w:rsidR="0000375B" w:rsidP="00DD5969" w:rsidRDefault="0000375B" w14:paraId="35E77934" w14:textId="77777777">
      <w:pPr>
        <w:jc w:val="center"/>
        <w:rPr>
          <w:rFonts w:ascii="Arial"/>
          <w:b/>
          <w:sz w:val="40"/>
        </w:rPr>
      </w:pPr>
    </w:p>
    <w:p w:rsidRPr="00E243A8" w:rsidR="00B103B9" w:rsidP="00DD5969" w:rsidRDefault="00B103B9" w14:paraId="4C9C9B74" w14:textId="32AE2462">
      <w:pPr>
        <w:rPr>
          <w:b/>
          <w:bCs/>
          <w:sz w:val="32"/>
          <w:szCs w:val="32"/>
          <w:u w:val="single"/>
        </w:rPr>
      </w:pPr>
      <w:r w:rsidRPr="00E243A8">
        <w:rPr>
          <w:b/>
          <w:bCs/>
          <w:sz w:val="32"/>
          <w:szCs w:val="32"/>
          <w:u w:val="single"/>
        </w:rPr>
        <w:lastRenderedPageBreak/>
        <w:t>AI Acknowledgement</w:t>
      </w:r>
    </w:p>
    <w:p w:rsidR="00B103B9" w:rsidP="00DD5969" w:rsidRDefault="00B103B9" w14:paraId="5A38292B" w14:textId="77777777"/>
    <w:p w:rsidR="00E243A8" w:rsidP="00E243A8" w:rsidRDefault="00E243A8" w14:paraId="4EE20A6B" w14:textId="77777777">
      <w:r w:rsidRPr="00E243A8">
        <w:t xml:space="preserve">I confirm that I have not used any AI tools in the research and creation of this assignment. </w:t>
      </w:r>
    </w:p>
    <w:p w:rsidR="00C2550A" w:rsidP="00E243A8" w:rsidRDefault="00E243A8" w14:paraId="768557CB" w14:textId="77777777">
      <w:r w:rsidRPr="00E243A8">
        <w:t xml:space="preserve">I confirm that I have not presented any AI generated materials as my own work. </w:t>
      </w:r>
    </w:p>
    <w:p w:rsidRPr="00E243A8" w:rsidR="00E243A8" w:rsidP="00E243A8" w:rsidRDefault="00E243A8" w14:paraId="78B15B94" w14:textId="59458B70">
      <w:r w:rsidRPr="00E243A8">
        <w:t xml:space="preserve">I confirm </w:t>
      </w:r>
      <w:r w:rsidR="00C2550A">
        <w:t xml:space="preserve">that </w:t>
      </w:r>
      <w:r w:rsidRPr="00E243A8">
        <w:t>I have copies of my drafts, notes, and other resources I used, which I may be asked to provide in evidence.</w:t>
      </w:r>
    </w:p>
    <w:p w:rsidR="0000375B" w:rsidP="3F0FD7BF" w:rsidRDefault="0000375B" w14:paraId="36D1742B" w14:noSpellErr="1" w14:textId="4351F2FD">
      <w:pPr>
        <w:pStyle w:val="Normal"/>
      </w:pPr>
    </w:p>
    <w:p w:rsidR="0000375B" w:rsidRDefault="0000375B" w14:paraId="5154171D" w14:textId="77777777">
      <w:pPr>
        <w:rPr>
          <w:b/>
          <w:bCs/>
        </w:rPr>
      </w:pPr>
      <w:r w:rsidRPr="0000375B">
        <w:rPr>
          <w:b/>
          <w:bCs/>
        </w:rPr>
        <w:t>Targets from my previous assignment</w:t>
      </w:r>
    </w:p>
    <w:p w:rsidR="0000375B" w:rsidRDefault="0000375B" w14:paraId="17A7A376" w14:textId="77777777">
      <w:pPr>
        <w:rPr>
          <w:b/>
          <w:bCs/>
        </w:rPr>
      </w:pPr>
    </w:p>
    <w:tbl>
      <w:tblPr>
        <w:tblStyle w:val="TableGrid"/>
        <w:tblW w:w="0" w:type="auto"/>
        <w:tblLook w:val="04A0" w:firstRow="1" w:lastRow="0" w:firstColumn="1" w:lastColumn="0" w:noHBand="0" w:noVBand="1"/>
      </w:tblPr>
      <w:tblGrid>
        <w:gridCol w:w="4508"/>
        <w:gridCol w:w="4508"/>
      </w:tblGrid>
      <w:tr w:rsidR="0000375B" w:rsidTr="3F0FD7BF" w14:paraId="551E84E1" w14:textId="77777777">
        <w:tc>
          <w:tcPr>
            <w:tcW w:w="4508" w:type="dxa"/>
            <w:tcMar/>
          </w:tcPr>
          <w:p w:rsidRPr="0000375B" w:rsidR="0000375B" w:rsidP="3F0FD7BF" w:rsidRDefault="0000375B" w14:paraId="672FF086" w14:textId="6A0E023B" w14:noSpellErr="1">
            <w:pPr>
              <w:rPr>
                <w:rFonts w:ascii="Aptos" w:hAnsi="Aptos" w:eastAsia="Aptos" w:cs="Aptos" w:asciiTheme="minorAscii" w:hAnsiTheme="minorAscii" w:eastAsiaTheme="minorAscii" w:cstheme="minorAscii"/>
                <w:b w:val="1"/>
                <w:bCs w:val="1"/>
                <w:sz w:val="24"/>
                <w:szCs w:val="24"/>
              </w:rPr>
            </w:pPr>
            <w:r w:rsidRPr="3F0FD7BF" w:rsidR="0000375B">
              <w:rPr>
                <w:rFonts w:ascii="Aptos" w:hAnsi="Aptos" w:eastAsia="Aptos" w:cs="Aptos" w:asciiTheme="minorAscii" w:hAnsiTheme="minorAscii" w:eastAsiaTheme="minorAscii" w:cstheme="minorAscii"/>
                <w:b w:val="1"/>
                <w:bCs w:val="1"/>
                <w:sz w:val="24"/>
                <w:szCs w:val="24"/>
              </w:rPr>
              <w:t>Target</w:t>
            </w:r>
          </w:p>
        </w:tc>
        <w:tc>
          <w:tcPr>
            <w:tcW w:w="4508" w:type="dxa"/>
            <w:tcMar/>
          </w:tcPr>
          <w:p w:rsidRPr="0000375B" w:rsidR="0000375B" w:rsidP="3F0FD7BF" w:rsidRDefault="0000375B" w14:paraId="352B31B4" w14:textId="3C8264E3" w14:noSpellErr="1">
            <w:pPr>
              <w:rPr>
                <w:rFonts w:ascii="Aptos" w:hAnsi="Aptos" w:eastAsia="Aptos" w:cs="Aptos" w:asciiTheme="minorAscii" w:hAnsiTheme="minorAscii" w:eastAsiaTheme="minorAscii" w:cstheme="minorAscii"/>
                <w:b w:val="1"/>
                <w:bCs w:val="1"/>
                <w:sz w:val="24"/>
                <w:szCs w:val="24"/>
              </w:rPr>
            </w:pPr>
            <w:r w:rsidRPr="3F0FD7BF" w:rsidR="0000375B">
              <w:rPr>
                <w:rFonts w:ascii="Aptos" w:hAnsi="Aptos" w:eastAsia="Aptos" w:cs="Aptos" w:asciiTheme="minorAscii" w:hAnsiTheme="minorAscii" w:eastAsiaTheme="minorAscii" w:cstheme="minorAscii"/>
                <w:b w:val="1"/>
                <w:bCs w:val="1"/>
                <w:sz w:val="24"/>
                <w:szCs w:val="24"/>
              </w:rPr>
              <w:t>How I have addressed it in this work</w:t>
            </w:r>
          </w:p>
        </w:tc>
      </w:tr>
      <w:tr w:rsidR="0000375B" w:rsidTr="3F0FD7BF" w14:paraId="0DC71ABF" w14:textId="77777777">
        <w:tc>
          <w:tcPr>
            <w:tcW w:w="4508" w:type="dxa"/>
            <w:tcMar/>
          </w:tcPr>
          <w:p w:rsidR="0000375B" w:rsidP="3F0FD7BF" w:rsidRDefault="0000375B" w14:paraId="52EB84A3" w14:textId="77777777" w14:noSpellErr="1">
            <w:pPr>
              <w:rPr>
                <w:rFonts w:ascii="Aptos" w:hAnsi="Aptos" w:eastAsia="Aptos" w:cs="Aptos" w:asciiTheme="minorAscii" w:hAnsiTheme="minorAscii" w:eastAsiaTheme="minorAscii" w:cstheme="minorAscii"/>
                <w:color w:val="auto"/>
                <w:sz w:val="24"/>
                <w:szCs w:val="24"/>
              </w:rPr>
            </w:pPr>
          </w:p>
          <w:p w:rsidR="0000375B" w:rsidP="3F0FD7BF" w:rsidRDefault="0000375B" w14:paraId="76BEE28D" w14:textId="61F3FCBD">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F0FD7BF" w:rsidR="4207A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Ensure you avoid descriptive writing, aim to be critical and analytical.</w:t>
            </w:r>
          </w:p>
          <w:p w:rsidR="0000375B" w:rsidP="3F0FD7BF" w:rsidRDefault="0000375B" w14:paraId="0EDC9850" w14:textId="77777777" w14:noSpellErr="1">
            <w:pPr>
              <w:rPr>
                <w:rFonts w:ascii="Aptos" w:hAnsi="Aptos" w:eastAsia="Aptos" w:cs="Aptos" w:asciiTheme="minorAscii" w:hAnsiTheme="minorAscii" w:eastAsiaTheme="minorAscii" w:cstheme="minorAscii"/>
                <w:color w:val="auto"/>
                <w:sz w:val="24"/>
                <w:szCs w:val="24"/>
              </w:rPr>
            </w:pPr>
          </w:p>
        </w:tc>
        <w:tc>
          <w:tcPr>
            <w:tcW w:w="4508" w:type="dxa"/>
            <w:tcMar/>
          </w:tcPr>
          <w:p w:rsidR="0000375B" w:rsidP="3F0FD7BF" w:rsidRDefault="0000375B" w14:paraId="3FCBF01B" w14:textId="3F9A598E">
            <w:pPr>
              <w:rPr>
                <w:rFonts w:ascii="Aptos" w:hAnsi="Aptos" w:eastAsia="Aptos" w:cs="Aptos" w:asciiTheme="minorAscii" w:hAnsiTheme="minorAscii" w:eastAsiaTheme="minorAscii" w:cstheme="minorAscii"/>
                <w:noProof w:val="0"/>
                <w:sz w:val="24"/>
                <w:szCs w:val="24"/>
                <w:lang w:val="en-GB"/>
              </w:rPr>
            </w:pPr>
            <w:r w:rsidRPr="3F0FD7BF" w:rsidR="5409A35A">
              <w:rPr>
                <w:rFonts w:ascii="Aptos" w:hAnsi="Aptos" w:eastAsia="Aptos" w:cs="Aptos" w:asciiTheme="minorAscii" w:hAnsiTheme="minorAscii" w:eastAsiaTheme="minorAscii" w:cstheme="minorAscii"/>
                <w:noProof w:val="0"/>
                <w:sz w:val="24"/>
                <w:szCs w:val="24"/>
                <w:lang w:val="en-GB"/>
              </w:rPr>
              <w:t>Instead of just summarising, I</w:t>
            </w:r>
            <w:r w:rsidRPr="3F0FD7BF" w:rsidR="061B57F1">
              <w:rPr>
                <w:rFonts w:ascii="Aptos" w:hAnsi="Aptos" w:eastAsia="Aptos" w:cs="Aptos" w:asciiTheme="minorAscii" w:hAnsiTheme="minorAscii" w:eastAsiaTheme="minorAscii" w:cstheme="minorAscii"/>
                <w:noProof w:val="0"/>
                <w:sz w:val="24"/>
                <w:szCs w:val="24"/>
                <w:lang w:val="en-GB"/>
              </w:rPr>
              <w:t xml:space="preserve"> hav</w:t>
            </w:r>
            <w:r w:rsidRPr="3F0FD7BF" w:rsidR="5409A35A">
              <w:rPr>
                <w:rFonts w:ascii="Aptos" w:hAnsi="Aptos" w:eastAsia="Aptos" w:cs="Aptos" w:asciiTheme="minorAscii" w:hAnsiTheme="minorAscii" w:eastAsiaTheme="minorAscii" w:cstheme="minorAscii"/>
                <w:noProof w:val="0"/>
                <w:sz w:val="24"/>
                <w:szCs w:val="24"/>
                <w:lang w:val="en-GB"/>
              </w:rPr>
              <w:t>e aimed to explain why the information matters and its limitations.</w:t>
            </w:r>
          </w:p>
        </w:tc>
      </w:tr>
      <w:tr w:rsidR="0000375B" w:rsidTr="3F0FD7BF" w14:paraId="2411A5A2" w14:textId="77777777">
        <w:tc>
          <w:tcPr>
            <w:tcW w:w="4508" w:type="dxa"/>
            <w:tcMar/>
          </w:tcPr>
          <w:p w:rsidR="0000375B" w:rsidP="3F0FD7BF" w:rsidRDefault="0000375B" w14:paraId="4A120529" w14:textId="77777777" w14:noSpellErr="1">
            <w:pPr>
              <w:rPr>
                <w:rFonts w:ascii="Aptos" w:hAnsi="Aptos" w:eastAsia="Aptos" w:cs="Aptos" w:asciiTheme="minorAscii" w:hAnsiTheme="minorAscii" w:eastAsiaTheme="minorAscii" w:cstheme="minorAscii"/>
                <w:color w:val="auto"/>
                <w:sz w:val="24"/>
                <w:szCs w:val="24"/>
              </w:rPr>
            </w:pPr>
          </w:p>
          <w:p w:rsidR="0000375B" w:rsidP="3F0FD7BF" w:rsidRDefault="0000375B" w14:paraId="73ED8D37" w14:textId="54519642">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F0FD7BF" w:rsidR="4207A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Consider using multiple sources to support similar points more robustly.</w:t>
            </w:r>
          </w:p>
          <w:p w:rsidR="0000375B" w:rsidP="3F0FD7BF" w:rsidRDefault="0000375B" w14:paraId="2A59CA2F" w14:textId="77777777" w14:noSpellErr="1">
            <w:pPr>
              <w:rPr>
                <w:rFonts w:ascii="Aptos" w:hAnsi="Aptos" w:eastAsia="Aptos" w:cs="Aptos" w:asciiTheme="minorAscii" w:hAnsiTheme="minorAscii" w:eastAsiaTheme="minorAscii" w:cstheme="minorAscii"/>
                <w:color w:val="auto"/>
                <w:sz w:val="24"/>
                <w:szCs w:val="24"/>
              </w:rPr>
            </w:pPr>
          </w:p>
        </w:tc>
        <w:tc>
          <w:tcPr>
            <w:tcW w:w="4508" w:type="dxa"/>
            <w:tcMar/>
          </w:tcPr>
          <w:p w:rsidR="0000375B" w:rsidP="3F0FD7BF" w:rsidRDefault="0000375B" w14:paraId="51AE3AC6" w14:textId="5A2C3006">
            <w:pPr>
              <w:rPr>
                <w:rFonts w:ascii="Aptos" w:hAnsi="Aptos" w:eastAsia="Aptos" w:cs="Aptos" w:asciiTheme="minorAscii" w:hAnsiTheme="minorAscii" w:eastAsiaTheme="minorAscii" w:cstheme="minorAscii"/>
                <w:noProof w:val="0"/>
                <w:sz w:val="24"/>
                <w:szCs w:val="24"/>
                <w:lang w:val="en-GB"/>
              </w:rPr>
            </w:pPr>
            <w:r w:rsidRPr="3F0FD7BF" w:rsidR="59E6F567">
              <w:rPr>
                <w:rFonts w:ascii="Aptos" w:hAnsi="Aptos" w:eastAsia="Aptos" w:cs="Aptos" w:asciiTheme="minorAscii" w:hAnsiTheme="minorAscii" w:eastAsiaTheme="minorAscii" w:cstheme="minorAscii"/>
                <w:noProof w:val="0"/>
                <w:sz w:val="24"/>
                <w:szCs w:val="24"/>
                <w:lang w:val="en-GB"/>
              </w:rPr>
              <w:t>I</w:t>
            </w:r>
            <w:r w:rsidRPr="3F0FD7BF" w:rsidR="6973E276">
              <w:rPr>
                <w:rFonts w:ascii="Aptos" w:hAnsi="Aptos" w:eastAsia="Aptos" w:cs="Aptos" w:asciiTheme="minorAscii" w:hAnsiTheme="minorAscii" w:eastAsiaTheme="minorAscii" w:cstheme="minorAscii"/>
                <w:noProof w:val="0"/>
                <w:sz w:val="24"/>
                <w:szCs w:val="24"/>
                <w:lang w:val="en-GB"/>
              </w:rPr>
              <w:t xml:space="preserve"> ha</w:t>
            </w:r>
            <w:r w:rsidRPr="3F0FD7BF" w:rsidR="59E6F567">
              <w:rPr>
                <w:rFonts w:ascii="Aptos" w:hAnsi="Aptos" w:eastAsia="Aptos" w:cs="Aptos" w:asciiTheme="minorAscii" w:hAnsiTheme="minorAscii" w:eastAsiaTheme="minorAscii" w:cstheme="minorAscii"/>
                <w:noProof w:val="0"/>
                <w:sz w:val="24"/>
                <w:szCs w:val="24"/>
                <w:lang w:val="en-GB"/>
              </w:rPr>
              <w:t>ve used multiple studies and viewpoints to support the same points, so my argument feels more solid. When I found different opinions, I compared them to give a clearer, more rounded picture.</w:t>
            </w:r>
          </w:p>
        </w:tc>
      </w:tr>
    </w:tbl>
    <w:p w:rsidR="000C541C" w:rsidP="00DD5969" w:rsidRDefault="000C541C" w14:paraId="7F589502" w14:textId="77777777">
      <w:pPr>
        <w:rPr>
          <w:sz w:val="16"/>
          <w:szCs w:val="16"/>
        </w:rPr>
      </w:pPr>
    </w:p>
    <w:p w:rsidR="000C541C" w:rsidP="00DD5969" w:rsidRDefault="000C541C" w14:paraId="5144E418" w14:textId="77777777" w14:noSpellErr="1">
      <w:pPr>
        <w:rPr>
          <w:sz w:val="16"/>
          <w:szCs w:val="16"/>
        </w:rPr>
      </w:pPr>
    </w:p>
    <w:p w:rsidR="3F0FD7BF" w:rsidP="3F0FD7BF" w:rsidRDefault="3F0FD7BF" w14:paraId="1EC8DC9F" w14:textId="084D9E53">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0FD7BF" w:rsidP="3F0FD7BF" w:rsidRDefault="3F0FD7BF" w14:paraId="22F66788" w14:textId="01473A19">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3F0FD7BF" w:rsidP="3F0FD7BF" w:rsidRDefault="3F0FD7BF" w14:paraId="50CACC7F" w14:textId="3DDC2491">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3F0FD7BF" w:rsidP="3F0FD7BF" w:rsidRDefault="3F0FD7BF" w14:paraId="08F7B5E9" w14:textId="4A1A7C46">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3F0FD7BF" w:rsidP="3F0FD7BF" w:rsidRDefault="3F0FD7BF" w14:paraId="6B101773" w14:textId="489BA333">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3F0FD7BF" w:rsidP="3F0FD7BF" w:rsidRDefault="3F0FD7BF" w14:paraId="0A5DA301" w14:textId="77E04B38">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3F0FD7BF" w:rsidP="3F0FD7BF" w:rsidRDefault="3F0FD7BF" w14:paraId="5925BD2C" w14:textId="4F5FA5B1">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pPr>
    </w:p>
    <w:p w:rsidR="75DA717C" w:rsidP="3F0FD7BF" w:rsidRDefault="75DA717C" w14:paraId="2AEDBE7B" w14:textId="72149514">
      <w:pPr>
        <w:spacing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3F0FD7BF" w:rsidR="75DA717C">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Using your knowledge of teaching 7–11-year-olds, write a proposal for a school community project.</w:t>
      </w:r>
    </w:p>
    <w:p w:rsidR="3F0FD7BF" w:rsidP="3F0FD7BF" w:rsidRDefault="3F0FD7BF" w14:paraId="5F203EB2" w14:textId="76694E20">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119DDB91" w14:textId="3CD48C37">
      <w:p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Introduction</w:t>
      </w:r>
    </w:p>
    <w:p w:rsidR="75DA717C" w:rsidP="3F0FD7BF" w:rsidRDefault="75DA717C" w14:paraId="619AFCAF" w14:textId="6456E59F">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project is about creating a Community Garden and Outdoor Learning Space that bridges the gap between classroom learning and real‑world applications for Key Stage 2 learners. It aims to establish an inclusive space where students, teachers, families, and local volunteers can collaborate to acquire the skills necessary to grow fruits, vegetables, flowers and other plants. By transforming traditional classroom learning into practical gardening activities, it allows pupils to develop curiosity, responsibility, and respect for ecosystems while deepening their understanding of biology and ecological systems (Elliott, 2013). This initiative links to the Science and Technology Area of Learning and Experience (AoLE) of the new Welsh curriculum. </w:t>
      </w:r>
    </w:p>
    <w:p w:rsidR="3F0FD7BF" w:rsidP="3F0FD7BF" w:rsidRDefault="3F0FD7BF" w14:paraId="349A9F64" w14:textId="055468C8">
      <w:p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4F38D1DA" w14:textId="09B2C75E">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Beyond science, the project emphasises healthy living. It extends beyond gardening, offering nutrition workshops and cookery sessions that utilise ingredients harvested from the garden. These sessions promote the preparation of balanced meals, while regular outdoor activity supports physical fitness and mental well‑being (</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Rickinson</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2004; Waite et al., 2016). Research shows that school gardens increase children’s fruit and vegetable consumption and willingness to try new, healthy foods, fostering lifelong positive eating habits. This links to the Health and Wellbeing </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AoLE</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curriculum. </w:t>
      </w:r>
    </w:p>
    <w:p w:rsidR="3F0FD7BF" w:rsidP="3F0FD7BF" w:rsidRDefault="3F0FD7BF" w14:paraId="2B0FE5C5" w14:textId="001094D6">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21A426A0" w14:textId="1ED8685C">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Linking schools with the wider community enhances pupils’ academic, social, and emotional development (Epstein, 2011). The garden serves as both an interactive educational environment living classroom and community hub where knowledge about gardening techniques, nutrition, and sustainability is shared across generations. This collaborative model aligns with the Well‑being of Future Generations (Wales) Act 2015, which prioritises sustainable development and community resilience. Through this project, pupils gain practical skills, healthier lifestyles, and stronger community bonds, laying the foundation for: ambitious, capable learners, enterprising, creative contributors, ethical, informed citizens, and healthy, confident individuals (Welsh Government, 2022).</w:t>
      </w:r>
    </w:p>
    <w:p w:rsidR="3F0FD7BF" w:rsidP="3F0FD7BF" w:rsidRDefault="3F0FD7BF" w14:paraId="667CEF58" w14:textId="0DCED393">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6491E2AC" w14:textId="414C324F">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Literature Review</w:t>
      </w:r>
    </w:p>
    <w:p w:rsidR="75DA717C" w:rsidP="3F0FD7BF" w:rsidRDefault="75DA717C" w14:paraId="170D5127" w14:textId="0E8CB03B">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proposal to establish a community garden and outdoor learning space is intended for a school located on the east side of Swansea, which will be referred to as “School A” in accordance with BERA ethical guidelines (BERA, 2024). This focus has been selected based on evidence from a range of literature that underscores the overall benefits of outdoor learning, as well as in response to the specific needs of School A and its community. Investing in a community garden, which serves as an outdoor learning space, is increasingly recognised as an effective means to address the holistic development of children, promote wellbeing, and strengthen the links between the school and the community, particularly in areas facing socio-economic challenges, such as School A (Pennington, 2025). </w:t>
      </w:r>
    </w:p>
    <w:p w:rsidR="3F0FD7BF" w:rsidP="3F0FD7BF" w:rsidRDefault="3F0FD7BF" w14:paraId="0EC654BE" w14:textId="50F33739">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5E9A0F2C" w14:textId="23136A0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Outdoor learning is now widely recognised as an essential component of quality education. Waite (2011) underscores that outdoor learning provides unique opportunities for experiential, hands-on education that cannot be replicated within the classroom walls. Similarly, Maynard and Waters (2007) highlight that outdoor environments enable children to develop critical skills such as problem-solving, creativity and resilience through engagement with real-world contexts. It can also improve academic achievement, social development, and environmental awareness (Rickinson et al., 2004). By introducing a community garden, School A could create an engaging and authentic learning space that connects students with the world around them. However, Dewey (1938) argued that while hands-on, experiential learning is crucial, the classroom remains an essential setting for focused intellectual engagement, where students can benefit from a structured environment that minimises distractions and maximises access to learning resources.</w:t>
      </w:r>
    </w:p>
    <w:p w:rsidR="3F0FD7BF" w:rsidP="3F0FD7BF" w:rsidRDefault="3F0FD7BF" w14:paraId="2797BE4D" w14:textId="73DB1F9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2D1204B0" w14:textId="7FD9B653">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Learning in outdoor environments can promote mental health and wellbeing. The Children’s Commissioner for Wales (2020) highlighted the importance of outdoor spaces, especially following the COVID-19 pandemic, which heightened issues like social anxiety and isolation. Research suggests that time spent in nature can reduce stress, improve mood, and enhance emotional regulation, particularly in children (Gill, 2014). Creating an outdoor learning space and community garden at School A would provide pupils with a safe environment to relax, reflect, and interact with peers, fostering emotional development and resilience. However, some children may feel nervous or anxious about being outside, which could potentially hinder their emotional development. Children with higher levels of anxiety may struggle to engage in unfamiliar environments, which can impact their emotional and social growth (Rutter, 1985).</w:t>
      </w:r>
    </w:p>
    <w:p w:rsidR="3F0FD7BF" w:rsidP="3F0FD7BF" w:rsidRDefault="3F0FD7BF" w14:paraId="222D6017" w14:textId="778AAF7C">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5DA50072" w14:textId="7744C34D">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socio-economic profile of the area of School A further justifies the need for this project. Data from Swansea Council (2025) indicates that parts of the community experience higher levels of deprivation compared to the national average, with many families encountering barriers to accessing green spaces and fresh, healthy food. Research conducted by Natural Resources Wales (2020) shows that children from disadvantaged backgrounds are significantly less likely to engage with nature, despite evidence suggesting that they have the most to gain from such experiences. Establishing a community garden at School A would help to address these inequalities by providing equitable access to outdoor learning opportunities and encouraging healthier lifestyle choices among pupils and their families. It also supports the principles of the Well-being of Future Generations (Wales) Act 2015, which places a legal duty on public bodies to work towards a healthier, more equal, and resilient Wales.</w:t>
      </w:r>
    </w:p>
    <w:p w:rsidR="3F0FD7BF" w:rsidP="3F0FD7BF" w:rsidRDefault="3F0FD7BF" w14:paraId="7BFA6806" w14:textId="4512F505">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3348B5EC" w14:textId="702CE2B6">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This initiative would also align with the goals of the Curriculum for Wales (Welsh Government, 2020), which emphasises the development of healthy, confident individuals who are ethically informed and grounded in their communities. The new curriculum also places an emphasis on “authentic contexts for learning” and encourages learners to become “ethical, informed citizens” and “healthy, confident individuals.” Outdoor learning and sustainability education are embedded within the Four Purposes and Areas of Learning and Experience, particularly Science and Technology, Health and Wellbeing, and Humanities. By integrating the community garden into the curriculum, School A would be meeting national priorities and ensuring that pupils are prepared for the challenges of the future.</w:t>
      </w:r>
    </w:p>
    <w:p w:rsidR="3F0FD7BF" w:rsidP="3F0FD7BF" w:rsidRDefault="3F0FD7BF" w14:paraId="635E8D14" w14:textId="5BF6F11A">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2E29C0AC" w14:textId="3FC79473">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Moreover, the garden would offer numerous cross-curricular links. As Bilton (2010) notes, outdoor spaces allow for creative and flexible curriculum design, accommodating literacy, numeracy, science, geography, art, and personal development. For instance, learners could measure plant growth in numeracy, keep journals about their gardening experiences in literacy, study ecosystems in science, or explore concepts of fairness and sustainability in humanities and PSE. Such authentic, project-based learning has been shown to enhance engagement and motivation, particularly among learners who may not thrive in traditional, desk-based lessons (Barrable, 2019).</w:t>
      </w:r>
    </w:p>
    <w:p w:rsidR="3F0FD7BF" w:rsidP="3F0FD7BF" w:rsidRDefault="3F0FD7BF" w14:paraId="0F15D814" w14:textId="6A55B093">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5BE74231" w14:textId="7C47B8EE">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proposal is also supported by evidence suggesting that outdoor learning fosters greater environmental awareness and responsibility. Sobel (2004) argues that children must develop an emotional connection to the natural world if they are to become environmentally responsible citizens. Engaging with a school garden from school age nurtures this connection and cultivates pro-environmental attitudes and behaviours, which are needed because of the growing environmental challenges such as climate change and biodiversity loss (Natural Resources Wales, 2019).</w:t>
      </w:r>
    </w:p>
    <w:p w:rsidR="3F0FD7BF" w:rsidP="3F0FD7BF" w:rsidRDefault="3F0FD7BF" w14:paraId="4D8D9DE9" w14:textId="493B5864">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57B5FDBD" w14:textId="66DE09A4">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Project Aims</w:t>
      </w:r>
    </w:p>
    <w:p w:rsidR="75DA717C" w:rsidP="3F0FD7BF" w:rsidRDefault="75DA717C" w14:paraId="1D37653C" w14:textId="62042098">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primary aim of the outdoor learning space and community garden at School A is to enhance the educational experience for learners by establishing an integrated, hands-on learning environment. The garden will serve as an outdoor classroom, offering learners the opportunity to engage with the natural world and apply their knowledge in real-life, authentic contexts. The space is designed to support academic growth, promote physical and mental well-being, and strengthen intergenerational links within the community.</w:t>
      </w:r>
    </w:p>
    <w:p w:rsidR="3F0FD7BF" w:rsidP="3F0FD7BF" w:rsidRDefault="3F0FD7BF" w14:paraId="12EC73E4" w14:textId="3CC68A3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51404D59" w14:textId="6B8E06E1">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One key aim of the project is to embed the outdoor space into the school’s curriculum. By using the garden as a learning resource, students can engage in activities that support subjects such as science, mathematics, and geography. Activities such as planting, observing growth, and maintaining plants align with the Science and Technology AoLE in the curriculum, offering practical applications of theoretical concepts. Additionally, the garden provides learners with the skills to cultivate fruit and vegetables, promoting an understanding of healthy living, particularly in the context of School A's area, which faces socio-economic challenges. Teaching students how to grow their own healthy food will equip them to lead healthier lives. Outdoor learning fosters increased student engagement by providing a meaningful context for academic content, thereby facilitating a deeper understanding of subjects (Beames et al., 2012). To support the integration of outdoor learning into the curriculum, additional staff training will be necessary to ensure that teachers are fully equipped to facilitate garden-based lessons. The budget will account for professional development costs, along with any resources required to enhance curriculum delivery.</w:t>
      </w:r>
    </w:p>
    <w:p w:rsidR="3F0FD7BF" w:rsidP="3F0FD7BF" w:rsidRDefault="3F0FD7BF" w14:paraId="3CDFAFD7" w14:textId="63FEAC1C">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713C2AFC" w14:textId="3B6B2CC0">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project also aims to support learners’ physical and mental well-being. Gardening and outdoor activities promote physical exercise, which is vital for overall health. Outdoor learning environments offer opportunities for students to engage in physical activity, contributing to improved physical fitness (Barton &amp; Pretty, 2010). Additionally, these environments foster mental well-being by providing students with a peaceful, stress-relieving space. Waite (2011) emphasises the positive impact of outdoor learning on mental health, including enhanced focus and reduced anxiety. The garden will offer learners a dedicated area to relax and connect with nature, which can be particularly beneficial for those who may struggle with the pressures of a traditional classroom setting. Staffing requirements for this aspect of the project include the two ELSAs (Emotional Literacy Support Assistant) to support students who may benefit from the garden as a therapeutic space. The budget will include funds for materials needed to create an inviting and calming environment, such as seating areas, sensory plants, and outdoor artwork.</w:t>
      </w:r>
    </w:p>
    <w:p w:rsidR="3F0FD7BF" w:rsidP="3F0FD7BF" w:rsidRDefault="3F0FD7BF" w14:paraId="79CA0D40" w14:textId="61A8AEB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68758B1D" w14:textId="68FBECDE">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Another important aim of the project is to strengthen the relationship between the school and the local community. The garden will serve as a shared space for students, parents, residents, and businesses. It will facilitate intergenerational connections, particularly as there is a church located near the school, providing opportunities for older members of the community to share their knowledge and skills (such as gardening and other life lessons) with the learners. Community involvement in schools can foster a sense of ownership and pride (Shillington, 2015). The garden will encourage volunteer participation in activities such as planting and maintenance, and the school will organise community events, including gardening workshops and open days. In addition, the school could also hold after-school cooking classes for families, building on initiatives already in place, and utilising the produce grown in the garden. This engagement will support the development of social cohesion and create a stronger, more connected relationship between School A and its community. The Family and Community Engagement Advisor will be required to organise events and recruit volunteers. The budget will allocate funding for community outreach and volunteer management.</w:t>
      </w:r>
    </w:p>
    <w:p w:rsidR="3F0FD7BF" w:rsidP="3F0FD7BF" w:rsidRDefault="3F0FD7BF" w14:paraId="5E72AE65" w14:textId="40C04C2E">
      <w:pPr>
        <w:spacing w:before="240" w:beforeAutospacing="off" w:after="24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0D25F3E5" w14:textId="3B809AAA">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garden will also promote sustainability and environmental awareness among learners across the school. It will offer hands-on learning opportunities related to eco-friendly practices, such as composting, water conservation, and organic gardening. Murray et al. (2017) emphasise the role of outdoor education in fostering environmental stewardship. Through direct involvement, learners can gain an understanding of sustainable practices, which they can apply both in the garden and in their daily lives. This aim aligns with the school’s commitment to preparing students to be responsible global citizens, as outlined in the Four Purposes of the Curriculum for Wales, specifically supporting the development of "ethical, informed citizens who show their commitment to the sustainability of the planet" (Welsh Government, 2022). To effectively promote sustainability, additional staff will be required to lead eco-education initiatives and facilitate student-led environmental projects. The budget will include funding for environmental materials, such as composting bins, rainwater collection systems, and sustainable gardening resources.</w:t>
      </w:r>
    </w:p>
    <w:p w:rsidR="3F0FD7BF" w:rsidP="3F0FD7BF" w:rsidRDefault="3F0FD7BF" w14:paraId="2BC6C57F" w14:textId="0B5C94E8">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6A304A89" w14:textId="644105F4">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This comprehensive approach, involving staff training, community engagement, and a well-allocated budget, will ensure the success of the outdoor learning space and community garden at School A, contributing to a positive, sustainable impact on both the students and the wider community.</w:t>
      </w:r>
    </w:p>
    <w:p w:rsidR="3F0FD7BF" w:rsidP="3F0FD7BF" w:rsidRDefault="3F0FD7BF" w14:paraId="506635D3" w14:textId="0BA48EAC">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0FD7BF" w:rsidP="3F0FD7BF" w:rsidRDefault="3F0FD7BF" w14:paraId="40F5864D" w14:textId="337F3E85">
      <w:pPr>
        <w:pStyle w:val="Normal"/>
        <w:spacing w:before="24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p>
    <w:p w:rsidR="75DA717C" w:rsidP="3F0FD7BF" w:rsidRDefault="75DA717C" w14:paraId="240E60AF" w14:textId="4BC0C202">
      <w:pPr>
        <w:pStyle w:val="Normal"/>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Measuring Impact</w:t>
      </w:r>
    </w:p>
    <w:p w:rsidR="75DA717C" w:rsidP="3F0FD7BF" w:rsidRDefault="75DA717C" w14:paraId="61709B9D" w14:textId="0446E31D">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impact of the outdoor learning space and community garden at School A will be evaluated using a structured mixed-methods approach, based on examples of school-based evaluations and recognised evaluation strategies. A combination of quantitative and qualitative methods will be used to gain a comprehensive understanding of the project's effect on pupil outcomes, staff practice and community engagement.</w:t>
      </w:r>
    </w:p>
    <w:p w:rsidR="3F0FD7BF" w:rsidP="3F0FD7BF" w:rsidRDefault="3F0FD7BF" w14:paraId="004D521F" w14:textId="456A4D45">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420B3DB6" w14:textId="52CB072E">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Quantitative data will be collected through initial and follow-up surveys to evaluate learners' environmental knowledge, attitudes towards outdoor learning, and overall well-being, as these are key areas the outdoor space is intended to improve. This approach reflects the methodology used in the Learning through Landscapes evaluations (Learning through Landscapes, 2011), allowing for systematic data collection without placing undue pressure on teaching staff. The use of surveys aligns with prior research practice, where a teacher survey was successfully employed to gather informative data on educational initiatives, such as assessment for learning strategies. Curriculum attainment, particularly in science and geography, will also be monitored through short assessments and knowledge organisers, following the successful model implemented in the Natural Connections Demonstration Project (Waite et al., 2016). Learner engagement will be assessed using observational checklists adapted from the Leuven Scale for Well-being and Involvement (Laevers, 2005), which provide objective insights into pupils’ emotional and behavioural involvement in outdoor learning sessions.</w:t>
      </w:r>
    </w:p>
    <w:p w:rsidR="3F0FD7BF" w:rsidP="3F0FD7BF" w:rsidRDefault="3F0FD7BF" w14:paraId="78AEFA47" w14:textId="40B74D3D">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7A91678D" w14:textId="226D4BB8">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A range of qualitative methods will be used to explore the impact of the outdoor learning space and community garden at School A. Data will be gathered through focus groups with pupils, semi-structured interviews with staff, learners, and parents, and analysis of pupil work. Capturing pupil voice is essential in outdoor learning projects (Flutter and Rudduck, 2004), and focus groups will enable learners to discuss their experiences, what they have learned, and how they feel about their involvement in the garden within a peer-supported setting. Semi-structured group interviews with pupils have previously been implemented in related academic research, proving effective in eliciting reflective and meaningful responses from learners. Teacher interviews will examine how the outdoor space has been integrated into curriculum planning and its perceived influence on pedagogy. Reflective feedback from staff and parents, as highlighted in evaluations of the Edible Playground initiative (Trees for Cities, 2015), provides valuable insights into how outdoor environments affect teaching practice, learner motivation, and community involvement. Thematic analysis will be applied to all qualitative data to identify recurring patterns and key themes, building on previously applied analytical approaches in earlier research assignments and supporting a comprehensive understanding of the project’s overall effectiveness.</w:t>
      </w:r>
    </w:p>
    <w:p w:rsidR="3F0FD7BF" w:rsidP="3F0FD7BF" w:rsidRDefault="3F0FD7BF" w14:paraId="79FB47DE" w14:textId="5E490FA0">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56A3E0E2" w14:textId="5F093604">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Community involvement will be assessed by monitoring attendance at garden events, tracking the number of regular volunteers, and collecting feedback forms from parents, local residents, and school governors. This method aligns with the recommendations from the Growing Schools programme (DfES, 2006), which highlighted the significance of community partnerships in sustaining outdoor education initiatives. Additionally, establishing a "garden ambassadors" group consisting of parents, community volunteers, and school governors will support the ongoing collection of informal feedback.</w:t>
      </w:r>
    </w:p>
    <w:p w:rsidR="3F0FD7BF" w:rsidP="3F0FD7BF" w:rsidRDefault="3F0FD7BF" w14:paraId="7F1F06DA" w14:textId="6F8E2323">
      <w:pPr>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666206E8" w14:textId="11A94390">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Evaluation</w:t>
      </w:r>
    </w:p>
    <w:p w:rsidR="75DA717C" w:rsidP="3F0FD7BF" w:rsidRDefault="75DA717C" w14:paraId="3AA5776F" w14:textId="35B469D2">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The community garden and outdoor learning project at School A presents a range of strengths, weaknesses, opportunities, and threats that must be critically evaluated to assess its viability and long-term impact. A summary of the SWOT analysis is included in Appendix A.</w:t>
      </w:r>
    </w:p>
    <w:p w:rsidR="3F0FD7BF" w:rsidP="3F0FD7BF" w:rsidRDefault="3F0FD7BF" w14:paraId="0A908921" w14:textId="7D44CA33">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39AAED7C" w14:textId="02AE0928">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A key strength of this project is the school’s existing emphasis on well-being and outdoor learning. The involvement of two Emotional Literacy Support Assistants (ELSAs) and a Family and Community Engagement Advisor provides a strong foundation for both pastoral care and community collaboration. Staff expertise and whole-school commitment is vital for the successful implementation of outdoor learning initiatives (Rickinson et al., 2004). Additionally, learners’ enthusiasm for practical, hands-on activities reflects findings from the Natural Connections Demonstration Project, which reported increased pupil engagement in real-world, outdoor contexts (Waite et al., 2016).</w:t>
      </w:r>
    </w:p>
    <w:p w:rsidR="3F0FD7BF" w:rsidP="3F0FD7BF" w:rsidRDefault="3F0FD7BF" w14:paraId="5D42C95E" w14:textId="51FE3893">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030D1EEF" w14:textId="415DA130">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Despite its strengths, the project does face internal challenges. A significant issue is limited staff capacity due to existing workload demands. Outdoor initiatives like this one may be difficult to sustain without strategic time allocation and leadership support (Gilbertson et al., 2006). Additionally, some teachers may lack confidence in embedding the garden into their curriculum delivery. Although the Curriculum for Wales encourages hands-on, experiential learning (Welsh Government, 2020), practical implementation requires professional development and collaborative planning - areas that may need strengthening within School A.</w:t>
      </w:r>
    </w:p>
    <w:p w:rsidR="3F0FD7BF" w:rsidP="3F0FD7BF" w:rsidRDefault="3F0FD7BF" w14:paraId="23986BB9" w14:textId="77D801AF">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0BF568F6" w14:textId="58BDDA49">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Beyond the school environment, the project presents valuable opportunities to enhance community engagement and contribute to the Four Purposes of the Curriculum for Wales. It is particularly well-placed to support the development of healthy, confident individuals and ethically informed citizens. Collaborating with parents and local organisations in the creation and upkeep of the garden could foster a shared sense of responsibility and encourage intergenerational learning (Mannion, Glover &amp; Leonard, 2013). Such involvement may also help to address social isolation, which is often a barrier in communities facing socioeconomic disadvantage.</w:t>
      </w:r>
    </w:p>
    <w:p w:rsidR="3F0FD7BF" w:rsidP="3F0FD7BF" w:rsidRDefault="3F0FD7BF" w14:paraId="11083EA7" w14:textId="27DBFE30">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2A9A7FC0" w14:textId="0FE1050A">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Nevertheless, external threats must be acknowledged. Limited funding </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remains</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common barrier to sustaining school-based outdoor projects, and without long-term planning, the garden’s future may be uncertain. Additionally, socioeconomic factors may restrict family involvement, particularly where time or financial pressures exist. Ensuring inclusive participation will require thoughtful planning to engage all members of the school community. Environmental factors, such as adverse weather or vandalism, pose risks to the project's success. To </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momentum, proactive strategies like covered areas, school stewardship teams, and partnerships with local environmental groups should be incorporated into the plan.</w:t>
      </w:r>
    </w:p>
    <w:p w:rsidR="3F0FD7BF" w:rsidP="3F0FD7BF" w:rsidRDefault="3F0FD7BF" w14:paraId="2E6E736B" w14:textId="1C5B2B5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5DA717C" w:rsidP="3F0FD7BF" w:rsidRDefault="75DA717C" w14:paraId="3B67AF55" w14:textId="170C4B3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Conclusion</w:t>
      </w:r>
    </w:p>
    <w:p w:rsidR="75DA717C" w:rsidP="3F0FD7BF" w:rsidRDefault="75DA717C" w14:paraId="152226E9" w14:textId="11C0196F">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This assignment has highlighted the significant role of school-community partnerships in enriching educational experiences and promoting holistic development. The development of a community garden and outdoor learning space at School A exemplifies how collaborative projects can foster pupil well-being, environmental awareness, and stronger links between schools and families. When schools actively engage with their communities, they create inclusive, authentic learning opportunities that align with the Curriculum for Wales’ Four Purposes and support pupils in becoming ethical, informed citizens (Welsh Government, 2020).</w:t>
      </w:r>
    </w:p>
    <w:p w:rsidR="3F0FD7BF" w:rsidP="3F0FD7BF" w:rsidRDefault="3F0FD7BF" w14:paraId="7BF4260B" w14:textId="4145F4F9">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2F05E110" w14:textId="76D52377">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Evaluation of the project using a SWOT framework revealed the potential for sustainability, curriculum enrichment, and enhanced parental involvement, while also acknowledging the need to address staffing capacity and long-term engagement. As Estyn (2018) highlights, schools that successfully embed community engagement often do so by ensuring all staff share responsibility for partnership work, reinforcing the importance of whole-school commitment.</w:t>
      </w:r>
    </w:p>
    <w:p w:rsidR="3F0FD7BF" w:rsidP="3F0FD7BF" w:rsidRDefault="3F0FD7BF" w14:paraId="47317DA8" w14:textId="50DD3182">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A717C" w:rsidP="3F0FD7BF" w:rsidRDefault="75DA717C" w14:paraId="565DF122" w14:textId="598BE222">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F0FD7BF" w:rsidR="75DA717C">
        <w:rPr>
          <w:rFonts w:ascii="Calibri" w:hAnsi="Calibri" w:eastAsia="Calibri" w:cs="Calibri"/>
          <w:b w:val="0"/>
          <w:bCs w:val="0"/>
          <w:i w:val="0"/>
          <w:iCs w:val="0"/>
          <w:caps w:val="0"/>
          <w:smallCaps w:val="0"/>
          <w:noProof w:val="0"/>
          <w:color w:val="000000" w:themeColor="text1" w:themeTint="FF" w:themeShade="FF"/>
          <w:sz w:val="24"/>
          <w:szCs w:val="24"/>
          <w:lang w:val="en-GB"/>
        </w:rPr>
        <w:t>This learning is closely aligned with the Professional Standards for Teaching and Leadership in Wales, particularly the standard that calls for teachers to “work in partnership with parents/carers and the wider community to support learner well-being and progress” (Welsh Government, 2017). Going forward, the emphasis will be on embedding community-focused learning into practice, with a strong commitment to collaborative, inclusive education.</w:t>
      </w:r>
    </w:p>
    <w:p w:rsidR="3F0FD7BF" w:rsidP="3F0FD7BF" w:rsidRDefault="3F0FD7BF" w14:paraId="52D3A48E" w14:textId="67B5D011">
      <w:pPr>
        <w:spacing w:before="24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0FD7BF" w:rsidP="3F0FD7BF" w:rsidRDefault="3F0FD7BF" w14:paraId="1F8AA9F7" w14:textId="7D80816B">
      <w:pPr>
        <w:spacing w:before="240" w:beforeAutospacing="off" w:after="24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3F0FD7BF" w:rsidP="3F0FD7BF" w:rsidRDefault="3F0FD7BF" w14:paraId="05ED43F4" w14:textId="6A7B5AEC">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5140F951" w14:textId="4EF97BD4">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6EDB905A" w14:textId="354EA01B">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7DFBDC92" w14:textId="49AD9993">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516240D8" w14:textId="6F5AF58A">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0C1B7CCF" w14:textId="759BB4F2">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3F0FD7BF" w:rsidP="3F0FD7BF" w:rsidRDefault="3F0FD7BF" w14:paraId="75CD62A8" w14:textId="68AC76FC">
      <w:pPr>
        <w:pStyle w:val="Normal"/>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p>
    <w:p w:rsidR="0F588012" w:rsidP="3F0FD7BF" w:rsidRDefault="0F588012" w14:paraId="3534E639" w14:textId="5A3A0517">
      <w:pPr>
        <w:pStyle w:val="Normal"/>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r w:rsidRPr="3F0FD7BF" w:rsidR="0F588012">
        <w:rPr>
          <w:rFonts w:ascii="Calibri" w:hAnsi="Calibri" w:eastAsia="Calibri" w:cs="Calibri"/>
          <w:b w:val="1"/>
          <w:bCs w:val="1"/>
          <w:i w:val="0"/>
          <w:iCs w:val="0"/>
          <w:caps w:val="0"/>
          <w:smallCaps w:val="0"/>
          <w:noProof w:val="0"/>
          <w:color w:val="000000" w:themeColor="text1" w:themeTint="FF" w:themeShade="FF"/>
          <w:sz w:val="28"/>
          <w:szCs w:val="28"/>
          <w:lang w:val="en-GB"/>
        </w:rPr>
        <w:t xml:space="preserve">Reference List </w:t>
      </w:r>
    </w:p>
    <w:p w:rsidR="0F588012" w:rsidP="3F0FD7BF" w:rsidRDefault="0F588012" w14:paraId="16B5B65A" w14:textId="719C044F">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Barrable, A. (2019) </w:t>
      </w:r>
      <w:r w:rsidRPr="3F0FD7BF" w:rsidR="0F588012">
        <w:rPr>
          <w:rFonts w:ascii="Calibri" w:hAnsi="Calibri" w:eastAsia="Calibri" w:cs="Calibri"/>
          <w:i w:val="1"/>
          <w:iCs w:val="1"/>
          <w:noProof w:val="0"/>
          <w:sz w:val="24"/>
          <w:szCs w:val="24"/>
          <w:lang w:val="en-GB"/>
        </w:rPr>
        <w:t>Engagement and motivation through outdoor learning: An investigation into the impact of outdoor classrooms</w:t>
      </w:r>
      <w:r w:rsidRPr="3F0FD7BF" w:rsidR="0F588012">
        <w:rPr>
          <w:rFonts w:ascii="Calibri" w:hAnsi="Calibri" w:eastAsia="Calibri" w:cs="Calibri"/>
          <w:noProof w:val="0"/>
          <w:sz w:val="24"/>
          <w:szCs w:val="24"/>
          <w:lang w:val="en-GB"/>
        </w:rPr>
        <w:t>. Cambridge: Cambridge University Press.</w:t>
      </w:r>
    </w:p>
    <w:p w:rsidR="0F588012" w:rsidP="3F0FD7BF" w:rsidRDefault="0F588012" w14:paraId="579649AA" w14:textId="11754A46">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Barrable, A. (2019) ‘The Case for Nature Connectedness as a Distinct Goal of Early Childhood Education’, </w:t>
      </w:r>
      <w:r w:rsidRPr="3F0FD7BF" w:rsidR="0F588012">
        <w:rPr>
          <w:rFonts w:ascii="Calibri" w:hAnsi="Calibri" w:eastAsia="Calibri" w:cs="Calibri"/>
          <w:i w:val="1"/>
          <w:iCs w:val="1"/>
          <w:noProof w:val="0"/>
          <w:sz w:val="24"/>
          <w:szCs w:val="24"/>
          <w:lang w:val="en-GB"/>
        </w:rPr>
        <w:t>International Journal of Early Years Education</w:t>
      </w:r>
      <w:r w:rsidRPr="3F0FD7BF" w:rsidR="0F588012">
        <w:rPr>
          <w:rFonts w:ascii="Calibri" w:hAnsi="Calibri" w:eastAsia="Calibri" w:cs="Calibri"/>
          <w:noProof w:val="0"/>
          <w:sz w:val="24"/>
          <w:szCs w:val="24"/>
          <w:lang w:val="en-GB"/>
        </w:rPr>
        <w:t>, 27(1), pp.59–70.</w:t>
      </w:r>
    </w:p>
    <w:p w:rsidR="0F588012" w:rsidP="3F0FD7BF" w:rsidRDefault="0F588012" w14:paraId="18DC5BE2" w14:textId="46A63F32">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Barton, J. and Pretty, J. (2010) ‘What is the best dose of nature and green exercise for improving mental health? A multi-study analysis’, </w:t>
      </w:r>
      <w:r w:rsidRPr="3F0FD7BF" w:rsidR="0F588012">
        <w:rPr>
          <w:rFonts w:ascii="Calibri" w:hAnsi="Calibri" w:eastAsia="Calibri" w:cs="Calibri"/>
          <w:i w:val="1"/>
          <w:iCs w:val="1"/>
          <w:noProof w:val="0"/>
          <w:sz w:val="24"/>
          <w:szCs w:val="24"/>
          <w:lang w:val="en-GB"/>
        </w:rPr>
        <w:t>Environmental Science and Technology</w:t>
      </w:r>
      <w:r w:rsidRPr="3F0FD7BF" w:rsidR="0F588012">
        <w:rPr>
          <w:rFonts w:ascii="Calibri" w:hAnsi="Calibri" w:eastAsia="Calibri" w:cs="Calibri"/>
          <w:noProof w:val="0"/>
          <w:sz w:val="24"/>
          <w:szCs w:val="24"/>
          <w:lang w:val="en-GB"/>
        </w:rPr>
        <w:t>, 44(10), pp.3947–3955.</w:t>
      </w:r>
    </w:p>
    <w:p w:rsidR="0F588012" w:rsidP="3F0FD7BF" w:rsidRDefault="0F588012" w14:paraId="16ADA8FC" w14:textId="66BD80A2">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Beames, S., Higgins, P. and Nicol, R. (2012) </w:t>
      </w:r>
      <w:r w:rsidRPr="3F0FD7BF" w:rsidR="0F588012">
        <w:rPr>
          <w:rFonts w:ascii="Calibri" w:hAnsi="Calibri" w:eastAsia="Calibri" w:cs="Calibri"/>
          <w:i w:val="1"/>
          <w:iCs w:val="1"/>
          <w:noProof w:val="0"/>
          <w:sz w:val="24"/>
          <w:szCs w:val="24"/>
          <w:lang w:val="en-GB"/>
        </w:rPr>
        <w:t>Learning outside the classroom: Theory and guidelines for practice</w:t>
      </w:r>
      <w:r w:rsidRPr="3F0FD7BF" w:rsidR="0F588012">
        <w:rPr>
          <w:rFonts w:ascii="Calibri" w:hAnsi="Calibri" w:eastAsia="Calibri" w:cs="Calibri"/>
          <w:noProof w:val="0"/>
          <w:sz w:val="24"/>
          <w:szCs w:val="24"/>
          <w:lang w:val="en-GB"/>
        </w:rPr>
        <w:t>. Abingdon: Routledge.</w:t>
      </w:r>
    </w:p>
    <w:p w:rsidR="0F588012" w:rsidP="3F0FD7BF" w:rsidRDefault="0F588012" w14:paraId="33DA1738" w14:textId="2FECCD6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Bilton, H. (2010) </w:t>
      </w:r>
      <w:r w:rsidRPr="3F0FD7BF" w:rsidR="0F588012">
        <w:rPr>
          <w:rFonts w:ascii="Calibri" w:hAnsi="Calibri" w:eastAsia="Calibri" w:cs="Calibri"/>
          <w:i w:val="1"/>
          <w:iCs w:val="1"/>
          <w:noProof w:val="0"/>
          <w:sz w:val="24"/>
          <w:szCs w:val="24"/>
          <w:lang w:val="en-GB"/>
        </w:rPr>
        <w:t>Outdoor learning in the early years: Management and innovation</w:t>
      </w:r>
      <w:r w:rsidRPr="3F0FD7BF" w:rsidR="0F588012">
        <w:rPr>
          <w:rFonts w:ascii="Calibri" w:hAnsi="Calibri" w:eastAsia="Calibri" w:cs="Calibri"/>
          <w:noProof w:val="0"/>
          <w:sz w:val="24"/>
          <w:szCs w:val="24"/>
          <w:lang w:val="en-GB"/>
        </w:rPr>
        <w:t>. London: David Fulton.</w:t>
      </w:r>
    </w:p>
    <w:p w:rsidR="0F588012" w:rsidP="3F0FD7BF" w:rsidRDefault="0F588012" w14:paraId="56CAF6E0" w14:textId="08EC2616">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Bilton, H. (2010) </w:t>
      </w:r>
      <w:r w:rsidRPr="3F0FD7BF" w:rsidR="0F588012">
        <w:rPr>
          <w:rFonts w:ascii="Calibri" w:hAnsi="Calibri" w:eastAsia="Calibri" w:cs="Calibri"/>
          <w:i w:val="1"/>
          <w:iCs w:val="1"/>
          <w:noProof w:val="0"/>
          <w:sz w:val="24"/>
          <w:szCs w:val="24"/>
          <w:lang w:val="en-GB"/>
        </w:rPr>
        <w:t>Outdoor Learning in the Early Years: Management and Innovation</w:t>
      </w:r>
      <w:r w:rsidRPr="3F0FD7BF" w:rsidR="0F588012">
        <w:rPr>
          <w:rFonts w:ascii="Calibri" w:hAnsi="Calibri" w:eastAsia="Calibri" w:cs="Calibri"/>
          <w:noProof w:val="0"/>
          <w:sz w:val="24"/>
          <w:szCs w:val="24"/>
          <w:lang w:val="en-GB"/>
        </w:rPr>
        <w:t>. 3rd edn. London: Routledge.</w:t>
      </w:r>
    </w:p>
    <w:p w:rsidR="0F588012" w:rsidP="3F0FD7BF" w:rsidRDefault="0F588012" w14:paraId="2D74F078" w14:textId="4B442924">
      <w:pPr>
        <w:spacing w:before="240" w:beforeAutospacing="off" w:after="240" w:afterAutospacing="off"/>
        <w:jc w:val="left"/>
      </w:pPr>
      <w:r w:rsidRPr="3F0FD7BF" w:rsidR="0F588012">
        <w:rPr>
          <w:rFonts w:ascii="Calibri" w:hAnsi="Calibri" w:eastAsia="Calibri" w:cs="Calibri"/>
          <w:noProof w:val="0"/>
          <w:sz w:val="24"/>
          <w:szCs w:val="24"/>
          <w:lang w:val="en-GB"/>
        </w:rPr>
        <w:t xml:space="preserve">British Educational Research Association (BERA) (2024) </w:t>
      </w:r>
      <w:r w:rsidRPr="3F0FD7BF" w:rsidR="0F588012">
        <w:rPr>
          <w:rFonts w:ascii="Calibri" w:hAnsi="Calibri" w:eastAsia="Calibri" w:cs="Calibri"/>
          <w:i w:val="1"/>
          <w:iCs w:val="1"/>
          <w:noProof w:val="0"/>
          <w:sz w:val="24"/>
          <w:szCs w:val="24"/>
          <w:lang w:val="en-GB"/>
        </w:rPr>
        <w:t>Ethical guidelines for educational research</w:t>
      </w:r>
      <w:r w:rsidRPr="3F0FD7BF" w:rsidR="0F588012">
        <w:rPr>
          <w:rFonts w:ascii="Calibri" w:hAnsi="Calibri" w:eastAsia="Calibri" w:cs="Calibri"/>
          <w:noProof w:val="0"/>
          <w:sz w:val="24"/>
          <w:szCs w:val="24"/>
          <w:lang w:val="en-GB"/>
        </w:rPr>
        <w:t>. 5th edn. London: BERA.</w:t>
      </w:r>
    </w:p>
    <w:p w:rsidR="0F588012" w:rsidP="3F0FD7BF" w:rsidRDefault="0F588012" w14:paraId="5B13B1E4" w14:textId="75AE4F3D">
      <w:pPr>
        <w:spacing w:before="240" w:beforeAutospacing="off" w:after="240" w:afterAutospacing="off"/>
        <w:jc w:val="left"/>
      </w:pPr>
      <w:r w:rsidRPr="3F0FD7BF" w:rsidR="0F588012">
        <w:rPr>
          <w:rFonts w:ascii="Calibri" w:hAnsi="Calibri" w:eastAsia="Calibri" w:cs="Calibri"/>
          <w:noProof w:val="0"/>
          <w:sz w:val="24"/>
          <w:szCs w:val="24"/>
          <w:lang w:val="en-GB"/>
        </w:rPr>
        <w:t xml:space="preserve">Children’s Commissioner for Wales (2020) </w:t>
      </w:r>
      <w:r w:rsidRPr="3F0FD7BF" w:rsidR="0F588012">
        <w:rPr>
          <w:rFonts w:ascii="Calibri" w:hAnsi="Calibri" w:eastAsia="Calibri" w:cs="Calibri"/>
          <w:i w:val="1"/>
          <w:iCs w:val="1"/>
          <w:noProof w:val="0"/>
          <w:sz w:val="24"/>
          <w:szCs w:val="24"/>
          <w:lang w:val="en-GB"/>
        </w:rPr>
        <w:t>Coronavirus and Me: Survey Results</w:t>
      </w:r>
      <w:r w:rsidRPr="3F0FD7BF" w:rsidR="0F588012">
        <w:rPr>
          <w:rFonts w:ascii="Calibri" w:hAnsi="Calibri" w:eastAsia="Calibri" w:cs="Calibri"/>
          <w:noProof w:val="0"/>
          <w:sz w:val="24"/>
          <w:szCs w:val="24"/>
          <w:lang w:val="en-GB"/>
        </w:rPr>
        <w:t xml:space="preserve">. Available at: </w:t>
      </w:r>
      <w:hyperlink r:id="Ree38ced37bc84d1a">
        <w:r w:rsidRPr="3F0FD7BF" w:rsidR="0F588012">
          <w:rPr>
            <w:rStyle w:val="Hyperlink"/>
            <w:rFonts w:ascii="Calibri" w:hAnsi="Calibri" w:eastAsia="Calibri" w:cs="Calibri"/>
            <w:noProof w:val="0"/>
            <w:sz w:val="24"/>
            <w:szCs w:val="24"/>
            <w:lang w:val="en-GB"/>
          </w:rPr>
          <w:t>https://www.childcomwales.org.uk</w:t>
        </w:r>
      </w:hyperlink>
      <w:r w:rsidRPr="3F0FD7BF" w:rsidR="0F588012">
        <w:rPr>
          <w:rFonts w:ascii="Calibri" w:hAnsi="Calibri" w:eastAsia="Calibri" w:cs="Calibri"/>
          <w:noProof w:val="0"/>
          <w:sz w:val="24"/>
          <w:szCs w:val="24"/>
          <w:lang w:val="en-GB"/>
        </w:rPr>
        <w:t xml:space="preserve"> (Accessed: 25 April 2025).</w:t>
      </w:r>
    </w:p>
    <w:p w:rsidR="0F588012" w:rsidP="3F0FD7BF" w:rsidRDefault="0F588012" w14:paraId="6DDF3A89" w14:textId="4B079D3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Denscombe, M. (2017) </w:t>
      </w:r>
      <w:r w:rsidRPr="3F0FD7BF" w:rsidR="0F588012">
        <w:rPr>
          <w:rFonts w:ascii="Calibri" w:hAnsi="Calibri" w:eastAsia="Calibri" w:cs="Calibri"/>
          <w:i w:val="1"/>
          <w:iCs w:val="1"/>
          <w:noProof w:val="0"/>
          <w:sz w:val="24"/>
          <w:szCs w:val="24"/>
          <w:lang w:val="en-GB"/>
        </w:rPr>
        <w:t>The Good Research Guide: For Small-Scale Social Research Projects</w:t>
      </w:r>
      <w:r w:rsidRPr="3F0FD7BF" w:rsidR="0F588012">
        <w:rPr>
          <w:rFonts w:ascii="Calibri" w:hAnsi="Calibri" w:eastAsia="Calibri" w:cs="Calibri"/>
          <w:noProof w:val="0"/>
          <w:sz w:val="24"/>
          <w:szCs w:val="24"/>
          <w:lang w:val="en-GB"/>
        </w:rPr>
        <w:t>. 6th edn. London: Open University Press.</w:t>
      </w:r>
    </w:p>
    <w:p w:rsidR="0F588012" w:rsidP="3F0FD7BF" w:rsidRDefault="0F588012" w14:paraId="4E28E62B" w14:textId="2B5CCDCB">
      <w:pPr>
        <w:spacing w:before="240" w:beforeAutospacing="off" w:after="240" w:afterAutospacing="off"/>
        <w:jc w:val="left"/>
      </w:pPr>
      <w:r w:rsidRPr="3F0FD7BF" w:rsidR="0F588012">
        <w:rPr>
          <w:rFonts w:ascii="Calibri" w:hAnsi="Calibri" w:eastAsia="Calibri" w:cs="Calibri"/>
          <w:noProof w:val="0"/>
          <w:sz w:val="24"/>
          <w:szCs w:val="24"/>
          <w:lang w:val="en-GB"/>
        </w:rPr>
        <w:t xml:space="preserve">Department for Education and Skills (DfES) (2006) </w:t>
      </w:r>
      <w:r w:rsidRPr="3F0FD7BF" w:rsidR="0F588012">
        <w:rPr>
          <w:rFonts w:ascii="Calibri" w:hAnsi="Calibri" w:eastAsia="Calibri" w:cs="Calibri"/>
          <w:i w:val="1"/>
          <w:iCs w:val="1"/>
          <w:noProof w:val="0"/>
          <w:sz w:val="24"/>
          <w:szCs w:val="24"/>
          <w:lang w:val="en-GB"/>
        </w:rPr>
        <w:t>Learning Outside the Classroom Manifesto</w:t>
      </w:r>
      <w:r w:rsidRPr="3F0FD7BF" w:rsidR="0F588012">
        <w:rPr>
          <w:rFonts w:ascii="Calibri" w:hAnsi="Calibri" w:eastAsia="Calibri" w:cs="Calibri"/>
          <w:noProof w:val="0"/>
          <w:sz w:val="24"/>
          <w:szCs w:val="24"/>
          <w:lang w:val="en-GB"/>
        </w:rPr>
        <w:t>. London: DfES.</w:t>
      </w:r>
    </w:p>
    <w:p w:rsidR="0F588012" w:rsidP="3F0FD7BF" w:rsidRDefault="0F588012" w14:paraId="21B783D9" w14:textId="2257BD4B">
      <w:pPr>
        <w:spacing w:before="240" w:beforeAutospacing="off" w:after="240" w:afterAutospacing="off"/>
        <w:jc w:val="left"/>
      </w:pPr>
      <w:r w:rsidRPr="3F0FD7BF" w:rsidR="0F588012">
        <w:rPr>
          <w:rFonts w:ascii="Calibri" w:hAnsi="Calibri" w:eastAsia="Calibri" w:cs="Calibri"/>
          <w:noProof w:val="0"/>
          <w:sz w:val="24"/>
          <w:szCs w:val="24"/>
          <w:lang w:val="en-GB"/>
        </w:rPr>
        <w:t xml:space="preserve">Dewey, J. (1938) </w:t>
      </w:r>
      <w:r w:rsidRPr="3F0FD7BF" w:rsidR="0F588012">
        <w:rPr>
          <w:rFonts w:ascii="Calibri" w:hAnsi="Calibri" w:eastAsia="Calibri" w:cs="Calibri"/>
          <w:i w:val="1"/>
          <w:iCs w:val="1"/>
          <w:noProof w:val="0"/>
          <w:sz w:val="24"/>
          <w:szCs w:val="24"/>
          <w:lang w:val="en-GB"/>
        </w:rPr>
        <w:t>Experience and Education</w:t>
      </w:r>
      <w:r w:rsidRPr="3F0FD7BF" w:rsidR="0F588012">
        <w:rPr>
          <w:rFonts w:ascii="Calibri" w:hAnsi="Calibri" w:eastAsia="Calibri" w:cs="Calibri"/>
          <w:noProof w:val="0"/>
          <w:sz w:val="24"/>
          <w:szCs w:val="24"/>
          <w:lang w:val="en-GB"/>
        </w:rPr>
        <w:t>. New York: Macmillan.</w:t>
      </w:r>
    </w:p>
    <w:p w:rsidR="0F588012" w:rsidP="3F0FD7BF" w:rsidRDefault="0F588012" w14:paraId="20D623FB" w14:textId="2CEC34E1">
      <w:pPr>
        <w:spacing w:before="240" w:beforeAutospacing="off" w:after="240" w:afterAutospacing="off"/>
        <w:jc w:val="left"/>
      </w:pPr>
      <w:r w:rsidRPr="3F0FD7BF" w:rsidR="0F588012">
        <w:rPr>
          <w:rFonts w:ascii="Calibri" w:hAnsi="Calibri" w:eastAsia="Calibri" w:cs="Calibri"/>
          <w:noProof w:val="0"/>
          <w:sz w:val="24"/>
          <w:szCs w:val="24"/>
          <w:lang w:val="en-GB"/>
        </w:rPr>
        <w:t xml:space="preserve">Elliott, A. (2013) </w:t>
      </w:r>
      <w:r w:rsidRPr="3F0FD7BF" w:rsidR="0F588012">
        <w:rPr>
          <w:rFonts w:ascii="Calibri" w:hAnsi="Calibri" w:eastAsia="Calibri" w:cs="Calibri"/>
          <w:i w:val="1"/>
          <w:iCs w:val="1"/>
          <w:noProof w:val="0"/>
          <w:sz w:val="24"/>
          <w:szCs w:val="24"/>
          <w:lang w:val="en-GB"/>
        </w:rPr>
        <w:t>Learning in the Outdoors: The Forest School Approach</w:t>
      </w:r>
      <w:r w:rsidRPr="3F0FD7BF" w:rsidR="0F588012">
        <w:rPr>
          <w:rFonts w:ascii="Calibri" w:hAnsi="Calibri" w:eastAsia="Calibri" w:cs="Calibri"/>
          <w:noProof w:val="0"/>
          <w:sz w:val="24"/>
          <w:szCs w:val="24"/>
          <w:lang w:val="en-GB"/>
        </w:rPr>
        <w:t>. London: Sage Publications.</w:t>
      </w:r>
    </w:p>
    <w:p w:rsidR="0F588012" w:rsidP="3F0FD7BF" w:rsidRDefault="0F588012" w14:paraId="7EC393AA" w14:textId="035917D4">
      <w:pPr>
        <w:spacing w:before="240" w:beforeAutospacing="off" w:after="240" w:afterAutospacing="off"/>
        <w:jc w:val="left"/>
      </w:pPr>
      <w:r w:rsidRPr="3F0FD7BF" w:rsidR="0F588012">
        <w:rPr>
          <w:rFonts w:ascii="Calibri" w:hAnsi="Calibri" w:eastAsia="Calibri" w:cs="Calibri"/>
          <w:noProof w:val="0"/>
          <w:sz w:val="24"/>
          <w:szCs w:val="24"/>
          <w:lang w:val="en-GB"/>
        </w:rPr>
        <w:t xml:space="preserve">Epstein, J.L. (2011) </w:t>
      </w:r>
      <w:r w:rsidRPr="3F0FD7BF" w:rsidR="0F588012">
        <w:rPr>
          <w:rFonts w:ascii="Calibri" w:hAnsi="Calibri" w:eastAsia="Calibri" w:cs="Calibri"/>
          <w:i w:val="1"/>
          <w:iCs w:val="1"/>
          <w:noProof w:val="0"/>
          <w:sz w:val="24"/>
          <w:szCs w:val="24"/>
          <w:lang w:val="en-GB"/>
        </w:rPr>
        <w:t>School, Family, and Community Partnerships: Preparing Educators and Improving Schools</w:t>
      </w:r>
      <w:r w:rsidRPr="3F0FD7BF" w:rsidR="0F588012">
        <w:rPr>
          <w:rFonts w:ascii="Calibri" w:hAnsi="Calibri" w:eastAsia="Calibri" w:cs="Calibri"/>
          <w:noProof w:val="0"/>
          <w:sz w:val="24"/>
          <w:szCs w:val="24"/>
          <w:lang w:val="en-GB"/>
        </w:rPr>
        <w:t>. 2nd edn. Boulder, CO: Westview Press.</w:t>
      </w:r>
    </w:p>
    <w:p w:rsidR="0F588012" w:rsidP="3F0FD7BF" w:rsidRDefault="0F588012" w14:paraId="34AD7C3F" w14:textId="0C3C2F2C">
      <w:pPr>
        <w:spacing w:before="240" w:beforeAutospacing="off" w:after="240" w:afterAutospacing="off"/>
        <w:jc w:val="left"/>
      </w:pPr>
      <w:r w:rsidRPr="3F0FD7BF" w:rsidR="0F588012">
        <w:rPr>
          <w:rFonts w:ascii="Calibri" w:hAnsi="Calibri" w:eastAsia="Calibri" w:cs="Calibri"/>
          <w:noProof w:val="0"/>
          <w:sz w:val="24"/>
          <w:szCs w:val="24"/>
          <w:lang w:val="en-GB"/>
        </w:rPr>
        <w:t xml:space="preserve">Estyn (2018) </w:t>
      </w:r>
      <w:r w:rsidRPr="3F0FD7BF" w:rsidR="0F588012">
        <w:rPr>
          <w:rFonts w:ascii="Calibri" w:hAnsi="Calibri" w:eastAsia="Calibri" w:cs="Calibri"/>
          <w:i w:val="1"/>
          <w:iCs w:val="1"/>
          <w:noProof w:val="0"/>
          <w:sz w:val="24"/>
          <w:szCs w:val="24"/>
          <w:lang w:val="en-GB"/>
        </w:rPr>
        <w:t>Involving parents – communication between schools and parents of school-aged children</w:t>
      </w:r>
      <w:r w:rsidRPr="3F0FD7BF" w:rsidR="0F588012">
        <w:rPr>
          <w:rFonts w:ascii="Calibri" w:hAnsi="Calibri" w:eastAsia="Calibri" w:cs="Calibri"/>
          <w:noProof w:val="0"/>
          <w:sz w:val="24"/>
          <w:szCs w:val="24"/>
          <w:lang w:val="en-GB"/>
        </w:rPr>
        <w:t xml:space="preserve">. Cardiff: Estyn. Available at: </w:t>
      </w:r>
      <w:hyperlink r:id="R62f7d448a9714ec0">
        <w:r w:rsidRPr="3F0FD7BF" w:rsidR="0F588012">
          <w:rPr>
            <w:rStyle w:val="Hyperlink"/>
            <w:rFonts w:ascii="Calibri" w:hAnsi="Calibri" w:eastAsia="Calibri" w:cs="Calibri"/>
            <w:noProof w:val="0"/>
            <w:sz w:val="24"/>
            <w:szCs w:val="24"/>
            <w:lang w:val="en-GB"/>
          </w:rPr>
          <w:t>https://www.estyn.gov.wales/thematic-report/involving-parents-communication-between-schools-and-parents-school-aged-children</w:t>
        </w:r>
      </w:hyperlink>
      <w:r w:rsidRPr="3F0FD7BF" w:rsidR="0F588012">
        <w:rPr>
          <w:rFonts w:ascii="Calibri" w:hAnsi="Calibri" w:eastAsia="Calibri" w:cs="Calibri"/>
          <w:noProof w:val="0"/>
          <w:sz w:val="24"/>
          <w:szCs w:val="24"/>
          <w:lang w:val="en-GB"/>
        </w:rPr>
        <w:t xml:space="preserve"> (Accessed: 6 May 2025).</w:t>
      </w:r>
    </w:p>
    <w:p w:rsidR="0F588012" w:rsidP="3F0FD7BF" w:rsidRDefault="0F588012" w14:paraId="16A5682D" w14:textId="7E09E270">
      <w:pPr>
        <w:spacing w:before="240" w:beforeAutospacing="off" w:after="240" w:afterAutospacing="off"/>
        <w:jc w:val="left"/>
      </w:pPr>
      <w:r w:rsidRPr="3F0FD7BF" w:rsidR="0F588012">
        <w:rPr>
          <w:rFonts w:ascii="Calibri" w:hAnsi="Calibri" w:eastAsia="Calibri" w:cs="Calibri"/>
          <w:noProof w:val="0"/>
          <w:sz w:val="24"/>
          <w:szCs w:val="24"/>
          <w:lang w:val="en-GB"/>
        </w:rPr>
        <w:t xml:space="preserve">Flutter, J. and Rudduck, J. (2004) </w:t>
      </w:r>
      <w:r w:rsidRPr="3F0FD7BF" w:rsidR="0F588012">
        <w:rPr>
          <w:rFonts w:ascii="Calibri" w:hAnsi="Calibri" w:eastAsia="Calibri" w:cs="Calibri"/>
          <w:i w:val="1"/>
          <w:iCs w:val="1"/>
          <w:noProof w:val="0"/>
          <w:sz w:val="24"/>
          <w:szCs w:val="24"/>
          <w:lang w:val="en-GB"/>
        </w:rPr>
        <w:t>Consulting Pupils: What's in it for Schools?</w:t>
      </w:r>
      <w:r w:rsidRPr="3F0FD7BF" w:rsidR="0F588012">
        <w:rPr>
          <w:rFonts w:ascii="Calibri" w:hAnsi="Calibri" w:eastAsia="Calibri" w:cs="Calibri"/>
          <w:noProof w:val="0"/>
          <w:sz w:val="24"/>
          <w:szCs w:val="24"/>
          <w:lang w:val="en-GB"/>
        </w:rPr>
        <w:t xml:space="preserve"> London: RoutledgeFalmer.</w:t>
      </w:r>
    </w:p>
    <w:p w:rsidR="0F588012" w:rsidP="3F0FD7BF" w:rsidRDefault="0F588012" w14:paraId="68A4C47B" w14:textId="21C88FC2">
      <w:pPr>
        <w:spacing w:before="240" w:beforeAutospacing="off" w:after="240" w:afterAutospacing="off"/>
        <w:jc w:val="left"/>
      </w:pPr>
      <w:r w:rsidRPr="3F0FD7BF" w:rsidR="0F588012">
        <w:rPr>
          <w:rFonts w:ascii="Calibri" w:hAnsi="Calibri" w:eastAsia="Calibri" w:cs="Calibri"/>
          <w:noProof w:val="0"/>
          <w:sz w:val="24"/>
          <w:szCs w:val="24"/>
          <w:lang w:val="en-GB"/>
        </w:rPr>
        <w:t xml:space="preserve">Gill, T. (2014) ‘The Benefits of Children's Engagement with Nature: A Systematic Literature Review’, </w:t>
      </w:r>
      <w:r w:rsidRPr="3F0FD7BF" w:rsidR="0F588012">
        <w:rPr>
          <w:rFonts w:ascii="Calibri" w:hAnsi="Calibri" w:eastAsia="Calibri" w:cs="Calibri"/>
          <w:i w:val="1"/>
          <w:iCs w:val="1"/>
          <w:noProof w:val="0"/>
          <w:sz w:val="24"/>
          <w:szCs w:val="24"/>
          <w:lang w:val="en-GB"/>
        </w:rPr>
        <w:t>Children, Youth and Environments</w:t>
      </w:r>
      <w:r w:rsidRPr="3F0FD7BF" w:rsidR="0F588012">
        <w:rPr>
          <w:rFonts w:ascii="Calibri" w:hAnsi="Calibri" w:eastAsia="Calibri" w:cs="Calibri"/>
          <w:noProof w:val="0"/>
          <w:sz w:val="24"/>
          <w:szCs w:val="24"/>
          <w:lang w:val="en-GB"/>
        </w:rPr>
        <w:t>, 24(2), pp.10–34.</w:t>
      </w:r>
    </w:p>
    <w:p w:rsidR="0F588012" w:rsidP="3F0FD7BF" w:rsidRDefault="0F588012" w14:paraId="726BFEE8" w14:textId="69B742D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Kingsley, J. and Townsend, M. (2006) ‘“Dig In” to Social Capital: Community Gardens as Mechanisms for Growing Urban Social Connectedness’, </w:t>
      </w:r>
      <w:r w:rsidRPr="3F0FD7BF" w:rsidR="0F588012">
        <w:rPr>
          <w:rFonts w:ascii="Calibri" w:hAnsi="Calibri" w:eastAsia="Calibri" w:cs="Calibri"/>
          <w:i w:val="1"/>
          <w:iCs w:val="1"/>
          <w:noProof w:val="0"/>
          <w:sz w:val="24"/>
          <w:szCs w:val="24"/>
          <w:lang w:val="en-GB"/>
        </w:rPr>
        <w:t>Urban Policy and Research</w:t>
      </w:r>
      <w:r w:rsidRPr="3F0FD7BF" w:rsidR="0F588012">
        <w:rPr>
          <w:rFonts w:ascii="Calibri" w:hAnsi="Calibri" w:eastAsia="Calibri" w:cs="Calibri"/>
          <w:noProof w:val="0"/>
          <w:sz w:val="24"/>
          <w:szCs w:val="24"/>
          <w:lang w:val="en-GB"/>
        </w:rPr>
        <w:t>, 24(4), pp.525–537.</w:t>
      </w:r>
    </w:p>
    <w:p w:rsidR="0F588012" w:rsidP="3F0FD7BF" w:rsidRDefault="0F588012" w14:paraId="5A7BE5CF" w14:textId="5228E0A0">
      <w:pPr>
        <w:spacing w:before="240" w:beforeAutospacing="off" w:after="240" w:afterAutospacing="off"/>
        <w:jc w:val="left"/>
      </w:pPr>
      <w:r w:rsidRPr="3F0FD7BF" w:rsidR="0F588012">
        <w:rPr>
          <w:rFonts w:ascii="Calibri" w:hAnsi="Calibri" w:eastAsia="Calibri" w:cs="Calibri"/>
          <w:noProof w:val="0"/>
          <w:sz w:val="24"/>
          <w:szCs w:val="24"/>
          <w:lang w:val="en-GB"/>
        </w:rPr>
        <w:t xml:space="preserve">Laevers, F. (2005) 'Deep-level-learning and the experiential approach in early childhood and primary education', </w:t>
      </w:r>
      <w:r w:rsidRPr="3F0FD7BF" w:rsidR="0F588012">
        <w:rPr>
          <w:rFonts w:ascii="Calibri" w:hAnsi="Calibri" w:eastAsia="Calibri" w:cs="Calibri"/>
          <w:i w:val="1"/>
          <w:iCs w:val="1"/>
          <w:noProof w:val="0"/>
          <w:sz w:val="24"/>
          <w:szCs w:val="24"/>
          <w:lang w:val="en-GB"/>
        </w:rPr>
        <w:t>Early Years: An International Journal of Research and Development</w:t>
      </w:r>
      <w:r w:rsidRPr="3F0FD7BF" w:rsidR="0F588012">
        <w:rPr>
          <w:rFonts w:ascii="Calibri" w:hAnsi="Calibri" w:eastAsia="Calibri" w:cs="Calibri"/>
          <w:noProof w:val="0"/>
          <w:sz w:val="24"/>
          <w:szCs w:val="24"/>
          <w:lang w:val="en-GB"/>
        </w:rPr>
        <w:t>, 25(1), pp.93–98.</w:t>
      </w:r>
    </w:p>
    <w:p w:rsidR="0F588012" w:rsidP="3F0FD7BF" w:rsidRDefault="0F588012" w14:paraId="0952F983" w14:textId="4ABE5155">
      <w:pPr>
        <w:spacing w:before="240" w:beforeAutospacing="off" w:after="240" w:afterAutospacing="off"/>
        <w:jc w:val="left"/>
      </w:pPr>
      <w:r w:rsidRPr="3F0FD7BF" w:rsidR="0F588012">
        <w:rPr>
          <w:rFonts w:ascii="Calibri" w:hAnsi="Calibri" w:eastAsia="Calibri" w:cs="Calibri"/>
          <w:noProof w:val="0"/>
          <w:sz w:val="24"/>
          <w:szCs w:val="24"/>
          <w:lang w:val="en-GB"/>
        </w:rPr>
        <w:t xml:space="preserve">Learning through Landscapes (2011) </w:t>
      </w:r>
      <w:r w:rsidRPr="3F0FD7BF" w:rsidR="0F588012">
        <w:rPr>
          <w:rFonts w:ascii="Calibri" w:hAnsi="Calibri" w:eastAsia="Calibri" w:cs="Calibri"/>
          <w:i w:val="1"/>
          <w:iCs w:val="1"/>
          <w:noProof w:val="0"/>
          <w:sz w:val="24"/>
          <w:szCs w:val="24"/>
          <w:lang w:val="en-GB"/>
        </w:rPr>
        <w:t>Evaluating School Grounds for Learning: A Practical Guide</w:t>
      </w:r>
      <w:r w:rsidRPr="3F0FD7BF" w:rsidR="0F588012">
        <w:rPr>
          <w:rFonts w:ascii="Calibri" w:hAnsi="Calibri" w:eastAsia="Calibri" w:cs="Calibri"/>
          <w:noProof w:val="0"/>
          <w:sz w:val="24"/>
          <w:szCs w:val="24"/>
          <w:lang w:val="en-GB"/>
        </w:rPr>
        <w:t>. Winchester: Learning through Landscapes.</w:t>
      </w:r>
    </w:p>
    <w:p w:rsidR="0F588012" w:rsidP="3F0FD7BF" w:rsidRDefault="0F588012" w14:paraId="45D61D85" w14:textId="1A932B2B">
      <w:pPr>
        <w:spacing w:before="240" w:beforeAutospacing="off" w:after="240" w:afterAutospacing="off"/>
        <w:jc w:val="left"/>
      </w:pPr>
      <w:r w:rsidRPr="3F0FD7BF" w:rsidR="0F588012">
        <w:rPr>
          <w:rFonts w:ascii="Calibri" w:hAnsi="Calibri" w:eastAsia="Calibri" w:cs="Calibri"/>
          <w:noProof w:val="0"/>
          <w:sz w:val="24"/>
          <w:szCs w:val="24"/>
          <w:lang w:val="en-GB"/>
        </w:rPr>
        <w:t xml:space="preserve">Murray, R. (2017) </w:t>
      </w:r>
      <w:r w:rsidRPr="3F0FD7BF" w:rsidR="0F588012">
        <w:rPr>
          <w:rFonts w:ascii="Calibri" w:hAnsi="Calibri" w:eastAsia="Calibri" w:cs="Calibri"/>
          <w:i w:val="1"/>
          <w:iCs w:val="1"/>
          <w:noProof w:val="0"/>
          <w:sz w:val="24"/>
          <w:szCs w:val="24"/>
          <w:lang w:val="en-GB"/>
        </w:rPr>
        <w:t>Sustainable education: Re-visioning learning for a changing world</w:t>
      </w:r>
      <w:r w:rsidRPr="3F0FD7BF" w:rsidR="0F588012">
        <w:rPr>
          <w:rFonts w:ascii="Calibri" w:hAnsi="Calibri" w:eastAsia="Calibri" w:cs="Calibri"/>
          <w:noProof w:val="0"/>
          <w:sz w:val="24"/>
          <w:szCs w:val="24"/>
          <w:lang w:val="en-GB"/>
        </w:rPr>
        <w:t>. 2nd ed. Abingdon: Routledge.</w:t>
      </w:r>
    </w:p>
    <w:p w:rsidR="0F588012" w:rsidP="3F0FD7BF" w:rsidRDefault="0F588012" w14:paraId="22C3D384" w14:textId="755EBF04">
      <w:pPr>
        <w:spacing w:before="240" w:beforeAutospacing="off" w:after="240" w:afterAutospacing="off"/>
        <w:jc w:val="left"/>
      </w:pPr>
      <w:r w:rsidRPr="3F0FD7BF" w:rsidR="0F588012">
        <w:rPr>
          <w:rFonts w:ascii="Calibri" w:hAnsi="Calibri" w:eastAsia="Calibri" w:cs="Calibri"/>
          <w:noProof w:val="0"/>
          <w:sz w:val="24"/>
          <w:szCs w:val="24"/>
          <w:lang w:val="en-GB"/>
        </w:rPr>
        <w:t xml:space="preserve">Murray, R., Powell, S. and Tisdall, E.K.M. (2017) </w:t>
      </w:r>
      <w:r w:rsidRPr="3F0FD7BF" w:rsidR="0F588012">
        <w:rPr>
          <w:rFonts w:ascii="Calibri" w:hAnsi="Calibri" w:eastAsia="Calibri" w:cs="Calibri"/>
          <w:i w:val="1"/>
          <w:iCs w:val="1"/>
          <w:noProof w:val="0"/>
          <w:sz w:val="24"/>
          <w:szCs w:val="24"/>
          <w:lang w:val="en-GB"/>
        </w:rPr>
        <w:t>Outdoor learning: Past and present</w:t>
      </w:r>
      <w:r w:rsidRPr="3F0FD7BF" w:rsidR="0F588012">
        <w:rPr>
          <w:rFonts w:ascii="Calibri" w:hAnsi="Calibri" w:eastAsia="Calibri" w:cs="Calibri"/>
          <w:noProof w:val="0"/>
          <w:sz w:val="24"/>
          <w:szCs w:val="24"/>
          <w:lang w:val="en-GB"/>
        </w:rPr>
        <w:t>. London: Routledge.</w:t>
      </w:r>
    </w:p>
    <w:p w:rsidR="0F588012" w:rsidP="3F0FD7BF" w:rsidRDefault="0F588012" w14:paraId="6E8887CD" w14:textId="49D86912">
      <w:pPr>
        <w:spacing w:before="240" w:beforeAutospacing="off" w:after="240" w:afterAutospacing="off"/>
        <w:jc w:val="left"/>
      </w:pPr>
      <w:r w:rsidRPr="3F0FD7BF" w:rsidR="0F588012">
        <w:rPr>
          <w:rFonts w:ascii="Calibri" w:hAnsi="Calibri" w:eastAsia="Calibri" w:cs="Calibri"/>
          <w:noProof w:val="0"/>
          <w:sz w:val="24"/>
          <w:szCs w:val="24"/>
          <w:lang w:val="en-GB"/>
        </w:rPr>
        <w:t xml:space="preserve">Natural Resources Wales (2019) </w:t>
      </w:r>
      <w:r w:rsidRPr="3F0FD7BF" w:rsidR="0F588012">
        <w:rPr>
          <w:rFonts w:ascii="Calibri" w:hAnsi="Calibri" w:eastAsia="Calibri" w:cs="Calibri"/>
          <w:i w:val="1"/>
          <w:iCs w:val="1"/>
          <w:noProof w:val="0"/>
          <w:sz w:val="24"/>
          <w:szCs w:val="24"/>
          <w:lang w:val="en-GB"/>
        </w:rPr>
        <w:t>Challenges and Choices: Consultation on the summary of significant water management issues for Wales, Western Wales River Basin District and Dee River Basin District</w:t>
      </w:r>
      <w:r w:rsidRPr="3F0FD7BF" w:rsidR="0F588012">
        <w:rPr>
          <w:rFonts w:ascii="Calibri" w:hAnsi="Calibri" w:eastAsia="Calibri" w:cs="Calibri"/>
          <w:noProof w:val="0"/>
          <w:sz w:val="24"/>
          <w:szCs w:val="24"/>
          <w:lang w:val="en-GB"/>
        </w:rPr>
        <w:t xml:space="preserve">. Available at: </w:t>
      </w:r>
      <w:hyperlink r:id="R4997caa456254500">
        <w:r w:rsidRPr="3F0FD7BF" w:rsidR="0F588012">
          <w:rPr>
            <w:rStyle w:val="Hyperlink"/>
            <w:rFonts w:ascii="Calibri" w:hAnsi="Calibri" w:eastAsia="Calibri" w:cs="Calibri"/>
            <w:noProof w:val="0"/>
            <w:sz w:val="24"/>
            <w:szCs w:val="24"/>
            <w:lang w:val="en-GB"/>
          </w:rPr>
          <w:t>https://cdn.cyfoethnaturiol.cymru/689924/challenges-and-choices-2019_final-1.pdf</w:t>
        </w:r>
      </w:hyperlink>
      <w:r w:rsidRPr="3F0FD7BF" w:rsidR="0F588012">
        <w:rPr>
          <w:rFonts w:ascii="Calibri" w:hAnsi="Calibri" w:eastAsia="Calibri" w:cs="Calibri"/>
          <w:noProof w:val="0"/>
          <w:sz w:val="24"/>
          <w:szCs w:val="24"/>
          <w:lang w:val="en-GB"/>
        </w:rPr>
        <w:t xml:space="preserve"> (Accessed: 28 April 2025).</w:t>
      </w:r>
    </w:p>
    <w:p w:rsidR="0F588012" w:rsidP="3F0FD7BF" w:rsidRDefault="0F588012" w14:paraId="4CF0C0D2" w14:textId="0E959846">
      <w:pPr>
        <w:spacing w:before="240" w:beforeAutospacing="off" w:after="240" w:afterAutospacing="off"/>
        <w:jc w:val="left"/>
      </w:pPr>
      <w:r w:rsidRPr="3F0FD7BF" w:rsidR="0F588012">
        <w:rPr>
          <w:rFonts w:ascii="Calibri" w:hAnsi="Calibri" w:eastAsia="Calibri" w:cs="Calibri"/>
          <w:noProof w:val="0"/>
          <w:sz w:val="24"/>
          <w:szCs w:val="24"/>
          <w:lang w:val="en-GB"/>
        </w:rPr>
        <w:t xml:space="preserve">Natural Resources Wales (2020) </w:t>
      </w:r>
      <w:r w:rsidRPr="3F0FD7BF" w:rsidR="0F588012">
        <w:rPr>
          <w:rFonts w:ascii="Calibri" w:hAnsi="Calibri" w:eastAsia="Calibri" w:cs="Calibri"/>
          <w:i w:val="1"/>
          <w:iCs w:val="1"/>
          <w:noProof w:val="0"/>
          <w:sz w:val="24"/>
          <w:szCs w:val="24"/>
          <w:lang w:val="en-GB"/>
        </w:rPr>
        <w:t>Children’s connection to nature in Wales</w:t>
      </w:r>
      <w:r w:rsidRPr="3F0FD7BF" w:rsidR="0F588012">
        <w:rPr>
          <w:rFonts w:ascii="Calibri" w:hAnsi="Calibri" w:eastAsia="Calibri" w:cs="Calibri"/>
          <w:noProof w:val="0"/>
          <w:sz w:val="24"/>
          <w:szCs w:val="24"/>
          <w:lang w:val="en-GB"/>
        </w:rPr>
        <w:t xml:space="preserve">. Report No: 20-21/039. Cardiff: Natural Resources Wales. Available at: </w:t>
      </w:r>
      <w:hyperlink r:id="R1f3fc0c25e384f42">
        <w:r w:rsidRPr="3F0FD7BF" w:rsidR="0F588012">
          <w:rPr>
            <w:rStyle w:val="Hyperlink"/>
            <w:rFonts w:ascii="Calibri" w:hAnsi="Calibri" w:eastAsia="Calibri" w:cs="Calibri"/>
            <w:noProof w:val="0"/>
            <w:sz w:val="24"/>
            <w:szCs w:val="24"/>
            <w:lang w:val="en-GB"/>
          </w:rPr>
          <w:t>https://naturalresources.wales</w:t>
        </w:r>
      </w:hyperlink>
      <w:r w:rsidRPr="3F0FD7BF" w:rsidR="0F588012">
        <w:rPr>
          <w:rFonts w:ascii="Calibri" w:hAnsi="Calibri" w:eastAsia="Calibri" w:cs="Calibri"/>
          <w:noProof w:val="0"/>
          <w:sz w:val="24"/>
          <w:szCs w:val="24"/>
          <w:lang w:val="en-GB"/>
        </w:rPr>
        <w:t xml:space="preserve"> (Accessed: 28 April 2025).</w:t>
      </w:r>
    </w:p>
    <w:p w:rsidR="0F588012" w:rsidP="3F0FD7BF" w:rsidRDefault="0F588012" w14:paraId="3138F3D0" w14:textId="1DD7B581">
      <w:pPr>
        <w:spacing w:before="240" w:beforeAutospacing="off" w:after="240" w:afterAutospacing="off"/>
        <w:jc w:val="left"/>
      </w:pPr>
      <w:r w:rsidRPr="3F0FD7BF" w:rsidR="0F588012">
        <w:rPr>
          <w:rFonts w:ascii="Calibri" w:hAnsi="Calibri" w:eastAsia="Calibri" w:cs="Calibri"/>
          <w:noProof w:val="0"/>
          <w:sz w:val="24"/>
          <w:szCs w:val="24"/>
          <w:lang w:val="en-GB"/>
        </w:rPr>
        <w:t xml:space="preserve">Pennington, Seed. (2025) </w:t>
      </w:r>
      <w:r w:rsidRPr="3F0FD7BF" w:rsidR="0F588012">
        <w:rPr>
          <w:rFonts w:ascii="Calibri" w:hAnsi="Calibri" w:eastAsia="Calibri" w:cs="Calibri"/>
          <w:i w:val="1"/>
          <w:iCs w:val="1"/>
          <w:noProof w:val="0"/>
          <w:sz w:val="24"/>
          <w:szCs w:val="24"/>
          <w:lang w:val="en-GB"/>
        </w:rPr>
        <w:t>The Many Benefits of Starting a School Garden</w:t>
      </w:r>
      <w:r w:rsidRPr="3F0FD7BF" w:rsidR="0F588012">
        <w:rPr>
          <w:rFonts w:ascii="Calibri" w:hAnsi="Calibri" w:eastAsia="Calibri" w:cs="Calibri"/>
          <w:noProof w:val="0"/>
          <w:sz w:val="24"/>
          <w:szCs w:val="24"/>
          <w:lang w:val="en-GB"/>
        </w:rPr>
        <w:t xml:space="preserve">. Pennington Seed. Available at: </w:t>
      </w:r>
      <w:hyperlink r:id="R270a9aba71104133">
        <w:r w:rsidRPr="3F0FD7BF" w:rsidR="0F588012">
          <w:rPr>
            <w:rStyle w:val="Hyperlink"/>
            <w:rFonts w:ascii="Calibri" w:hAnsi="Calibri" w:eastAsia="Calibri" w:cs="Calibri"/>
            <w:noProof w:val="0"/>
            <w:sz w:val="24"/>
            <w:szCs w:val="24"/>
            <w:lang w:val="en-GB"/>
          </w:rPr>
          <w:t>https://www.pennington.com/all-products/fertilizer/resources/school-gardens-changing-lives-and-communities</w:t>
        </w:r>
      </w:hyperlink>
    </w:p>
    <w:p w:rsidR="0F588012" w:rsidP="3F0FD7BF" w:rsidRDefault="0F588012" w14:paraId="2FA9A850" w14:textId="338EBAB3">
      <w:pPr>
        <w:spacing w:before="240" w:beforeAutospacing="off" w:after="240" w:afterAutospacing="off"/>
        <w:jc w:val="left"/>
      </w:pPr>
      <w:r w:rsidRPr="3F0FD7BF" w:rsidR="0F588012">
        <w:rPr>
          <w:rFonts w:ascii="Calibri" w:hAnsi="Calibri" w:eastAsia="Calibri" w:cs="Calibri"/>
          <w:noProof w:val="0"/>
          <w:sz w:val="24"/>
          <w:szCs w:val="24"/>
          <w:lang w:val="en-GB"/>
        </w:rPr>
        <w:t xml:space="preserve">Rickinson, M., Dillon, J., Teamey, K., Morris, M., Choi, M.Y., Sanders, D. and Benefield, P. (2004) </w:t>
      </w:r>
      <w:r w:rsidRPr="3F0FD7BF" w:rsidR="0F588012">
        <w:rPr>
          <w:rFonts w:ascii="Calibri" w:hAnsi="Calibri" w:eastAsia="Calibri" w:cs="Calibri"/>
          <w:i w:val="1"/>
          <w:iCs w:val="1"/>
          <w:noProof w:val="0"/>
          <w:sz w:val="24"/>
          <w:szCs w:val="24"/>
          <w:lang w:val="en-GB"/>
        </w:rPr>
        <w:t>A Review of Research on Outdoor Learning</w:t>
      </w:r>
      <w:r w:rsidRPr="3F0FD7BF" w:rsidR="0F588012">
        <w:rPr>
          <w:rFonts w:ascii="Calibri" w:hAnsi="Calibri" w:eastAsia="Calibri" w:cs="Calibri"/>
          <w:noProof w:val="0"/>
          <w:sz w:val="24"/>
          <w:szCs w:val="24"/>
          <w:lang w:val="en-GB"/>
        </w:rPr>
        <w:t>. Shrewsbury: Field Studies Council.</w:t>
      </w:r>
    </w:p>
    <w:p w:rsidR="0F588012" w:rsidP="3F0FD7BF" w:rsidRDefault="0F588012" w14:paraId="2B12448F" w14:textId="525A6DF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Rickinson, M., Dillon, J., Teamey, K., Morris, M., Choi, M.Y., Sanders, D. and Benefield, P. (2004) </w:t>
      </w:r>
      <w:r w:rsidRPr="3F0FD7BF" w:rsidR="0F588012">
        <w:rPr>
          <w:rFonts w:ascii="Calibri" w:hAnsi="Calibri" w:eastAsia="Calibri" w:cs="Calibri"/>
          <w:i w:val="1"/>
          <w:iCs w:val="1"/>
          <w:noProof w:val="0"/>
          <w:sz w:val="24"/>
          <w:szCs w:val="24"/>
          <w:lang w:val="en-GB"/>
        </w:rPr>
        <w:t>A Review of Research on Outdoor Learning</w:t>
      </w:r>
      <w:r w:rsidRPr="3F0FD7BF" w:rsidR="0F588012">
        <w:rPr>
          <w:rFonts w:ascii="Calibri" w:hAnsi="Calibri" w:eastAsia="Calibri" w:cs="Calibri"/>
          <w:noProof w:val="0"/>
          <w:sz w:val="24"/>
          <w:szCs w:val="24"/>
          <w:lang w:val="en-GB"/>
        </w:rPr>
        <w:t>. Slough: National Foundation for Educational Research.</w:t>
      </w:r>
    </w:p>
    <w:p w:rsidR="0F588012" w:rsidP="3F0FD7BF" w:rsidRDefault="0F588012" w14:paraId="6F508D82" w14:textId="5344BC3B">
      <w:pPr>
        <w:spacing w:before="240" w:beforeAutospacing="off" w:after="240" w:afterAutospacing="off"/>
        <w:jc w:val="left"/>
      </w:pPr>
      <w:r w:rsidRPr="3F0FD7BF" w:rsidR="0F588012">
        <w:rPr>
          <w:rFonts w:ascii="Calibri" w:hAnsi="Calibri" w:eastAsia="Calibri" w:cs="Calibri"/>
          <w:noProof w:val="0"/>
          <w:sz w:val="24"/>
          <w:szCs w:val="24"/>
          <w:lang w:val="en-GB"/>
        </w:rPr>
        <w:t xml:space="preserve">Rickinson, M., Dillon, J., Teamey, K., Morris, M., Choi, M.Y., Sanders, D. and Benefield, P. (2004) </w:t>
      </w:r>
      <w:r w:rsidRPr="3F0FD7BF" w:rsidR="0F588012">
        <w:rPr>
          <w:rFonts w:ascii="Calibri" w:hAnsi="Calibri" w:eastAsia="Calibri" w:cs="Calibri"/>
          <w:i w:val="1"/>
          <w:iCs w:val="1"/>
          <w:noProof w:val="0"/>
          <w:sz w:val="24"/>
          <w:szCs w:val="24"/>
          <w:lang w:val="en-GB"/>
        </w:rPr>
        <w:t>A Review of Research on Outdoor Learning</w:t>
      </w:r>
      <w:r w:rsidRPr="3F0FD7BF" w:rsidR="0F588012">
        <w:rPr>
          <w:rFonts w:ascii="Calibri" w:hAnsi="Calibri" w:eastAsia="Calibri" w:cs="Calibri"/>
          <w:noProof w:val="0"/>
          <w:sz w:val="24"/>
          <w:szCs w:val="24"/>
          <w:lang w:val="en-GB"/>
        </w:rPr>
        <w:t>. Shrewsbury: National Foundation for Educational Research and King's College London.</w:t>
      </w:r>
    </w:p>
    <w:p w:rsidR="0F588012" w:rsidP="3F0FD7BF" w:rsidRDefault="0F588012" w14:paraId="775A2405" w14:textId="3449D25E">
      <w:pPr>
        <w:spacing w:before="240" w:beforeAutospacing="off" w:after="240" w:afterAutospacing="off"/>
        <w:jc w:val="left"/>
      </w:pPr>
      <w:r w:rsidRPr="3F0FD7BF" w:rsidR="0F588012">
        <w:rPr>
          <w:rFonts w:ascii="Calibri" w:hAnsi="Calibri" w:eastAsia="Calibri" w:cs="Calibri"/>
          <w:noProof w:val="0"/>
          <w:sz w:val="24"/>
          <w:szCs w:val="24"/>
          <w:lang w:val="en-GB"/>
        </w:rPr>
        <w:t xml:space="preserve">Rutter, M. (1985) ‘Resilience in the face of adversity: Protective factors and resistance to psychiatric disorder’, </w:t>
      </w:r>
      <w:r w:rsidRPr="3F0FD7BF" w:rsidR="0F588012">
        <w:rPr>
          <w:rFonts w:ascii="Calibri" w:hAnsi="Calibri" w:eastAsia="Calibri" w:cs="Calibri"/>
          <w:i w:val="1"/>
          <w:iCs w:val="1"/>
          <w:noProof w:val="0"/>
          <w:sz w:val="24"/>
          <w:szCs w:val="24"/>
          <w:lang w:val="en-GB"/>
        </w:rPr>
        <w:t>British Journal of Psychiatry</w:t>
      </w:r>
      <w:r w:rsidRPr="3F0FD7BF" w:rsidR="0F588012">
        <w:rPr>
          <w:rFonts w:ascii="Calibri" w:hAnsi="Calibri" w:eastAsia="Calibri" w:cs="Calibri"/>
          <w:noProof w:val="0"/>
          <w:sz w:val="24"/>
          <w:szCs w:val="24"/>
          <w:lang w:val="en-GB"/>
        </w:rPr>
        <w:t>.</w:t>
      </w:r>
    </w:p>
    <w:p w:rsidR="0F588012" w:rsidP="3F0FD7BF" w:rsidRDefault="0F588012" w14:paraId="20ED5A0D" w14:textId="44B0E90E">
      <w:pPr>
        <w:spacing w:before="240" w:beforeAutospacing="off" w:after="240" w:afterAutospacing="off"/>
        <w:jc w:val="left"/>
      </w:pPr>
      <w:r w:rsidRPr="3F0FD7BF" w:rsidR="0F588012">
        <w:rPr>
          <w:rFonts w:ascii="Calibri" w:hAnsi="Calibri" w:eastAsia="Calibri" w:cs="Calibri"/>
          <w:noProof w:val="0"/>
          <w:sz w:val="24"/>
          <w:szCs w:val="24"/>
          <w:lang w:val="en-GB"/>
        </w:rPr>
        <w:t xml:space="preserve">Shillington, R. (2015) </w:t>
      </w:r>
      <w:r w:rsidRPr="3F0FD7BF" w:rsidR="0F588012">
        <w:rPr>
          <w:rFonts w:ascii="Calibri" w:hAnsi="Calibri" w:eastAsia="Calibri" w:cs="Calibri"/>
          <w:i w:val="1"/>
          <w:iCs w:val="1"/>
          <w:noProof w:val="0"/>
          <w:sz w:val="24"/>
          <w:szCs w:val="24"/>
          <w:lang w:val="en-GB"/>
        </w:rPr>
        <w:t>Community engagement and education: Perspectives and practices</w:t>
      </w:r>
      <w:r w:rsidRPr="3F0FD7BF" w:rsidR="0F588012">
        <w:rPr>
          <w:rFonts w:ascii="Calibri" w:hAnsi="Calibri" w:eastAsia="Calibri" w:cs="Calibri"/>
          <w:noProof w:val="0"/>
          <w:sz w:val="24"/>
          <w:szCs w:val="24"/>
          <w:lang w:val="en-GB"/>
        </w:rPr>
        <w:t>. New York: Springer.</w:t>
      </w:r>
    </w:p>
    <w:p w:rsidR="0F588012" w:rsidP="3F0FD7BF" w:rsidRDefault="0F588012" w14:paraId="3D0C7621" w14:textId="5C337189">
      <w:pPr>
        <w:spacing w:before="240" w:beforeAutospacing="off" w:after="240" w:afterAutospacing="off"/>
        <w:jc w:val="left"/>
      </w:pPr>
      <w:r w:rsidRPr="3F0FD7BF" w:rsidR="0F588012">
        <w:rPr>
          <w:rFonts w:ascii="Calibri" w:hAnsi="Calibri" w:eastAsia="Calibri" w:cs="Calibri"/>
          <w:noProof w:val="0"/>
          <w:sz w:val="24"/>
          <w:szCs w:val="24"/>
          <w:lang w:val="en-GB"/>
        </w:rPr>
        <w:t xml:space="preserve">Sobel, D. (2004) </w:t>
      </w:r>
      <w:r w:rsidRPr="3F0FD7BF" w:rsidR="0F588012">
        <w:rPr>
          <w:rFonts w:ascii="Calibri" w:hAnsi="Calibri" w:eastAsia="Calibri" w:cs="Calibri"/>
          <w:i w:val="1"/>
          <w:iCs w:val="1"/>
          <w:noProof w:val="0"/>
          <w:sz w:val="24"/>
          <w:szCs w:val="24"/>
          <w:lang w:val="en-GB"/>
        </w:rPr>
        <w:t>Place-Based Education: Connecting Classrooms and Communities</w:t>
      </w:r>
      <w:r w:rsidRPr="3F0FD7BF" w:rsidR="0F588012">
        <w:rPr>
          <w:rFonts w:ascii="Calibri" w:hAnsi="Calibri" w:eastAsia="Calibri" w:cs="Calibri"/>
          <w:noProof w:val="0"/>
          <w:sz w:val="24"/>
          <w:szCs w:val="24"/>
          <w:lang w:val="en-GB"/>
        </w:rPr>
        <w:t>. Great Barrington, MA: The Orion Society.</w:t>
      </w:r>
    </w:p>
    <w:p w:rsidR="0F588012" w:rsidP="3F0FD7BF" w:rsidRDefault="0F588012" w14:paraId="5B39F3C7" w14:textId="734DCFBB">
      <w:pPr>
        <w:spacing w:before="240" w:beforeAutospacing="off" w:after="240" w:afterAutospacing="off"/>
        <w:jc w:val="left"/>
      </w:pPr>
      <w:r w:rsidRPr="3F0FD7BF" w:rsidR="0F588012">
        <w:rPr>
          <w:rFonts w:ascii="Calibri" w:hAnsi="Calibri" w:eastAsia="Calibri" w:cs="Calibri"/>
          <w:noProof w:val="0"/>
          <w:sz w:val="24"/>
          <w:szCs w:val="24"/>
          <w:lang w:val="en-GB"/>
        </w:rPr>
        <w:t xml:space="preserve">Sustain (2014) </w:t>
      </w:r>
      <w:r w:rsidRPr="3F0FD7BF" w:rsidR="0F588012">
        <w:rPr>
          <w:rFonts w:ascii="Calibri" w:hAnsi="Calibri" w:eastAsia="Calibri" w:cs="Calibri"/>
          <w:i w:val="1"/>
          <w:iCs w:val="1"/>
          <w:noProof w:val="0"/>
          <w:sz w:val="24"/>
          <w:szCs w:val="24"/>
          <w:lang w:val="en-GB"/>
        </w:rPr>
        <w:t>Growing Health: Food Growing for Health and Wellbeing</w:t>
      </w:r>
      <w:r w:rsidRPr="3F0FD7BF" w:rsidR="0F588012">
        <w:rPr>
          <w:rFonts w:ascii="Calibri" w:hAnsi="Calibri" w:eastAsia="Calibri" w:cs="Calibri"/>
          <w:noProof w:val="0"/>
          <w:sz w:val="24"/>
          <w:szCs w:val="24"/>
          <w:lang w:val="en-GB"/>
        </w:rPr>
        <w:t xml:space="preserve">. Available at: </w:t>
      </w:r>
      <w:hyperlink r:id="R3cc740b89d324210">
        <w:r w:rsidRPr="3F0FD7BF" w:rsidR="0F588012">
          <w:rPr>
            <w:rStyle w:val="Hyperlink"/>
            <w:rFonts w:ascii="Calibri" w:hAnsi="Calibri" w:eastAsia="Calibri" w:cs="Calibri"/>
            <w:noProof w:val="0"/>
            <w:sz w:val="24"/>
            <w:szCs w:val="24"/>
            <w:lang w:val="en-GB"/>
          </w:rPr>
          <w:t>https://www.sustainweb.org/</w:t>
        </w:r>
      </w:hyperlink>
      <w:r w:rsidRPr="3F0FD7BF" w:rsidR="0F588012">
        <w:rPr>
          <w:rFonts w:ascii="Calibri" w:hAnsi="Calibri" w:eastAsia="Calibri" w:cs="Calibri"/>
          <w:noProof w:val="0"/>
          <w:sz w:val="24"/>
          <w:szCs w:val="24"/>
          <w:lang w:val="en-GB"/>
        </w:rPr>
        <w:t xml:space="preserve"> (Accessed: 25 April 2025).</w:t>
      </w:r>
    </w:p>
    <w:p w:rsidR="0F588012" w:rsidP="3F0FD7BF" w:rsidRDefault="0F588012" w14:paraId="711C24E3" w14:textId="7609A691">
      <w:pPr>
        <w:spacing w:before="240" w:beforeAutospacing="off" w:after="240" w:afterAutospacing="off"/>
        <w:jc w:val="left"/>
      </w:pPr>
      <w:r w:rsidRPr="3F0FD7BF" w:rsidR="0F588012">
        <w:rPr>
          <w:rFonts w:ascii="Calibri" w:hAnsi="Calibri" w:eastAsia="Calibri" w:cs="Calibri"/>
          <w:noProof w:val="0"/>
          <w:sz w:val="24"/>
          <w:szCs w:val="24"/>
          <w:lang w:val="en-GB"/>
        </w:rPr>
        <w:t xml:space="preserve">Swansea Council (2025) </w:t>
      </w:r>
      <w:r w:rsidRPr="3F0FD7BF" w:rsidR="0F588012">
        <w:rPr>
          <w:rFonts w:ascii="Calibri" w:hAnsi="Calibri" w:eastAsia="Calibri" w:cs="Calibri"/>
          <w:i w:val="1"/>
          <w:iCs w:val="1"/>
          <w:noProof w:val="0"/>
          <w:sz w:val="24"/>
          <w:szCs w:val="24"/>
          <w:highlight w:val="black"/>
          <w:lang w:val="en-GB"/>
        </w:rPr>
        <w:t>St Thomas Ward</w:t>
      </w:r>
      <w:r w:rsidRPr="3F0FD7BF" w:rsidR="0F588012">
        <w:rPr>
          <w:rFonts w:ascii="Calibri" w:hAnsi="Calibri" w:eastAsia="Calibri" w:cs="Calibri"/>
          <w:i w:val="1"/>
          <w:iCs w:val="1"/>
          <w:noProof w:val="0"/>
          <w:sz w:val="24"/>
          <w:szCs w:val="24"/>
          <w:lang w:val="en-GB"/>
        </w:rPr>
        <w:t xml:space="preserve"> Profile: April 2025</w:t>
      </w:r>
      <w:r w:rsidRPr="3F0FD7BF" w:rsidR="0F588012">
        <w:rPr>
          <w:rFonts w:ascii="Calibri" w:hAnsi="Calibri" w:eastAsia="Calibri" w:cs="Calibri"/>
          <w:noProof w:val="0"/>
          <w:sz w:val="24"/>
          <w:szCs w:val="24"/>
          <w:lang w:val="en-GB"/>
        </w:rPr>
        <w:t xml:space="preserve">. Swansea: Swansea Council. Available at: </w:t>
      </w:r>
      <w:hyperlink r:id="R4ba81012ce3c4765">
        <w:r w:rsidRPr="3F0FD7BF" w:rsidR="0F588012">
          <w:rPr>
            <w:rStyle w:val="Hyperlink"/>
            <w:rFonts w:ascii="Calibri" w:hAnsi="Calibri" w:eastAsia="Calibri" w:cs="Calibri"/>
            <w:noProof w:val="0"/>
            <w:sz w:val="24"/>
            <w:szCs w:val="24"/>
            <w:lang w:val="en-GB"/>
          </w:rPr>
          <w:t>https://www.swansea.gov.uk/media/3180/</w:t>
        </w:r>
        <w:r w:rsidRPr="3F0FD7BF" w:rsidR="0F588012">
          <w:rPr>
            <w:rStyle w:val="Hyperlink"/>
            <w:rFonts w:ascii="Calibri" w:hAnsi="Calibri" w:eastAsia="Calibri" w:cs="Calibri"/>
            <w:noProof w:val="0"/>
            <w:color w:val="auto"/>
            <w:sz w:val="24"/>
            <w:szCs w:val="24"/>
            <w:highlight w:val="black"/>
            <w:lang w:val="en-GB"/>
          </w:rPr>
          <w:t>St-Thomas-ward</w:t>
        </w:r>
        <w:r w:rsidRPr="3F0FD7BF" w:rsidR="0F588012">
          <w:rPr>
            <w:rStyle w:val="Hyperlink"/>
            <w:rFonts w:ascii="Calibri" w:hAnsi="Calibri" w:eastAsia="Calibri" w:cs="Calibri"/>
            <w:noProof w:val="0"/>
            <w:sz w:val="24"/>
            <w:szCs w:val="24"/>
            <w:lang w:val="en-GB"/>
          </w:rPr>
          <w:t>-profile/pdf/km</w:t>
        </w:r>
        <w:r w:rsidRPr="3F0FD7BF" w:rsidR="0F588012">
          <w:rPr>
            <w:rStyle w:val="Hyperlink"/>
            <w:rFonts w:ascii="Calibri" w:hAnsi="Calibri" w:eastAsia="Calibri" w:cs="Calibri"/>
            <w:noProof w:val="0"/>
            <w:color w:val="auto"/>
            <w:sz w:val="24"/>
            <w:szCs w:val="24"/>
            <w:highlight w:val="black"/>
            <w:lang w:val="en-GB"/>
          </w:rPr>
          <w:t>St_Thomas_Ward</w:t>
        </w:r>
        <w:r w:rsidRPr="3F0FD7BF" w:rsidR="0F588012">
          <w:rPr>
            <w:rStyle w:val="Hyperlink"/>
            <w:rFonts w:ascii="Calibri" w:hAnsi="Calibri" w:eastAsia="Calibri" w:cs="Calibri"/>
            <w:noProof w:val="0"/>
            <w:sz w:val="24"/>
            <w:szCs w:val="24"/>
            <w:lang w:val="en-GB"/>
          </w:rPr>
          <w:t>_Profile_Jul23.pdf?m=1691482901340</w:t>
        </w:r>
      </w:hyperlink>
      <w:r w:rsidRPr="3F0FD7BF" w:rsidR="0F588012">
        <w:rPr>
          <w:rFonts w:ascii="Calibri" w:hAnsi="Calibri" w:eastAsia="Calibri" w:cs="Calibri"/>
          <w:noProof w:val="0"/>
          <w:sz w:val="24"/>
          <w:szCs w:val="24"/>
          <w:lang w:val="en-GB"/>
        </w:rPr>
        <w:t xml:space="preserve"> (Accessed: 28 April 2025).</w:t>
      </w:r>
    </w:p>
    <w:p w:rsidR="0F588012" w:rsidP="3F0FD7BF" w:rsidRDefault="0F588012" w14:paraId="612FCBC9" w14:textId="31CFC3C4">
      <w:pPr>
        <w:spacing w:before="240" w:beforeAutospacing="off" w:after="240" w:afterAutospacing="off"/>
        <w:jc w:val="left"/>
      </w:pPr>
      <w:r w:rsidRPr="3F0FD7BF" w:rsidR="0F588012">
        <w:rPr>
          <w:rFonts w:ascii="Calibri" w:hAnsi="Calibri" w:eastAsia="Calibri" w:cs="Calibri"/>
          <w:noProof w:val="0"/>
          <w:sz w:val="24"/>
          <w:szCs w:val="24"/>
          <w:lang w:val="en-GB"/>
        </w:rPr>
        <w:t xml:space="preserve">Trees for Cities (2015) </w:t>
      </w:r>
      <w:r w:rsidRPr="3F0FD7BF" w:rsidR="0F588012">
        <w:rPr>
          <w:rFonts w:ascii="Calibri" w:hAnsi="Calibri" w:eastAsia="Calibri" w:cs="Calibri"/>
          <w:i w:val="1"/>
          <w:iCs w:val="1"/>
          <w:noProof w:val="0"/>
          <w:sz w:val="24"/>
          <w:szCs w:val="24"/>
          <w:lang w:val="en-GB"/>
        </w:rPr>
        <w:t>Edible Playground Impact Report</w:t>
      </w:r>
      <w:r w:rsidRPr="3F0FD7BF" w:rsidR="0F588012">
        <w:rPr>
          <w:rFonts w:ascii="Calibri" w:hAnsi="Calibri" w:eastAsia="Calibri" w:cs="Calibri"/>
          <w:noProof w:val="0"/>
          <w:sz w:val="24"/>
          <w:szCs w:val="24"/>
          <w:lang w:val="en-GB"/>
        </w:rPr>
        <w:t>. London: Trees for Cities.</w:t>
      </w:r>
    </w:p>
    <w:p w:rsidR="0F588012" w:rsidP="3F0FD7BF" w:rsidRDefault="0F588012" w14:paraId="18C56FF2" w14:textId="0A979F19">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Waite, S. (2011) </w:t>
      </w:r>
      <w:r w:rsidRPr="3F0FD7BF" w:rsidR="0F588012">
        <w:rPr>
          <w:rFonts w:ascii="Calibri" w:hAnsi="Calibri" w:eastAsia="Calibri" w:cs="Calibri"/>
          <w:i w:val="1"/>
          <w:iCs w:val="1"/>
          <w:noProof w:val="0"/>
          <w:sz w:val="24"/>
          <w:szCs w:val="24"/>
          <w:lang w:val="en-GB"/>
        </w:rPr>
        <w:t>Children Learning Outside the Classroom: From Birth to Eleven</w:t>
      </w:r>
      <w:r w:rsidRPr="3F0FD7BF" w:rsidR="0F588012">
        <w:rPr>
          <w:rFonts w:ascii="Calibri" w:hAnsi="Calibri" w:eastAsia="Calibri" w:cs="Calibri"/>
          <w:noProof w:val="0"/>
          <w:sz w:val="24"/>
          <w:szCs w:val="24"/>
          <w:lang w:val="en-GB"/>
        </w:rPr>
        <w:t>. London: Sage.</w:t>
      </w:r>
    </w:p>
    <w:p w:rsidR="0F588012" w:rsidP="3F0FD7BF" w:rsidRDefault="0F588012" w14:paraId="15CFB708" w14:textId="56ACCC0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Waite, S., Bølling, M., Bentsen, P., Mygind, E. and Nielsen, G. (2016) ‘A review of research on the impacts of nature‑based Early Childhood Education’, </w:t>
      </w:r>
      <w:r w:rsidRPr="3F0FD7BF" w:rsidR="0F588012">
        <w:rPr>
          <w:rFonts w:ascii="Calibri" w:hAnsi="Calibri" w:eastAsia="Calibri" w:cs="Calibri"/>
          <w:i w:val="1"/>
          <w:iCs w:val="1"/>
          <w:noProof w:val="0"/>
          <w:sz w:val="24"/>
          <w:szCs w:val="24"/>
          <w:lang w:val="en-GB"/>
        </w:rPr>
        <w:t>Educational Research</w:t>
      </w:r>
      <w:r w:rsidRPr="3F0FD7BF" w:rsidR="0F588012">
        <w:rPr>
          <w:rFonts w:ascii="Calibri" w:hAnsi="Calibri" w:eastAsia="Calibri" w:cs="Calibri"/>
          <w:noProof w:val="0"/>
          <w:sz w:val="24"/>
          <w:szCs w:val="24"/>
          <w:lang w:val="en-GB"/>
        </w:rPr>
        <w:t>, 58(3), pp.381–400. doi:10.1080/00131881.2016.1216996.</w:t>
      </w:r>
    </w:p>
    <w:p w:rsidR="0F588012" w:rsidP="3F0FD7BF" w:rsidRDefault="0F588012" w14:paraId="6D7B290C" w14:textId="635BEA18">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Waite, S., Passy, R., Gilchrist, M., Hunt, A. and Blackwell, I. (2016) </w:t>
      </w:r>
      <w:r w:rsidRPr="3F0FD7BF" w:rsidR="0F588012">
        <w:rPr>
          <w:rFonts w:ascii="Calibri" w:hAnsi="Calibri" w:eastAsia="Calibri" w:cs="Calibri"/>
          <w:i w:val="1"/>
          <w:iCs w:val="1"/>
          <w:noProof w:val="0"/>
          <w:sz w:val="24"/>
          <w:szCs w:val="24"/>
          <w:lang w:val="en-GB"/>
        </w:rPr>
        <w:t>Natural Connections Demonstration Project, 2012–2016: Final Report</w:t>
      </w:r>
      <w:r w:rsidRPr="3F0FD7BF" w:rsidR="0F588012">
        <w:rPr>
          <w:rFonts w:ascii="Calibri" w:hAnsi="Calibri" w:eastAsia="Calibri" w:cs="Calibri"/>
          <w:noProof w:val="0"/>
          <w:sz w:val="24"/>
          <w:szCs w:val="24"/>
          <w:lang w:val="en-GB"/>
        </w:rPr>
        <w:t>. Natural England Commissioned Reports, Number 215.</w:t>
      </w:r>
    </w:p>
    <w:p w:rsidR="0F588012" w:rsidP="3F0FD7BF" w:rsidRDefault="0F588012" w14:paraId="53ADAF83" w14:textId="1DC8C098">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Welsh Government (2017) </w:t>
      </w:r>
      <w:r w:rsidRPr="3F0FD7BF" w:rsidR="0F588012">
        <w:rPr>
          <w:rFonts w:ascii="Calibri" w:hAnsi="Calibri" w:eastAsia="Calibri" w:cs="Calibri"/>
          <w:i w:val="1"/>
          <w:iCs w:val="1"/>
          <w:noProof w:val="0"/>
          <w:sz w:val="24"/>
          <w:szCs w:val="24"/>
          <w:lang w:val="en-GB"/>
        </w:rPr>
        <w:t>Professional standards for teaching and leadership</w:t>
      </w:r>
      <w:r w:rsidRPr="3F0FD7BF" w:rsidR="0F588012">
        <w:rPr>
          <w:rFonts w:ascii="Calibri" w:hAnsi="Calibri" w:eastAsia="Calibri" w:cs="Calibri"/>
          <w:noProof w:val="0"/>
          <w:sz w:val="24"/>
          <w:szCs w:val="24"/>
          <w:lang w:val="en-GB"/>
        </w:rPr>
        <w:t xml:space="preserve">. Cardiff: Welsh Government. Available at: </w:t>
      </w:r>
      <w:hyperlink r:id="R57a6332290584768">
        <w:r w:rsidRPr="3F0FD7BF" w:rsidR="0F588012">
          <w:rPr>
            <w:rStyle w:val="Hyperlink"/>
            <w:rFonts w:ascii="Calibri" w:hAnsi="Calibri" w:eastAsia="Calibri" w:cs="Calibri"/>
            <w:noProof w:val="0"/>
            <w:sz w:val="24"/>
            <w:szCs w:val="24"/>
            <w:lang w:val="en-GB"/>
          </w:rPr>
          <w:t>https://hwb.gov.wales/api/storage/19bc948b-8a3f-41e0-944a-7bf2cadf7d18/professional-standards-for-teaching-and-leadership-interactive-pdf-for-pc.pdf</w:t>
        </w:r>
      </w:hyperlink>
      <w:r w:rsidRPr="3F0FD7BF" w:rsidR="0F588012">
        <w:rPr>
          <w:rFonts w:ascii="Calibri" w:hAnsi="Calibri" w:eastAsia="Calibri" w:cs="Calibri"/>
          <w:noProof w:val="0"/>
          <w:sz w:val="24"/>
          <w:szCs w:val="24"/>
          <w:lang w:val="en-GB"/>
        </w:rPr>
        <w:t xml:space="preserve"> (Accessed: 6 May 2025).</w:t>
      </w:r>
    </w:p>
    <w:p w:rsidR="0F588012" w:rsidP="3F0FD7BF" w:rsidRDefault="0F588012" w14:paraId="3405D074" w14:textId="6066CD91">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Welsh Government (2020) </w:t>
      </w:r>
      <w:r w:rsidRPr="3F0FD7BF" w:rsidR="0F588012">
        <w:rPr>
          <w:rFonts w:ascii="Calibri" w:hAnsi="Calibri" w:eastAsia="Calibri" w:cs="Calibri"/>
          <w:i w:val="1"/>
          <w:iCs w:val="1"/>
          <w:noProof w:val="0"/>
          <w:sz w:val="24"/>
          <w:szCs w:val="24"/>
          <w:lang w:val="en-GB"/>
        </w:rPr>
        <w:t>Curriculum for Wales</w:t>
      </w:r>
      <w:r w:rsidRPr="3F0FD7BF" w:rsidR="0F588012">
        <w:rPr>
          <w:rFonts w:ascii="Calibri" w:hAnsi="Calibri" w:eastAsia="Calibri" w:cs="Calibri"/>
          <w:noProof w:val="0"/>
          <w:sz w:val="24"/>
          <w:szCs w:val="24"/>
          <w:lang w:val="en-GB"/>
        </w:rPr>
        <w:t>. Cardiff: Welsh Government.</w:t>
      </w:r>
    </w:p>
    <w:p w:rsidR="0F588012" w:rsidP="3F0FD7BF" w:rsidRDefault="0F588012" w14:paraId="61607656" w14:textId="00529AF7">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Welsh Government (2022) </w:t>
      </w:r>
      <w:r w:rsidRPr="3F0FD7BF" w:rsidR="0F588012">
        <w:rPr>
          <w:rFonts w:ascii="Calibri" w:hAnsi="Calibri" w:eastAsia="Calibri" w:cs="Calibri"/>
          <w:i w:val="1"/>
          <w:iCs w:val="1"/>
          <w:noProof w:val="0"/>
          <w:sz w:val="24"/>
          <w:szCs w:val="24"/>
          <w:lang w:val="en-GB"/>
        </w:rPr>
        <w:t>Developing a vision for curriculum design: The four purposes</w:t>
      </w:r>
      <w:r w:rsidRPr="3F0FD7BF" w:rsidR="0F588012">
        <w:rPr>
          <w:rFonts w:ascii="Calibri" w:hAnsi="Calibri" w:eastAsia="Calibri" w:cs="Calibri"/>
          <w:noProof w:val="0"/>
          <w:sz w:val="24"/>
          <w:szCs w:val="24"/>
          <w:lang w:val="en-GB"/>
        </w:rPr>
        <w:t xml:space="preserve">. Hwb. Available at: </w:t>
      </w:r>
      <w:hyperlink r:id="R158c8848623d4cef">
        <w:r w:rsidRPr="3F0FD7BF" w:rsidR="0F588012">
          <w:rPr>
            <w:rStyle w:val="Hyperlink"/>
            <w:rFonts w:ascii="Calibri" w:hAnsi="Calibri" w:eastAsia="Calibri" w:cs="Calibri"/>
            <w:noProof w:val="0"/>
            <w:sz w:val="24"/>
            <w:szCs w:val="24"/>
            <w:lang w:val="en-GB"/>
          </w:rPr>
          <w:t>https://hwb.gov.wales/curriculum-for-wales/designing-your-curriculum/developing-a-vision-for-curriculum-design</w:t>
        </w:r>
      </w:hyperlink>
      <w:r w:rsidRPr="3F0FD7BF" w:rsidR="0F588012">
        <w:rPr>
          <w:rFonts w:ascii="Calibri" w:hAnsi="Calibri" w:eastAsia="Calibri" w:cs="Calibri"/>
          <w:noProof w:val="0"/>
          <w:sz w:val="24"/>
          <w:szCs w:val="24"/>
          <w:lang w:val="en-GB"/>
        </w:rPr>
        <w:t xml:space="preserve"> (Accessed: 22 April 2025).</w:t>
      </w:r>
    </w:p>
    <w:p w:rsidR="0F588012" w:rsidP="3F0FD7BF" w:rsidRDefault="0F588012" w14:paraId="6F4978A9" w14:textId="551DCE64">
      <w:pPr>
        <w:spacing w:before="240" w:beforeAutospacing="off" w:after="240" w:afterAutospacing="off"/>
        <w:jc w:val="left"/>
      </w:pPr>
      <w:r w:rsidRPr="3F0FD7BF" w:rsidR="0F588012">
        <w:rPr>
          <w:rFonts w:ascii="Calibri" w:hAnsi="Calibri" w:eastAsia="Calibri" w:cs="Calibri"/>
          <w:noProof w:val="0"/>
          <w:sz w:val="24"/>
          <w:szCs w:val="24"/>
          <w:lang w:val="en-GB"/>
        </w:rPr>
        <w:t xml:space="preserve">Well-being of Future Generations (Wales) Act 2015, c.2. Available at: </w:t>
      </w:r>
      <w:hyperlink r:id="R79d29176aaf443d7">
        <w:r w:rsidRPr="3F0FD7BF" w:rsidR="0F588012">
          <w:rPr>
            <w:rStyle w:val="Hyperlink"/>
            <w:rFonts w:ascii="Calibri" w:hAnsi="Calibri" w:eastAsia="Calibri" w:cs="Calibri"/>
            <w:noProof w:val="0"/>
            <w:sz w:val="24"/>
            <w:szCs w:val="24"/>
            <w:lang w:val="en-GB"/>
          </w:rPr>
          <w:t>https://www.legislation.gov.uk/anaw/2015/2/contents</w:t>
        </w:r>
      </w:hyperlink>
      <w:r w:rsidRPr="3F0FD7BF" w:rsidR="0F588012">
        <w:rPr>
          <w:rFonts w:ascii="Calibri" w:hAnsi="Calibri" w:eastAsia="Calibri" w:cs="Calibri"/>
          <w:noProof w:val="0"/>
          <w:sz w:val="24"/>
          <w:szCs w:val="24"/>
          <w:lang w:val="en-GB"/>
        </w:rPr>
        <w:t xml:space="preserve"> (Accessed: 22 April 2025).</w:t>
      </w:r>
    </w:p>
    <w:p w:rsidR="3F0FD7BF" w:rsidP="3F0FD7BF" w:rsidRDefault="3F0FD7BF" w14:paraId="3CF39DE9" w14:textId="7FD104DD">
      <w:pPr>
        <w:spacing w:before="240" w:beforeAutospacing="off" w:after="24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3F0FD7BF" w:rsidP="3F0FD7BF" w:rsidRDefault="3F0FD7BF" w14:paraId="2AEB6D17" w14:textId="3A481CA6">
      <w:pPr>
        <w:spacing w:before="240" w:beforeAutospacing="off" w:after="24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3F0FD7BF" w:rsidP="3F0FD7BF" w:rsidRDefault="3F0FD7BF" w14:paraId="406A265F" w14:textId="538C507A">
      <w:pPr>
        <w:spacing w:before="240" w:beforeAutospacing="off" w:after="240" w:afterAutospacing="off"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0F588012" w:rsidP="3F0FD7BF" w:rsidRDefault="0F588012" w14:paraId="55B80BF5" w14:textId="5504422C">
      <w:pPr>
        <w:spacing w:before="24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r w:rsidRPr="3F0FD7BF" w:rsidR="0F588012">
        <w:rPr>
          <w:rFonts w:ascii="Calibri" w:hAnsi="Calibri" w:eastAsia="Calibri" w:cs="Calibri"/>
          <w:b w:val="1"/>
          <w:bCs w:val="1"/>
          <w:i w:val="0"/>
          <w:iCs w:val="0"/>
          <w:caps w:val="0"/>
          <w:smallCaps w:val="0"/>
          <w:noProof w:val="0"/>
          <w:color w:val="000000" w:themeColor="text1" w:themeTint="FF" w:themeShade="FF"/>
          <w:sz w:val="28"/>
          <w:szCs w:val="28"/>
          <w:lang w:val="en-GB"/>
        </w:rPr>
        <w:t xml:space="preserve">Appendix </w:t>
      </w:r>
    </w:p>
    <w:sdt>
      <w:sdtPr>
        <w:id w:val="449907571"/>
        <w:docPartObj>
          <w:docPartGallery w:val="Table of Contents"/>
          <w:docPartUnique/>
        </w:docPartObj>
      </w:sdtPr>
      <w:sdtContent>
        <w:p w:rsidR="3F0FD7BF" w:rsidP="3F0FD7BF" w:rsidRDefault="3F0FD7BF" w14:paraId="0E04B78D" w14:textId="0231C432">
          <w:pPr>
            <w:pStyle w:val="TOC1"/>
            <w:tabs>
              <w:tab w:val="right" w:leader="dot" w:pos="9015"/>
            </w:tabs>
            <w:bidi w:val="0"/>
            <w:rPr>
              <w:rStyle w:val="Hyperlink"/>
            </w:rPr>
          </w:pPr>
          <w:r>
            <w:fldChar w:fldCharType="begin"/>
          </w:r>
          <w:r>
            <w:instrText xml:space="preserve">TOC \o "1-9" \z \u \h</w:instrText>
          </w:r>
          <w:r>
            <w:fldChar w:fldCharType="separate"/>
          </w:r>
          <w:hyperlink w:anchor="_Toc177943493">
            <w:r w:rsidRPr="3F0FD7BF" w:rsidR="3F0FD7BF">
              <w:rPr>
                <w:rStyle w:val="Hyperlink"/>
              </w:rPr>
              <w:t>Appendix A – SWOT Analysis</w:t>
            </w:r>
            <w:r>
              <w:tab/>
            </w:r>
            <w:r>
              <w:fldChar w:fldCharType="begin"/>
            </w:r>
            <w:r>
              <w:instrText xml:space="preserve">PAGEREF _Toc177943493 \h</w:instrText>
            </w:r>
            <w:r>
              <w:fldChar w:fldCharType="separate"/>
            </w:r>
            <w:r w:rsidRPr="3F0FD7BF" w:rsidR="3F0FD7BF">
              <w:rPr>
                <w:rStyle w:val="Hyperlink"/>
              </w:rPr>
              <w:t>17</w:t>
            </w:r>
            <w:r>
              <w:fldChar w:fldCharType="end"/>
            </w:r>
          </w:hyperlink>
          <w:r>
            <w:fldChar w:fldCharType="end"/>
          </w:r>
        </w:p>
      </w:sdtContent>
    </w:sdt>
    <w:p w:rsidR="2DA767BD" w:rsidP="3F0FD7BF" w:rsidRDefault="2DA767BD" w14:paraId="0FCAE7CB" w14:textId="297ED7DE">
      <w:pPr>
        <w:pStyle w:val="Heading1"/>
        <w:rPr>
          <w:noProof w:val="0"/>
          <w:color w:val="auto"/>
          <w:sz w:val="24"/>
          <w:szCs w:val="24"/>
          <w:lang w:val="en-GB"/>
        </w:rPr>
      </w:pPr>
      <w:bookmarkStart w:name="_Toc177943493" w:id="988482322"/>
      <w:r w:rsidRPr="3F0FD7BF" w:rsidR="2DA767BD">
        <w:rPr>
          <w:noProof w:val="0"/>
          <w:color w:val="auto"/>
          <w:sz w:val="24"/>
          <w:szCs w:val="24"/>
          <w:lang w:val="en-GB"/>
        </w:rPr>
        <w:t>Appendix A</w:t>
      </w:r>
      <w:r w:rsidRPr="3F0FD7BF" w:rsidR="7124E815">
        <w:rPr>
          <w:noProof w:val="0"/>
          <w:color w:val="auto"/>
          <w:sz w:val="24"/>
          <w:szCs w:val="24"/>
          <w:lang w:val="en-GB"/>
        </w:rPr>
        <w:t xml:space="preserve"> – SWOT Anal</w:t>
      </w:r>
      <w:r w:rsidRPr="3F0FD7BF" w:rsidR="7124E815">
        <w:rPr>
          <w:noProof w:val="0"/>
          <w:color w:val="auto"/>
          <w:sz w:val="24"/>
          <w:szCs w:val="24"/>
          <w:lang w:val="en-GB"/>
        </w:rPr>
        <w:t>ysis</w:t>
      </w:r>
      <w:bookmarkEnd w:id="988482322"/>
    </w:p>
    <w:p w:rsidR="47DF4941" w:rsidP="3F0FD7BF" w:rsidRDefault="47DF4941" w14:paraId="6DB623CF" w14:textId="4CDFF0E1">
      <w:pPr>
        <w:rPr>
          <w:noProof w:val="0"/>
          <w:lang w:val="en-GB"/>
        </w:rPr>
      </w:pPr>
      <w:r w:rsidR="47DF4941">
        <w:drawing>
          <wp:inline wp14:editId="4B5BD803" wp14:anchorId="12C9A1A1">
            <wp:extent cx="5724524" cy="4038600"/>
            <wp:effectExtent l="0" t="0" r="0" b="0"/>
            <wp:docPr id="1961679111" name="" title=""/>
            <wp:cNvGraphicFramePr>
              <a:graphicFrameLocks noChangeAspect="1"/>
            </wp:cNvGraphicFramePr>
            <a:graphic>
              <a:graphicData uri="http://schemas.openxmlformats.org/drawingml/2006/picture">
                <pic:pic>
                  <pic:nvPicPr>
                    <pic:cNvPr id="0" name=""/>
                    <pic:cNvPicPr/>
                  </pic:nvPicPr>
                  <pic:blipFill>
                    <a:blip r:embed="R659f3581ec6a4f93">
                      <a:extLst>
                        <a:ext xmlns:a="http://schemas.openxmlformats.org/drawingml/2006/main" uri="{28A0092B-C50C-407E-A947-70E740481C1C}">
                          <a14:useLocalDpi val="0"/>
                        </a:ext>
                      </a:extLst>
                    </a:blip>
                    <a:stretch>
                      <a:fillRect/>
                    </a:stretch>
                  </pic:blipFill>
                  <pic:spPr>
                    <a:xfrm>
                      <a:off x="0" y="0"/>
                      <a:ext cx="5724524" cy="4038600"/>
                    </a:xfrm>
                    <a:prstGeom prst="rect">
                      <a:avLst/>
                    </a:prstGeom>
                  </pic:spPr>
                </pic:pic>
              </a:graphicData>
            </a:graphic>
          </wp:inline>
        </w:drawing>
      </w:r>
      <w:r w:rsidR="47DF4941">
        <w:drawing>
          <wp:inline wp14:editId="479399EC" wp14:anchorId="336B824F">
            <wp:extent cx="5724524" cy="1200150"/>
            <wp:effectExtent l="0" t="0" r="0" b="0"/>
            <wp:docPr id="1940623357" name="" title=""/>
            <wp:cNvGraphicFramePr>
              <a:graphicFrameLocks noChangeAspect="1"/>
            </wp:cNvGraphicFramePr>
            <a:graphic>
              <a:graphicData uri="http://schemas.openxmlformats.org/drawingml/2006/picture">
                <pic:pic>
                  <pic:nvPicPr>
                    <pic:cNvPr id="0" name=""/>
                    <pic:cNvPicPr/>
                  </pic:nvPicPr>
                  <pic:blipFill>
                    <a:blip r:embed="R1a8fc65357aa4cf4">
                      <a:extLst>
                        <a:ext xmlns:a="http://schemas.openxmlformats.org/drawingml/2006/main" uri="{28A0092B-C50C-407E-A947-70E740481C1C}">
                          <a14:useLocalDpi val="0"/>
                        </a:ext>
                      </a:extLst>
                    </a:blip>
                    <a:stretch>
                      <a:fillRect/>
                    </a:stretch>
                  </pic:blipFill>
                  <pic:spPr>
                    <a:xfrm>
                      <a:off x="0" y="0"/>
                      <a:ext cx="5724524" cy="1200150"/>
                    </a:xfrm>
                    <a:prstGeom prst="rect">
                      <a:avLst/>
                    </a:prstGeom>
                  </pic:spPr>
                </pic:pic>
              </a:graphicData>
            </a:graphic>
          </wp:inline>
        </w:drawing>
      </w:r>
    </w:p>
    <w:p w:rsidR="0000375B" w:rsidP="3F0FD7BF" w:rsidRDefault="0000375B" w14:paraId="6C6F16C6" w14:noSpellErr="1" w14:textId="7225EA58">
      <w:pPr>
        <w:pStyle w:val="Normal"/>
        <w:rPr>
          <w:sz w:val="16"/>
          <w:szCs w:val="16"/>
        </w:rPr>
      </w:pPr>
    </w:p>
    <w:p w:rsidR="0000375B" w:rsidP="0000375B" w:rsidRDefault="0000375B" w14:paraId="5D1288CF" w14:textId="77777777">
      <w:pPr>
        <w:rPr>
          <w:b/>
          <w:bCs/>
        </w:rPr>
      </w:pPr>
    </w:p>
    <w:p w:rsidRPr="0000375B" w:rsidR="0000375B" w:rsidP="0000375B" w:rsidRDefault="0000375B" w14:paraId="3729DB03" w14:textId="77777777"/>
    <w:p w:rsidR="000C541C" w:rsidP="00DD5969" w:rsidRDefault="000C541C" w14:paraId="00FCD18B" w14:textId="77777777">
      <w:pPr>
        <w:rPr>
          <w:sz w:val="16"/>
          <w:szCs w:val="16"/>
        </w:rPr>
      </w:pPr>
    </w:p>
    <w:p w:rsidR="0000375B" w:rsidP="00DD5969" w:rsidRDefault="0000375B" w14:paraId="6EA9A853" w14:textId="77777777">
      <w:pPr>
        <w:rPr>
          <w:sz w:val="16"/>
          <w:szCs w:val="16"/>
        </w:rPr>
      </w:pPr>
    </w:p>
    <w:p w:rsidRPr="00B103B9" w:rsidR="0000375B" w:rsidP="00DD5969" w:rsidRDefault="0000375B" w14:paraId="32F37250" w14:textId="77777777">
      <w:pPr>
        <w:rPr>
          <w:sz w:val="16"/>
          <w:szCs w:val="16"/>
        </w:rPr>
      </w:pPr>
    </w:p>
    <w:sectPr w:rsidRPr="00B103B9" w:rsidR="0000375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7198D"/>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E10797"/>
    <w:rsid w:val="00E243A8"/>
    <w:rsid w:val="00E6747C"/>
    <w:rsid w:val="00EA0B9A"/>
    <w:rsid w:val="00EA15D1"/>
    <w:rsid w:val="00EA6220"/>
    <w:rsid w:val="00EC1771"/>
    <w:rsid w:val="00F8089C"/>
    <w:rsid w:val="00F934CF"/>
    <w:rsid w:val="03B253A5"/>
    <w:rsid w:val="061B57F1"/>
    <w:rsid w:val="0F588012"/>
    <w:rsid w:val="14CAC93A"/>
    <w:rsid w:val="162FE251"/>
    <w:rsid w:val="168A68AB"/>
    <w:rsid w:val="17AE0ACE"/>
    <w:rsid w:val="1DA603DC"/>
    <w:rsid w:val="232C8E94"/>
    <w:rsid w:val="2DA767BD"/>
    <w:rsid w:val="35E3146C"/>
    <w:rsid w:val="37080AC1"/>
    <w:rsid w:val="38EE266D"/>
    <w:rsid w:val="3A216A7A"/>
    <w:rsid w:val="3F0FD7BF"/>
    <w:rsid w:val="41A97636"/>
    <w:rsid w:val="4207AD05"/>
    <w:rsid w:val="47DF4941"/>
    <w:rsid w:val="49393A35"/>
    <w:rsid w:val="4B2C4192"/>
    <w:rsid w:val="508890BE"/>
    <w:rsid w:val="5409A35A"/>
    <w:rsid w:val="59E6F567"/>
    <w:rsid w:val="5C291C40"/>
    <w:rsid w:val="69484C53"/>
    <w:rsid w:val="6973E276"/>
    <w:rsid w:val="6E8797E1"/>
    <w:rsid w:val="7124E815"/>
    <w:rsid w:val="75DA717C"/>
    <w:rsid w:val="77686E15"/>
    <w:rsid w:val="78BF0B06"/>
    <w:rsid w:val="7A023A16"/>
    <w:rsid w:val="7AC50715"/>
    <w:rsid w:val="7B84F1AD"/>
    <w:rsid w:val="7B84F1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3F0FD7BF"/>
    <w:rPr>
      <w:color w:val="467886"/>
      <w:u w:val="single"/>
    </w:rPr>
  </w:style>
  <w:style w:type="paragraph" w:styleId="TOC1">
    <w:uiPriority w:val="39"/>
    <w:name w:val="toc 1"/>
    <w:basedOn w:val="Normal"/>
    <w:next w:val="Normal"/>
    <w:unhideWhenUsed/>
    <w:rsid w:val="3F0FD7B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https://www.childcomwales.org.uk/" TargetMode="External" Id="Ree38ced37bc84d1a" /><Relationship Type="http://schemas.openxmlformats.org/officeDocument/2006/relationships/hyperlink" Target="https://www.estyn.gov.wales/thematic-report/involving-parents-communication-between-schools-and-parents-school-aged-children" TargetMode="External" Id="R62f7d448a9714ec0" /><Relationship Type="http://schemas.openxmlformats.org/officeDocument/2006/relationships/hyperlink" Target="https://cdn.cyfoethnaturiol.cymru/689924/challenges-and-choices-2019_final-1.pdf" TargetMode="External" Id="R4997caa456254500" /><Relationship Type="http://schemas.openxmlformats.org/officeDocument/2006/relationships/hyperlink" Target="https://naturalresources.wales/" TargetMode="External" Id="R1f3fc0c25e384f42" /><Relationship Type="http://schemas.openxmlformats.org/officeDocument/2006/relationships/hyperlink" Target="https://www.pennington.com/all-products/fertilizer/resources/school-gardens-changing-lives-and-communities" TargetMode="External" Id="R270a9aba71104133" /><Relationship Type="http://schemas.openxmlformats.org/officeDocument/2006/relationships/hyperlink" Target="https://www.sustainweb.org/" TargetMode="External" Id="R3cc740b89d324210" /><Relationship Type="http://schemas.openxmlformats.org/officeDocument/2006/relationships/hyperlink" Target="https://www.swansea.gov.uk/media/3180/St-Thomas-ward-profile/pdf/kmSt_Thomas_Ward_Profile_Jul23.pdf?m=1691482901340" TargetMode="External" Id="R4ba81012ce3c4765" /><Relationship Type="http://schemas.openxmlformats.org/officeDocument/2006/relationships/hyperlink" Target="https://hwb.gov.wales/api/storage/19bc948b-8a3f-41e0-944a-7bf2cadf7d18/professional-standards-for-teaching-and-leadership-interactive-pdf-for-pc.pdf" TargetMode="External" Id="R57a6332290584768" /><Relationship Type="http://schemas.openxmlformats.org/officeDocument/2006/relationships/hyperlink" Target="https://hwb.gov.wales/curriculum-for-wales/designing-your-curriculum/developing-a-vision-for-curriculum-design" TargetMode="External" Id="R158c8848623d4cef" /><Relationship Type="http://schemas.openxmlformats.org/officeDocument/2006/relationships/hyperlink" Target="https://www.legislation.gov.uk/anaw/2015/2/contents" TargetMode="External" Id="R79d29176aaf443d7" /><Relationship Type="http://schemas.openxmlformats.org/officeDocument/2006/relationships/image" Target="/media/image2.png" Id="R659f3581ec6a4f93" /><Relationship Type="http://schemas.openxmlformats.org/officeDocument/2006/relationships/image" Target="/media/image3.png" Id="R1a8fc65357aa4c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Keira Wickham (2300800)</lastModifiedBy>
  <revision>3</revision>
  <dcterms:created xsi:type="dcterms:W3CDTF">2025-03-20T11:28:00.0000000Z</dcterms:created>
  <dcterms:modified xsi:type="dcterms:W3CDTF">2025-05-06T21:13:53.6989900Z</dcterms:modified>
</coreProperties>
</file>