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98C8A" w14:textId="77777777" w:rsidR="0030649F" w:rsidRDefault="0030649F" w:rsidP="006B6556">
      <w:pPr>
        <w:spacing w:line="360" w:lineRule="auto"/>
        <w:rPr>
          <w:rFonts w:ascii="Arial" w:hAnsi="Arial" w:cs="Arial"/>
          <w:color w:val="242130"/>
          <w:shd w:val="clear" w:color="auto" w:fill="FFFFFF"/>
        </w:rPr>
      </w:pPr>
    </w:p>
    <w:p w14:paraId="26245CAF" w14:textId="77777777" w:rsidR="0030649F" w:rsidRDefault="0030649F" w:rsidP="006B6556">
      <w:pPr>
        <w:spacing w:line="360" w:lineRule="auto"/>
        <w:rPr>
          <w:rFonts w:ascii="Arial" w:hAnsi="Arial" w:cs="Arial"/>
          <w:color w:val="242130"/>
          <w:shd w:val="clear" w:color="auto" w:fill="FFFFFF"/>
        </w:rPr>
      </w:pPr>
    </w:p>
    <w:p w14:paraId="7B40FC4B" w14:textId="77777777" w:rsidR="006249C9" w:rsidRPr="006B6556" w:rsidRDefault="006249C9" w:rsidP="006249C9">
      <w:pPr>
        <w:spacing w:line="360" w:lineRule="auto"/>
        <w:rPr>
          <w:rFonts w:ascii="Arial" w:hAnsi="Arial" w:cs="Arial"/>
        </w:rPr>
      </w:pPr>
      <w:r w:rsidRPr="006B6556">
        <w:rPr>
          <w:rFonts w:ascii="Arial" w:hAnsi="Arial" w:cs="Arial"/>
          <w:b/>
          <w:bCs/>
        </w:rPr>
        <w:t>Name:</w:t>
      </w:r>
      <w:r w:rsidRPr="006B6556">
        <w:rPr>
          <w:rFonts w:ascii="Arial" w:hAnsi="Arial" w:cs="Arial"/>
        </w:rPr>
        <w:t xml:space="preserve"> Nikola Balazova</w:t>
      </w:r>
    </w:p>
    <w:p w14:paraId="071BD0DF" w14:textId="77777777" w:rsidR="006249C9" w:rsidRPr="006B6556" w:rsidRDefault="006249C9" w:rsidP="006249C9">
      <w:pPr>
        <w:spacing w:line="360" w:lineRule="auto"/>
        <w:rPr>
          <w:rFonts w:ascii="Arial" w:hAnsi="Arial" w:cs="Arial"/>
        </w:rPr>
      </w:pPr>
      <w:r w:rsidRPr="006B6556">
        <w:rPr>
          <w:rFonts w:ascii="Arial" w:hAnsi="Arial" w:cs="Arial"/>
          <w:b/>
          <w:bCs/>
        </w:rPr>
        <w:t>Student ID:</w:t>
      </w:r>
      <w:r w:rsidRPr="006B6556">
        <w:rPr>
          <w:rFonts w:ascii="Arial" w:hAnsi="Arial" w:cs="Arial"/>
        </w:rPr>
        <w:t xml:space="preserve"> 2315841</w:t>
      </w:r>
    </w:p>
    <w:p w14:paraId="5128A5CC" w14:textId="77777777" w:rsidR="006249C9" w:rsidRPr="006B6556" w:rsidRDefault="006249C9" w:rsidP="006249C9">
      <w:pPr>
        <w:spacing w:line="360" w:lineRule="auto"/>
        <w:rPr>
          <w:rFonts w:ascii="Arial" w:hAnsi="Arial" w:cs="Arial"/>
        </w:rPr>
      </w:pPr>
      <w:r w:rsidRPr="006B6556">
        <w:rPr>
          <w:rFonts w:ascii="Arial" w:hAnsi="Arial" w:cs="Arial"/>
          <w:b/>
          <w:bCs/>
        </w:rPr>
        <w:t>Module:</w:t>
      </w:r>
      <w:r w:rsidRPr="006B6556">
        <w:rPr>
          <w:rFonts w:ascii="Arial" w:hAnsi="Arial" w:cs="Arial"/>
        </w:rPr>
        <w:t xml:space="preserve"> Strategic Management for Business</w:t>
      </w:r>
    </w:p>
    <w:p w14:paraId="1F6D5216" w14:textId="77777777" w:rsidR="006249C9" w:rsidRPr="006B6556" w:rsidRDefault="006249C9" w:rsidP="006249C9">
      <w:pPr>
        <w:spacing w:line="360" w:lineRule="auto"/>
        <w:rPr>
          <w:rFonts w:ascii="Arial" w:hAnsi="Arial" w:cs="Arial"/>
        </w:rPr>
      </w:pPr>
      <w:r w:rsidRPr="006B6556">
        <w:rPr>
          <w:rFonts w:ascii="Arial" w:hAnsi="Arial" w:cs="Arial"/>
          <w:b/>
          <w:bCs/>
        </w:rPr>
        <w:t>Module Code:</w:t>
      </w:r>
      <w:r w:rsidRPr="006B6556">
        <w:rPr>
          <w:rFonts w:ascii="Arial" w:hAnsi="Arial" w:cs="Arial"/>
        </w:rPr>
        <w:t xml:space="preserve"> LCLM  6001</w:t>
      </w:r>
    </w:p>
    <w:p w14:paraId="3FF2DAB4" w14:textId="77777777" w:rsidR="006249C9" w:rsidRPr="006B6556" w:rsidRDefault="006249C9" w:rsidP="006249C9">
      <w:pPr>
        <w:spacing w:before="120" w:after="120" w:line="360" w:lineRule="auto"/>
        <w:rPr>
          <w:rFonts w:ascii="Arial" w:hAnsi="Arial" w:cs="Arial"/>
        </w:rPr>
      </w:pPr>
      <w:r w:rsidRPr="006B6556">
        <w:rPr>
          <w:rFonts w:ascii="Arial" w:hAnsi="Arial" w:cs="Arial"/>
          <w:b/>
          <w:bCs/>
        </w:rPr>
        <w:t>Assignment Title:</w:t>
      </w:r>
      <w:r w:rsidRPr="006B6556">
        <w:rPr>
          <w:rFonts w:ascii="Arial" w:hAnsi="Arial" w:cs="Arial"/>
        </w:rPr>
        <w:t xml:space="preserve"> Individual Report</w:t>
      </w:r>
    </w:p>
    <w:p w14:paraId="62BCF485" w14:textId="77777777" w:rsidR="006249C9" w:rsidRPr="006B6556" w:rsidRDefault="006249C9" w:rsidP="006249C9">
      <w:pPr>
        <w:spacing w:before="120" w:after="120" w:line="360" w:lineRule="auto"/>
        <w:rPr>
          <w:rFonts w:ascii="Arial" w:hAnsi="Arial" w:cs="Arial"/>
        </w:rPr>
      </w:pPr>
      <w:r w:rsidRPr="006B6556">
        <w:rPr>
          <w:rFonts w:ascii="Arial" w:hAnsi="Arial" w:cs="Arial"/>
          <w:b/>
          <w:bCs/>
        </w:rPr>
        <w:t>Submission deadline:</w:t>
      </w:r>
      <w:r w:rsidRPr="006B6556">
        <w:rPr>
          <w:rFonts w:ascii="Arial" w:hAnsi="Arial" w:cs="Arial"/>
        </w:rPr>
        <w:t xml:space="preserve"> 12</w:t>
      </w:r>
      <w:r w:rsidRPr="006B6556">
        <w:rPr>
          <w:rFonts w:ascii="Arial" w:hAnsi="Arial" w:cs="Arial"/>
          <w:vertAlign w:val="superscript"/>
        </w:rPr>
        <w:t>th</w:t>
      </w:r>
      <w:r w:rsidRPr="006B6556">
        <w:rPr>
          <w:rFonts w:ascii="Arial" w:hAnsi="Arial" w:cs="Arial"/>
        </w:rPr>
        <w:t xml:space="preserve"> November 2025</w:t>
      </w:r>
      <w:r>
        <w:rPr>
          <w:rFonts w:ascii="Arial" w:hAnsi="Arial" w:cs="Arial"/>
        </w:rPr>
        <w:t xml:space="preserve"> </w:t>
      </w:r>
      <w:r w:rsidRPr="006B6556">
        <w:rPr>
          <w:rFonts w:ascii="Arial" w:hAnsi="Arial" w:cs="Arial"/>
        </w:rPr>
        <w:t>14:00 (2PM)</w:t>
      </w:r>
    </w:p>
    <w:p w14:paraId="05FD76F3" w14:textId="77777777" w:rsidR="006249C9" w:rsidRDefault="006249C9" w:rsidP="006249C9">
      <w:pPr>
        <w:spacing w:line="360" w:lineRule="auto"/>
        <w:rPr>
          <w:rFonts w:ascii="Arial" w:hAnsi="Arial" w:cs="Arial"/>
          <w:color w:val="242130"/>
          <w:shd w:val="clear" w:color="auto" w:fill="FFFFFF"/>
        </w:rPr>
      </w:pPr>
      <w:r w:rsidRPr="006B6556">
        <w:rPr>
          <w:rFonts w:ascii="Arial" w:hAnsi="Arial" w:cs="Arial"/>
          <w:b/>
          <w:bCs/>
        </w:rPr>
        <w:t>Lectures Name:</w:t>
      </w:r>
      <w:r w:rsidRPr="006B6556">
        <w:rPr>
          <w:rFonts w:ascii="Arial" w:hAnsi="Arial" w:cs="Arial"/>
          <w:color w:val="242130"/>
          <w:shd w:val="clear" w:color="auto" w:fill="FFFFFF"/>
        </w:rPr>
        <w:t xml:space="preserve">  Ibrahim</w:t>
      </w:r>
      <w:r>
        <w:rPr>
          <w:rFonts w:ascii="Arial" w:hAnsi="Arial" w:cs="Arial"/>
          <w:color w:val="242130"/>
          <w:shd w:val="clear" w:color="auto" w:fill="FFFFFF"/>
        </w:rPr>
        <w:t xml:space="preserve"> Rufai</w:t>
      </w:r>
    </w:p>
    <w:p w14:paraId="340317B6" w14:textId="77777777" w:rsidR="0030649F" w:rsidRDefault="0030649F" w:rsidP="006B6556">
      <w:pPr>
        <w:spacing w:line="360" w:lineRule="auto"/>
        <w:rPr>
          <w:rFonts w:ascii="Arial" w:hAnsi="Arial" w:cs="Arial"/>
          <w:color w:val="242130"/>
          <w:shd w:val="clear" w:color="auto" w:fill="FFFFFF"/>
        </w:rPr>
      </w:pPr>
    </w:p>
    <w:p w14:paraId="0490C2E3" w14:textId="77777777" w:rsidR="002F4B64" w:rsidRDefault="002F4B64" w:rsidP="006B6556">
      <w:pPr>
        <w:spacing w:line="360" w:lineRule="auto"/>
        <w:rPr>
          <w:rFonts w:ascii="Arial" w:hAnsi="Arial" w:cs="Arial"/>
          <w:color w:val="242130"/>
          <w:shd w:val="clear" w:color="auto" w:fill="FFFFFF"/>
        </w:rPr>
      </w:pPr>
    </w:p>
    <w:p w14:paraId="1C8C23DB" w14:textId="77777777" w:rsidR="002F4B64" w:rsidRDefault="002F4B64" w:rsidP="006B6556">
      <w:pPr>
        <w:spacing w:line="360" w:lineRule="auto"/>
        <w:rPr>
          <w:rFonts w:ascii="Arial" w:hAnsi="Arial" w:cs="Arial"/>
          <w:color w:val="242130"/>
          <w:shd w:val="clear" w:color="auto" w:fill="FFFFFF"/>
        </w:rPr>
      </w:pPr>
    </w:p>
    <w:p w14:paraId="3B140158" w14:textId="77777777" w:rsidR="002F4B64" w:rsidRDefault="002F4B64" w:rsidP="006B6556">
      <w:pPr>
        <w:spacing w:line="360" w:lineRule="auto"/>
        <w:rPr>
          <w:rFonts w:ascii="Arial" w:hAnsi="Arial" w:cs="Arial"/>
          <w:color w:val="242130"/>
          <w:shd w:val="clear" w:color="auto" w:fill="FFFFFF"/>
        </w:rPr>
      </w:pPr>
    </w:p>
    <w:p w14:paraId="37B0C1A4" w14:textId="77777777" w:rsidR="002F4B64" w:rsidRDefault="002F4B64" w:rsidP="006B6556">
      <w:pPr>
        <w:spacing w:line="360" w:lineRule="auto"/>
        <w:rPr>
          <w:rFonts w:ascii="Arial" w:hAnsi="Arial" w:cs="Arial"/>
          <w:color w:val="242130"/>
          <w:shd w:val="clear" w:color="auto" w:fill="FFFFFF"/>
        </w:rPr>
      </w:pPr>
    </w:p>
    <w:p w14:paraId="3925CAB7" w14:textId="77777777" w:rsidR="002F4B64" w:rsidRDefault="002F4B64" w:rsidP="006B6556">
      <w:pPr>
        <w:spacing w:line="360" w:lineRule="auto"/>
        <w:rPr>
          <w:rFonts w:ascii="Arial" w:hAnsi="Arial" w:cs="Arial"/>
          <w:color w:val="242130"/>
          <w:shd w:val="clear" w:color="auto" w:fill="FFFFFF"/>
        </w:rPr>
      </w:pPr>
    </w:p>
    <w:p w14:paraId="6A1DAF4D" w14:textId="77777777" w:rsidR="002F4B64" w:rsidRDefault="002F4B64" w:rsidP="006B6556">
      <w:pPr>
        <w:spacing w:line="360" w:lineRule="auto"/>
        <w:rPr>
          <w:rFonts w:ascii="Arial" w:hAnsi="Arial" w:cs="Arial"/>
          <w:color w:val="242130"/>
          <w:shd w:val="clear" w:color="auto" w:fill="FFFFFF"/>
        </w:rPr>
      </w:pPr>
    </w:p>
    <w:p w14:paraId="60914055" w14:textId="77777777" w:rsidR="002F4B64" w:rsidRDefault="002F4B64" w:rsidP="006B6556">
      <w:pPr>
        <w:spacing w:line="360" w:lineRule="auto"/>
        <w:rPr>
          <w:rFonts w:ascii="Arial" w:hAnsi="Arial" w:cs="Arial"/>
          <w:color w:val="242130"/>
          <w:shd w:val="clear" w:color="auto" w:fill="FFFFFF"/>
        </w:rPr>
      </w:pPr>
    </w:p>
    <w:p w14:paraId="11B7B7D7" w14:textId="77777777" w:rsidR="002F4B64" w:rsidRDefault="002F4B64" w:rsidP="006B6556">
      <w:pPr>
        <w:spacing w:line="360" w:lineRule="auto"/>
        <w:rPr>
          <w:rFonts w:ascii="Arial" w:hAnsi="Arial" w:cs="Arial"/>
          <w:color w:val="242130"/>
          <w:shd w:val="clear" w:color="auto" w:fill="FFFFFF"/>
        </w:rPr>
      </w:pPr>
    </w:p>
    <w:p w14:paraId="3CC9901B" w14:textId="77777777" w:rsidR="002F4B64" w:rsidRDefault="002F4B64" w:rsidP="006B6556">
      <w:pPr>
        <w:spacing w:line="360" w:lineRule="auto"/>
        <w:rPr>
          <w:rFonts w:ascii="Arial" w:hAnsi="Arial" w:cs="Arial"/>
          <w:color w:val="242130"/>
          <w:shd w:val="clear" w:color="auto" w:fill="FFFFFF"/>
        </w:rPr>
      </w:pPr>
    </w:p>
    <w:p w14:paraId="6DCD1C79" w14:textId="77777777" w:rsidR="002F4B64" w:rsidRDefault="002F4B64" w:rsidP="006B6556">
      <w:pPr>
        <w:spacing w:line="360" w:lineRule="auto"/>
        <w:rPr>
          <w:rFonts w:ascii="Arial" w:hAnsi="Arial" w:cs="Arial"/>
          <w:color w:val="242130"/>
          <w:shd w:val="clear" w:color="auto" w:fill="FFFFFF"/>
        </w:rPr>
      </w:pPr>
    </w:p>
    <w:p w14:paraId="181A7B34" w14:textId="77777777" w:rsidR="002F4B64" w:rsidRDefault="002F4B64" w:rsidP="006B6556">
      <w:pPr>
        <w:spacing w:line="360" w:lineRule="auto"/>
        <w:rPr>
          <w:rFonts w:ascii="Arial" w:hAnsi="Arial" w:cs="Arial"/>
          <w:color w:val="242130"/>
          <w:shd w:val="clear" w:color="auto" w:fill="FFFFFF"/>
        </w:rPr>
      </w:pPr>
    </w:p>
    <w:p w14:paraId="39F44B2B" w14:textId="77777777" w:rsidR="002F4B64" w:rsidRDefault="002F4B64" w:rsidP="006B6556">
      <w:pPr>
        <w:spacing w:line="360" w:lineRule="auto"/>
        <w:rPr>
          <w:rFonts w:ascii="Arial" w:hAnsi="Arial" w:cs="Arial"/>
          <w:color w:val="242130"/>
          <w:shd w:val="clear" w:color="auto" w:fill="FFFFFF"/>
        </w:rPr>
      </w:pPr>
    </w:p>
    <w:p w14:paraId="1D097E38" w14:textId="77777777" w:rsidR="002F4B64" w:rsidRDefault="002F4B64" w:rsidP="006B6556">
      <w:pPr>
        <w:spacing w:line="360" w:lineRule="auto"/>
        <w:rPr>
          <w:rFonts w:ascii="Arial" w:hAnsi="Arial" w:cs="Arial"/>
          <w:color w:val="242130"/>
          <w:shd w:val="clear" w:color="auto" w:fill="FFFFFF"/>
        </w:rPr>
      </w:pPr>
    </w:p>
    <w:p w14:paraId="63971483" w14:textId="77777777" w:rsidR="002F4B64" w:rsidRDefault="002F4B64" w:rsidP="006B6556">
      <w:pPr>
        <w:spacing w:line="360" w:lineRule="auto"/>
        <w:rPr>
          <w:rFonts w:ascii="Arial" w:hAnsi="Arial" w:cs="Arial"/>
          <w:color w:val="242130"/>
          <w:shd w:val="clear" w:color="auto" w:fill="FFFFFF"/>
        </w:rPr>
      </w:pPr>
    </w:p>
    <w:p w14:paraId="7126DE44" w14:textId="77777777" w:rsidR="002F4B64" w:rsidRDefault="002F4B64" w:rsidP="006B6556">
      <w:pPr>
        <w:spacing w:line="360" w:lineRule="auto"/>
        <w:rPr>
          <w:rFonts w:ascii="Arial" w:hAnsi="Arial" w:cs="Arial"/>
          <w:color w:val="242130"/>
          <w:shd w:val="clear" w:color="auto" w:fill="FFFFFF"/>
        </w:rPr>
      </w:pPr>
    </w:p>
    <w:p w14:paraId="0D9F659F" w14:textId="77777777" w:rsidR="002F4B64" w:rsidRDefault="002F4B64" w:rsidP="006B6556">
      <w:pPr>
        <w:spacing w:line="360" w:lineRule="auto"/>
        <w:rPr>
          <w:rFonts w:ascii="Arial" w:hAnsi="Arial" w:cs="Arial"/>
          <w:color w:val="242130"/>
          <w:shd w:val="clear" w:color="auto" w:fill="FFFFFF"/>
        </w:rPr>
      </w:pPr>
    </w:p>
    <w:p w14:paraId="5CD79997" w14:textId="77777777" w:rsidR="002F4B64" w:rsidRDefault="002F4B64" w:rsidP="006B6556">
      <w:pPr>
        <w:spacing w:line="360" w:lineRule="auto"/>
        <w:rPr>
          <w:rFonts w:ascii="Arial" w:hAnsi="Arial" w:cs="Arial"/>
          <w:color w:val="242130"/>
          <w:shd w:val="clear" w:color="auto" w:fill="FFFFFF"/>
        </w:rPr>
      </w:pPr>
    </w:p>
    <w:p w14:paraId="3314CE34" w14:textId="77777777" w:rsidR="0030649F" w:rsidRDefault="0030649F" w:rsidP="006B6556">
      <w:pPr>
        <w:spacing w:line="360" w:lineRule="auto"/>
        <w:rPr>
          <w:rFonts w:ascii="Arial" w:hAnsi="Arial" w:cs="Arial"/>
          <w:color w:val="242130"/>
          <w:shd w:val="clear" w:color="auto" w:fill="FFFFFF"/>
        </w:rPr>
      </w:pPr>
    </w:p>
    <w:sdt>
      <w:sdtPr>
        <w:rPr>
          <w:rFonts w:asciiTheme="minorHAnsi" w:eastAsiaTheme="minorHAnsi" w:hAnsiTheme="minorHAnsi" w:cstheme="minorBidi"/>
          <w:color w:val="auto"/>
          <w:kern w:val="2"/>
          <w:sz w:val="22"/>
          <w:szCs w:val="22"/>
          <w:lang w:eastAsia="en-US"/>
          <w14:ligatures w14:val="standardContextual"/>
        </w:rPr>
        <w:id w:val="-979533665"/>
        <w:docPartObj>
          <w:docPartGallery w:val="Table of Contents"/>
          <w:docPartUnique/>
        </w:docPartObj>
      </w:sdtPr>
      <w:sdtEndPr>
        <w:rPr>
          <w:rFonts w:ascii="Arial" w:hAnsi="Arial" w:cs="Arial"/>
          <w:b/>
          <w:bCs/>
        </w:rPr>
      </w:sdtEndPr>
      <w:sdtContent>
        <w:p w14:paraId="7EBFD3D8" w14:textId="772F0B3D" w:rsidR="0036285A" w:rsidRDefault="0036285A">
          <w:pPr>
            <w:pStyle w:val="TOCHeading"/>
          </w:pPr>
          <w:r>
            <w:t>Table of Contents</w:t>
          </w:r>
        </w:p>
        <w:p w14:paraId="047D95CF" w14:textId="1B7A0E19" w:rsidR="002D1DD7" w:rsidRPr="002D1DD7" w:rsidRDefault="0036285A" w:rsidP="002D1DD7">
          <w:pPr>
            <w:pStyle w:val="TOC1"/>
            <w:tabs>
              <w:tab w:val="right" w:leader="dot" w:pos="9016"/>
            </w:tabs>
            <w:spacing w:line="360" w:lineRule="auto"/>
            <w:rPr>
              <w:rFonts w:ascii="Arial" w:hAnsi="Arial" w:cs="Arial"/>
              <w:noProof/>
              <w:kern w:val="2"/>
              <w:sz w:val="24"/>
              <w:szCs w:val="24"/>
              <w14:ligatures w14:val="standardContextual"/>
            </w:rPr>
          </w:pPr>
          <w:r w:rsidRPr="002D1DD7">
            <w:rPr>
              <w:rFonts w:ascii="Arial" w:hAnsi="Arial" w:cs="Arial"/>
            </w:rPr>
            <w:fldChar w:fldCharType="begin"/>
          </w:r>
          <w:r w:rsidRPr="002D1DD7">
            <w:rPr>
              <w:rFonts w:ascii="Arial" w:hAnsi="Arial" w:cs="Arial"/>
            </w:rPr>
            <w:instrText xml:space="preserve"> TOC \o "1-3" \h \z \u </w:instrText>
          </w:r>
          <w:r w:rsidRPr="002D1DD7">
            <w:rPr>
              <w:rFonts w:ascii="Arial" w:hAnsi="Arial" w:cs="Arial"/>
            </w:rPr>
            <w:fldChar w:fldCharType="separate"/>
          </w:r>
          <w:hyperlink w:anchor="_Toc213675870" w:history="1">
            <w:r w:rsidR="002D1DD7" w:rsidRPr="002D1DD7">
              <w:rPr>
                <w:rStyle w:val="Hyperlink"/>
                <w:rFonts w:ascii="Arial" w:eastAsiaTheme="majorEastAsia" w:hAnsi="Arial" w:cs="Arial"/>
                <w:noProof/>
                <w:shd w:val="clear" w:color="auto" w:fill="FFFFFF"/>
              </w:rPr>
              <w:t>Executive Summary – International Hotel Derby</w:t>
            </w:r>
            <w:r w:rsidR="002D1DD7" w:rsidRPr="002D1DD7">
              <w:rPr>
                <w:rFonts w:ascii="Arial" w:hAnsi="Arial" w:cs="Arial"/>
                <w:noProof/>
                <w:webHidden/>
              </w:rPr>
              <w:tab/>
            </w:r>
            <w:r w:rsidR="002D1DD7" w:rsidRPr="002D1DD7">
              <w:rPr>
                <w:rFonts w:ascii="Arial" w:hAnsi="Arial" w:cs="Arial"/>
                <w:noProof/>
                <w:webHidden/>
              </w:rPr>
              <w:fldChar w:fldCharType="begin"/>
            </w:r>
            <w:r w:rsidR="002D1DD7" w:rsidRPr="002D1DD7">
              <w:rPr>
                <w:rFonts w:ascii="Arial" w:hAnsi="Arial" w:cs="Arial"/>
                <w:noProof/>
                <w:webHidden/>
              </w:rPr>
              <w:instrText xml:space="preserve"> PAGEREF _Toc213675870 \h </w:instrText>
            </w:r>
            <w:r w:rsidR="002D1DD7" w:rsidRPr="002D1DD7">
              <w:rPr>
                <w:rFonts w:ascii="Arial" w:hAnsi="Arial" w:cs="Arial"/>
                <w:noProof/>
                <w:webHidden/>
              </w:rPr>
            </w:r>
            <w:r w:rsidR="002D1DD7" w:rsidRPr="002D1DD7">
              <w:rPr>
                <w:rFonts w:ascii="Arial" w:hAnsi="Arial" w:cs="Arial"/>
                <w:noProof/>
                <w:webHidden/>
              </w:rPr>
              <w:fldChar w:fldCharType="separate"/>
            </w:r>
            <w:r w:rsidR="002D1DD7" w:rsidRPr="002D1DD7">
              <w:rPr>
                <w:rFonts w:ascii="Arial" w:hAnsi="Arial" w:cs="Arial"/>
                <w:noProof/>
                <w:webHidden/>
              </w:rPr>
              <w:t>3</w:t>
            </w:r>
            <w:r w:rsidR="002D1DD7" w:rsidRPr="002D1DD7">
              <w:rPr>
                <w:rFonts w:ascii="Arial" w:hAnsi="Arial" w:cs="Arial"/>
                <w:noProof/>
                <w:webHidden/>
              </w:rPr>
              <w:fldChar w:fldCharType="end"/>
            </w:r>
          </w:hyperlink>
        </w:p>
        <w:p w14:paraId="60E8D8B3" w14:textId="0706B004"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1" w:history="1">
            <w:r w:rsidRPr="002D1DD7">
              <w:rPr>
                <w:rStyle w:val="Hyperlink"/>
                <w:rFonts w:ascii="Arial" w:hAnsi="Arial" w:cs="Arial"/>
                <w:noProof/>
                <w:shd w:val="clear" w:color="auto" w:fill="FFFFFF"/>
              </w:rPr>
              <w:t>Introduction to International Hotel Derby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_Toc213675871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3</w:t>
            </w:r>
            <w:r w:rsidRPr="002D1DD7">
              <w:rPr>
                <w:rFonts w:ascii="Arial" w:hAnsi="Arial" w:cs="Arial"/>
                <w:noProof/>
                <w:webHidden/>
              </w:rPr>
              <w:fldChar w:fldCharType="end"/>
            </w:r>
          </w:hyperlink>
        </w:p>
        <w:p w14:paraId="5FCE3533" w14:textId="2B525596"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2" w:history="1">
            <w:r w:rsidRPr="002D1DD7">
              <w:rPr>
                <w:rStyle w:val="Hyperlink"/>
                <w:rFonts w:ascii="Arial" w:hAnsi="Arial" w:cs="Arial"/>
                <w:noProof/>
              </w:rPr>
              <w:t>Appraisal of the Current Strategic Direction and Goals – International Hotel Derby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_Toc213675872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5</w:t>
            </w:r>
            <w:r w:rsidRPr="002D1DD7">
              <w:rPr>
                <w:rFonts w:ascii="Arial" w:hAnsi="Arial" w:cs="Arial"/>
                <w:noProof/>
                <w:webHidden/>
              </w:rPr>
              <w:fldChar w:fldCharType="end"/>
            </w:r>
          </w:hyperlink>
        </w:p>
        <w:p w14:paraId="04DBCE22" w14:textId="67F8C729" w:rsidR="002D1DD7" w:rsidRPr="002D1DD7" w:rsidRDefault="002D1DD7" w:rsidP="002D1DD7">
          <w:pPr>
            <w:pStyle w:val="TOC3"/>
            <w:tabs>
              <w:tab w:val="right" w:leader="dot" w:pos="9016"/>
            </w:tabs>
            <w:spacing w:line="360" w:lineRule="auto"/>
            <w:rPr>
              <w:rFonts w:ascii="Arial" w:hAnsi="Arial" w:cs="Arial"/>
              <w:noProof/>
              <w:kern w:val="2"/>
              <w:sz w:val="24"/>
              <w:szCs w:val="24"/>
              <w14:ligatures w14:val="standardContextual"/>
            </w:rPr>
          </w:pPr>
          <w:hyperlink w:anchor="_Toc213675873" w:history="1">
            <w:r w:rsidRPr="002D1DD7">
              <w:rPr>
                <w:rStyle w:val="Hyperlink"/>
                <w:rFonts w:ascii="Arial" w:eastAsia="Times New Roman" w:hAnsi="Arial" w:cs="Arial"/>
                <w:noProof/>
              </w:rPr>
              <w:t>Strategic Direction Summary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_Toc213675873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6</w:t>
            </w:r>
            <w:r w:rsidRPr="002D1DD7">
              <w:rPr>
                <w:rFonts w:ascii="Arial" w:hAnsi="Arial" w:cs="Arial"/>
                <w:noProof/>
                <w:webHidden/>
              </w:rPr>
              <w:fldChar w:fldCharType="end"/>
            </w:r>
          </w:hyperlink>
        </w:p>
        <w:p w14:paraId="7F7F9157" w14:textId="0A0AF713"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4" w:history="1">
            <w:r w:rsidRPr="002D1DD7">
              <w:rPr>
                <w:rStyle w:val="Hyperlink"/>
                <w:rFonts w:ascii="Arial" w:hAnsi="Arial" w:cs="Arial"/>
                <w:noProof/>
              </w:rPr>
              <w:t>Environmental Scan and Competitive Positioning of International Hotel Derby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_Toc213675874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7</w:t>
            </w:r>
            <w:r w:rsidRPr="002D1DD7">
              <w:rPr>
                <w:rFonts w:ascii="Arial" w:hAnsi="Arial" w:cs="Arial"/>
                <w:noProof/>
                <w:webHidden/>
              </w:rPr>
              <w:fldChar w:fldCharType="end"/>
            </w:r>
          </w:hyperlink>
        </w:p>
        <w:p w14:paraId="5BF7B023" w14:textId="031B5EEE"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5" w:history="1">
            <w:r w:rsidRPr="002D1DD7">
              <w:rPr>
                <w:rStyle w:val="Hyperlink"/>
                <w:rFonts w:ascii="Arial" w:hAnsi="Arial" w:cs="Arial"/>
                <w:noProof/>
              </w:rPr>
              <w:t>Strategic Growth Choices and Sustainable Strategy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_Toc213675875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12</w:t>
            </w:r>
            <w:r w:rsidRPr="002D1DD7">
              <w:rPr>
                <w:rFonts w:ascii="Arial" w:hAnsi="Arial" w:cs="Arial"/>
                <w:noProof/>
                <w:webHidden/>
              </w:rPr>
              <w:fldChar w:fldCharType="end"/>
            </w:r>
          </w:hyperlink>
        </w:p>
        <w:p w14:paraId="482D2088" w14:textId="71875372"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6" w:history="1">
            <w:r w:rsidRPr="002D1DD7">
              <w:rPr>
                <w:rStyle w:val="Hyperlink"/>
                <w:rFonts w:ascii="Arial" w:hAnsi="Arial" w:cs="Arial"/>
                <w:noProof/>
              </w:rPr>
              <w:t>Stakeholder Analysis and Evaluation of Strategic Options – International Hotel Derby</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_Toc213675876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14</w:t>
            </w:r>
            <w:r w:rsidRPr="002D1DD7">
              <w:rPr>
                <w:rFonts w:ascii="Arial" w:hAnsi="Arial" w:cs="Arial"/>
                <w:noProof/>
                <w:webHidden/>
              </w:rPr>
              <w:fldChar w:fldCharType="end"/>
            </w:r>
          </w:hyperlink>
        </w:p>
        <w:p w14:paraId="0645D7E1" w14:textId="608CDB0C" w:rsidR="002D1DD7" w:rsidRPr="002D1DD7" w:rsidRDefault="002D1DD7" w:rsidP="002D1DD7">
          <w:pPr>
            <w:pStyle w:val="TOC3"/>
            <w:tabs>
              <w:tab w:val="right" w:leader="dot" w:pos="9016"/>
            </w:tabs>
            <w:spacing w:line="360" w:lineRule="auto"/>
            <w:rPr>
              <w:rFonts w:ascii="Arial" w:hAnsi="Arial" w:cs="Arial"/>
              <w:noProof/>
              <w:kern w:val="2"/>
              <w:sz w:val="24"/>
              <w:szCs w:val="24"/>
              <w14:ligatures w14:val="standardContextual"/>
            </w:rPr>
          </w:pPr>
          <w:hyperlink w:anchor="_Toc213675877" w:history="1">
            <w:r w:rsidRPr="002D1DD7">
              <w:rPr>
                <w:rStyle w:val="Hyperlink"/>
                <w:rFonts w:ascii="Arial" w:eastAsia="Times New Roman" w:hAnsi="Arial" w:cs="Arial"/>
                <w:noProof/>
              </w:rPr>
              <w:t>RACI Framework for Strategic Initiatives</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_Toc213675877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15</w:t>
            </w:r>
            <w:r w:rsidRPr="002D1DD7">
              <w:rPr>
                <w:rFonts w:ascii="Arial" w:hAnsi="Arial" w:cs="Arial"/>
                <w:noProof/>
                <w:webHidden/>
              </w:rPr>
              <w:fldChar w:fldCharType="end"/>
            </w:r>
          </w:hyperlink>
        </w:p>
        <w:p w14:paraId="40777761" w14:textId="522B7F54" w:rsidR="002D1DD7" w:rsidRPr="002D1DD7" w:rsidRDefault="002D1DD7" w:rsidP="002D1DD7">
          <w:pPr>
            <w:pStyle w:val="TOC3"/>
            <w:tabs>
              <w:tab w:val="right" w:leader="dot" w:pos="9016"/>
            </w:tabs>
            <w:spacing w:line="360" w:lineRule="auto"/>
            <w:rPr>
              <w:rFonts w:ascii="Arial" w:hAnsi="Arial" w:cs="Arial"/>
              <w:noProof/>
              <w:kern w:val="2"/>
              <w:sz w:val="24"/>
              <w:szCs w:val="24"/>
              <w14:ligatures w14:val="standardContextual"/>
            </w:rPr>
          </w:pPr>
          <w:hyperlink w:anchor="_Toc213675878" w:history="1">
            <w:r w:rsidRPr="002D1DD7">
              <w:rPr>
                <w:rStyle w:val="Hyperlink"/>
                <w:rFonts w:ascii="Arial" w:eastAsia="Times New Roman" w:hAnsi="Arial" w:cs="Arial"/>
                <w:noProof/>
              </w:rPr>
              <w:t>Critical Evaluation of Stakeholder Expectations vs Strategic Options</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_Toc213675878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15</w:t>
            </w:r>
            <w:r w:rsidRPr="002D1DD7">
              <w:rPr>
                <w:rFonts w:ascii="Arial" w:hAnsi="Arial" w:cs="Arial"/>
                <w:noProof/>
                <w:webHidden/>
              </w:rPr>
              <w:fldChar w:fldCharType="end"/>
            </w:r>
          </w:hyperlink>
        </w:p>
        <w:p w14:paraId="422B9742" w14:textId="1F3A7532"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79" w:history="1">
            <w:r w:rsidRPr="002D1DD7">
              <w:rPr>
                <w:rStyle w:val="Hyperlink"/>
                <w:rFonts w:ascii="Arial" w:hAnsi="Arial" w:cs="Arial"/>
                <w:noProof/>
              </w:rPr>
              <w:t>Key Strategic</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_Toc213675879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16</w:t>
            </w:r>
            <w:r w:rsidRPr="002D1DD7">
              <w:rPr>
                <w:rFonts w:ascii="Arial" w:hAnsi="Arial" w:cs="Arial"/>
                <w:noProof/>
                <w:webHidden/>
              </w:rPr>
              <w:fldChar w:fldCharType="end"/>
            </w:r>
          </w:hyperlink>
        </w:p>
        <w:p w14:paraId="1D56A2B5" w14:textId="68E590CD" w:rsidR="002D1DD7" w:rsidRPr="002D1DD7" w:rsidRDefault="002D1DD7" w:rsidP="002D1DD7">
          <w:pPr>
            <w:pStyle w:val="TOC2"/>
            <w:tabs>
              <w:tab w:val="right" w:leader="dot" w:pos="9016"/>
            </w:tabs>
            <w:spacing w:line="360" w:lineRule="auto"/>
            <w:rPr>
              <w:rFonts w:ascii="Arial" w:hAnsi="Arial" w:cs="Arial"/>
              <w:noProof/>
              <w:kern w:val="2"/>
              <w:sz w:val="24"/>
              <w:szCs w:val="24"/>
              <w14:ligatures w14:val="standardContextual"/>
            </w:rPr>
          </w:pPr>
          <w:hyperlink w:anchor="_Toc213675880" w:history="1">
            <w:r w:rsidRPr="002D1DD7">
              <w:rPr>
                <w:rStyle w:val="Hyperlink"/>
                <w:rFonts w:ascii="Arial" w:eastAsia="Times New Roman" w:hAnsi="Arial" w:cs="Arial"/>
                <w:noProof/>
              </w:rPr>
              <w:t>Strategic Recommendations – International Hotel Derby (IHD)</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_Toc213675880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16</w:t>
            </w:r>
            <w:r w:rsidRPr="002D1DD7">
              <w:rPr>
                <w:rFonts w:ascii="Arial" w:hAnsi="Arial" w:cs="Arial"/>
                <w:noProof/>
                <w:webHidden/>
              </w:rPr>
              <w:fldChar w:fldCharType="end"/>
            </w:r>
          </w:hyperlink>
        </w:p>
        <w:p w14:paraId="1FACCA87" w14:textId="3ABF165F"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81" w:history="1">
            <w:r w:rsidRPr="002D1DD7">
              <w:rPr>
                <w:rStyle w:val="Hyperlink"/>
                <w:rFonts w:ascii="Arial" w:hAnsi="Arial" w:cs="Arial"/>
                <w:noProof/>
              </w:rPr>
              <w:t>Conclusion</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_Toc213675881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16</w:t>
            </w:r>
            <w:r w:rsidRPr="002D1DD7">
              <w:rPr>
                <w:rFonts w:ascii="Arial" w:hAnsi="Arial" w:cs="Arial"/>
                <w:noProof/>
                <w:webHidden/>
              </w:rPr>
              <w:fldChar w:fldCharType="end"/>
            </w:r>
          </w:hyperlink>
        </w:p>
        <w:p w14:paraId="42E26F8A" w14:textId="14F4A3F5" w:rsidR="002D1DD7" w:rsidRPr="002D1DD7" w:rsidRDefault="002D1DD7" w:rsidP="002D1DD7">
          <w:pPr>
            <w:pStyle w:val="TOC1"/>
            <w:tabs>
              <w:tab w:val="right" w:leader="dot" w:pos="9016"/>
            </w:tabs>
            <w:spacing w:line="360" w:lineRule="auto"/>
            <w:rPr>
              <w:rFonts w:ascii="Arial" w:hAnsi="Arial" w:cs="Arial"/>
              <w:noProof/>
              <w:kern w:val="2"/>
              <w:sz w:val="24"/>
              <w:szCs w:val="24"/>
              <w14:ligatures w14:val="standardContextual"/>
            </w:rPr>
          </w:pPr>
          <w:hyperlink w:anchor="_Toc213675882" w:history="1">
            <w:r w:rsidRPr="002D1DD7">
              <w:rPr>
                <w:rStyle w:val="Hyperlink"/>
                <w:rFonts w:ascii="Arial" w:eastAsia="Times New Roman" w:hAnsi="Arial" w:cs="Arial"/>
                <w:noProof/>
              </w:rPr>
              <w:t>References</w:t>
            </w:r>
            <w:r w:rsidRPr="002D1DD7">
              <w:rPr>
                <w:rFonts w:ascii="Arial" w:hAnsi="Arial" w:cs="Arial"/>
                <w:noProof/>
                <w:webHidden/>
              </w:rPr>
              <w:tab/>
            </w:r>
            <w:r w:rsidRPr="002D1DD7">
              <w:rPr>
                <w:rFonts w:ascii="Arial" w:hAnsi="Arial" w:cs="Arial"/>
                <w:noProof/>
                <w:webHidden/>
              </w:rPr>
              <w:fldChar w:fldCharType="begin"/>
            </w:r>
            <w:r w:rsidRPr="002D1DD7">
              <w:rPr>
                <w:rFonts w:ascii="Arial" w:hAnsi="Arial" w:cs="Arial"/>
                <w:noProof/>
                <w:webHidden/>
              </w:rPr>
              <w:instrText xml:space="preserve"> PAGEREF _Toc213675882 \h </w:instrText>
            </w:r>
            <w:r w:rsidRPr="002D1DD7">
              <w:rPr>
                <w:rFonts w:ascii="Arial" w:hAnsi="Arial" w:cs="Arial"/>
                <w:noProof/>
                <w:webHidden/>
              </w:rPr>
            </w:r>
            <w:r w:rsidRPr="002D1DD7">
              <w:rPr>
                <w:rFonts w:ascii="Arial" w:hAnsi="Arial" w:cs="Arial"/>
                <w:noProof/>
                <w:webHidden/>
              </w:rPr>
              <w:fldChar w:fldCharType="separate"/>
            </w:r>
            <w:r w:rsidRPr="002D1DD7">
              <w:rPr>
                <w:rFonts w:ascii="Arial" w:hAnsi="Arial" w:cs="Arial"/>
                <w:noProof/>
                <w:webHidden/>
              </w:rPr>
              <w:t>17</w:t>
            </w:r>
            <w:r w:rsidRPr="002D1DD7">
              <w:rPr>
                <w:rFonts w:ascii="Arial" w:hAnsi="Arial" w:cs="Arial"/>
                <w:noProof/>
                <w:webHidden/>
              </w:rPr>
              <w:fldChar w:fldCharType="end"/>
            </w:r>
          </w:hyperlink>
        </w:p>
        <w:p w14:paraId="202F048D" w14:textId="03DDDA74" w:rsidR="0036285A" w:rsidRPr="002D1DD7" w:rsidRDefault="0036285A" w:rsidP="002D1DD7">
          <w:pPr>
            <w:spacing w:line="360" w:lineRule="auto"/>
            <w:rPr>
              <w:rFonts w:ascii="Arial" w:hAnsi="Arial" w:cs="Arial"/>
            </w:rPr>
          </w:pPr>
          <w:r w:rsidRPr="002D1DD7">
            <w:rPr>
              <w:rFonts w:ascii="Arial" w:hAnsi="Arial" w:cs="Arial"/>
              <w:b/>
              <w:bCs/>
            </w:rPr>
            <w:fldChar w:fldCharType="end"/>
          </w:r>
        </w:p>
      </w:sdtContent>
    </w:sdt>
    <w:p w14:paraId="17BBB6B2" w14:textId="77777777" w:rsidR="006B6556" w:rsidRDefault="006B6556" w:rsidP="006B6556">
      <w:pPr>
        <w:spacing w:line="360" w:lineRule="auto"/>
        <w:rPr>
          <w:rFonts w:ascii="Arial" w:hAnsi="Arial" w:cs="Arial"/>
          <w:color w:val="242130"/>
          <w:shd w:val="clear" w:color="auto" w:fill="FFFFFF"/>
        </w:rPr>
      </w:pPr>
    </w:p>
    <w:p w14:paraId="55CF952D" w14:textId="77777777" w:rsidR="006B6556" w:rsidRDefault="006B6556" w:rsidP="006B6556">
      <w:pPr>
        <w:spacing w:line="360" w:lineRule="auto"/>
        <w:rPr>
          <w:rFonts w:ascii="Arial" w:hAnsi="Arial" w:cs="Arial"/>
          <w:color w:val="242130"/>
          <w:shd w:val="clear" w:color="auto" w:fill="FFFFFF"/>
        </w:rPr>
      </w:pPr>
    </w:p>
    <w:p w14:paraId="266BB05A" w14:textId="77777777" w:rsidR="006B6556" w:rsidRDefault="006B6556" w:rsidP="006B6556">
      <w:pPr>
        <w:spacing w:line="360" w:lineRule="auto"/>
        <w:rPr>
          <w:rFonts w:ascii="Arial" w:hAnsi="Arial" w:cs="Arial"/>
          <w:color w:val="242130"/>
          <w:shd w:val="clear" w:color="auto" w:fill="FFFFFF"/>
        </w:rPr>
      </w:pPr>
    </w:p>
    <w:p w14:paraId="555325B4" w14:textId="77777777" w:rsidR="006B6556" w:rsidRDefault="006B6556" w:rsidP="006B6556">
      <w:pPr>
        <w:spacing w:line="360" w:lineRule="auto"/>
        <w:rPr>
          <w:rFonts w:ascii="Arial" w:hAnsi="Arial" w:cs="Arial"/>
          <w:color w:val="242130"/>
          <w:shd w:val="clear" w:color="auto" w:fill="FFFFFF"/>
        </w:rPr>
      </w:pPr>
    </w:p>
    <w:p w14:paraId="5E3054D4" w14:textId="77777777" w:rsidR="006B6556" w:rsidRDefault="006B6556" w:rsidP="006B6556">
      <w:pPr>
        <w:spacing w:line="360" w:lineRule="auto"/>
        <w:rPr>
          <w:rFonts w:ascii="Arial" w:hAnsi="Arial" w:cs="Arial"/>
          <w:color w:val="242130"/>
          <w:shd w:val="clear" w:color="auto" w:fill="FFFFFF"/>
        </w:rPr>
      </w:pPr>
    </w:p>
    <w:p w14:paraId="68797578" w14:textId="77777777" w:rsidR="006B6556" w:rsidRDefault="006B6556" w:rsidP="006B6556">
      <w:pPr>
        <w:spacing w:line="360" w:lineRule="auto"/>
        <w:rPr>
          <w:rFonts w:ascii="Arial" w:hAnsi="Arial" w:cs="Arial"/>
          <w:color w:val="242130"/>
          <w:shd w:val="clear" w:color="auto" w:fill="FFFFFF"/>
        </w:rPr>
      </w:pPr>
    </w:p>
    <w:p w14:paraId="09D18DCA" w14:textId="77777777" w:rsidR="006B6556" w:rsidRDefault="006B6556" w:rsidP="006B6556">
      <w:pPr>
        <w:spacing w:line="360" w:lineRule="auto"/>
        <w:rPr>
          <w:rFonts w:ascii="Arial" w:hAnsi="Arial" w:cs="Arial"/>
          <w:color w:val="242130"/>
          <w:shd w:val="clear" w:color="auto" w:fill="FFFFFF"/>
        </w:rPr>
      </w:pPr>
    </w:p>
    <w:p w14:paraId="77B65C8A" w14:textId="77777777" w:rsidR="006B6556" w:rsidRDefault="006B6556" w:rsidP="006B6556">
      <w:pPr>
        <w:spacing w:line="360" w:lineRule="auto"/>
        <w:rPr>
          <w:rFonts w:ascii="Arial" w:hAnsi="Arial" w:cs="Arial"/>
          <w:color w:val="242130"/>
          <w:shd w:val="clear" w:color="auto" w:fill="FFFFFF"/>
        </w:rPr>
      </w:pPr>
    </w:p>
    <w:p w14:paraId="39DCABA5" w14:textId="77777777" w:rsidR="006B6556" w:rsidRDefault="006B6556" w:rsidP="006B6556">
      <w:pPr>
        <w:spacing w:line="360" w:lineRule="auto"/>
        <w:rPr>
          <w:rFonts w:ascii="Arial" w:hAnsi="Arial" w:cs="Arial"/>
          <w:color w:val="242130"/>
          <w:shd w:val="clear" w:color="auto" w:fill="FFFFFF"/>
        </w:rPr>
      </w:pPr>
    </w:p>
    <w:p w14:paraId="795B11DE" w14:textId="77777777" w:rsidR="006B6556" w:rsidRDefault="006B6556" w:rsidP="006B6556">
      <w:pPr>
        <w:spacing w:line="360" w:lineRule="auto"/>
        <w:rPr>
          <w:rFonts w:ascii="Arial" w:hAnsi="Arial" w:cs="Arial"/>
          <w:color w:val="242130"/>
          <w:shd w:val="clear" w:color="auto" w:fill="FFFFFF"/>
        </w:rPr>
      </w:pPr>
    </w:p>
    <w:p w14:paraId="0BD3ED5D" w14:textId="77777777" w:rsidR="006B6556" w:rsidRDefault="006B6556" w:rsidP="006B6556">
      <w:pPr>
        <w:spacing w:line="360" w:lineRule="auto"/>
        <w:rPr>
          <w:rFonts w:ascii="Arial" w:hAnsi="Arial" w:cs="Arial"/>
          <w:color w:val="242130"/>
          <w:shd w:val="clear" w:color="auto" w:fill="FFFFFF"/>
        </w:rPr>
      </w:pPr>
    </w:p>
    <w:p w14:paraId="79B04F61" w14:textId="77777777" w:rsidR="006B6556" w:rsidRDefault="006B6556" w:rsidP="006B6556">
      <w:pPr>
        <w:spacing w:line="360" w:lineRule="auto"/>
        <w:rPr>
          <w:rFonts w:ascii="Arial" w:hAnsi="Arial" w:cs="Arial"/>
          <w:color w:val="242130"/>
          <w:shd w:val="clear" w:color="auto" w:fill="FFFFFF"/>
        </w:rPr>
      </w:pPr>
    </w:p>
    <w:p w14:paraId="31D9655A" w14:textId="77777777" w:rsidR="006B6556" w:rsidRDefault="006B6556" w:rsidP="006B6556">
      <w:pPr>
        <w:spacing w:line="360" w:lineRule="auto"/>
        <w:rPr>
          <w:rFonts w:ascii="Arial" w:hAnsi="Arial" w:cs="Arial"/>
          <w:color w:val="242130"/>
          <w:shd w:val="clear" w:color="auto" w:fill="FFFFFF"/>
        </w:rPr>
      </w:pPr>
    </w:p>
    <w:p w14:paraId="59F46D3C" w14:textId="77777777" w:rsidR="006B6556" w:rsidRDefault="006B6556" w:rsidP="006B6556">
      <w:pPr>
        <w:spacing w:line="360" w:lineRule="auto"/>
        <w:rPr>
          <w:rFonts w:ascii="Arial" w:hAnsi="Arial" w:cs="Arial"/>
          <w:color w:val="242130"/>
          <w:shd w:val="clear" w:color="auto" w:fill="FFFFFF"/>
        </w:rPr>
      </w:pPr>
    </w:p>
    <w:p w14:paraId="1CBC8758" w14:textId="77777777" w:rsidR="006249C9" w:rsidRPr="006249C9" w:rsidRDefault="006249C9" w:rsidP="006249C9">
      <w:pPr>
        <w:keepNext/>
        <w:keepLines/>
        <w:spacing w:before="360" w:after="80"/>
        <w:outlineLvl w:val="0"/>
        <w:rPr>
          <w:rFonts w:asciiTheme="majorHAnsi" w:eastAsiaTheme="majorEastAsia" w:hAnsiTheme="majorHAnsi" w:cstheme="majorBidi"/>
          <w:color w:val="0F4761" w:themeColor="accent1" w:themeShade="BF"/>
          <w:sz w:val="40"/>
          <w:szCs w:val="40"/>
          <w:shd w:val="clear" w:color="auto" w:fill="FFFFFF"/>
        </w:rPr>
      </w:pPr>
      <w:bookmarkStart w:id="0" w:name="_Toc213675870"/>
      <w:r w:rsidRPr="006249C9">
        <w:rPr>
          <w:rFonts w:asciiTheme="majorHAnsi" w:eastAsiaTheme="majorEastAsia" w:hAnsiTheme="majorHAnsi" w:cstheme="majorBidi"/>
          <w:color w:val="0F4761" w:themeColor="accent1" w:themeShade="BF"/>
          <w:sz w:val="40"/>
          <w:szCs w:val="40"/>
          <w:shd w:val="clear" w:color="auto" w:fill="FFFFFF"/>
        </w:rPr>
        <w:t>Executive Summary – International Hotel Derby</w:t>
      </w:r>
      <w:bookmarkEnd w:id="0"/>
    </w:p>
    <w:p w14:paraId="17FF43C1" w14:textId="77777777" w:rsidR="001B6624" w:rsidRPr="00120765" w:rsidRDefault="001B6624" w:rsidP="00120765"/>
    <w:p w14:paraId="15B0480F" w14:textId="562C2D5D" w:rsidR="00120765" w:rsidRPr="006249C9" w:rsidRDefault="000171F4" w:rsidP="006249C9">
      <w:pPr>
        <w:spacing w:line="360" w:lineRule="auto"/>
        <w:rPr>
          <w:rFonts w:ascii="Arial" w:hAnsi="Arial" w:cs="Arial"/>
          <w:color w:val="242130"/>
          <w:shd w:val="clear" w:color="auto" w:fill="FFFFFF"/>
        </w:rPr>
      </w:pPr>
      <w:r w:rsidRPr="000171F4">
        <w:rPr>
          <w:rFonts w:ascii="Arial" w:hAnsi="Arial" w:cs="Arial"/>
          <w:color w:val="242130"/>
          <w:shd w:val="clear" w:color="auto" w:fill="FFFFFF"/>
        </w:rPr>
        <w:t>The International Hotel Derby (IHD), a small to medium-sized enterprise in the hospitality industry, is currently navigating challenges such as heightened competition, the need for digital transformation, and constraints on resources. To foster sustainable growth, this report outlines strategic initiatives centred on innovation, enhancing customer engagement, and building operational resilience. Key strategies include bolstering the hotel's online presence through data-driven marketing and upgraded booking systems, offering personalized services and loyalty programs to improve customer satisfaction and retention, and adopting eco-friendly practices alongside local sourcing to attract environmentally conscious travellers</w:t>
      </w:r>
    </w:p>
    <w:p w14:paraId="25024970" w14:textId="77777777" w:rsidR="00120765" w:rsidRDefault="00120765" w:rsidP="00120765">
      <w:pPr>
        <w:pStyle w:val="Heading1"/>
        <w:rPr>
          <w:shd w:val="clear" w:color="auto" w:fill="FFFFFF"/>
        </w:rPr>
      </w:pPr>
      <w:bookmarkStart w:id="1" w:name="_Toc213675871"/>
      <w:r w:rsidRPr="00120765">
        <w:rPr>
          <w:shd w:val="clear" w:color="auto" w:fill="FFFFFF"/>
        </w:rPr>
        <w:t>Introduction to International Hotel Derby</w:t>
      </w:r>
      <w:bookmarkEnd w:id="1"/>
    </w:p>
    <w:p w14:paraId="6CBA5307" w14:textId="378E3BCB" w:rsidR="000171F4" w:rsidRPr="000171F4" w:rsidRDefault="000171F4" w:rsidP="000171F4">
      <w:pPr>
        <w:spacing w:line="360" w:lineRule="auto"/>
        <w:rPr>
          <w:rFonts w:ascii="Arial" w:hAnsi="Arial" w:cs="Arial"/>
          <w:color w:val="242130"/>
          <w:shd w:val="clear" w:color="auto" w:fill="FFFFFF"/>
        </w:rPr>
      </w:pPr>
      <w:r w:rsidRPr="000171F4">
        <w:rPr>
          <w:rFonts w:ascii="Arial" w:hAnsi="Arial" w:cs="Arial"/>
          <w:color w:val="242130"/>
          <w:shd w:val="clear" w:color="auto" w:fill="FFFFFF"/>
        </w:rPr>
        <w:t>The International Hotel Derby (IHD) is a privately owned hospitality establishment situated in Derby, United Kingdom. As a small to medium-sized hotel, IHD provides a variety of accommodations, dining options, and event services tailored to meet the needs of both business and leisure travellers. Its offerings include comfortable guest rooms, a fine dining restaurant that emphasizes locally sourced ingredients, conference facilities, and customized hospitality packages for tourists and corporate clients</w:t>
      </w:r>
    </w:p>
    <w:p w14:paraId="5ECF0172" w14:textId="6698B389" w:rsidR="000171F4" w:rsidRPr="000171F4" w:rsidRDefault="000171F4" w:rsidP="000171F4">
      <w:pPr>
        <w:spacing w:line="360" w:lineRule="auto"/>
        <w:rPr>
          <w:rFonts w:ascii="Arial" w:hAnsi="Arial" w:cs="Arial"/>
          <w:color w:val="242130"/>
          <w:shd w:val="clear" w:color="auto" w:fill="FFFFFF"/>
        </w:rPr>
      </w:pPr>
      <w:r w:rsidRPr="000171F4">
        <w:rPr>
          <w:rFonts w:ascii="Arial" w:hAnsi="Arial" w:cs="Arial"/>
          <w:color w:val="242130"/>
          <w:shd w:val="clear" w:color="auto" w:fill="FFFFFF"/>
        </w:rPr>
        <w:t>IHD adopts a customer-focused business model that prioritizes personalized experiences to enhance guest satisfaction and foster loyalty. By merging traditional hospitality values with contemporary operational methods, such as online booking systems and targeted digital marketing, the hotel effectively attracts both local and international visitors.</w:t>
      </w:r>
    </w:p>
    <w:p w14:paraId="431D4A2E" w14:textId="77777777" w:rsidR="000171F4" w:rsidRDefault="000171F4" w:rsidP="000171F4">
      <w:pPr>
        <w:spacing w:line="360" w:lineRule="auto"/>
        <w:rPr>
          <w:rFonts w:ascii="Arial" w:hAnsi="Arial" w:cs="Arial"/>
          <w:color w:val="242130"/>
          <w:shd w:val="clear" w:color="auto" w:fill="FFFFFF"/>
        </w:rPr>
      </w:pPr>
    </w:p>
    <w:p w14:paraId="4ABD1655" w14:textId="77777777" w:rsidR="002F4B64" w:rsidRDefault="002F4B64" w:rsidP="000171F4">
      <w:pPr>
        <w:spacing w:line="360" w:lineRule="auto"/>
        <w:rPr>
          <w:rFonts w:ascii="Arial" w:hAnsi="Arial" w:cs="Arial"/>
          <w:color w:val="242130"/>
          <w:shd w:val="clear" w:color="auto" w:fill="FFFFFF"/>
        </w:rPr>
      </w:pPr>
    </w:p>
    <w:p w14:paraId="74ADC302" w14:textId="77777777" w:rsidR="002F4B64" w:rsidRDefault="002F4B64" w:rsidP="000171F4">
      <w:pPr>
        <w:spacing w:line="360" w:lineRule="auto"/>
        <w:rPr>
          <w:rFonts w:ascii="Arial" w:hAnsi="Arial" w:cs="Arial"/>
          <w:color w:val="242130"/>
          <w:shd w:val="clear" w:color="auto" w:fill="FFFFFF"/>
        </w:rPr>
      </w:pPr>
    </w:p>
    <w:p w14:paraId="49C0BE12" w14:textId="77777777" w:rsidR="002F4B64" w:rsidRDefault="002F4B64" w:rsidP="000171F4">
      <w:pPr>
        <w:spacing w:line="360" w:lineRule="auto"/>
        <w:rPr>
          <w:rFonts w:ascii="Arial" w:hAnsi="Arial" w:cs="Arial"/>
          <w:color w:val="242130"/>
          <w:shd w:val="clear" w:color="auto" w:fill="FFFFFF"/>
        </w:rPr>
      </w:pPr>
    </w:p>
    <w:p w14:paraId="0E7F4543" w14:textId="77777777" w:rsidR="006249C9" w:rsidRDefault="006249C9" w:rsidP="000171F4">
      <w:pPr>
        <w:spacing w:line="360" w:lineRule="auto"/>
        <w:rPr>
          <w:rFonts w:ascii="Arial" w:hAnsi="Arial" w:cs="Arial"/>
          <w:color w:val="242130"/>
          <w:shd w:val="clear" w:color="auto" w:fill="FFFFFF"/>
        </w:rPr>
      </w:pPr>
    </w:p>
    <w:p w14:paraId="6AA94AD6" w14:textId="498A5E48" w:rsidR="0036285A" w:rsidRPr="0036285A" w:rsidRDefault="0036285A" w:rsidP="0036285A">
      <w:pPr>
        <w:spacing w:line="360" w:lineRule="auto"/>
        <w:rPr>
          <w:rFonts w:ascii="Arial" w:hAnsi="Arial" w:cs="Arial"/>
          <w:color w:val="242130"/>
          <w:shd w:val="clear" w:color="auto" w:fill="FFFFFF"/>
        </w:rPr>
      </w:pPr>
      <w:r w:rsidRPr="0036285A">
        <w:rPr>
          <w:rFonts w:ascii="Arial" w:hAnsi="Arial" w:cs="Arial"/>
          <w:color w:val="242130"/>
          <w:shd w:val="clear" w:color="auto" w:fill="FFFFFF"/>
        </w:rPr>
        <w:lastRenderedPageBreak/>
        <w:t>Products and Services</w:t>
      </w:r>
    </w:p>
    <w:p w14:paraId="7BA8F524" w14:textId="77777777" w:rsidR="0036285A" w:rsidRPr="0036285A" w:rsidRDefault="0036285A" w:rsidP="0036285A">
      <w:pPr>
        <w:pStyle w:val="Subtitle"/>
        <w:rPr>
          <w:shd w:val="clear" w:color="auto" w:fill="FFFFFF"/>
        </w:rPr>
      </w:pPr>
      <w:r w:rsidRPr="0036285A">
        <w:rPr>
          <w:shd w:val="clear" w:color="auto" w:fill="FFFFFF"/>
        </w:rPr>
        <w:t>International Hotel Derby offers a comprehensive range of services, including:</w:t>
      </w:r>
    </w:p>
    <w:p w14:paraId="2B02DE02" w14:textId="0DB7FD46" w:rsidR="0036285A" w:rsidRDefault="0036285A" w:rsidP="0036285A">
      <w:pPr>
        <w:spacing w:line="360" w:lineRule="auto"/>
        <w:rPr>
          <w:rFonts w:ascii="Arial" w:hAnsi="Arial" w:cs="Arial"/>
          <w:color w:val="242130"/>
          <w:shd w:val="clear" w:color="auto" w:fill="FFFFFF"/>
        </w:rPr>
      </w:pPr>
      <w:r w:rsidRPr="0036285A">
        <w:rPr>
          <w:rFonts w:ascii="Arial" w:hAnsi="Arial" w:cs="Arial"/>
          <w:color w:val="242130"/>
          <w:shd w:val="clear" w:color="auto" w:fill="FFFFFF"/>
        </w:rPr>
        <w:t>International Hotel Derby provides a wide array of services to ensure a comfortable stay for all guests. The accommodation options include various types of rooms, such as single, double, family, and executive suites, all featuring en-suite bathrooms, Wi-Fi, and essential amenities. Guests can enjoy meals at the on-site restaurant and bar, which serves breakfast, lunch, and dinner, with room service available for added convenience. For those planning events, the hotel offers versatile conference rooms suitable for business meetings, training sessions, and private celebrations like weddings. Additional guest facilities include free parking, a 24-hour front desk, housekeeping, laundry services, and complimentary high-speed internet access. Business travellers will also find useful services such as printing, copying, and office equipment available upon request.</w:t>
      </w:r>
    </w:p>
    <w:p w14:paraId="64DF48F0" w14:textId="77777777" w:rsidR="0036285A" w:rsidRPr="0036285A" w:rsidRDefault="0036285A" w:rsidP="0036285A">
      <w:pPr>
        <w:spacing w:line="360" w:lineRule="auto"/>
        <w:rPr>
          <w:rFonts w:ascii="Arial" w:hAnsi="Arial" w:cs="Arial"/>
          <w:color w:val="242130"/>
          <w:shd w:val="clear" w:color="auto" w:fill="FFFFFF"/>
        </w:rPr>
      </w:pPr>
    </w:p>
    <w:p w14:paraId="520F7038" w14:textId="523B5209" w:rsidR="0036285A" w:rsidRPr="0036285A" w:rsidRDefault="0036285A" w:rsidP="0036285A">
      <w:pPr>
        <w:pStyle w:val="Subtitle"/>
        <w:rPr>
          <w:shd w:val="clear" w:color="auto" w:fill="FFFFFF"/>
        </w:rPr>
      </w:pPr>
      <w:r w:rsidRPr="0036285A">
        <w:rPr>
          <w:shd w:val="clear" w:color="auto" w:fill="FFFFFF"/>
        </w:rPr>
        <w:t>International Hotel Derby operates a traditional service-based business model, with the following key components:</w:t>
      </w:r>
    </w:p>
    <w:p w14:paraId="6C04E00F" w14:textId="024899CD" w:rsidR="0036285A" w:rsidRDefault="0036285A" w:rsidP="0036285A">
      <w:pPr>
        <w:spacing w:line="360" w:lineRule="auto"/>
        <w:rPr>
          <w:rFonts w:ascii="Arial" w:hAnsi="Arial" w:cs="Arial"/>
          <w:color w:val="242130"/>
          <w:shd w:val="clear" w:color="auto" w:fill="FFFFFF"/>
        </w:rPr>
      </w:pPr>
      <w:r w:rsidRPr="0036285A">
        <w:rPr>
          <w:rFonts w:ascii="Arial" w:hAnsi="Arial" w:cs="Arial"/>
          <w:color w:val="242130"/>
          <w:shd w:val="clear" w:color="auto" w:fill="FFFFFF"/>
        </w:rPr>
        <w:t>International Hotel Derby follows a classic service-based business model that includes several important elements. The hotel generates revenue primarily through room bookings, both directly and through online travel agencies like Booking.com. Additional income comes from sales at the restaurant and bar, renting out event and meeting spaces, and offering extra services such as parking and laundry. The hotel caters to various customer groups, including corporate clients, leisure tourists exploring Derby, attendees of local events and weddings, and visitors related to the university, such as parents and guest lecturers. To reach these customers, the hotel uses multiple distribution channels, including direct bookings through its website and phone, online travel agencies, travel agents, and local partnerships.</w:t>
      </w:r>
    </w:p>
    <w:p w14:paraId="32F2F8A8" w14:textId="77777777" w:rsidR="0036285A" w:rsidRDefault="0036285A" w:rsidP="0036285A">
      <w:pPr>
        <w:pStyle w:val="Subtitle"/>
        <w:rPr>
          <w:shd w:val="clear" w:color="auto" w:fill="FFFFFF"/>
        </w:rPr>
      </w:pPr>
    </w:p>
    <w:p w14:paraId="55472F1D" w14:textId="001369E4" w:rsidR="0036285A" w:rsidRPr="0036285A" w:rsidRDefault="0036285A" w:rsidP="0036285A">
      <w:pPr>
        <w:pStyle w:val="Subtitle"/>
        <w:rPr>
          <w:shd w:val="clear" w:color="auto" w:fill="FFFFFF"/>
        </w:rPr>
      </w:pPr>
      <w:r w:rsidRPr="0036285A">
        <w:rPr>
          <w:shd w:val="clear" w:color="auto" w:fill="FFFFFF"/>
        </w:rPr>
        <w:t xml:space="preserve">What sets International Hotel Derby apart from larger hotel chains and budget competitors </w:t>
      </w:r>
    </w:p>
    <w:p w14:paraId="05607277" w14:textId="2909ADB4" w:rsidR="0036285A" w:rsidRDefault="0036285A" w:rsidP="0036285A">
      <w:pPr>
        <w:spacing w:line="360" w:lineRule="auto"/>
        <w:rPr>
          <w:rFonts w:ascii="Arial" w:hAnsi="Arial" w:cs="Arial"/>
          <w:color w:val="242130"/>
          <w:shd w:val="clear" w:color="auto" w:fill="FFFFFF"/>
        </w:rPr>
      </w:pPr>
      <w:r w:rsidRPr="0036285A">
        <w:rPr>
          <w:rFonts w:ascii="Arial" w:hAnsi="Arial" w:cs="Arial"/>
          <w:color w:val="242130"/>
          <w:shd w:val="clear" w:color="auto" w:fill="FFFFFF"/>
        </w:rPr>
        <w:t xml:space="preserve"> International Hotel Derby stands out from larger hotel chains and budget options due to its unique features. It provides personalized guest service, creating a warm and flexible experience that corporate hotels often lack. The hotel is deeply connected to the local community, working closely with businesses, universities, and event organizers, which helps </w:t>
      </w:r>
      <w:r w:rsidRPr="0036285A">
        <w:rPr>
          <w:rFonts w:ascii="Arial" w:hAnsi="Arial" w:cs="Arial"/>
          <w:color w:val="242130"/>
          <w:shd w:val="clear" w:color="auto" w:fill="FFFFFF"/>
        </w:rPr>
        <w:lastRenderedPageBreak/>
        <w:t>it become a vibrant hub for local activities. Additionally, it has the freedom to quickly adjust to customer needs and local trends without being tied down by corporate rules. Its prime location near major transport routes, business centres, and cultural attractions makes it a perfect choice for a diverse range of guests.</w:t>
      </w:r>
    </w:p>
    <w:p w14:paraId="0E553C09" w14:textId="77777777" w:rsidR="0036285A" w:rsidRDefault="0036285A" w:rsidP="0036285A">
      <w:pPr>
        <w:spacing w:line="360" w:lineRule="auto"/>
        <w:rPr>
          <w:rFonts w:ascii="Arial" w:hAnsi="Arial" w:cs="Arial"/>
          <w:color w:val="242130"/>
          <w:shd w:val="clear" w:color="auto" w:fill="FFFFFF"/>
        </w:rPr>
      </w:pPr>
    </w:p>
    <w:p w14:paraId="76A0106D" w14:textId="77777777" w:rsidR="0036285A" w:rsidRDefault="0036285A" w:rsidP="0036285A">
      <w:pPr>
        <w:spacing w:line="360" w:lineRule="auto"/>
        <w:rPr>
          <w:rFonts w:ascii="Arial" w:hAnsi="Arial" w:cs="Arial"/>
          <w:color w:val="242130"/>
          <w:shd w:val="clear" w:color="auto" w:fill="FFFFFF"/>
        </w:rPr>
      </w:pPr>
    </w:p>
    <w:p w14:paraId="0F94B3B9" w14:textId="7E786AC7" w:rsidR="0036285A" w:rsidRDefault="0036285A" w:rsidP="0036285A">
      <w:pPr>
        <w:pStyle w:val="Heading1"/>
      </w:pPr>
      <w:bookmarkStart w:id="2" w:name="_Toc213675872"/>
      <w:r>
        <w:t>Appraisal of the Current Strategic Direction and Goals – International Hotel Derby</w:t>
      </w:r>
      <w:bookmarkEnd w:id="2"/>
    </w:p>
    <w:p w14:paraId="68165DE6" w14:textId="77777777" w:rsidR="00F605F5" w:rsidRDefault="00F605F5" w:rsidP="00F605F5"/>
    <w:p w14:paraId="09CC2AD8" w14:textId="6D935182" w:rsidR="00F605F5" w:rsidRDefault="00F605F5" w:rsidP="00F605F5">
      <w:pPr>
        <w:pStyle w:val="Subtitle"/>
      </w:pPr>
      <w:r>
        <w:t>Vision Statement (Inferred)</w:t>
      </w:r>
    </w:p>
    <w:p w14:paraId="44928673" w14:textId="78945524" w:rsidR="00F605F5" w:rsidRDefault="00F605F5" w:rsidP="00F605F5">
      <w:r>
        <w:t>The vision statement suggests a goal for the hotel to become the top choice for visitors in Derby, emphasizing great service, local charm, and a friendly environment for all guests. This focus on community and customer experience is fitting for a small to medium-sized business in the area. It shows a desire to grow without aiming too high, like trying to become a big national chain. However, it misses the mark on including new ideas or a digital strategy, which are becoming more important in the hospitality industry after the pandemic.</w:t>
      </w:r>
    </w:p>
    <w:p w14:paraId="65119D5E" w14:textId="77777777" w:rsidR="00F605F5" w:rsidRDefault="00F605F5" w:rsidP="00F605F5">
      <w:pPr>
        <w:pStyle w:val="Subtitle"/>
      </w:pPr>
      <w:r>
        <w:t>Mission Statement (Inferred)</w:t>
      </w:r>
    </w:p>
    <w:p w14:paraId="764364C3" w14:textId="1CDDA486" w:rsidR="00F605F5" w:rsidRDefault="00F605F5" w:rsidP="00F605F5">
      <w:r>
        <w:t>The mission statement suggests a commitment to offering cosy, high-quality accommodations and hospitality services that emphasize a personal touch while supporting local culture and providing value to guests, employees, and community partners. This reflects the hotel’s core values of service quality, personalization, and community involvement, which are strengths typical of small and medium-sized enterprises. However, it misses important aspects like sustainability, digital transformation, and employee development, which are becoming crucial in the hospitality sector.</w:t>
      </w:r>
    </w:p>
    <w:p w14:paraId="127D90F1" w14:textId="77777777" w:rsidR="00F605F5" w:rsidRDefault="00F605F5" w:rsidP="00F605F5">
      <w:pPr>
        <w:pStyle w:val="Subtitle"/>
      </w:pPr>
    </w:p>
    <w:p w14:paraId="640ECBB2" w14:textId="0D9410D8" w:rsidR="00F605F5" w:rsidRDefault="00F605F5" w:rsidP="00F605F5">
      <w:pPr>
        <w:pStyle w:val="Subtitle"/>
      </w:pPr>
      <w:r>
        <w:t xml:space="preserve"> Current Business Objectives (Observed/Assumed)</w:t>
      </w:r>
    </w:p>
    <w:p w14:paraId="56F9D27A" w14:textId="26A94967" w:rsidR="00F605F5" w:rsidRDefault="00F605F5" w:rsidP="00F605F5">
      <w:r>
        <w:t>The current business objectives focus on maintaining steady room occupancy throughout the year, likely through partnerships with online travel agencies and repeat customers from local businesses. Additionally, the hotel aims to achieve high guest satisfaction through personalized service and positive online feedback, while also generating extra revenue from events and food services. Controlling operational costs is essential for profitability, especially with rising expenses and limited pricing options. However, these objectives seem more operational and short-term, lacking long-term strategic goals like digital growth or sustainability, which suggests a reactive approach rather than a proactive one. There is also no clear indication of SMART objectives, which would help in measuring progress effectively.</w:t>
      </w:r>
    </w:p>
    <w:p w14:paraId="1201CB4A" w14:textId="77777777" w:rsidR="00F605F5" w:rsidRDefault="00F605F5" w:rsidP="00F605F5"/>
    <w:p w14:paraId="68EADE99" w14:textId="77777777" w:rsidR="00F605F5" w:rsidRDefault="00F605F5" w:rsidP="00F605F5"/>
    <w:bookmarkStart w:id="3" w:name="_Toc213675873"/>
    <w:p w14:paraId="0ECC2F80" w14:textId="714CC565" w:rsidR="00F605F5" w:rsidRPr="00F605F5" w:rsidRDefault="00F605F5" w:rsidP="00F605F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noProof/>
          <w:kern w:val="0"/>
          <w:sz w:val="27"/>
          <w:szCs w:val="27"/>
          <w:lang w:eastAsia="en-GB"/>
        </w:rPr>
        <mc:AlternateContent>
          <mc:Choice Requires="wps">
            <w:drawing>
              <wp:anchor distT="0" distB="0" distL="114300" distR="114300" simplePos="0" relativeHeight="251661312" behindDoc="0" locked="0" layoutInCell="1" allowOverlap="1" wp14:anchorId="59FD5724" wp14:editId="3464B833">
                <wp:simplePos x="0" y="0"/>
                <wp:positionH relativeFrom="column">
                  <wp:posOffset>-127000</wp:posOffset>
                </wp:positionH>
                <wp:positionV relativeFrom="paragraph">
                  <wp:posOffset>-95250</wp:posOffset>
                </wp:positionV>
                <wp:extent cx="19050" cy="2368550"/>
                <wp:effectExtent l="0" t="0" r="19050" b="31750"/>
                <wp:wrapNone/>
                <wp:docPr id="1769951355" name="Straight Connector 3"/>
                <wp:cNvGraphicFramePr/>
                <a:graphic xmlns:a="http://schemas.openxmlformats.org/drawingml/2006/main">
                  <a:graphicData uri="http://schemas.microsoft.com/office/word/2010/wordprocessingShape">
                    <wps:wsp>
                      <wps:cNvCnPr/>
                      <wps:spPr>
                        <a:xfrm>
                          <a:off x="0" y="0"/>
                          <a:ext cx="19050" cy="2368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1A55AD"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pt,-7.5pt" to="-8.5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" strokecolor="black [3200]" strokeweight=".5pt">
                <v:stroke joinstyle="miter"/>
              </v:line>
            </w:pict>
          </mc:Fallback>
        </mc:AlternateContent>
      </w:r>
      <w:r>
        <w:rPr>
          <w:rFonts w:ascii="Times New Roman" w:eastAsia="Times New Roman" w:hAnsi="Times New Roman" w:cs="Times New Roman"/>
          <w:b/>
          <w:bCs/>
          <w:noProof/>
          <w:kern w:val="0"/>
          <w:sz w:val="27"/>
          <w:szCs w:val="27"/>
          <w:lang w:eastAsia="en-GB"/>
        </w:rPr>
        <mc:AlternateContent>
          <mc:Choice Requires="wps">
            <w:drawing>
              <wp:anchor distT="0" distB="0" distL="114300" distR="114300" simplePos="0" relativeHeight="251660288" behindDoc="0" locked="0" layoutInCell="1" allowOverlap="1" wp14:anchorId="3A6B96DB" wp14:editId="19178E9A">
                <wp:simplePos x="0" y="0"/>
                <wp:positionH relativeFrom="column">
                  <wp:posOffset>5937250</wp:posOffset>
                </wp:positionH>
                <wp:positionV relativeFrom="paragraph">
                  <wp:posOffset>-88900</wp:posOffset>
                </wp:positionV>
                <wp:extent cx="6350" cy="2368550"/>
                <wp:effectExtent l="0" t="0" r="31750" b="31750"/>
                <wp:wrapNone/>
                <wp:docPr id="1240638650" name="Straight Connector 2"/>
                <wp:cNvGraphicFramePr/>
                <a:graphic xmlns:a="http://schemas.openxmlformats.org/drawingml/2006/main">
                  <a:graphicData uri="http://schemas.microsoft.com/office/word/2010/wordprocessingShape">
                    <wps:wsp>
                      <wps:cNvCnPr/>
                      <wps:spPr>
                        <a:xfrm flipH="1">
                          <a:off x="0" y="0"/>
                          <a:ext cx="6350" cy="2368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E04B48" id="Straight Connector 2"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7.5pt,-7pt" to="468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" strokecolor="black [3200]" strokeweight=".5pt">
                <v:stroke joinstyle="miter"/>
              </v:line>
            </w:pict>
          </mc:Fallback>
        </mc:AlternateContent>
      </w:r>
      <w:r>
        <w:rPr>
          <w:rFonts w:ascii="Times New Roman" w:eastAsia="Times New Roman" w:hAnsi="Times New Roman" w:cs="Times New Roman"/>
          <w:b/>
          <w:bCs/>
          <w:noProof/>
          <w:kern w:val="0"/>
          <w:sz w:val="27"/>
          <w:szCs w:val="27"/>
          <w:lang w:eastAsia="en-GB"/>
        </w:rPr>
        <mc:AlternateContent>
          <mc:Choice Requires="wps">
            <w:drawing>
              <wp:anchor distT="0" distB="0" distL="114300" distR="114300" simplePos="0" relativeHeight="251659264" behindDoc="0" locked="0" layoutInCell="1" allowOverlap="1" wp14:anchorId="32CB958A" wp14:editId="743317CD">
                <wp:simplePos x="0" y="0"/>
                <wp:positionH relativeFrom="column">
                  <wp:posOffset>-133350</wp:posOffset>
                </wp:positionH>
                <wp:positionV relativeFrom="paragraph">
                  <wp:posOffset>-82550</wp:posOffset>
                </wp:positionV>
                <wp:extent cx="6057900" cy="0"/>
                <wp:effectExtent l="0" t="0" r="0" b="0"/>
                <wp:wrapNone/>
                <wp:docPr id="1953697782" name="Straight Connector 1"/>
                <wp:cNvGraphicFramePr/>
                <a:graphic xmlns:a="http://schemas.openxmlformats.org/drawingml/2006/main">
                  <a:graphicData uri="http://schemas.microsoft.com/office/word/2010/wordprocessingShape">
                    <wps:wsp>
                      <wps:cNvCnPr/>
                      <wps:spPr>
                        <a:xfrm>
                          <a:off x="0" y="0"/>
                          <a:ext cx="60579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4BC9D9"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0.5pt,-6.5pt" to="466.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" strokecolor="black [3200]" strokeweight=".5pt">
                <v:stroke joinstyle="miter"/>
              </v:line>
            </w:pict>
          </mc:Fallback>
        </mc:AlternateContent>
      </w:r>
      <w:r w:rsidRPr="00F605F5">
        <w:rPr>
          <w:rFonts w:ascii="Times New Roman" w:eastAsia="Times New Roman" w:hAnsi="Times New Roman" w:cs="Times New Roman"/>
          <w:b/>
          <w:bCs/>
          <w:kern w:val="0"/>
          <w:sz w:val="27"/>
          <w:szCs w:val="27"/>
          <w:lang w:eastAsia="en-GB"/>
          <w14:ligatures w14:val="none"/>
        </w:rPr>
        <w:t>Strategic Direction Summary</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5"/>
        <w:gridCol w:w="3389"/>
        <w:gridCol w:w="4482"/>
      </w:tblGrid>
      <w:tr w:rsidR="00F605F5" w:rsidRPr="00F605F5" w14:paraId="0014374A" w14:textId="77777777" w:rsidTr="00F605F5">
        <w:trPr>
          <w:tblHeader/>
          <w:tblCellSpacing w:w="15" w:type="dxa"/>
        </w:trPr>
        <w:tc>
          <w:tcPr>
            <w:tcW w:w="0" w:type="auto"/>
            <w:vAlign w:val="center"/>
            <w:hideMark/>
          </w:tcPr>
          <w:p w14:paraId="4A46EA30" w14:textId="77777777" w:rsidR="00F605F5" w:rsidRPr="00F605F5" w:rsidRDefault="00F605F5" w:rsidP="00F605F5">
            <w:pPr>
              <w:spacing w:after="0" w:line="240" w:lineRule="auto"/>
              <w:jc w:val="center"/>
              <w:rPr>
                <w:rFonts w:ascii="Times New Roman" w:eastAsia="Times New Roman" w:hAnsi="Times New Roman" w:cs="Times New Roman"/>
                <w:b/>
                <w:bCs/>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Area</w:t>
            </w:r>
          </w:p>
        </w:tc>
        <w:tc>
          <w:tcPr>
            <w:tcW w:w="0" w:type="auto"/>
            <w:vAlign w:val="center"/>
            <w:hideMark/>
          </w:tcPr>
          <w:p w14:paraId="1D92FF1E" w14:textId="77777777" w:rsidR="00F605F5" w:rsidRPr="00F605F5" w:rsidRDefault="00F605F5" w:rsidP="00F605F5">
            <w:pPr>
              <w:spacing w:after="0" w:line="240" w:lineRule="auto"/>
              <w:jc w:val="center"/>
              <w:rPr>
                <w:rFonts w:ascii="Times New Roman" w:eastAsia="Times New Roman" w:hAnsi="Times New Roman" w:cs="Times New Roman"/>
                <w:b/>
                <w:bCs/>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Current Strategic Position</w:t>
            </w:r>
          </w:p>
        </w:tc>
        <w:tc>
          <w:tcPr>
            <w:tcW w:w="0" w:type="auto"/>
            <w:vAlign w:val="center"/>
            <w:hideMark/>
          </w:tcPr>
          <w:p w14:paraId="2B51E6E9" w14:textId="77777777" w:rsidR="00F605F5" w:rsidRPr="00F605F5" w:rsidRDefault="00F605F5" w:rsidP="00F605F5">
            <w:pPr>
              <w:spacing w:after="0" w:line="240" w:lineRule="auto"/>
              <w:jc w:val="center"/>
              <w:rPr>
                <w:rFonts w:ascii="Times New Roman" w:eastAsia="Times New Roman" w:hAnsi="Times New Roman" w:cs="Times New Roman"/>
                <w:b/>
                <w:bCs/>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Evaluation</w:t>
            </w:r>
          </w:p>
        </w:tc>
      </w:tr>
      <w:tr w:rsidR="00F605F5" w:rsidRPr="00F605F5" w14:paraId="27954F87" w14:textId="77777777" w:rsidTr="00F605F5">
        <w:trPr>
          <w:tblCellSpacing w:w="15" w:type="dxa"/>
        </w:trPr>
        <w:tc>
          <w:tcPr>
            <w:tcW w:w="0" w:type="auto"/>
            <w:vAlign w:val="center"/>
            <w:hideMark/>
          </w:tcPr>
          <w:p w14:paraId="2299BFAB"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Vision</w:t>
            </w:r>
          </w:p>
        </w:tc>
        <w:tc>
          <w:tcPr>
            <w:tcW w:w="0" w:type="auto"/>
            <w:vAlign w:val="center"/>
            <w:hideMark/>
          </w:tcPr>
          <w:p w14:paraId="6BD8A773" w14:textId="77777777" w:rsid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Focused on local leadership and guest experience</w:t>
            </w:r>
          </w:p>
          <w:p w14:paraId="7F5AB5EC"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6020C0E"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Clear, but needs updating to reflect digital and sustainability trends</w:t>
            </w:r>
          </w:p>
        </w:tc>
      </w:tr>
      <w:tr w:rsidR="00F605F5" w:rsidRPr="00F605F5" w14:paraId="4521D423" w14:textId="77777777" w:rsidTr="00F605F5">
        <w:trPr>
          <w:tblCellSpacing w:w="15" w:type="dxa"/>
        </w:trPr>
        <w:tc>
          <w:tcPr>
            <w:tcW w:w="0" w:type="auto"/>
            <w:vAlign w:val="center"/>
            <w:hideMark/>
          </w:tcPr>
          <w:p w14:paraId="2618AABD"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Mission</w:t>
            </w:r>
          </w:p>
        </w:tc>
        <w:tc>
          <w:tcPr>
            <w:tcW w:w="0" w:type="auto"/>
            <w:vAlign w:val="center"/>
            <w:hideMark/>
          </w:tcPr>
          <w:p w14:paraId="276ACA24" w14:textId="77777777" w:rsid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Emphasises personalised service and community</w:t>
            </w:r>
          </w:p>
          <w:p w14:paraId="1B5ACD15"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57A6FDB"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Strong foundation, but lacks forward-thinking elements</w:t>
            </w:r>
          </w:p>
        </w:tc>
      </w:tr>
      <w:tr w:rsidR="00F605F5" w:rsidRPr="00F605F5" w14:paraId="33D58DDC" w14:textId="77777777" w:rsidTr="00F605F5">
        <w:trPr>
          <w:tblCellSpacing w:w="15" w:type="dxa"/>
        </w:trPr>
        <w:tc>
          <w:tcPr>
            <w:tcW w:w="0" w:type="auto"/>
            <w:vAlign w:val="center"/>
            <w:hideMark/>
          </w:tcPr>
          <w:p w14:paraId="3DD429AB"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b/>
                <w:bCs/>
                <w:kern w:val="0"/>
                <w:sz w:val="24"/>
                <w:szCs w:val="24"/>
                <w:lang w:eastAsia="en-GB"/>
                <w14:ligatures w14:val="none"/>
              </w:rPr>
              <w:t>Objectives</w:t>
            </w:r>
          </w:p>
        </w:tc>
        <w:tc>
          <w:tcPr>
            <w:tcW w:w="0" w:type="auto"/>
            <w:vAlign w:val="center"/>
            <w:hideMark/>
          </w:tcPr>
          <w:p w14:paraId="0F4F4EA1"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Operationally focused, practical goals</w:t>
            </w:r>
          </w:p>
        </w:tc>
        <w:tc>
          <w:tcPr>
            <w:tcW w:w="0" w:type="auto"/>
            <w:vAlign w:val="center"/>
            <w:hideMark/>
          </w:tcPr>
          <w:p w14:paraId="7088313B" w14:textId="77777777" w:rsidR="00F605F5" w:rsidRPr="00F605F5" w:rsidRDefault="00F605F5" w:rsidP="00F605F5">
            <w:pPr>
              <w:spacing w:after="0" w:line="240" w:lineRule="auto"/>
              <w:rPr>
                <w:rFonts w:ascii="Times New Roman" w:eastAsia="Times New Roman" w:hAnsi="Times New Roman" w:cs="Times New Roman"/>
                <w:kern w:val="0"/>
                <w:sz w:val="24"/>
                <w:szCs w:val="24"/>
                <w:lang w:eastAsia="en-GB"/>
                <w14:ligatures w14:val="none"/>
              </w:rPr>
            </w:pPr>
            <w:r w:rsidRPr="00F605F5">
              <w:rPr>
                <w:rFonts w:ascii="Times New Roman" w:eastAsia="Times New Roman" w:hAnsi="Times New Roman" w:cs="Times New Roman"/>
                <w:kern w:val="0"/>
                <w:sz w:val="24"/>
                <w:szCs w:val="24"/>
                <w:lang w:eastAsia="en-GB"/>
                <w14:ligatures w14:val="none"/>
              </w:rPr>
              <w:t>Suitable for SME scale, but lacks long-term ambition and innovation</w:t>
            </w:r>
          </w:p>
        </w:tc>
      </w:tr>
    </w:tbl>
    <w:p w14:paraId="33E7BFEF" w14:textId="77777777" w:rsidR="00F605F5" w:rsidRDefault="00F605F5" w:rsidP="00F605F5"/>
    <w:p w14:paraId="3F185FF2" w14:textId="46D9FDBB" w:rsidR="00F605F5" w:rsidRDefault="00F605F5" w:rsidP="00F605F5">
      <w:r>
        <w:rPr>
          <w:noProof/>
        </w:rPr>
        <mc:AlternateContent>
          <mc:Choice Requires="wps">
            <w:drawing>
              <wp:anchor distT="0" distB="0" distL="114300" distR="114300" simplePos="0" relativeHeight="251662336" behindDoc="0" locked="0" layoutInCell="1" allowOverlap="1" wp14:anchorId="1871A61E" wp14:editId="3015AF8E">
                <wp:simplePos x="0" y="0"/>
                <wp:positionH relativeFrom="column">
                  <wp:posOffset>-120650</wp:posOffset>
                </wp:positionH>
                <wp:positionV relativeFrom="paragraph">
                  <wp:posOffset>220980</wp:posOffset>
                </wp:positionV>
                <wp:extent cx="6026150" cy="6350"/>
                <wp:effectExtent l="0" t="0" r="31750" b="31750"/>
                <wp:wrapNone/>
                <wp:docPr id="1378176791" name="Straight Connector 4"/>
                <wp:cNvGraphicFramePr/>
                <a:graphic xmlns:a="http://schemas.openxmlformats.org/drawingml/2006/main">
                  <a:graphicData uri="http://schemas.microsoft.com/office/word/2010/wordprocessingShape">
                    <wps:wsp>
                      <wps:cNvCnPr/>
                      <wps:spPr>
                        <a:xfrm flipV="1">
                          <a:off x="0" y="0"/>
                          <a:ext cx="60261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17A643"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17.4pt" to="465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" strokecolor="#156082 [3204]" strokeweight=".5pt">
                <v:stroke joinstyle="miter"/>
              </v:line>
            </w:pict>
          </mc:Fallback>
        </mc:AlternateContent>
      </w:r>
    </w:p>
    <w:p w14:paraId="0B508F3D" w14:textId="77777777" w:rsidR="00F605F5" w:rsidRPr="00F605F5" w:rsidRDefault="00F605F5" w:rsidP="00F605F5"/>
    <w:p w14:paraId="3FF39CCE" w14:textId="77777777" w:rsidR="00F605F5" w:rsidRPr="00F605F5" w:rsidRDefault="00F605F5" w:rsidP="00F605F5"/>
    <w:p w14:paraId="6BE3F15A" w14:textId="77777777" w:rsidR="00F605F5" w:rsidRDefault="00F605F5" w:rsidP="00F605F5">
      <w:pPr>
        <w:pStyle w:val="Subtitle"/>
      </w:pPr>
    </w:p>
    <w:p w14:paraId="14565C84" w14:textId="0557963B" w:rsidR="00F605F5" w:rsidRDefault="00F605F5" w:rsidP="00F605F5">
      <w:pPr>
        <w:pStyle w:val="Subtitle"/>
      </w:pPr>
      <w:r>
        <w:t>Recommendations to Improve Strategic Direction</w:t>
      </w:r>
    </w:p>
    <w:p w14:paraId="01C17B9F" w14:textId="0C69FA93" w:rsidR="00CB30E0" w:rsidRPr="006249C9" w:rsidRDefault="006249C9" w:rsidP="006249C9">
      <w:pPr>
        <w:spacing w:line="360" w:lineRule="auto"/>
        <w:rPr>
          <w:rFonts w:ascii="Arial" w:hAnsi="Arial" w:cs="Arial"/>
        </w:rPr>
      </w:pPr>
      <w:r w:rsidRPr="006249C9">
        <w:rPr>
          <w:rFonts w:ascii="Arial" w:hAnsi="Arial" w:cs="Arial"/>
        </w:rPr>
        <w:t>To strengthen the organization's strategic direction, it is crucial to update the vision and mission statements to reflect digital innovation, including advanced booking systems and an enhanced online presence. Prioritizing environmental responsibility and leveraging technology to improve guest experiences should also be key focuses. Establishing SMART objectives, such as achieving a 20% increase in direct online bookings within a year, launching three eco-friendly initiatives in the next fiscal year, and raising the average guest rating on Booking.com from 8.0 to 8.5 by next year, will provide clear guidance for progress. Engaging staff in the strategic planning process is vital for fostering alignment and encouraging innovative ideas. Additionally, adopting a Balanced Scorecard approach will enable the organization to monitor performance across financial, customer satisfaction, internal processes, and innovation metrics. To ensure future growth and competitiveness, International Hotel Derby should focus on digital transformation by enhancing its website and promoting direct bookings to lessen reliance on online travel agencies</w:t>
      </w:r>
    </w:p>
    <w:p w14:paraId="601ADF79" w14:textId="77777777" w:rsidR="00CB30E0" w:rsidRDefault="00CB30E0" w:rsidP="00F605F5"/>
    <w:p w14:paraId="22FB50B8" w14:textId="77777777" w:rsidR="002F4B64" w:rsidRDefault="002F4B64" w:rsidP="00F605F5"/>
    <w:p w14:paraId="291AE470" w14:textId="77777777" w:rsidR="002F4B64" w:rsidRDefault="002F4B64" w:rsidP="00F605F5"/>
    <w:p w14:paraId="3CE618B6" w14:textId="77777777" w:rsidR="00CB30E0" w:rsidRDefault="00CB30E0" w:rsidP="00F605F5"/>
    <w:p w14:paraId="1A2EB778" w14:textId="77777777" w:rsidR="00CB30E0" w:rsidRDefault="00CB30E0" w:rsidP="00CB30E0">
      <w:pPr>
        <w:pStyle w:val="Heading1"/>
      </w:pPr>
      <w:bookmarkStart w:id="4" w:name="_Toc213675874"/>
      <w:r>
        <w:lastRenderedPageBreak/>
        <w:t>Environmental Scan and Competitive Positioning of International Hotel Derby</w:t>
      </w:r>
      <w:bookmarkEnd w:id="4"/>
    </w:p>
    <w:p w14:paraId="0D4145F2" w14:textId="77777777" w:rsidR="00CB30E0" w:rsidRDefault="00CB30E0" w:rsidP="00CB30E0">
      <w:pPr>
        <w:pStyle w:val="Subtitle"/>
      </w:pPr>
      <w:r>
        <w:t>SWOT Analysis</w:t>
      </w:r>
    </w:p>
    <w:p w14:paraId="04A6075B" w14:textId="0728ECA7" w:rsidR="00CB30E0" w:rsidRDefault="00CB30E0" w:rsidP="00CB30E0">
      <w:r>
        <w:t>. The International Hotel Derby has a strong position in the market due to its prime location in the city centre, personalized service, and excellent event facilities, which contribute to its good reputation among locals. However, it faces challenges such as a limited online presence, reliance on online travel agencies, outdated infrastructure, and restricted marketing funds. There are opportunities for growth through digital advancements, an increase in local tourism, sustainability efforts, and collaborations with nearby businesses. On the other hand, the hotel must navigate threats from larger hotel chains and Airbnb, economic instability, labour shortages, and evolving customer expectations.</w:t>
      </w:r>
    </w:p>
    <w:p w14:paraId="79504BAA" w14:textId="77777777" w:rsidR="00CB30E0" w:rsidRDefault="00CB30E0" w:rsidP="00CB30E0">
      <w:pPr>
        <w:pStyle w:val="Subtitle"/>
      </w:pPr>
    </w:p>
    <w:p w14:paraId="36D5D460" w14:textId="19000C68" w:rsidR="00CB30E0" w:rsidRDefault="00CB30E0" w:rsidP="00CB30E0">
      <w:pPr>
        <w:pStyle w:val="Subtitle"/>
      </w:pPr>
      <w:r>
        <w:t>Value Chain Analysis</w:t>
      </w:r>
    </w:p>
    <w:p w14:paraId="378E35DC" w14:textId="17116E57" w:rsidR="00CB30E0" w:rsidRPr="006249C9" w:rsidRDefault="006249C9" w:rsidP="006249C9">
      <w:pPr>
        <w:spacing w:line="360" w:lineRule="auto"/>
        <w:rPr>
          <w:rFonts w:ascii="Arial" w:hAnsi="Arial" w:cs="Arial"/>
        </w:rPr>
      </w:pPr>
      <w:r w:rsidRPr="006249C9">
        <w:rPr>
          <w:rFonts w:ascii="Arial" w:hAnsi="Arial" w:cs="Arial"/>
        </w:rPr>
        <w:t>The value chain of International Hotel Derby consists of several essential activities that enhance its operations. The hotel prioritizes sourcing food, beverages, and cleaning supplies from local vendors, ensuring freshness and fostering community relationships. In its operations, the focus is on key services such as room maintenance, housekeeping, food preparation, and event management. Outbound logistics involve delivering a range of services directly to guests, including accommodations, dining, and event hosting. Marketing strategies leverage online travel agencies, local partnerships, and targeted digital campaigns, while a strong commitment to personalized customer service is evident through a dedicated front desk team and a feedback collection system post-stay. Supporting these efforts, the hotel’s human resources team emphasizes customer service skills, though formal training opportunities are limited</w:t>
      </w:r>
      <w:r w:rsidR="002F4B64">
        <w:rPr>
          <w:rFonts w:ascii="Arial" w:hAnsi="Arial" w:cs="Arial"/>
        </w:rPr>
        <w:t>.</w:t>
      </w:r>
    </w:p>
    <w:p w14:paraId="6EC012F5" w14:textId="77777777" w:rsidR="00CB30E0" w:rsidRDefault="00CB30E0" w:rsidP="00CB30E0"/>
    <w:p w14:paraId="1FBFCD2A" w14:textId="77777777" w:rsidR="00CB30E0" w:rsidRDefault="00CB30E0" w:rsidP="00CB30E0"/>
    <w:p w14:paraId="3D74FBD0" w14:textId="77777777" w:rsidR="00CB30E0" w:rsidRDefault="00CB30E0" w:rsidP="00CB30E0"/>
    <w:p w14:paraId="3E9D52CB" w14:textId="77777777" w:rsidR="00CB30E0" w:rsidRPr="00CB30E0" w:rsidRDefault="00CB30E0" w:rsidP="00CB30E0">
      <w:pPr>
        <w:pStyle w:val="Subtitle"/>
        <w:rPr>
          <w:rFonts w:eastAsia="Times New Roman"/>
          <w:lang w:eastAsia="en-GB"/>
        </w:rPr>
      </w:pPr>
      <w:r w:rsidRPr="00CB30E0">
        <w:rPr>
          <w:rFonts w:eastAsia="Times New Roman"/>
          <w:lang w:eastAsia="en-GB"/>
        </w:rPr>
        <w:t>External Environment Analysis</w:t>
      </w:r>
    </w:p>
    <w:p w14:paraId="347E15F4" w14:textId="77777777" w:rsidR="00CB30E0" w:rsidRPr="00CB30E0" w:rsidRDefault="00CB30E0" w:rsidP="00CB30E0">
      <w:pPr>
        <w:pStyle w:val="Subtitle"/>
        <w:rPr>
          <w:rFonts w:eastAsia="Times New Roman"/>
          <w:sz w:val="24"/>
          <w:szCs w:val="24"/>
          <w:lang w:eastAsia="en-GB"/>
        </w:rPr>
      </w:pPr>
      <w:r w:rsidRPr="00CB30E0">
        <w:rPr>
          <w:rFonts w:eastAsia="Times New Roman"/>
          <w:sz w:val="24"/>
          <w:szCs w:val="24"/>
          <w:lang w:eastAsia="en-GB"/>
        </w:rPr>
        <w:t>PESTEL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031A5" w:rsidRPr="007031A5" w14:paraId="51C95AC4" w14:textId="77777777" w:rsidTr="00CB30E0">
        <w:trPr>
          <w:tblHeader/>
          <w:tblCellSpacing w:w="15" w:type="dxa"/>
        </w:trPr>
        <w:tc>
          <w:tcPr>
            <w:tcW w:w="0" w:type="auto"/>
            <w:vAlign w:val="center"/>
            <w:hideMark/>
          </w:tcPr>
          <w:p w14:paraId="641D142B" w14:textId="6E66B759" w:rsidR="007031A5" w:rsidRPr="007031A5" w:rsidRDefault="007031A5" w:rsidP="00CB30E0">
            <w:pPr>
              <w:spacing w:after="0" w:line="240" w:lineRule="auto"/>
              <w:jc w:val="center"/>
              <w:rPr>
                <w:rFonts w:ascii="Times New Roman" w:eastAsia="Times New Roman" w:hAnsi="Times New Roman" w:cs="Times New Roman"/>
                <w:b/>
                <w:bCs/>
                <w:kern w:val="0"/>
                <w:sz w:val="24"/>
                <w:szCs w:val="24"/>
                <w:lang w:eastAsia="en-GB"/>
                <w14:ligatures w14:val="none"/>
              </w:rPr>
            </w:pPr>
          </w:p>
        </w:tc>
      </w:tr>
    </w:tbl>
    <w:p w14:paraId="073EF6F1" w14:textId="77777777" w:rsidR="007031A5" w:rsidRPr="007031A5" w:rsidRDefault="007031A5" w:rsidP="007031A5">
      <w:pPr>
        <w:spacing w:line="360" w:lineRule="auto"/>
        <w:rPr>
          <w:rFonts w:ascii="Arial" w:hAnsi="Arial" w:cs="Arial"/>
          <w:b/>
          <w:bCs/>
        </w:rPr>
      </w:pPr>
      <w:r w:rsidRPr="007031A5">
        <w:rPr>
          <w:rFonts w:ascii="Arial" w:hAnsi="Arial" w:cs="Arial"/>
          <w:b/>
          <w:bCs/>
        </w:rPr>
        <w:t>Strengthening Political and Institutional Partnerships</w:t>
      </w:r>
    </w:p>
    <w:p w14:paraId="17D1D0EF" w14:textId="15943746" w:rsidR="00CB30E0" w:rsidRDefault="007031A5" w:rsidP="007031A5">
      <w:pPr>
        <w:spacing w:line="360" w:lineRule="auto"/>
        <w:rPr>
          <w:rFonts w:ascii="Arial" w:hAnsi="Arial" w:cs="Arial"/>
        </w:rPr>
      </w:pPr>
      <w:r w:rsidRPr="007031A5">
        <w:rPr>
          <w:rFonts w:ascii="Arial" w:hAnsi="Arial" w:cs="Arial"/>
        </w:rPr>
        <w:t xml:space="preserve">To maximize the influence of political dynamics and tourism policies on international events, IHD should bolster its partnerships with government tourism boards, embassies, and global hospitality associations. By forming formal alliances with these entities, IHD can secure essential logistical support, obtain official endorsements, and enhance the visibility of its </w:t>
      </w:r>
      <w:r w:rsidRPr="007031A5">
        <w:rPr>
          <w:rFonts w:ascii="Arial" w:hAnsi="Arial" w:cs="Arial"/>
        </w:rPr>
        <w:lastRenderedPageBreak/>
        <w:t>events in critical markets. Additionally, engaging with prominent global tourism organizations, such as the UN World Tourism Organization (UNWTO) and the World Travel &amp; Tourism Council (WTTC), will further elevate IHD’s credibility and international standing. These strategic collaborations will not only help mitigate risks linked to political instability but also position IHD as a pivotal player in advancing global tourism development.</w:t>
      </w:r>
    </w:p>
    <w:p w14:paraId="27779DF4" w14:textId="77777777" w:rsidR="007031A5" w:rsidRPr="007031A5" w:rsidRDefault="007031A5" w:rsidP="007031A5">
      <w:pPr>
        <w:spacing w:line="360" w:lineRule="auto"/>
        <w:rPr>
          <w:rFonts w:ascii="Arial" w:hAnsi="Arial" w:cs="Arial"/>
          <w:b/>
          <w:bCs/>
        </w:rPr>
      </w:pPr>
    </w:p>
    <w:p w14:paraId="0822A7D9" w14:textId="404AF6E9" w:rsidR="007031A5" w:rsidRPr="007031A5" w:rsidRDefault="007031A5" w:rsidP="007031A5">
      <w:pPr>
        <w:spacing w:line="360" w:lineRule="auto"/>
        <w:rPr>
          <w:rFonts w:ascii="Arial" w:hAnsi="Arial" w:cs="Arial"/>
          <w:b/>
          <w:bCs/>
        </w:rPr>
      </w:pPr>
      <w:r w:rsidRPr="007031A5">
        <w:rPr>
          <w:rFonts w:ascii="Arial" w:hAnsi="Arial" w:cs="Arial"/>
          <w:b/>
          <w:bCs/>
        </w:rPr>
        <w:t>Economic Resilience and Revenue Diversification</w:t>
      </w:r>
    </w:p>
    <w:p w14:paraId="3B3B6590" w14:textId="348DD5AC" w:rsidR="007031A5" w:rsidRPr="007031A5" w:rsidRDefault="007031A5" w:rsidP="007031A5">
      <w:pPr>
        <w:spacing w:line="360" w:lineRule="auto"/>
        <w:rPr>
          <w:rFonts w:ascii="Arial" w:hAnsi="Arial" w:cs="Arial"/>
        </w:rPr>
      </w:pPr>
      <w:r w:rsidRPr="007031A5">
        <w:rPr>
          <w:rFonts w:ascii="Arial" w:hAnsi="Arial" w:cs="Arial"/>
        </w:rPr>
        <w:t>Economic volatility and rising inflation underscore the importance of financial adaptability and diverse revenue sources. IHD can enhance its financial stability by broadening its offerings beyond annual award ceremonies to include ongoing revenue-generating initiatives such as hospitality training workshops, online masterclasses, and consultancy services aimed at helping hotels improve their performance. Furthermore, the introduction of tiered sponsorship packages and subscription-based digital memberships would enable smaller hotels and regional businesses to engage more affordably, ensuring a consistent income stream throughout the year. By building a financial reserve and adopting cost-optimization strategies, such as hybrid event models, IHD can further bolster its economic resilience in challenging times.</w:t>
      </w:r>
    </w:p>
    <w:p w14:paraId="6773FAE5" w14:textId="77777777" w:rsidR="00CB30E0" w:rsidRDefault="00CB30E0" w:rsidP="00CB30E0"/>
    <w:p w14:paraId="33615835" w14:textId="77777777" w:rsidR="007031A5" w:rsidRDefault="007031A5" w:rsidP="00CB30E0"/>
    <w:p w14:paraId="66233602" w14:textId="77777777" w:rsidR="007031A5" w:rsidRDefault="007031A5" w:rsidP="00CB30E0"/>
    <w:p w14:paraId="60245CE9" w14:textId="77777777" w:rsidR="007031A5" w:rsidRDefault="007031A5" w:rsidP="00CB30E0"/>
    <w:p w14:paraId="0E3A31FE" w14:textId="77777777" w:rsidR="007031A5" w:rsidRDefault="007031A5" w:rsidP="00CB30E0"/>
    <w:p w14:paraId="5FD8BE81" w14:textId="77777777" w:rsidR="007031A5" w:rsidRDefault="007031A5" w:rsidP="007031A5"/>
    <w:p w14:paraId="44B80835" w14:textId="377FC1A3" w:rsidR="007031A5" w:rsidRPr="007031A5" w:rsidRDefault="007031A5" w:rsidP="007031A5">
      <w:pPr>
        <w:spacing w:line="360" w:lineRule="auto"/>
        <w:rPr>
          <w:rFonts w:ascii="Arial" w:hAnsi="Arial" w:cs="Arial"/>
          <w:b/>
          <w:bCs/>
        </w:rPr>
      </w:pPr>
      <w:r w:rsidRPr="007031A5">
        <w:rPr>
          <w:rFonts w:ascii="Arial" w:hAnsi="Arial" w:cs="Arial"/>
          <w:b/>
          <w:bCs/>
        </w:rPr>
        <w:t>Leveraging Social and Cultural Trends</w:t>
      </w:r>
    </w:p>
    <w:p w14:paraId="6C645F3D" w14:textId="6C168882" w:rsidR="007031A5" w:rsidRDefault="007031A5" w:rsidP="007031A5">
      <w:pPr>
        <w:spacing w:line="360" w:lineRule="auto"/>
        <w:rPr>
          <w:rFonts w:ascii="Arial" w:hAnsi="Arial" w:cs="Arial"/>
        </w:rPr>
      </w:pPr>
      <w:r w:rsidRPr="007031A5">
        <w:rPr>
          <w:rFonts w:ascii="Arial" w:hAnsi="Arial" w:cs="Arial"/>
        </w:rPr>
        <w:t>Embracing social and cultural trends offers IHD a unique opportunity for innovation by tapping into evolving consumer preferences and the rich tapestry of cultural diversity. To engage younger, tech-savvy audiences, IHD should enhance its social media presence and create interactive digital experiences, such as behind-the-scenes content, digital storytelling campaigns, and live-streamed award ceremonies. Additionally, introducing award categories that honour inclusivity, community impact, and cultural authenticity will resonate with the diverse landscape of the global hospitality industry. Establishing a Global Ambassadors Program featuring prominent hospitality leaders and influencers can further amplify IHD’s social reach and solidify its relevance in emerging markets.</w:t>
      </w:r>
    </w:p>
    <w:p w14:paraId="5330C9EC" w14:textId="77777777" w:rsidR="007031A5" w:rsidRDefault="007031A5" w:rsidP="007031A5">
      <w:pPr>
        <w:spacing w:line="360" w:lineRule="auto"/>
        <w:rPr>
          <w:rFonts w:ascii="Arial" w:hAnsi="Arial" w:cs="Arial"/>
        </w:rPr>
      </w:pPr>
    </w:p>
    <w:p w14:paraId="1C1B09FF" w14:textId="77777777" w:rsidR="007031A5" w:rsidRPr="007031A5" w:rsidRDefault="007031A5" w:rsidP="007031A5">
      <w:pPr>
        <w:spacing w:line="360" w:lineRule="auto"/>
        <w:rPr>
          <w:rFonts w:ascii="Arial" w:hAnsi="Arial" w:cs="Arial"/>
          <w:b/>
          <w:bCs/>
        </w:rPr>
      </w:pPr>
      <w:r w:rsidRPr="007031A5">
        <w:rPr>
          <w:rFonts w:ascii="Arial" w:hAnsi="Arial" w:cs="Arial"/>
          <w:b/>
          <w:bCs/>
        </w:rPr>
        <w:t>Accelerating Technological Transformation</w:t>
      </w:r>
    </w:p>
    <w:p w14:paraId="712D3D71" w14:textId="545B358F" w:rsidR="007031A5" w:rsidRDefault="007031A5" w:rsidP="007031A5">
      <w:pPr>
        <w:spacing w:line="360" w:lineRule="auto"/>
        <w:rPr>
          <w:rFonts w:ascii="Arial" w:hAnsi="Arial" w:cs="Arial"/>
        </w:rPr>
      </w:pPr>
      <w:r w:rsidRPr="007031A5">
        <w:rPr>
          <w:rFonts w:ascii="Arial" w:hAnsi="Arial" w:cs="Arial"/>
        </w:rPr>
        <w:t>The rapid evolution of technology is transforming the organization of global events, and IHD must seize this opportunity to enhance its operations. By investing in a robust digital platform that consolidates event registration, judging, voting, and live engagement, IHD can streamline processes and improve participant experience. Incorporating AI-driven analytics will not only boost transparency in judging but also provide valuable, data-driven feedback to participants. Furthermore, embracing virtual and hybrid award formats will broaden accessibility, minimize environmental impact, and engage those unable to attend in person. To safeguard participant information and ensure compliance with GDPR, IHD should implement advanced cybersecurity measures. By fully embracing digital innovation, IHD can establish itself as a forward-thinking leader in the global hospitality recognition sector.</w:t>
      </w:r>
    </w:p>
    <w:p w14:paraId="2C22E9BB" w14:textId="77777777" w:rsidR="00A437BE" w:rsidRPr="00A437BE" w:rsidRDefault="00A437BE" w:rsidP="00A437BE">
      <w:pPr>
        <w:spacing w:line="360" w:lineRule="auto"/>
        <w:rPr>
          <w:rFonts w:ascii="Arial" w:hAnsi="Arial" w:cs="Arial"/>
          <w:b/>
          <w:bCs/>
        </w:rPr>
      </w:pPr>
      <w:r w:rsidRPr="00A437BE">
        <w:rPr>
          <w:rFonts w:ascii="Arial" w:hAnsi="Arial" w:cs="Arial"/>
          <w:b/>
          <w:bCs/>
        </w:rPr>
        <w:t>Championing Environmental Sustainability</w:t>
      </w:r>
    </w:p>
    <w:p w14:paraId="29F1FE8A" w14:textId="75468D55" w:rsidR="007031A5" w:rsidRDefault="00A437BE" w:rsidP="00A437BE">
      <w:pPr>
        <w:spacing w:line="360" w:lineRule="auto"/>
        <w:rPr>
          <w:rFonts w:ascii="Arial" w:hAnsi="Arial" w:cs="Arial"/>
        </w:rPr>
      </w:pPr>
      <w:r w:rsidRPr="00A437BE">
        <w:rPr>
          <w:rFonts w:ascii="Arial" w:hAnsi="Arial" w:cs="Arial"/>
        </w:rPr>
        <w:t>As environmental concerns take centre stage in the global hospitality sector, IHD has a prime opportunity to enhance its brand as a leader in sustainability. By embedding eco-friendly practices into all operations—from sustainable event management to encouraging green initiatives among participants—IHD can solidify its commitment to the environment. Introducing a “Green Excellence Award” to honour hotels excelling in environmental stewardship would further elevate its profile. Collaborating with recognized sustainability certification organizations like Green Key and Earth Check will lend credibility to IHD’s efforts. Additionally, implementing internal measures such as carbon offset programs, digital documentation, and waste reduction strategies will showcase IHD’s dedication to environmental responsibility. These initiatives not only align with global sustainability goals but also attract socially conscious brands and consumers, reinforcing IHD’s market position.</w:t>
      </w:r>
    </w:p>
    <w:p w14:paraId="74A80820" w14:textId="77777777" w:rsidR="00A437BE" w:rsidRPr="00A437BE" w:rsidRDefault="00A437BE" w:rsidP="00A437BE">
      <w:pPr>
        <w:spacing w:line="360" w:lineRule="auto"/>
        <w:rPr>
          <w:rFonts w:ascii="Arial" w:hAnsi="Arial" w:cs="Arial"/>
          <w:b/>
          <w:bCs/>
        </w:rPr>
      </w:pPr>
      <w:r w:rsidRPr="00A437BE">
        <w:rPr>
          <w:rFonts w:ascii="Arial" w:hAnsi="Arial" w:cs="Arial"/>
          <w:b/>
          <w:bCs/>
        </w:rPr>
        <w:t>Strengthening Legal and Ethical Governance</w:t>
      </w:r>
    </w:p>
    <w:p w14:paraId="1F3260A1" w14:textId="6D4C9900" w:rsidR="00A437BE" w:rsidRDefault="00A437BE" w:rsidP="00A437BE">
      <w:pPr>
        <w:spacing w:line="360" w:lineRule="auto"/>
        <w:rPr>
          <w:rFonts w:ascii="Arial" w:hAnsi="Arial" w:cs="Arial"/>
        </w:rPr>
      </w:pPr>
      <w:r w:rsidRPr="00A437BE">
        <w:rPr>
          <w:rFonts w:ascii="Arial" w:hAnsi="Arial" w:cs="Arial"/>
        </w:rPr>
        <w:t xml:space="preserve">IHD faces a variety of legal and ethical challenges due to its operations across multiple jurisdictions. To address these complexities, it is essential for IHD to implement a comprehensive global compliance and ethics framework that harmonizes legal, data protection, and contractual practices in all regions. By adopting stringent GDPR compliance measures and fostering transparent communication regarding data management, IHD can significantly boost participant trust. Furthermore, safeguarding intellectual property related to award designs, branding, and proprietary evaluation systems is crucial. Conducting regular legal audits and collaborating with local legal experts in host countries will enhance </w:t>
      </w:r>
      <w:r w:rsidRPr="00A437BE">
        <w:rPr>
          <w:rFonts w:ascii="Arial" w:hAnsi="Arial" w:cs="Arial"/>
        </w:rPr>
        <w:lastRenderedPageBreak/>
        <w:t>operational security. Upholding ethical standards and principles of fair competition will not only strengthen IHD’s credibility but also ensure its long-term viability.</w:t>
      </w:r>
    </w:p>
    <w:p w14:paraId="3E2C7E15" w14:textId="77777777" w:rsidR="00A437BE" w:rsidRDefault="00A437BE" w:rsidP="00A437BE">
      <w:pPr>
        <w:spacing w:line="360" w:lineRule="auto"/>
        <w:rPr>
          <w:rFonts w:ascii="Arial" w:hAnsi="Arial" w:cs="Arial"/>
        </w:rPr>
      </w:pPr>
    </w:p>
    <w:p w14:paraId="5FF78377" w14:textId="77777777" w:rsidR="00CB30E0" w:rsidRDefault="00CB30E0" w:rsidP="00CB30E0">
      <w:pPr>
        <w:pStyle w:val="Subtitle"/>
      </w:pPr>
    </w:p>
    <w:p w14:paraId="1CF7DAB9" w14:textId="77777777" w:rsidR="00CB30E0" w:rsidRPr="00CB30E0" w:rsidRDefault="00CB30E0" w:rsidP="00CB30E0">
      <w:pPr>
        <w:pStyle w:val="Subtitle"/>
        <w:rPr>
          <w:rFonts w:ascii="Times New Roman" w:eastAsia="Times New Roman" w:hAnsi="Times New Roman" w:cs="Times New Roman"/>
          <w:b/>
          <w:bCs/>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Porter’s Five Forces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0"/>
        <w:gridCol w:w="6846"/>
      </w:tblGrid>
      <w:tr w:rsidR="00CB30E0" w:rsidRPr="00CB30E0" w14:paraId="3F597C91" w14:textId="77777777" w:rsidTr="00CB30E0">
        <w:trPr>
          <w:tblHeader/>
          <w:tblCellSpacing w:w="15" w:type="dxa"/>
        </w:trPr>
        <w:tc>
          <w:tcPr>
            <w:tcW w:w="0" w:type="auto"/>
            <w:vAlign w:val="center"/>
            <w:hideMark/>
          </w:tcPr>
          <w:p w14:paraId="6B8EBC0D" w14:textId="4C6B922E" w:rsidR="00CB30E0" w:rsidRPr="00CB30E0" w:rsidRDefault="00CB30E0" w:rsidP="00CB30E0">
            <w:pPr>
              <w:spacing w:after="0" w:line="240" w:lineRule="auto"/>
              <w:jc w:val="center"/>
              <w:rPr>
                <w:rFonts w:ascii="Times New Roman" w:eastAsia="Times New Roman" w:hAnsi="Times New Roman" w:cs="Times New Roman"/>
                <w:b/>
                <w:bCs/>
                <w:kern w:val="0"/>
                <w:sz w:val="24"/>
                <w:szCs w:val="24"/>
                <w:lang w:eastAsia="en-GB"/>
                <w14:ligatures w14:val="none"/>
              </w:rPr>
            </w:pPr>
          </w:p>
        </w:tc>
        <w:tc>
          <w:tcPr>
            <w:tcW w:w="0" w:type="auto"/>
            <w:vAlign w:val="center"/>
            <w:hideMark/>
          </w:tcPr>
          <w:p w14:paraId="5DD13E8D" w14:textId="77777777" w:rsidR="00CB30E0" w:rsidRPr="00CB30E0" w:rsidRDefault="00CB30E0" w:rsidP="00CB30E0">
            <w:pPr>
              <w:spacing w:after="0" w:line="240" w:lineRule="auto"/>
              <w:jc w:val="center"/>
              <w:rPr>
                <w:rFonts w:ascii="Times New Roman" w:eastAsia="Times New Roman" w:hAnsi="Times New Roman" w:cs="Times New Roman"/>
                <w:b/>
                <w:bCs/>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Assessment</w:t>
            </w:r>
          </w:p>
        </w:tc>
      </w:tr>
      <w:tr w:rsidR="00CB30E0" w:rsidRPr="00CB30E0" w14:paraId="5A0E74BF" w14:textId="77777777" w:rsidTr="00CB30E0">
        <w:trPr>
          <w:tblCellSpacing w:w="15" w:type="dxa"/>
        </w:trPr>
        <w:tc>
          <w:tcPr>
            <w:tcW w:w="0" w:type="auto"/>
            <w:vAlign w:val="center"/>
            <w:hideMark/>
          </w:tcPr>
          <w:p w14:paraId="670C9C3E"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Competitive Rivalry</w:t>
            </w:r>
          </w:p>
        </w:tc>
        <w:tc>
          <w:tcPr>
            <w:tcW w:w="0" w:type="auto"/>
            <w:vAlign w:val="center"/>
            <w:hideMark/>
          </w:tcPr>
          <w:p w14:paraId="69D2E0FF"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kern w:val="0"/>
                <w:sz w:val="24"/>
                <w:szCs w:val="24"/>
                <w:lang w:eastAsia="en-GB"/>
                <w14:ligatures w14:val="none"/>
              </w:rPr>
              <w:t>High – Numerous hotels, B&amp;Bs, and Airbnb options in Derby increase competition.</w:t>
            </w:r>
          </w:p>
        </w:tc>
      </w:tr>
      <w:tr w:rsidR="00CB30E0" w:rsidRPr="00CB30E0" w14:paraId="08E099B2" w14:textId="77777777" w:rsidTr="00CB30E0">
        <w:trPr>
          <w:tblCellSpacing w:w="15" w:type="dxa"/>
        </w:trPr>
        <w:tc>
          <w:tcPr>
            <w:tcW w:w="0" w:type="auto"/>
            <w:vAlign w:val="center"/>
            <w:hideMark/>
          </w:tcPr>
          <w:p w14:paraId="77A1A29E"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Threat of New Entrants</w:t>
            </w:r>
          </w:p>
        </w:tc>
        <w:tc>
          <w:tcPr>
            <w:tcW w:w="0" w:type="auto"/>
            <w:vAlign w:val="center"/>
            <w:hideMark/>
          </w:tcPr>
          <w:p w14:paraId="0EE8826F"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kern w:val="0"/>
                <w:sz w:val="24"/>
                <w:szCs w:val="24"/>
                <w:lang w:eastAsia="en-GB"/>
                <w14:ligatures w14:val="none"/>
              </w:rPr>
              <w:t>Moderate – Barriers include capital costs and location scarcity, but local market attractiveness may draw new SMEs.</w:t>
            </w:r>
          </w:p>
        </w:tc>
      </w:tr>
      <w:tr w:rsidR="00CB30E0" w:rsidRPr="00CB30E0" w14:paraId="48388D5E" w14:textId="77777777" w:rsidTr="00CB30E0">
        <w:trPr>
          <w:tblCellSpacing w:w="15" w:type="dxa"/>
        </w:trPr>
        <w:tc>
          <w:tcPr>
            <w:tcW w:w="0" w:type="auto"/>
            <w:vAlign w:val="center"/>
            <w:hideMark/>
          </w:tcPr>
          <w:p w14:paraId="2B74EC13"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Bargaining Power of Suppliers</w:t>
            </w:r>
          </w:p>
        </w:tc>
        <w:tc>
          <w:tcPr>
            <w:tcW w:w="0" w:type="auto"/>
            <w:vAlign w:val="center"/>
            <w:hideMark/>
          </w:tcPr>
          <w:p w14:paraId="3F916766"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kern w:val="0"/>
                <w:sz w:val="24"/>
                <w:szCs w:val="24"/>
                <w:lang w:eastAsia="en-GB"/>
                <w14:ligatures w14:val="none"/>
              </w:rPr>
              <w:t>Low to Moderate – Multiple suppliers for food and amenities reduce supplier power, but specialised services (e.g., linen) may have fewer options.</w:t>
            </w:r>
          </w:p>
        </w:tc>
      </w:tr>
      <w:tr w:rsidR="00CB30E0" w:rsidRPr="00CB30E0" w14:paraId="06CBB7A8" w14:textId="77777777" w:rsidTr="00CB30E0">
        <w:trPr>
          <w:tblCellSpacing w:w="15" w:type="dxa"/>
        </w:trPr>
        <w:tc>
          <w:tcPr>
            <w:tcW w:w="0" w:type="auto"/>
            <w:vAlign w:val="center"/>
            <w:hideMark/>
          </w:tcPr>
          <w:p w14:paraId="3C943CC5"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Bargaining Power of Customers</w:t>
            </w:r>
          </w:p>
        </w:tc>
        <w:tc>
          <w:tcPr>
            <w:tcW w:w="0" w:type="auto"/>
            <w:vAlign w:val="center"/>
            <w:hideMark/>
          </w:tcPr>
          <w:p w14:paraId="1DEC2171"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kern w:val="0"/>
                <w:sz w:val="24"/>
                <w:szCs w:val="24"/>
                <w:lang w:eastAsia="en-GB"/>
                <w14:ligatures w14:val="none"/>
              </w:rPr>
              <w:t>High – Customers have easy access to alternatives and price comparison tools, increasing their leverage.</w:t>
            </w:r>
          </w:p>
        </w:tc>
      </w:tr>
      <w:tr w:rsidR="00CB30E0" w:rsidRPr="00CB30E0" w14:paraId="030AB288" w14:textId="77777777" w:rsidTr="00CB30E0">
        <w:trPr>
          <w:tblCellSpacing w:w="15" w:type="dxa"/>
        </w:trPr>
        <w:tc>
          <w:tcPr>
            <w:tcW w:w="0" w:type="auto"/>
            <w:vAlign w:val="center"/>
            <w:hideMark/>
          </w:tcPr>
          <w:p w14:paraId="50516612"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b/>
                <w:bCs/>
                <w:kern w:val="0"/>
                <w:sz w:val="24"/>
                <w:szCs w:val="24"/>
                <w:lang w:eastAsia="en-GB"/>
                <w14:ligatures w14:val="none"/>
              </w:rPr>
              <w:t>Threat of Substitutes</w:t>
            </w:r>
          </w:p>
        </w:tc>
        <w:tc>
          <w:tcPr>
            <w:tcW w:w="0" w:type="auto"/>
            <w:vAlign w:val="center"/>
            <w:hideMark/>
          </w:tcPr>
          <w:p w14:paraId="5DC5A9A9" w14:textId="77777777" w:rsidR="00CB30E0" w:rsidRPr="00CB30E0" w:rsidRDefault="00CB30E0" w:rsidP="00CB30E0">
            <w:pPr>
              <w:spacing w:after="0" w:line="240" w:lineRule="auto"/>
              <w:rPr>
                <w:rFonts w:ascii="Times New Roman" w:eastAsia="Times New Roman" w:hAnsi="Times New Roman" w:cs="Times New Roman"/>
                <w:kern w:val="0"/>
                <w:sz w:val="24"/>
                <w:szCs w:val="24"/>
                <w:lang w:eastAsia="en-GB"/>
                <w14:ligatures w14:val="none"/>
              </w:rPr>
            </w:pPr>
            <w:r w:rsidRPr="00CB30E0">
              <w:rPr>
                <w:rFonts w:ascii="Times New Roman" w:eastAsia="Times New Roman" w:hAnsi="Times New Roman" w:cs="Times New Roman"/>
                <w:kern w:val="0"/>
                <w:sz w:val="24"/>
                <w:szCs w:val="24"/>
                <w:lang w:eastAsia="en-GB"/>
                <w14:ligatures w14:val="none"/>
              </w:rPr>
              <w:t>High – Alternative accommodation like Airbnb and serviced apartments appeal to budget and long-stay travellers.</w:t>
            </w:r>
          </w:p>
        </w:tc>
      </w:tr>
    </w:tbl>
    <w:p w14:paraId="57415AEE" w14:textId="1299D5C0" w:rsidR="00CB30E0" w:rsidRPr="00CB30E0" w:rsidRDefault="00000000" w:rsidP="00CB30E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F7F9805">
          <v:rect id="_x0000_i1025" style="width:0;height:1.5pt" o:hralign="center" o:hrstd="t" o:hr="t" fillcolor="#a0a0a0" stroked="f"/>
        </w:pict>
      </w:r>
    </w:p>
    <w:p w14:paraId="7DD56F04" w14:textId="77777777" w:rsidR="00CB30E0" w:rsidRDefault="00CB30E0" w:rsidP="00CB30E0"/>
    <w:p w14:paraId="6806771F" w14:textId="77777777" w:rsidR="00CB30E0" w:rsidRDefault="00CB30E0" w:rsidP="00CB30E0"/>
    <w:p w14:paraId="509823F2" w14:textId="77777777" w:rsidR="00CB30E0" w:rsidRDefault="00CB30E0" w:rsidP="00F605F5"/>
    <w:p w14:paraId="3A36C875" w14:textId="77777777" w:rsidR="00CB30E0" w:rsidRDefault="00CB30E0" w:rsidP="00F605F5"/>
    <w:p w14:paraId="551B91FF" w14:textId="77777777" w:rsidR="00CB30E0" w:rsidRDefault="00CB30E0" w:rsidP="00F605F5"/>
    <w:p w14:paraId="6C3C68CF" w14:textId="77777777" w:rsidR="00CB30E0" w:rsidRDefault="00CB30E0" w:rsidP="00F605F5"/>
    <w:p w14:paraId="633AAC80" w14:textId="77777777" w:rsidR="00185C55" w:rsidRDefault="00185C55" w:rsidP="00F605F5"/>
    <w:p w14:paraId="46D13A11" w14:textId="77777777" w:rsidR="00185C55" w:rsidRDefault="00185C55" w:rsidP="00F605F5"/>
    <w:p w14:paraId="13042A8E" w14:textId="75021E2C" w:rsidR="00185C55" w:rsidRDefault="00185C55" w:rsidP="00185C55">
      <w:r>
        <w:t>.</w:t>
      </w:r>
    </w:p>
    <w:p w14:paraId="18F97369" w14:textId="77777777" w:rsidR="00185C55" w:rsidRDefault="00185C55" w:rsidP="00185C55"/>
    <w:p w14:paraId="6B5E16FF" w14:textId="77777777" w:rsidR="00185C55" w:rsidRPr="00185C55" w:rsidRDefault="00185C55" w:rsidP="00185C55">
      <w:pPr>
        <w:pStyle w:val="Subtitle"/>
        <w:rPr>
          <w:rFonts w:eastAsia="Times New Roman"/>
          <w:lang w:eastAsia="en-GB"/>
        </w:rPr>
      </w:pPr>
      <w:r w:rsidRPr="00185C55">
        <w:rPr>
          <w:rFonts w:eastAsia="Times New Roman"/>
          <w:lang w:eastAsia="en-GB"/>
        </w:rPr>
        <w:t>A. Ansoff Matrix – Growth Options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5"/>
        <w:gridCol w:w="3945"/>
        <w:gridCol w:w="2706"/>
      </w:tblGrid>
      <w:tr w:rsidR="00185C55" w:rsidRPr="00185C55" w14:paraId="18A474D6" w14:textId="77777777" w:rsidTr="00185C55">
        <w:trPr>
          <w:tblHeader/>
          <w:tblCellSpacing w:w="15" w:type="dxa"/>
        </w:trPr>
        <w:tc>
          <w:tcPr>
            <w:tcW w:w="0" w:type="auto"/>
            <w:vAlign w:val="center"/>
            <w:hideMark/>
          </w:tcPr>
          <w:p w14:paraId="13A530DF"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Strategy</w:t>
            </w:r>
          </w:p>
        </w:tc>
        <w:tc>
          <w:tcPr>
            <w:tcW w:w="0" w:type="auto"/>
            <w:vAlign w:val="center"/>
            <w:hideMark/>
          </w:tcPr>
          <w:p w14:paraId="435094C8"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Description</w:t>
            </w:r>
          </w:p>
        </w:tc>
        <w:tc>
          <w:tcPr>
            <w:tcW w:w="0" w:type="auto"/>
            <w:vAlign w:val="center"/>
            <w:hideMark/>
          </w:tcPr>
          <w:p w14:paraId="05689839"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Applicability to Hotel</w:t>
            </w:r>
          </w:p>
        </w:tc>
      </w:tr>
      <w:tr w:rsidR="00185C55" w:rsidRPr="00185C55" w14:paraId="38396F60" w14:textId="77777777" w:rsidTr="00185C55">
        <w:trPr>
          <w:tblCellSpacing w:w="15" w:type="dxa"/>
        </w:trPr>
        <w:tc>
          <w:tcPr>
            <w:tcW w:w="0" w:type="auto"/>
            <w:vAlign w:val="center"/>
            <w:hideMark/>
          </w:tcPr>
          <w:p w14:paraId="7822FD12"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Market Penetration</w:t>
            </w:r>
          </w:p>
        </w:tc>
        <w:tc>
          <w:tcPr>
            <w:tcW w:w="0" w:type="auto"/>
            <w:vAlign w:val="center"/>
            <w:hideMark/>
          </w:tcPr>
          <w:p w14:paraId="715398BE"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Sell more to existing markets (e.g. loyalty programs, promotions)</w:t>
            </w:r>
          </w:p>
        </w:tc>
        <w:tc>
          <w:tcPr>
            <w:tcW w:w="0" w:type="auto"/>
            <w:vAlign w:val="center"/>
            <w:hideMark/>
          </w:tcPr>
          <w:p w14:paraId="2F179EF2"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Already used to some extent</w:t>
            </w:r>
          </w:p>
        </w:tc>
      </w:tr>
      <w:tr w:rsidR="00185C55" w:rsidRPr="00185C55" w14:paraId="1106B1E7" w14:textId="77777777" w:rsidTr="00185C55">
        <w:trPr>
          <w:tblCellSpacing w:w="15" w:type="dxa"/>
        </w:trPr>
        <w:tc>
          <w:tcPr>
            <w:tcW w:w="0" w:type="auto"/>
            <w:vAlign w:val="center"/>
            <w:hideMark/>
          </w:tcPr>
          <w:p w14:paraId="0E7277F7"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Market Development</w:t>
            </w:r>
          </w:p>
        </w:tc>
        <w:tc>
          <w:tcPr>
            <w:tcW w:w="0" w:type="auto"/>
            <w:vAlign w:val="center"/>
            <w:hideMark/>
          </w:tcPr>
          <w:p w14:paraId="5870FA26"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Target new customer segments or geographical markets</w:t>
            </w:r>
          </w:p>
        </w:tc>
        <w:tc>
          <w:tcPr>
            <w:tcW w:w="0" w:type="auto"/>
            <w:vAlign w:val="center"/>
            <w:hideMark/>
          </w:tcPr>
          <w:p w14:paraId="01395F39"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Could target corporate clients &amp; tourists</w:t>
            </w:r>
          </w:p>
        </w:tc>
      </w:tr>
      <w:tr w:rsidR="00185C55" w:rsidRPr="00185C55" w14:paraId="3B003DF2" w14:textId="77777777" w:rsidTr="00185C55">
        <w:trPr>
          <w:tblCellSpacing w:w="15" w:type="dxa"/>
        </w:trPr>
        <w:tc>
          <w:tcPr>
            <w:tcW w:w="0" w:type="auto"/>
            <w:vAlign w:val="center"/>
            <w:hideMark/>
          </w:tcPr>
          <w:p w14:paraId="48E39421"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Product/Service Development</w:t>
            </w:r>
          </w:p>
        </w:tc>
        <w:tc>
          <w:tcPr>
            <w:tcW w:w="0" w:type="auto"/>
            <w:vAlign w:val="center"/>
            <w:hideMark/>
          </w:tcPr>
          <w:p w14:paraId="5DB69795"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Add new services (e.g. eco-rooms, business hubs, spa services)</w:t>
            </w:r>
          </w:p>
        </w:tc>
        <w:tc>
          <w:tcPr>
            <w:tcW w:w="0" w:type="auto"/>
            <w:vAlign w:val="center"/>
            <w:hideMark/>
          </w:tcPr>
          <w:p w14:paraId="40E20C57"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Potential for guest experience upgrade</w:t>
            </w:r>
          </w:p>
        </w:tc>
      </w:tr>
      <w:tr w:rsidR="00185C55" w:rsidRPr="00185C55" w14:paraId="37BE2564" w14:textId="77777777" w:rsidTr="00185C55">
        <w:trPr>
          <w:tblCellSpacing w:w="15" w:type="dxa"/>
        </w:trPr>
        <w:tc>
          <w:tcPr>
            <w:tcW w:w="0" w:type="auto"/>
            <w:vAlign w:val="center"/>
            <w:hideMark/>
          </w:tcPr>
          <w:p w14:paraId="13554CAD"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lastRenderedPageBreak/>
              <w:t>Diversification</w:t>
            </w:r>
          </w:p>
        </w:tc>
        <w:tc>
          <w:tcPr>
            <w:tcW w:w="0" w:type="auto"/>
            <w:vAlign w:val="center"/>
            <w:hideMark/>
          </w:tcPr>
          <w:p w14:paraId="4A6B4191"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Enter new markets with new products (e.g. franchising, property rental)</w:t>
            </w:r>
          </w:p>
        </w:tc>
        <w:tc>
          <w:tcPr>
            <w:tcW w:w="0" w:type="auto"/>
            <w:vAlign w:val="center"/>
            <w:hideMark/>
          </w:tcPr>
          <w:p w14:paraId="0FBF44C6" w14:textId="0A135BA3"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Risky and not ideal for SME scale</w:t>
            </w:r>
          </w:p>
        </w:tc>
      </w:tr>
    </w:tbl>
    <w:p w14:paraId="684A4128" w14:textId="77777777" w:rsidR="00185C55" w:rsidRDefault="00185C55" w:rsidP="00185C55"/>
    <w:p w14:paraId="70D788F9" w14:textId="77777777" w:rsidR="00185C55" w:rsidRDefault="00185C55" w:rsidP="00185C55"/>
    <w:p w14:paraId="636BA471" w14:textId="77777777" w:rsidR="00CB30E0" w:rsidRDefault="00CB30E0" w:rsidP="00F605F5"/>
    <w:p w14:paraId="36C71E57" w14:textId="77777777" w:rsidR="00185C55" w:rsidRPr="00185C55" w:rsidRDefault="00185C55" w:rsidP="00185C55">
      <w:pPr>
        <w:pStyle w:val="Subtitle"/>
        <w:rPr>
          <w:rFonts w:eastAsia="Times New Roman"/>
          <w:lang w:eastAsia="en-GB"/>
        </w:rPr>
      </w:pPr>
      <w:r w:rsidRPr="00185C55">
        <w:rPr>
          <w:rFonts w:eastAsia="Times New Roman"/>
          <w:lang w:eastAsia="en-GB"/>
        </w:rPr>
        <w:t>B. Porter’s Generic Strategies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3"/>
        <w:gridCol w:w="4182"/>
        <w:gridCol w:w="3151"/>
      </w:tblGrid>
      <w:tr w:rsidR="00185C55" w:rsidRPr="00185C55" w14:paraId="0813447D" w14:textId="77777777" w:rsidTr="00185C55">
        <w:trPr>
          <w:tblHeader/>
          <w:tblCellSpacing w:w="15" w:type="dxa"/>
        </w:trPr>
        <w:tc>
          <w:tcPr>
            <w:tcW w:w="0" w:type="auto"/>
            <w:vAlign w:val="center"/>
            <w:hideMark/>
          </w:tcPr>
          <w:p w14:paraId="0FE3B55E"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Strategy</w:t>
            </w:r>
          </w:p>
        </w:tc>
        <w:tc>
          <w:tcPr>
            <w:tcW w:w="0" w:type="auto"/>
            <w:vAlign w:val="center"/>
            <w:hideMark/>
          </w:tcPr>
          <w:p w14:paraId="2DB18EBF"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Description</w:t>
            </w:r>
          </w:p>
        </w:tc>
        <w:tc>
          <w:tcPr>
            <w:tcW w:w="0" w:type="auto"/>
            <w:vAlign w:val="center"/>
            <w:hideMark/>
          </w:tcPr>
          <w:p w14:paraId="0FBE06B0" w14:textId="77777777" w:rsidR="00185C55" w:rsidRPr="00185C55" w:rsidRDefault="00185C55" w:rsidP="00185C55">
            <w:pPr>
              <w:spacing w:after="0" w:line="240" w:lineRule="auto"/>
              <w:jc w:val="center"/>
              <w:rPr>
                <w:rFonts w:ascii="Times New Roman" w:eastAsia="Times New Roman" w:hAnsi="Times New Roman" w:cs="Times New Roman"/>
                <w:b/>
                <w:bCs/>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Fit for Hotel?</w:t>
            </w:r>
          </w:p>
        </w:tc>
      </w:tr>
      <w:tr w:rsidR="00185C55" w:rsidRPr="00185C55" w14:paraId="5960DA70" w14:textId="77777777" w:rsidTr="00185C55">
        <w:trPr>
          <w:tblCellSpacing w:w="15" w:type="dxa"/>
        </w:trPr>
        <w:tc>
          <w:tcPr>
            <w:tcW w:w="0" w:type="auto"/>
            <w:vAlign w:val="center"/>
            <w:hideMark/>
          </w:tcPr>
          <w:p w14:paraId="66372BE0"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Cost Leadership</w:t>
            </w:r>
          </w:p>
        </w:tc>
        <w:tc>
          <w:tcPr>
            <w:tcW w:w="0" w:type="auto"/>
            <w:vAlign w:val="center"/>
            <w:hideMark/>
          </w:tcPr>
          <w:p w14:paraId="6D9B209D"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Competing on price across a wide market</w:t>
            </w:r>
          </w:p>
        </w:tc>
        <w:tc>
          <w:tcPr>
            <w:tcW w:w="0" w:type="auto"/>
            <w:vAlign w:val="center"/>
            <w:hideMark/>
          </w:tcPr>
          <w:p w14:paraId="733F2AFB"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Difficult for SMEs due to limited scale</w:t>
            </w:r>
          </w:p>
        </w:tc>
      </w:tr>
      <w:tr w:rsidR="00185C55" w:rsidRPr="00185C55" w14:paraId="46004D5F" w14:textId="77777777" w:rsidTr="00185C55">
        <w:trPr>
          <w:tblCellSpacing w:w="15" w:type="dxa"/>
        </w:trPr>
        <w:tc>
          <w:tcPr>
            <w:tcW w:w="0" w:type="auto"/>
            <w:vAlign w:val="center"/>
            <w:hideMark/>
          </w:tcPr>
          <w:p w14:paraId="73A8F33F"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Differentiation</w:t>
            </w:r>
          </w:p>
        </w:tc>
        <w:tc>
          <w:tcPr>
            <w:tcW w:w="0" w:type="auto"/>
            <w:vAlign w:val="center"/>
            <w:hideMark/>
          </w:tcPr>
          <w:p w14:paraId="33889BB1"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Offering unique features that add value</w:t>
            </w:r>
          </w:p>
        </w:tc>
        <w:tc>
          <w:tcPr>
            <w:tcW w:w="0" w:type="auto"/>
            <w:vAlign w:val="center"/>
            <w:hideMark/>
          </w:tcPr>
          <w:p w14:paraId="1AC9AD0B"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Strong alignment with personalised service</w:t>
            </w:r>
          </w:p>
        </w:tc>
      </w:tr>
      <w:tr w:rsidR="00185C55" w:rsidRPr="00185C55" w14:paraId="09FA37F5" w14:textId="77777777" w:rsidTr="00185C55">
        <w:trPr>
          <w:tblCellSpacing w:w="15" w:type="dxa"/>
        </w:trPr>
        <w:tc>
          <w:tcPr>
            <w:tcW w:w="0" w:type="auto"/>
            <w:vAlign w:val="center"/>
            <w:hideMark/>
          </w:tcPr>
          <w:p w14:paraId="14A50F34"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b/>
                <w:bCs/>
                <w:kern w:val="0"/>
                <w:sz w:val="24"/>
                <w:szCs w:val="24"/>
                <w:lang w:eastAsia="en-GB"/>
                <w14:ligatures w14:val="none"/>
              </w:rPr>
              <w:t>Focus Strategy</w:t>
            </w:r>
          </w:p>
        </w:tc>
        <w:tc>
          <w:tcPr>
            <w:tcW w:w="0" w:type="auto"/>
            <w:vAlign w:val="center"/>
            <w:hideMark/>
          </w:tcPr>
          <w:p w14:paraId="1B4501A1"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Times New Roman" w:eastAsia="Times New Roman" w:hAnsi="Times New Roman" w:cs="Times New Roman"/>
                <w:kern w:val="0"/>
                <w:sz w:val="24"/>
                <w:szCs w:val="24"/>
                <w:lang w:eastAsia="en-GB"/>
                <w14:ligatures w14:val="none"/>
              </w:rPr>
              <w:t>Targeting a niche segment (e.g. business travellers, eco-tourists)</w:t>
            </w:r>
          </w:p>
        </w:tc>
        <w:tc>
          <w:tcPr>
            <w:tcW w:w="0" w:type="auto"/>
            <w:vAlign w:val="center"/>
            <w:hideMark/>
          </w:tcPr>
          <w:p w14:paraId="415C38C2" w14:textId="77777777" w:rsidR="00185C55" w:rsidRPr="00185C55" w:rsidRDefault="00185C55" w:rsidP="00185C55">
            <w:pPr>
              <w:spacing w:after="0" w:line="240" w:lineRule="auto"/>
              <w:rPr>
                <w:rFonts w:ascii="Times New Roman" w:eastAsia="Times New Roman" w:hAnsi="Times New Roman" w:cs="Times New Roman"/>
                <w:kern w:val="0"/>
                <w:sz w:val="24"/>
                <w:szCs w:val="24"/>
                <w:lang w:eastAsia="en-GB"/>
                <w14:ligatures w14:val="none"/>
              </w:rPr>
            </w:pPr>
            <w:r w:rsidRPr="00185C55">
              <w:rPr>
                <w:rFonts w:ascii="Segoe UI Symbol" w:eastAsia="Times New Roman" w:hAnsi="Segoe UI Symbol" w:cs="Segoe UI Symbol"/>
                <w:kern w:val="0"/>
                <w:sz w:val="24"/>
                <w:szCs w:val="24"/>
                <w:lang w:eastAsia="en-GB"/>
                <w14:ligatures w14:val="none"/>
              </w:rPr>
              <w:t>✓</w:t>
            </w:r>
            <w:r w:rsidRPr="00185C55">
              <w:rPr>
                <w:rFonts w:ascii="Times New Roman" w:eastAsia="Times New Roman" w:hAnsi="Times New Roman" w:cs="Times New Roman"/>
                <w:kern w:val="0"/>
                <w:sz w:val="24"/>
                <w:szCs w:val="24"/>
                <w:lang w:eastAsia="en-GB"/>
                <w14:ligatures w14:val="none"/>
              </w:rPr>
              <w:t xml:space="preserve"> High potential for SME with local appeal</w:t>
            </w:r>
          </w:p>
        </w:tc>
      </w:tr>
    </w:tbl>
    <w:p w14:paraId="092F342A" w14:textId="77777777" w:rsidR="00CB30E0" w:rsidRDefault="00CB30E0" w:rsidP="00F605F5"/>
    <w:p w14:paraId="733BB36B" w14:textId="77777777" w:rsidR="00185C55" w:rsidRPr="00185C55" w:rsidRDefault="00185C55" w:rsidP="00185C55"/>
    <w:p w14:paraId="088A11C8" w14:textId="4EE04352" w:rsidR="00185C55" w:rsidRDefault="00185C55" w:rsidP="00185C55">
      <w:pPr>
        <w:pStyle w:val="Subtitle"/>
      </w:pPr>
      <w:r>
        <w:t>Bowman’s Strategy Clock</w:t>
      </w:r>
    </w:p>
    <w:p w14:paraId="5C210FDB" w14:textId="76EDBB8A" w:rsidR="00185C55" w:rsidRDefault="00185C55" w:rsidP="00185C55">
      <w:r>
        <w:t>Bowman’s Strategy Clock suggests that the International Hotel Derby should aim for Position 5: Focused Differentiation. This means the hotel can offer high perceived value and premium services, but specifically target a niche market, such as business travellers or eco-conscious tourists. By doing this, the hotel can stand out and attract customers who are willing to pay more for specialized experiences.</w:t>
      </w:r>
    </w:p>
    <w:p w14:paraId="2BDC5A63" w14:textId="77777777" w:rsidR="004D0A01" w:rsidRDefault="004D0A01" w:rsidP="00185C55"/>
    <w:p w14:paraId="04D959E8" w14:textId="77777777" w:rsidR="0040399D" w:rsidRDefault="0040399D" w:rsidP="00185C55"/>
    <w:p w14:paraId="54A8ED82" w14:textId="4DF598B2" w:rsidR="004D0A01" w:rsidRDefault="0040399D" w:rsidP="0040399D">
      <w:pPr>
        <w:pStyle w:val="Heading1"/>
      </w:pPr>
      <w:bookmarkStart w:id="5" w:name="_Toc213675875"/>
      <w:r>
        <w:t>Strategic Growth Choices and Sustainable Strategy</w:t>
      </w:r>
      <w:bookmarkEnd w:id="5"/>
    </w:p>
    <w:p w14:paraId="35A36C9C" w14:textId="1417AB33" w:rsidR="00185C55" w:rsidRPr="001810C1" w:rsidRDefault="001810C1" w:rsidP="001810C1">
      <w:pPr>
        <w:spacing w:line="360" w:lineRule="auto"/>
        <w:rPr>
          <w:rFonts w:ascii="Arial" w:hAnsi="Arial" w:cs="Arial"/>
        </w:rPr>
      </w:pPr>
      <w:r w:rsidRPr="001810C1">
        <w:rPr>
          <w:rFonts w:ascii="Arial" w:hAnsi="Arial" w:cs="Arial"/>
        </w:rPr>
        <w:t xml:space="preserve">Small and Medium Enterprises (SMEs) like the International Hotel Derby (IHD) have a range of strategic growth avenues available, including market penetration, market development, product innovation, and diversification, as illustrated by the Ansoff Matrix. To enhance its competitive position, IHD can also adopt one of Porter’s Generic Strategies—cost leadership, differentiation, or focus. Among these options, the most promising and sustainable long-term strategy for IHD is Sustainable Differentiation through Digital and Global Expansion. This approach integrates product and market development with Porter’s differentiation strategy, enabling IHD to explore emerging tourism markets while bolstering its digital capabilities through hybrid event platforms and sustainability initiatives. By aligning with global hospitality trends, this strategy not only drives innovation and enhances brand </w:t>
      </w:r>
      <w:r w:rsidRPr="001810C1">
        <w:rPr>
          <w:rFonts w:ascii="Arial" w:hAnsi="Arial" w:cs="Arial"/>
        </w:rPr>
        <w:lastRenderedPageBreak/>
        <w:t>reputation but also diversifies revenue streams and mitigates reliance on traditional annual events, establishing IHD as a forward-thinking, eco-conscious leader in the global hospitality industry.</w:t>
      </w:r>
    </w:p>
    <w:p w14:paraId="2AC1C8B8" w14:textId="77777777" w:rsidR="004D0A01" w:rsidRDefault="004D0A01" w:rsidP="00185C55">
      <w:pPr>
        <w:pStyle w:val="Subtitle"/>
      </w:pPr>
    </w:p>
    <w:p w14:paraId="54AABF1B" w14:textId="77777777" w:rsidR="0040399D" w:rsidRDefault="0040399D" w:rsidP="0040399D"/>
    <w:p w14:paraId="7E5F42B2" w14:textId="77777777" w:rsidR="0040399D" w:rsidRPr="0040399D" w:rsidRDefault="0040399D" w:rsidP="0040399D"/>
    <w:p w14:paraId="4EFAC54E" w14:textId="32FDEADF" w:rsidR="004D0A01" w:rsidRDefault="004D0A01" w:rsidP="00185C55">
      <w:pPr>
        <w:pStyle w:val="Subtitle"/>
      </w:pPr>
      <w:r>
        <w:t>Best Strategic Growth Solution: “Sustainable Differentiation through Digital and Global Expansion”</w:t>
      </w:r>
    </w:p>
    <w:p w14:paraId="5A5B5A3F" w14:textId="77777777" w:rsidR="004D0A01" w:rsidRPr="004D0A01" w:rsidRDefault="004D0A01" w:rsidP="004D0A01">
      <w:pPr>
        <w:spacing w:line="360" w:lineRule="auto"/>
        <w:rPr>
          <w:rFonts w:ascii="Arial" w:hAnsi="Arial" w:cs="Arial"/>
        </w:rPr>
      </w:pPr>
    </w:p>
    <w:p w14:paraId="4A57FE05" w14:textId="4748CF04" w:rsidR="004D0A01" w:rsidRPr="004D0A01" w:rsidRDefault="004D0A01" w:rsidP="004D0A01">
      <w:pPr>
        <w:spacing w:line="360" w:lineRule="auto"/>
        <w:rPr>
          <w:rFonts w:ascii="Arial" w:hAnsi="Arial" w:cs="Arial"/>
        </w:rPr>
      </w:pPr>
      <w:r w:rsidRPr="004D0A01">
        <w:rPr>
          <w:rFonts w:ascii="Arial" w:hAnsi="Arial" w:cs="Arial"/>
        </w:rPr>
        <w:t>The optimal and most sustainable growth strategy for the International Hotel Derby is a Sustainable Differentiation Strategy, which combines elements of Product Development and Market Development as outlined in the Ansoff Matrix, while also aligning with Porter’s Differentiation Strategy. This strategy emphasizes digital transformation, positions the hotel as a leader in sustainability, and promotes international expansion, thereby ensuring robust growth and long-term resilience in a competitive market.</w:t>
      </w:r>
    </w:p>
    <w:p w14:paraId="11A9F1BC" w14:textId="77777777" w:rsidR="004D0A01" w:rsidRPr="004D0A01" w:rsidRDefault="004D0A01" w:rsidP="004D0A01">
      <w:pPr>
        <w:spacing w:line="360" w:lineRule="auto"/>
        <w:rPr>
          <w:rFonts w:ascii="Arial" w:hAnsi="Arial" w:cs="Arial"/>
          <w:b/>
          <w:bCs/>
        </w:rPr>
      </w:pPr>
      <w:r w:rsidRPr="004D0A01">
        <w:rPr>
          <w:rFonts w:ascii="Arial" w:hAnsi="Arial" w:cs="Arial"/>
          <w:b/>
          <w:bCs/>
        </w:rPr>
        <w:t>Why This is the Best and Most Sustainable Strategy</w:t>
      </w:r>
    </w:p>
    <w:p w14:paraId="032EFAAC" w14:textId="3FAB62CF" w:rsidR="00185C55" w:rsidRDefault="004D0A01" w:rsidP="004D0A01">
      <w:pPr>
        <w:spacing w:line="360" w:lineRule="auto"/>
        <w:rPr>
          <w:rFonts w:ascii="Arial" w:hAnsi="Arial" w:cs="Arial"/>
        </w:rPr>
      </w:pPr>
      <w:r w:rsidRPr="004D0A01">
        <w:rPr>
          <w:rFonts w:ascii="Arial" w:hAnsi="Arial" w:cs="Arial"/>
        </w:rPr>
        <w:t>This strategy stands out as the most effective and sustainable choice because it capitalizes on IHD’s fundamental strengths and emerging opportunities. IHD boasts a strong global reputation, industry credibility, and a robust network of hospitality partners, which are essential assets. By embracing digital innovation—such as hybrid award platforms, online engagement, and data-driven judging— IHD can expand its reach to a broader international audience while upholding its commitment to quality. Furthermore, this strategy effectively responds to critical opportunities highlighted in the SWOT and PESTEL analyses, particularly the growing influence of technology, increasing sustainability awareness, and the emergence of new tourism markets.</w:t>
      </w:r>
    </w:p>
    <w:p w14:paraId="663C49A0" w14:textId="77777777" w:rsidR="004D0A01" w:rsidRDefault="004D0A01" w:rsidP="004D0A01">
      <w:pPr>
        <w:spacing w:line="360" w:lineRule="auto"/>
        <w:rPr>
          <w:rFonts w:ascii="Arial" w:hAnsi="Arial" w:cs="Arial"/>
        </w:rPr>
      </w:pPr>
    </w:p>
    <w:p w14:paraId="511A1F41" w14:textId="16527C9E" w:rsidR="004D0A01" w:rsidRPr="004D0A01" w:rsidRDefault="004D0A01" w:rsidP="004D0A01">
      <w:pPr>
        <w:spacing w:line="360" w:lineRule="auto"/>
        <w:rPr>
          <w:rFonts w:ascii="Arial" w:hAnsi="Arial" w:cs="Arial"/>
          <w:b/>
          <w:bCs/>
        </w:rPr>
      </w:pPr>
      <w:r w:rsidRPr="004D0A01">
        <w:rPr>
          <w:rFonts w:ascii="Arial" w:hAnsi="Arial" w:cs="Arial"/>
          <w:b/>
          <w:bCs/>
        </w:rPr>
        <w:t>It ensures long-term sustainability</w:t>
      </w:r>
    </w:p>
    <w:p w14:paraId="2DC865C6" w14:textId="722DE337" w:rsidR="004D0A01" w:rsidRDefault="004D0A01" w:rsidP="004D0A01">
      <w:pPr>
        <w:spacing w:line="360" w:lineRule="auto"/>
        <w:rPr>
          <w:rFonts w:ascii="Arial" w:hAnsi="Arial" w:cs="Arial"/>
        </w:rPr>
      </w:pPr>
      <w:r w:rsidRPr="004D0A01">
        <w:rPr>
          <w:rFonts w:ascii="Arial" w:hAnsi="Arial" w:cs="Arial"/>
        </w:rPr>
        <w:t xml:space="preserve"> This approach not only focuses on growth but also emphasizes the importance of future resilience. By embracing digital transformation and expanding into new markets and services, IHD mitigates its dependence on annual physical events, allowing for greater adaptability in the face of economic or political challenges. Furthermore, prioritizing sustainability as a fundamental principle positions the organization to remain relevant in an </w:t>
      </w:r>
      <w:r w:rsidRPr="004D0A01">
        <w:rPr>
          <w:rFonts w:ascii="Arial" w:hAnsi="Arial" w:cs="Arial"/>
        </w:rPr>
        <w:lastRenderedPageBreak/>
        <w:t>industry increasingly influenced by green initiatives, social responsibility, and ethical tourism—trends that are poised to gain even more momentum in the coming years.</w:t>
      </w:r>
    </w:p>
    <w:p w14:paraId="51AC143D" w14:textId="77777777" w:rsidR="004D0A01" w:rsidRDefault="004D0A01" w:rsidP="004D0A01">
      <w:pPr>
        <w:spacing w:line="360" w:lineRule="auto"/>
        <w:rPr>
          <w:rFonts w:ascii="Arial" w:hAnsi="Arial" w:cs="Arial"/>
        </w:rPr>
      </w:pPr>
    </w:p>
    <w:p w14:paraId="52FBDC48" w14:textId="77777777" w:rsidR="0040399D" w:rsidRDefault="0040399D" w:rsidP="0040399D">
      <w:pPr>
        <w:spacing w:line="360" w:lineRule="auto"/>
        <w:rPr>
          <w:rFonts w:ascii="Arial" w:hAnsi="Arial" w:cs="Arial"/>
        </w:rPr>
      </w:pPr>
      <w:r w:rsidRPr="0040399D">
        <w:rPr>
          <w:rFonts w:ascii="Arial" w:hAnsi="Arial" w:cs="Arial"/>
        </w:rPr>
        <w:t xml:space="preserve">IHD stands out in the competitive landscape by leveraging differentiation as outlined in Porter’s Generic Strategies. Unlike other award organizations that prioritize scale or cost, </w:t>
      </w:r>
    </w:p>
    <w:p w14:paraId="347440CC" w14:textId="131E50F1" w:rsidR="0040399D" w:rsidRPr="0040399D" w:rsidRDefault="0040399D" w:rsidP="0040399D">
      <w:pPr>
        <w:spacing w:line="360" w:lineRule="auto"/>
        <w:rPr>
          <w:rFonts w:ascii="Arial" w:hAnsi="Arial" w:cs="Arial"/>
          <w:b/>
          <w:bCs/>
        </w:rPr>
      </w:pPr>
      <w:r w:rsidRPr="0040399D">
        <w:rPr>
          <w:rFonts w:ascii="Arial" w:hAnsi="Arial" w:cs="Arial"/>
          <w:b/>
          <w:bCs/>
        </w:rPr>
        <w:t>It provides clear competitive differentiation</w:t>
      </w:r>
    </w:p>
    <w:p w14:paraId="39264982" w14:textId="233E9F5C" w:rsidR="0040399D" w:rsidRPr="0040399D" w:rsidRDefault="0040399D" w:rsidP="0040399D">
      <w:pPr>
        <w:spacing w:line="360" w:lineRule="auto"/>
        <w:rPr>
          <w:rFonts w:ascii="Arial" w:hAnsi="Arial" w:cs="Arial"/>
        </w:rPr>
      </w:pPr>
      <w:r w:rsidRPr="0040399D">
        <w:rPr>
          <w:rFonts w:ascii="Arial" w:hAnsi="Arial" w:cs="Arial"/>
        </w:rPr>
        <w:t>IHD emphasizes quality, innovation, transparency, and sustainability, making it less susceptible to imitation. This distinctiveness enables IHD to command premium fees, attract prestigious participants, and forge enduring partnerships with sponsors and tourism entities.</w:t>
      </w:r>
    </w:p>
    <w:p w14:paraId="0CDEC098" w14:textId="61836F52" w:rsidR="0040399D" w:rsidRPr="0040399D" w:rsidRDefault="0040399D" w:rsidP="0040399D">
      <w:pPr>
        <w:spacing w:line="360" w:lineRule="auto"/>
        <w:rPr>
          <w:rFonts w:ascii="Arial" w:hAnsi="Arial" w:cs="Arial"/>
          <w:b/>
          <w:bCs/>
        </w:rPr>
      </w:pPr>
      <w:r w:rsidRPr="0040399D">
        <w:rPr>
          <w:rFonts w:ascii="Arial" w:hAnsi="Arial" w:cs="Arial"/>
          <w:b/>
          <w:bCs/>
        </w:rPr>
        <w:t>It fits global market trends and customer behaviour</w:t>
      </w:r>
    </w:p>
    <w:p w14:paraId="7EBF1ED5" w14:textId="27B545DF" w:rsidR="0040399D" w:rsidRDefault="0040399D" w:rsidP="0040399D">
      <w:pPr>
        <w:spacing w:line="360" w:lineRule="auto"/>
        <w:rPr>
          <w:rFonts w:ascii="Arial" w:hAnsi="Arial" w:cs="Arial"/>
        </w:rPr>
      </w:pPr>
      <w:r w:rsidRPr="0040399D">
        <w:rPr>
          <w:rFonts w:ascii="Arial" w:hAnsi="Arial" w:cs="Arial"/>
        </w:rPr>
        <w:t>Moreover, IHD aligns perfectly with global market trends and the evolving preferences of travellers and hospitality professionals, who increasingly seek digital accessibility, authentic sustainable brands, and ongoing engagement rather than mere one-time recognition. By offering hybrid participation options, green award categories, and continuous engagement through workshops and consulting, IHD transcends the traditional event model, transforming into a comprehensive ecosystem for global hospitality excellence.</w:t>
      </w:r>
    </w:p>
    <w:p w14:paraId="2E36A52E" w14:textId="1F3091C4" w:rsidR="00185C55" w:rsidRPr="0040399D" w:rsidRDefault="0040399D" w:rsidP="0040399D">
      <w:pPr>
        <w:spacing w:line="360" w:lineRule="auto"/>
        <w:rPr>
          <w:rFonts w:ascii="Arial" w:hAnsi="Arial" w:cs="Arial"/>
        </w:rPr>
      </w:pPr>
      <w:r w:rsidRPr="0040399D">
        <w:rPr>
          <w:rFonts w:ascii="Arial" w:hAnsi="Arial" w:cs="Arial"/>
        </w:rPr>
        <w:t>The Sustainable Differentiation through Digital and Global Expansion strategy stands out as the optimal choice for IHD, leveraging the company's established global brand while aligning with contemporary technological and sustainability trends. This approach not only opens doors to new, high-potential markets but also diversifies revenue streams, thereby mitigating operational risks. Furthermore, it emphasizes environmental and social responsibility, ensuring that IHD remains innovative, inclusive, and resilient in the face of future challenges. Ultimately, this strategy positions the International Hotel Derby for sustainable long-term success.</w:t>
      </w:r>
    </w:p>
    <w:p w14:paraId="1888A4EF" w14:textId="77777777" w:rsidR="00185C55" w:rsidRDefault="00185C55" w:rsidP="00185C55"/>
    <w:p w14:paraId="3C4C00CC" w14:textId="77777777" w:rsidR="00022E92" w:rsidRDefault="00022E92" w:rsidP="00185C55"/>
    <w:p w14:paraId="5D4BF48E" w14:textId="77777777" w:rsidR="00022E92" w:rsidRDefault="00022E92" w:rsidP="00185C55"/>
    <w:p w14:paraId="40B2CB30" w14:textId="77777777" w:rsidR="00022E92" w:rsidRDefault="00022E92" w:rsidP="00185C55"/>
    <w:p w14:paraId="62AAACDE" w14:textId="77777777" w:rsidR="00022E92" w:rsidRDefault="00022E92" w:rsidP="00185C55"/>
    <w:p w14:paraId="22EC6115" w14:textId="77777777" w:rsidR="00022E92" w:rsidRDefault="00022E92" w:rsidP="00185C55"/>
    <w:p w14:paraId="68AB2732" w14:textId="3E34E226" w:rsidR="00022E92" w:rsidRDefault="00022E92" w:rsidP="00022E92">
      <w:pPr>
        <w:pStyle w:val="Heading1"/>
      </w:pPr>
      <w:bookmarkStart w:id="6" w:name="_Toc213675876"/>
      <w:r>
        <w:lastRenderedPageBreak/>
        <w:t>Stakeholder Analysis and Evaluation of Strategic Options – International Hotel Derby</w:t>
      </w:r>
      <w:bookmarkEnd w:id="6"/>
    </w:p>
    <w:p w14:paraId="1F351F57" w14:textId="77777777" w:rsidR="00185C55" w:rsidRDefault="00185C55" w:rsidP="00022E92">
      <w:pPr>
        <w:pStyle w:val="Subtitle"/>
      </w:pPr>
    </w:p>
    <w:p w14:paraId="2CB27E67" w14:textId="0088F5B4" w:rsidR="001810C1" w:rsidRPr="001810C1" w:rsidRDefault="001810C1" w:rsidP="001810C1">
      <w:pPr>
        <w:spacing w:line="360" w:lineRule="auto"/>
        <w:rPr>
          <w:rFonts w:ascii="Arial" w:hAnsi="Arial" w:cs="Arial"/>
        </w:rPr>
      </w:pPr>
      <w:r w:rsidRPr="001810C1">
        <w:rPr>
          <w:rFonts w:ascii="Arial" w:hAnsi="Arial" w:cs="Arial"/>
        </w:rPr>
        <w:t>The International Hotel Derby functions within a complex multi-stakeholder landscape, where grasping the expectations, influence, and interests of various stakeholders is essential for the successful execution of strategic initiatives. Internal stakeholders, such as management and employees, prioritize operational efficiency, innovation, and career growth, while external stakeholders, including participating hotels, sponsors, tourism boards, media, and regulatory authorities, have their own distinct needs. For instance, shareholders seek profitability and brand recognition, participating hotels look for credible awards and marketing opportunities, and sponsors desire visibility and alignment with their brand. Additionally, tourism boards aim to enhance national hospitality standards, media and influencers seek exclusive content and event access, and regulatory bodies require adherence to legal and ethical standards. Understanding these diverse expectations is crucial for the International Hotel Derby to thrive in its competitive environment.</w:t>
      </w:r>
    </w:p>
    <w:p w14:paraId="6B23FF0F" w14:textId="77777777" w:rsidR="00022E92" w:rsidRDefault="00022E92" w:rsidP="00185C55"/>
    <w:p w14:paraId="6B2D5C76" w14:textId="77777777" w:rsidR="00022E92" w:rsidRDefault="00022E92" w:rsidP="00185C55"/>
    <w:p w14:paraId="4796574B" w14:textId="77777777" w:rsidR="00022E92" w:rsidRDefault="00022E92" w:rsidP="00185C55"/>
    <w:p w14:paraId="22436A62" w14:textId="77777777" w:rsidR="00022E92" w:rsidRDefault="00022E92" w:rsidP="00185C55"/>
    <w:p w14:paraId="484F31A4" w14:textId="77777777" w:rsidR="00022E92" w:rsidRDefault="00022E92" w:rsidP="00185C55"/>
    <w:p w14:paraId="54D8CE8A" w14:textId="77777777" w:rsidR="00022E92" w:rsidRDefault="00022E92" w:rsidP="00185C55"/>
    <w:p w14:paraId="511BA6BB" w14:textId="77777777" w:rsidR="00022E92" w:rsidRDefault="00022E92" w:rsidP="00185C55"/>
    <w:p w14:paraId="7E4F405B" w14:textId="77777777" w:rsidR="00022E92" w:rsidRDefault="00022E92" w:rsidP="00185C55"/>
    <w:p w14:paraId="53A0B36B" w14:textId="77777777" w:rsidR="00022E92" w:rsidRDefault="00022E92" w:rsidP="00185C55"/>
    <w:p w14:paraId="18AB1B1C" w14:textId="77777777" w:rsidR="00022E92" w:rsidRDefault="00022E92" w:rsidP="00185C55"/>
    <w:p w14:paraId="4BF50ECA" w14:textId="77777777" w:rsidR="00022E92" w:rsidRDefault="00022E92" w:rsidP="00185C55"/>
    <w:p w14:paraId="63A14026" w14:textId="77777777" w:rsidR="00022E92" w:rsidRDefault="00022E92" w:rsidP="00185C55"/>
    <w:p w14:paraId="2FBAC0D3" w14:textId="77777777" w:rsidR="001810C1" w:rsidRPr="001810C1" w:rsidRDefault="001810C1" w:rsidP="001810C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7" w:name="_Toc213675877"/>
      <w:r w:rsidRPr="001810C1">
        <w:rPr>
          <w:rFonts w:ascii="Times New Roman" w:eastAsia="Times New Roman" w:hAnsi="Times New Roman" w:cs="Times New Roman"/>
          <w:b/>
          <w:bCs/>
          <w:kern w:val="0"/>
          <w:sz w:val="27"/>
          <w:szCs w:val="27"/>
          <w:lang w:eastAsia="en-GB"/>
          <w14:ligatures w14:val="none"/>
        </w:rPr>
        <w:t>RACI Framework for Strategic Initiatives</w:t>
      </w:r>
      <w:bookmarkEnd w:id="7"/>
    </w:p>
    <w:p w14:paraId="2A843665" w14:textId="77777777" w:rsidR="001810C1" w:rsidRPr="001810C1" w:rsidRDefault="001810C1" w:rsidP="001810C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 xml:space="preserve">The </w:t>
      </w:r>
      <w:r w:rsidRPr="001810C1">
        <w:rPr>
          <w:rFonts w:ascii="Times New Roman" w:eastAsia="Times New Roman" w:hAnsi="Times New Roman" w:cs="Times New Roman"/>
          <w:b/>
          <w:bCs/>
          <w:kern w:val="0"/>
          <w:sz w:val="24"/>
          <w:szCs w:val="24"/>
          <w:lang w:eastAsia="en-GB"/>
          <w14:ligatures w14:val="none"/>
        </w:rPr>
        <w:t>RACI framework</w:t>
      </w:r>
      <w:r w:rsidRPr="001810C1">
        <w:rPr>
          <w:rFonts w:ascii="Times New Roman" w:eastAsia="Times New Roman" w:hAnsi="Times New Roman" w:cs="Times New Roman"/>
          <w:kern w:val="0"/>
          <w:sz w:val="24"/>
          <w:szCs w:val="24"/>
          <w:lang w:eastAsia="en-GB"/>
          <w14:ligatures w14:val="none"/>
        </w:rPr>
        <w:t xml:space="preserve"> clarifies roles in strategy implementation: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0"/>
        <w:gridCol w:w="1750"/>
        <w:gridCol w:w="1340"/>
        <w:gridCol w:w="2190"/>
        <w:gridCol w:w="1466"/>
      </w:tblGrid>
      <w:tr w:rsidR="001810C1" w:rsidRPr="001810C1" w14:paraId="0BD3E861" w14:textId="77777777">
        <w:trPr>
          <w:tblHeader/>
          <w:tblCellSpacing w:w="15" w:type="dxa"/>
        </w:trPr>
        <w:tc>
          <w:tcPr>
            <w:tcW w:w="0" w:type="auto"/>
            <w:vAlign w:val="center"/>
            <w:hideMark/>
          </w:tcPr>
          <w:p w14:paraId="2D278F11" w14:textId="77777777" w:rsidR="001810C1" w:rsidRPr="001810C1" w:rsidRDefault="001810C1" w:rsidP="001810C1">
            <w:pPr>
              <w:spacing w:after="0" w:line="240" w:lineRule="auto"/>
              <w:jc w:val="center"/>
              <w:rPr>
                <w:rFonts w:ascii="Times New Roman" w:eastAsia="Times New Roman" w:hAnsi="Times New Roman" w:cs="Times New Roman"/>
                <w:b/>
                <w:bCs/>
                <w:kern w:val="0"/>
                <w:sz w:val="24"/>
                <w:szCs w:val="24"/>
                <w:lang w:eastAsia="en-GB"/>
                <w14:ligatures w14:val="none"/>
              </w:rPr>
            </w:pPr>
            <w:r w:rsidRPr="001810C1">
              <w:rPr>
                <w:rFonts w:ascii="Times New Roman" w:eastAsia="Times New Roman" w:hAnsi="Times New Roman" w:cs="Times New Roman"/>
                <w:b/>
                <w:bCs/>
                <w:kern w:val="0"/>
                <w:sz w:val="24"/>
                <w:szCs w:val="24"/>
                <w:lang w:eastAsia="en-GB"/>
                <w14:ligatures w14:val="none"/>
              </w:rPr>
              <w:lastRenderedPageBreak/>
              <w:t>Strategic Initiative</w:t>
            </w:r>
          </w:p>
        </w:tc>
        <w:tc>
          <w:tcPr>
            <w:tcW w:w="0" w:type="auto"/>
            <w:vAlign w:val="center"/>
            <w:hideMark/>
          </w:tcPr>
          <w:p w14:paraId="61A858DD" w14:textId="77777777" w:rsidR="001810C1" w:rsidRPr="001810C1" w:rsidRDefault="001810C1" w:rsidP="001810C1">
            <w:pPr>
              <w:spacing w:after="0" w:line="240" w:lineRule="auto"/>
              <w:jc w:val="center"/>
              <w:rPr>
                <w:rFonts w:ascii="Times New Roman" w:eastAsia="Times New Roman" w:hAnsi="Times New Roman" w:cs="Times New Roman"/>
                <w:b/>
                <w:bCs/>
                <w:kern w:val="0"/>
                <w:sz w:val="24"/>
                <w:szCs w:val="24"/>
                <w:lang w:eastAsia="en-GB"/>
                <w14:ligatures w14:val="none"/>
              </w:rPr>
            </w:pPr>
            <w:r w:rsidRPr="001810C1">
              <w:rPr>
                <w:rFonts w:ascii="Times New Roman" w:eastAsia="Times New Roman" w:hAnsi="Times New Roman" w:cs="Times New Roman"/>
                <w:b/>
                <w:bCs/>
                <w:kern w:val="0"/>
                <w:sz w:val="24"/>
                <w:szCs w:val="24"/>
                <w:lang w:eastAsia="en-GB"/>
                <w14:ligatures w14:val="none"/>
              </w:rPr>
              <w:t>Responsible</w:t>
            </w:r>
          </w:p>
        </w:tc>
        <w:tc>
          <w:tcPr>
            <w:tcW w:w="0" w:type="auto"/>
            <w:vAlign w:val="center"/>
            <w:hideMark/>
          </w:tcPr>
          <w:p w14:paraId="12660063" w14:textId="77777777" w:rsidR="001810C1" w:rsidRPr="001810C1" w:rsidRDefault="001810C1" w:rsidP="001810C1">
            <w:pPr>
              <w:spacing w:after="0" w:line="240" w:lineRule="auto"/>
              <w:jc w:val="center"/>
              <w:rPr>
                <w:rFonts w:ascii="Times New Roman" w:eastAsia="Times New Roman" w:hAnsi="Times New Roman" w:cs="Times New Roman"/>
                <w:b/>
                <w:bCs/>
                <w:kern w:val="0"/>
                <w:sz w:val="24"/>
                <w:szCs w:val="24"/>
                <w:lang w:eastAsia="en-GB"/>
                <w14:ligatures w14:val="none"/>
              </w:rPr>
            </w:pPr>
            <w:r w:rsidRPr="001810C1">
              <w:rPr>
                <w:rFonts w:ascii="Times New Roman" w:eastAsia="Times New Roman" w:hAnsi="Times New Roman" w:cs="Times New Roman"/>
                <w:b/>
                <w:bCs/>
                <w:kern w:val="0"/>
                <w:sz w:val="24"/>
                <w:szCs w:val="24"/>
                <w:lang w:eastAsia="en-GB"/>
                <w14:ligatures w14:val="none"/>
              </w:rPr>
              <w:t>Accountable</w:t>
            </w:r>
          </w:p>
        </w:tc>
        <w:tc>
          <w:tcPr>
            <w:tcW w:w="0" w:type="auto"/>
            <w:vAlign w:val="center"/>
            <w:hideMark/>
          </w:tcPr>
          <w:p w14:paraId="6E29913B" w14:textId="77777777" w:rsidR="001810C1" w:rsidRPr="001810C1" w:rsidRDefault="001810C1" w:rsidP="001810C1">
            <w:pPr>
              <w:spacing w:after="0" w:line="240" w:lineRule="auto"/>
              <w:jc w:val="center"/>
              <w:rPr>
                <w:rFonts w:ascii="Times New Roman" w:eastAsia="Times New Roman" w:hAnsi="Times New Roman" w:cs="Times New Roman"/>
                <w:b/>
                <w:bCs/>
                <w:kern w:val="0"/>
                <w:sz w:val="24"/>
                <w:szCs w:val="24"/>
                <w:lang w:eastAsia="en-GB"/>
                <w14:ligatures w14:val="none"/>
              </w:rPr>
            </w:pPr>
            <w:r w:rsidRPr="001810C1">
              <w:rPr>
                <w:rFonts w:ascii="Times New Roman" w:eastAsia="Times New Roman" w:hAnsi="Times New Roman" w:cs="Times New Roman"/>
                <w:b/>
                <w:bCs/>
                <w:kern w:val="0"/>
                <w:sz w:val="24"/>
                <w:szCs w:val="24"/>
                <w:lang w:eastAsia="en-GB"/>
                <w14:ligatures w14:val="none"/>
              </w:rPr>
              <w:t>Consulted</w:t>
            </w:r>
          </w:p>
        </w:tc>
        <w:tc>
          <w:tcPr>
            <w:tcW w:w="0" w:type="auto"/>
            <w:vAlign w:val="center"/>
            <w:hideMark/>
          </w:tcPr>
          <w:p w14:paraId="4BB57846" w14:textId="77777777" w:rsidR="001810C1" w:rsidRPr="001810C1" w:rsidRDefault="001810C1" w:rsidP="001810C1">
            <w:pPr>
              <w:spacing w:after="0" w:line="240" w:lineRule="auto"/>
              <w:jc w:val="center"/>
              <w:rPr>
                <w:rFonts w:ascii="Times New Roman" w:eastAsia="Times New Roman" w:hAnsi="Times New Roman" w:cs="Times New Roman"/>
                <w:b/>
                <w:bCs/>
                <w:kern w:val="0"/>
                <w:sz w:val="24"/>
                <w:szCs w:val="24"/>
                <w:lang w:eastAsia="en-GB"/>
                <w14:ligatures w14:val="none"/>
              </w:rPr>
            </w:pPr>
            <w:r w:rsidRPr="001810C1">
              <w:rPr>
                <w:rFonts w:ascii="Times New Roman" w:eastAsia="Times New Roman" w:hAnsi="Times New Roman" w:cs="Times New Roman"/>
                <w:b/>
                <w:bCs/>
                <w:kern w:val="0"/>
                <w:sz w:val="24"/>
                <w:szCs w:val="24"/>
                <w:lang w:eastAsia="en-GB"/>
                <w14:ligatures w14:val="none"/>
              </w:rPr>
              <w:t>Informed</w:t>
            </w:r>
          </w:p>
        </w:tc>
      </w:tr>
      <w:tr w:rsidR="001810C1" w:rsidRPr="001810C1" w14:paraId="155167C7" w14:textId="77777777">
        <w:trPr>
          <w:tblCellSpacing w:w="15" w:type="dxa"/>
        </w:trPr>
        <w:tc>
          <w:tcPr>
            <w:tcW w:w="0" w:type="auto"/>
            <w:vAlign w:val="center"/>
            <w:hideMark/>
          </w:tcPr>
          <w:p w14:paraId="5B8687A3"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Digital Transformation &amp; Hybrid Events</w:t>
            </w:r>
          </w:p>
        </w:tc>
        <w:tc>
          <w:tcPr>
            <w:tcW w:w="0" w:type="auto"/>
            <w:vAlign w:val="center"/>
            <w:hideMark/>
          </w:tcPr>
          <w:p w14:paraId="530E4D1C"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IT &amp; Event Teams</w:t>
            </w:r>
          </w:p>
        </w:tc>
        <w:tc>
          <w:tcPr>
            <w:tcW w:w="0" w:type="auto"/>
            <w:vAlign w:val="center"/>
            <w:hideMark/>
          </w:tcPr>
          <w:p w14:paraId="66B0FD4B"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Management</w:t>
            </w:r>
          </w:p>
        </w:tc>
        <w:tc>
          <w:tcPr>
            <w:tcW w:w="0" w:type="auto"/>
            <w:vAlign w:val="center"/>
            <w:hideMark/>
          </w:tcPr>
          <w:p w14:paraId="2EF20315"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Participating Hotels, Sponsors</w:t>
            </w:r>
          </w:p>
        </w:tc>
        <w:tc>
          <w:tcPr>
            <w:tcW w:w="0" w:type="auto"/>
            <w:vAlign w:val="center"/>
            <w:hideMark/>
          </w:tcPr>
          <w:p w14:paraId="156D187E"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Media, Audience</w:t>
            </w:r>
          </w:p>
        </w:tc>
      </w:tr>
      <w:tr w:rsidR="001810C1" w:rsidRPr="001810C1" w14:paraId="160C12A8" w14:textId="77777777">
        <w:trPr>
          <w:tblCellSpacing w:w="15" w:type="dxa"/>
        </w:trPr>
        <w:tc>
          <w:tcPr>
            <w:tcW w:w="0" w:type="auto"/>
            <w:vAlign w:val="center"/>
            <w:hideMark/>
          </w:tcPr>
          <w:p w14:paraId="6F06F423"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Sustainability Integration</w:t>
            </w:r>
          </w:p>
        </w:tc>
        <w:tc>
          <w:tcPr>
            <w:tcW w:w="0" w:type="auto"/>
            <w:vAlign w:val="center"/>
            <w:hideMark/>
          </w:tcPr>
          <w:p w14:paraId="78D0E16A"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Operations &amp; CSR Team</w:t>
            </w:r>
          </w:p>
        </w:tc>
        <w:tc>
          <w:tcPr>
            <w:tcW w:w="0" w:type="auto"/>
            <w:vAlign w:val="center"/>
            <w:hideMark/>
          </w:tcPr>
          <w:p w14:paraId="0064A5B5"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Management</w:t>
            </w:r>
          </w:p>
        </w:tc>
        <w:tc>
          <w:tcPr>
            <w:tcW w:w="0" w:type="auto"/>
            <w:vAlign w:val="center"/>
            <w:hideMark/>
          </w:tcPr>
          <w:p w14:paraId="3035D085"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Tourism Boards, Environmental Bodies</w:t>
            </w:r>
          </w:p>
        </w:tc>
        <w:tc>
          <w:tcPr>
            <w:tcW w:w="0" w:type="auto"/>
            <w:vAlign w:val="center"/>
            <w:hideMark/>
          </w:tcPr>
          <w:p w14:paraId="1B8D47E6"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Participants, Media</w:t>
            </w:r>
          </w:p>
        </w:tc>
      </w:tr>
      <w:tr w:rsidR="001810C1" w:rsidRPr="001810C1" w14:paraId="66034A07" w14:textId="77777777">
        <w:trPr>
          <w:tblCellSpacing w:w="15" w:type="dxa"/>
        </w:trPr>
        <w:tc>
          <w:tcPr>
            <w:tcW w:w="0" w:type="auto"/>
            <w:vAlign w:val="center"/>
            <w:hideMark/>
          </w:tcPr>
          <w:p w14:paraId="6834712C"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Global Market Expansion</w:t>
            </w:r>
          </w:p>
        </w:tc>
        <w:tc>
          <w:tcPr>
            <w:tcW w:w="0" w:type="auto"/>
            <w:vAlign w:val="center"/>
            <w:hideMark/>
          </w:tcPr>
          <w:p w14:paraId="3EE6A364"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Strategy &amp; Marketing Teams</w:t>
            </w:r>
          </w:p>
        </w:tc>
        <w:tc>
          <w:tcPr>
            <w:tcW w:w="0" w:type="auto"/>
            <w:vAlign w:val="center"/>
            <w:hideMark/>
          </w:tcPr>
          <w:p w14:paraId="3116F737"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Management</w:t>
            </w:r>
          </w:p>
        </w:tc>
        <w:tc>
          <w:tcPr>
            <w:tcW w:w="0" w:type="auto"/>
            <w:vAlign w:val="center"/>
            <w:hideMark/>
          </w:tcPr>
          <w:p w14:paraId="5916C22F"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Regional Tourism Boards, Sponsors</w:t>
            </w:r>
          </w:p>
        </w:tc>
        <w:tc>
          <w:tcPr>
            <w:tcW w:w="0" w:type="auto"/>
            <w:vAlign w:val="center"/>
            <w:hideMark/>
          </w:tcPr>
          <w:p w14:paraId="592470AC"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Employees, Hotels</w:t>
            </w:r>
          </w:p>
        </w:tc>
      </w:tr>
      <w:tr w:rsidR="001810C1" w:rsidRPr="001810C1" w14:paraId="4FBC233F" w14:textId="77777777">
        <w:trPr>
          <w:tblCellSpacing w:w="15" w:type="dxa"/>
        </w:trPr>
        <w:tc>
          <w:tcPr>
            <w:tcW w:w="0" w:type="auto"/>
            <w:vAlign w:val="center"/>
            <w:hideMark/>
          </w:tcPr>
          <w:p w14:paraId="273BDCB0"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Professional Development Services</w:t>
            </w:r>
          </w:p>
        </w:tc>
        <w:tc>
          <w:tcPr>
            <w:tcW w:w="0" w:type="auto"/>
            <w:vAlign w:val="center"/>
            <w:hideMark/>
          </w:tcPr>
          <w:p w14:paraId="3E8E263A"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HR &amp; Training Team</w:t>
            </w:r>
          </w:p>
        </w:tc>
        <w:tc>
          <w:tcPr>
            <w:tcW w:w="0" w:type="auto"/>
            <w:vAlign w:val="center"/>
            <w:hideMark/>
          </w:tcPr>
          <w:p w14:paraId="6E5D5430"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Management</w:t>
            </w:r>
          </w:p>
        </w:tc>
        <w:tc>
          <w:tcPr>
            <w:tcW w:w="0" w:type="auto"/>
            <w:vAlign w:val="center"/>
            <w:hideMark/>
          </w:tcPr>
          <w:p w14:paraId="0D739C78"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Participating Hotels</w:t>
            </w:r>
          </w:p>
        </w:tc>
        <w:tc>
          <w:tcPr>
            <w:tcW w:w="0" w:type="auto"/>
            <w:vAlign w:val="center"/>
            <w:hideMark/>
          </w:tcPr>
          <w:p w14:paraId="274651C8" w14:textId="77777777" w:rsidR="001810C1" w:rsidRPr="001810C1" w:rsidRDefault="001810C1" w:rsidP="001810C1">
            <w:pPr>
              <w:spacing w:after="0" w:line="240" w:lineRule="auto"/>
              <w:rPr>
                <w:rFonts w:ascii="Times New Roman" w:eastAsia="Times New Roman" w:hAnsi="Times New Roman" w:cs="Times New Roman"/>
                <w:kern w:val="0"/>
                <w:sz w:val="24"/>
                <w:szCs w:val="24"/>
                <w:lang w:eastAsia="en-GB"/>
                <w14:ligatures w14:val="none"/>
              </w:rPr>
            </w:pPr>
            <w:r w:rsidRPr="001810C1">
              <w:rPr>
                <w:rFonts w:ascii="Times New Roman" w:eastAsia="Times New Roman" w:hAnsi="Times New Roman" w:cs="Times New Roman"/>
                <w:kern w:val="0"/>
                <w:sz w:val="24"/>
                <w:szCs w:val="24"/>
                <w:lang w:eastAsia="en-GB"/>
                <w14:ligatures w14:val="none"/>
              </w:rPr>
              <w:t>Sponsors, Media</w:t>
            </w:r>
          </w:p>
        </w:tc>
      </w:tr>
    </w:tbl>
    <w:p w14:paraId="485187B3" w14:textId="77777777" w:rsidR="00022E92" w:rsidRDefault="00022E92" w:rsidP="00185C55"/>
    <w:p w14:paraId="53E2A111" w14:textId="57D19524" w:rsidR="00022E92" w:rsidRPr="002D1DD7" w:rsidRDefault="002D1DD7" w:rsidP="002D1DD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8" w:name="_Toc213675878"/>
      <w:r w:rsidRPr="002D1DD7">
        <w:rPr>
          <w:rFonts w:ascii="Times New Roman" w:eastAsia="Times New Roman" w:hAnsi="Times New Roman" w:cs="Times New Roman"/>
          <w:b/>
          <w:bCs/>
          <w:kern w:val="0"/>
          <w:sz w:val="27"/>
          <w:szCs w:val="27"/>
          <w:lang w:eastAsia="en-GB"/>
          <w14:ligatures w14:val="none"/>
        </w:rPr>
        <w:t>Critical Evaluation of Stakeholder Expectations vs Strategic Options</w:t>
      </w:r>
      <w:bookmarkEnd w:id="8"/>
    </w:p>
    <w:p w14:paraId="0C92D0DA" w14:textId="490B636A" w:rsidR="00022E92" w:rsidRPr="002D1DD7" w:rsidRDefault="001810C1" w:rsidP="002D1DD7">
      <w:pPr>
        <w:spacing w:line="360" w:lineRule="auto"/>
        <w:rPr>
          <w:rFonts w:ascii="Arial" w:hAnsi="Arial" w:cs="Arial"/>
        </w:rPr>
      </w:pPr>
      <w:r w:rsidRPr="002D1DD7">
        <w:rPr>
          <w:rFonts w:ascii="Arial" w:hAnsi="Arial" w:cs="Arial"/>
        </w:rPr>
        <w:t xml:space="preserve">A critical assessment of stakeholder expectations in relation to strategic options reveals distinct advantages and limitations across various approaches. Market penetration aligns with existing participants and sponsors, yet it offers limited growth potential, making its long-term viability questionable despite support from high-power stakeholders like management and hotels. In contrast, market development through global expansion resonates with </w:t>
      </w:r>
      <w:r w:rsidR="002D1DD7" w:rsidRPr="002D1DD7">
        <w:rPr>
          <w:rFonts w:ascii="Arial" w:hAnsi="Arial" w:cs="Arial"/>
        </w:rPr>
        <w:t>stakeholder’s</w:t>
      </w:r>
      <w:r w:rsidRPr="002D1DD7">
        <w:rPr>
          <w:rFonts w:ascii="Arial" w:hAnsi="Arial" w:cs="Arial"/>
        </w:rPr>
        <w:t xml:space="preserve"> eager for growth and new revenue streams, proving feasible through strategic partnerships and regional engagement, which are generally well-received by sponsors and tourism boards. Product development, focusing on digital and training services, effectively meets the demands of participants, sponsors, and media for innovative and accessible solutions, thereby enhancing competitiveness and aligning with the priorities of influential stakeholders. However, diversification emerges as a high-risk strategy that may not adequately </w:t>
      </w:r>
      <w:r w:rsidR="002D1DD7" w:rsidRPr="002D1DD7">
        <w:rPr>
          <w:rFonts w:ascii="Arial" w:hAnsi="Arial" w:cs="Arial"/>
        </w:rPr>
        <w:t>fulfil</w:t>
      </w:r>
      <w:r w:rsidRPr="002D1DD7">
        <w:rPr>
          <w:rFonts w:ascii="Arial" w:hAnsi="Arial" w:cs="Arial"/>
        </w:rPr>
        <w:t xml:space="preserve"> current stakeholder expectations, necessitating substantial investment and capabilities, which ultimately diminishes its feasibility and acceptability.</w:t>
      </w:r>
    </w:p>
    <w:p w14:paraId="2AC6DE82" w14:textId="77777777" w:rsidR="00022E92" w:rsidRDefault="00022E92" w:rsidP="00185C55"/>
    <w:p w14:paraId="4C6B0D5D" w14:textId="77777777" w:rsidR="00022E92" w:rsidRDefault="00022E92" w:rsidP="00185C55"/>
    <w:p w14:paraId="2BC32A1F" w14:textId="3567EC8E" w:rsidR="00022E92" w:rsidRDefault="00022E92" w:rsidP="00022E92">
      <w:pPr>
        <w:pStyle w:val="Heading1"/>
      </w:pPr>
      <w:bookmarkStart w:id="9" w:name="_Toc213675879"/>
      <w:r>
        <w:t>Key Strategic</w:t>
      </w:r>
      <w:bookmarkEnd w:id="9"/>
      <w:r>
        <w:t xml:space="preserve"> </w:t>
      </w:r>
    </w:p>
    <w:p w14:paraId="45C3395A" w14:textId="77777777" w:rsidR="002D1DD7" w:rsidRPr="002D1DD7" w:rsidRDefault="002D1DD7" w:rsidP="002D1DD7">
      <w:pPr>
        <w:spacing w:before="100" w:beforeAutospacing="1" w:after="100" w:afterAutospacing="1" w:line="360" w:lineRule="auto"/>
        <w:outlineLvl w:val="1"/>
        <w:rPr>
          <w:rFonts w:ascii="Arial" w:eastAsia="Times New Roman" w:hAnsi="Arial" w:cs="Arial"/>
          <w:kern w:val="0"/>
          <w:sz w:val="36"/>
          <w:szCs w:val="36"/>
          <w:lang w:eastAsia="en-GB"/>
          <w14:ligatures w14:val="none"/>
        </w:rPr>
      </w:pPr>
      <w:bookmarkStart w:id="10" w:name="_Toc213675880"/>
      <w:r w:rsidRPr="002D1DD7">
        <w:rPr>
          <w:rFonts w:ascii="Arial" w:eastAsia="Times New Roman" w:hAnsi="Arial" w:cs="Arial"/>
          <w:kern w:val="0"/>
          <w:sz w:val="36"/>
          <w:szCs w:val="36"/>
          <w:lang w:eastAsia="en-GB"/>
          <w14:ligatures w14:val="none"/>
        </w:rPr>
        <w:t>Strategic Recommendations – International Hotel Derby (IHD)</w:t>
      </w:r>
      <w:bookmarkEnd w:id="10"/>
    </w:p>
    <w:p w14:paraId="6D7BFFFE"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Implement hybrid events and digital platforms for global reach.</w:t>
      </w:r>
    </w:p>
    <w:p w14:paraId="4918AC5B"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lastRenderedPageBreak/>
        <w:t>Expand into emerging tourism markets with regional editions.</w:t>
      </w:r>
    </w:p>
    <w:p w14:paraId="52990D47"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Promote sustainability through green awards and eco-friendly practices.</w:t>
      </w:r>
    </w:p>
    <w:p w14:paraId="549F3E0D"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Offer training and consultancy for year-round engagement.</w:t>
      </w:r>
    </w:p>
    <w:p w14:paraId="7C1C49B8"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Strengthen stakeholder relationships with hotels, sponsors, and tourism boards.</w:t>
      </w:r>
    </w:p>
    <w:p w14:paraId="6444FF3E"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Ensure risk management and legal compliance.</w:t>
      </w:r>
    </w:p>
    <w:p w14:paraId="4600E0D7" w14:textId="77777777" w:rsidR="002D1DD7" w:rsidRPr="002D1DD7" w:rsidRDefault="002D1DD7" w:rsidP="002D1DD7">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D1DD7">
        <w:rPr>
          <w:rFonts w:ascii="Arial" w:eastAsia="Times New Roman" w:hAnsi="Arial" w:cs="Arial"/>
          <w:kern w:val="0"/>
          <w:sz w:val="24"/>
          <w:szCs w:val="24"/>
          <w:lang w:eastAsia="en-GB"/>
          <w14:ligatures w14:val="none"/>
        </w:rPr>
        <w:t>Use phased implementation with clear KPIs for sustainable growth.</w:t>
      </w:r>
    </w:p>
    <w:p w14:paraId="0A024656" w14:textId="77777777" w:rsidR="0030649F" w:rsidRDefault="0030649F" w:rsidP="00022E92"/>
    <w:p w14:paraId="70C383C2" w14:textId="77777777" w:rsidR="0030649F" w:rsidRDefault="0030649F" w:rsidP="0030649F">
      <w:pPr>
        <w:pStyle w:val="Heading1"/>
      </w:pPr>
      <w:bookmarkStart w:id="11" w:name="_Toc213675881"/>
      <w:r>
        <w:t>Conclusion</w:t>
      </w:r>
      <w:bookmarkEnd w:id="11"/>
    </w:p>
    <w:p w14:paraId="044E4B96" w14:textId="5811C3F7" w:rsidR="0030649F" w:rsidRDefault="0030649F" w:rsidP="0030649F">
      <w:r>
        <w:t>In summary, the International Hotel Derby, a small to medium-sized business in the competitive hospitality sector, has great opportunities for sustainable growth by using its strong local reputation, personalized service, and adaptable business model. By focusing on eco-friendly business travellers and enhancing its digital presence, staff training, and local partnerships, the hotel can improve its market position while satisfying the needs of its stakeholders. While challenges like limited finances and operational capacity exist for SMEs like the International Hotel Derby, the suggested strategies are practical, affordable, and suitable for its size and situation. By implementing these strategies, the hotel can build long-term success, profitability, and a unique brand identity in a hospitality industry that increasingly values digital innovation and sustainability.</w:t>
      </w:r>
    </w:p>
    <w:p w14:paraId="2211210F" w14:textId="77777777" w:rsidR="0030649F" w:rsidRDefault="0030649F" w:rsidP="0030649F"/>
    <w:p w14:paraId="2EB2C23B" w14:textId="77777777" w:rsidR="0030649F" w:rsidRDefault="0030649F" w:rsidP="0030649F"/>
    <w:p w14:paraId="0BB06FA8" w14:textId="77777777" w:rsidR="0030649F" w:rsidRDefault="0030649F" w:rsidP="0030649F"/>
    <w:p w14:paraId="59350188" w14:textId="77777777" w:rsidR="0030649F" w:rsidRDefault="0030649F" w:rsidP="0030649F"/>
    <w:p w14:paraId="0BE0EC5A" w14:textId="77777777" w:rsidR="0030649F" w:rsidRDefault="0030649F" w:rsidP="0030649F"/>
    <w:p w14:paraId="4BFC6C1F" w14:textId="77777777" w:rsidR="0030649F" w:rsidRDefault="0030649F" w:rsidP="0030649F"/>
    <w:p w14:paraId="24438E53" w14:textId="77777777" w:rsidR="0030649F" w:rsidRDefault="0030649F" w:rsidP="0030649F"/>
    <w:p w14:paraId="7AA0D86A" w14:textId="77777777" w:rsidR="0030649F" w:rsidRDefault="0030649F" w:rsidP="0030649F"/>
    <w:p w14:paraId="6C785AEF" w14:textId="77777777" w:rsidR="0030649F" w:rsidRDefault="0030649F" w:rsidP="0030649F"/>
    <w:p w14:paraId="6203406E" w14:textId="77777777" w:rsidR="0030649F" w:rsidRDefault="0030649F" w:rsidP="0030649F"/>
    <w:p w14:paraId="2B4B3F5F" w14:textId="77777777" w:rsidR="0030649F" w:rsidRPr="0030649F" w:rsidRDefault="0030649F" w:rsidP="0030649F">
      <w:pPr>
        <w:pStyle w:val="Heading1"/>
        <w:rPr>
          <w:rFonts w:eastAsia="Times New Roman"/>
          <w:lang w:eastAsia="en-GB"/>
        </w:rPr>
      </w:pPr>
      <w:bookmarkStart w:id="12" w:name="_Toc213675882"/>
      <w:r w:rsidRPr="0030649F">
        <w:rPr>
          <w:rFonts w:eastAsia="Times New Roman"/>
          <w:lang w:eastAsia="en-GB"/>
        </w:rPr>
        <w:t>References</w:t>
      </w:r>
      <w:bookmarkEnd w:id="12"/>
    </w:p>
    <w:p w14:paraId="00CAEBDE"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Ansoff, H. I. (1957). </w:t>
      </w:r>
      <w:r w:rsidRPr="0030649F">
        <w:rPr>
          <w:rFonts w:ascii="Times New Roman" w:eastAsia="Times New Roman" w:hAnsi="Times New Roman" w:cs="Times New Roman"/>
          <w:i/>
          <w:iCs/>
          <w:kern w:val="0"/>
          <w:sz w:val="24"/>
          <w:szCs w:val="24"/>
          <w:lang w:eastAsia="en-GB"/>
          <w14:ligatures w14:val="none"/>
        </w:rPr>
        <w:t>Strategies for Diversification</w:t>
      </w:r>
      <w:r w:rsidRPr="0030649F">
        <w:rPr>
          <w:rFonts w:ascii="Times New Roman" w:eastAsia="Times New Roman" w:hAnsi="Times New Roman" w:cs="Times New Roman"/>
          <w:kern w:val="0"/>
          <w:sz w:val="24"/>
          <w:szCs w:val="24"/>
          <w:lang w:eastAsia="en-GB"/>
          <w14:ligatures w14:val="none"/>
        </w:rPr>
        <w:t>. Harvard Business Review.</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for the Ansoff Matrix growth model.</w:t>
      </w:r>
    </w:p>
    <w:p w14:paraId="03C75AA6"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lastRenderedPageBreak/>
        <w:t xml:space="preserve">Porter, M. E. (1980). </w:t>
      </w:r>
      <w:r w:rsidRPr="0030649F">
        <w:rPr>
          <w:rFonts w:ascii="Times New Roman" w:eastAsia="Times New Roman" w:hAnsi="Times New Roman" w:cs="Times New Roman"/>
          <w:i/>
          <w:iCs/>
          <w:kern w:val="0"/>
          <w:sz w:val="24"/>
          <w:szCs w:val="24"/>
          <w:lang w:eastAsia="en-GB"/>
          <w14:ligatures w14:val="none"/>
        </w:rPr>
        <w:t>Competitive Strategy: Techniques for Analyzing Industries and Competitors</w:t>
      </w:r>
      <w:r w:rsidRPr="0030649F">
        <w:rPr>
          <w:rFonts w:ascii="Times New Roman" w:eastAsia="Times New Roman" w:hAnsi="Times New Roman" w:cs="Times New Roman"/>
          <w:kern w:val="0"/>
          <w:sz w:val="24"/>
          <w:szCs w:val="24"/>
          <w:lang w:eastAsia="en-GB"/>
          <w14:ligatures w14:val="none"/>
        </w:rPr>
        <w:t>. Free Press.</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Applied in the Porter’s Five Forces and Generic Strategies.</w:t>
      </w:r>
    </w:p>
    <w:p w14:paraId="11ED5239"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Johnson, G., Scholes, K., &amp; Whittington, R. (2017). </w:t>
      </w:r>
      <w:r w:rsidRPr="0030649F">
        <w:rPr>
          <w:rFonts w:ascii="Times New Roman" w:eastAsia="Times New Roman" w:hAnsi="Times New Roman" w:cs="Times New Roman"/>
          <w:i/>
          <w:iCs/>
          <w:kern w:val="0"/>
          <w:sz w:val="24"/>
          <w:szCs w:val="24"/>
          <w:lang w:eastAsia="en-GB"/>
          <w14:ligatures w14:val="none"/>
        </w:rPr>
        <w:t>Exploring Strategy: Text and Cases</w:t>
      </w:r>
      <w:r w:rsidRPr="0030649F">
        <w:rPr>
          <w:rFonts w:ascii="Times New Roman" w:eastAsia="Times New Roman" w:hAnsi="Times New Roman" w:cs="Times New Roman"/>
          <w:kern w:val="0"/>
          <w:sz w:val="24"/>
          <w:szCs w:val="24"/>
          <w:lang w:eastAsia="en-GB"/>
          <w14:ligatures w14:val="none"/>
        </w:rPr>
        <w:t xml:space="preserve"> (11th ed.). Pearson Education.</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for SWOT, PESTEL, and strategy formulation.</w:t>
      </w:r>
    </w:p>
    <w:p w14:paraId="5878115B"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Mendelow, A. (1991). </w:t>
      </w:r>
      <w:r w:rsidRPr="0030649F">
        <w:rPr>
          <w:rFonts w:ascii="Times New Roman" w:eastAsia="Times New Roman" w:hAnsi="Times New Roman" w:cs="Times New Roman"/>
          <w:i/>
          <w:iCs/>
          <w:kern w:val="0"/>
          <w:sz w:val="24"/>
          <w:szCs w:val="24"/>
          <w:lang w:eastAsia="en-GB"/>
          <w14:ligatures w14:val="none"/>
        </w:rPr>
        <w:t>Environmental Scanning – The Impact of the Stakeholder Concept</w:t>
      </w:r>
      <w:r w:rsidRPr="0030649F">
        <w:rPr>
          <w:rFonts w:ascii="Times New Roman" w:eastAsia="Times New Roman" w:hAnsi="Times New Roman" w:cs="Times New Roman"/>
          <w:kern w:val="0"/>
          <w:sz w:val="24"/>
          <w:szCs w:val="24"/>
          <w:lang w:eastAsia="en-GB"/>
          <w14:ligatures w14:val="none"/>
        </w:rPr>
        <w:t>. ICIS.</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for Mendelow’s Matrix stakeholder analysis.</w:t>
      </w:r>
    </w:p>
    <w:p w14:paraId="113EB6EB"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OECD (2019). </w:t>
      </w:r>
      <w:r w:rsidRPr="0030649F">
        <w:rPr>
          <w:rFonts w:ascii="Times New Roman" w:eastAsia="Times New Roman" w:hAnsi="Times New Roman" w:cs="Times New Roman"/>
          <w:i/>
          <w:iCs/>
          <w:kern w:val="0"/>
          <w:sz w:val="24"/>
          <w:szCs w:val="24"/>
          <w:lang w:eastAsia="en-GB"/>
          <w14:ligatures w14:val="none"/>
        </w:rPr>
        <w:t>SME and Entrepreneurship Outlook 2019</w:t>
      </w:r>
      <w:r w:rsidRPr="0030649F">
        <w:rPr>
          <w:rFonts w:ascii="Times New Roman" w:eastAsia="Times New Roman" w:hAnsi="Times New Roman" w:cs="Times New Roman"/>
          <w:kern w:val="0"/>
          <w:sz w:val="24"/>
          <w:szCs w:val="24"/>
          <w:lang w:eastAsia="en-GB"/>
          <w14:ligatures w14:val="none"/>
        </w:rPr>
        <w:t>. OECD iLibrary</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Discusses challenges SMEs face, including digitalisation and innovation barriers.</w:t>
      </w:r>
    </w:p>
    <w:p w14:paraId="2DFC1FC7"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UK Hospitality (2023). </w:t>
      </w:r>
      <w:r w:rsidRPr="0030649F">
        <w:rPr>
          <w:rFonts w:ascii="Times New Roman" w:eastAsia="Times New Roman" w:hAnsi="Times New Roman" w:cs="Times New Roman"/>
          <w:i/>
          <w:iCs/>
          <w:kern w:val="0"/>
          <w:sz w:val="24"/>
          <w:szCs w:val="24"/>
          <w:lang w:eastAsia="en-GB"/>
          <w14:ligatures w14:val="none"/>
        </w:rPr>
        <w:t>Trends and Insights in the UK Hospitality Sector</w:t>
      </w:r>
      <w:r w:rsidRPr="0030649F">
        <w:rPr>
          <w:rFonts w:ascii="Times New Roman" w:eastAsia="Times New Roman" w:hAnsi="Times New Roman" w:cs="Times New Roman"/>
          <w:kern w:val="0"/>
          <w:sz w:val="24"/>
          <w:szCs w:val="24"/>
          <w:lang w:eastAsia="en-GB"/>
          <w14:ligatures w14:val="none"/>
        </w:rPr>
        <w:t>. ukhospitality.org.uk</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to support insights into market trends and post-pandemic recovery.</w:t>
      </w:r>
    </w:p>
    <w:p w14:paraId="3C5BD6EE"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Statista (2024). </w:t>
      </w:r>
      <w:r w:rsidRPr="0030649F">
        <w:rPr>
          <w:rFonts w:ascii="Times New Roman" w:eastAsia="Times New Roman" w:hAnsi="Times New Roman" w:cs="Times New Roman"/>
          <w:i/>
          <w:iCs/>
          <w:kern w:val="0"/>
          <w:sz w:val="24"/>
          <w:szCs w:val="24"/>
          <w:lang w:eastAsia="en-GB"/>
          <w14:ligatures w14:val="none"/>
        </w:rPr>
        <w:t>Online Travel Agency Market Share in the UK</w:t>
      </w:r>
      <w:r w:rsidRPr="0030649F">
        <w:rPr>
          <w:rFonts w:ascii="Times New Roman" w:eastAsia="Times New Roman" w:hAnsi="Times New Roman" w:cs="Times New Roman"/>
          <w:kern w:val="0"/>
          <w:sz w:val="24"/>
          <w:szCs w:val="24"/>
          <w:lang w:eastAsia="en-GB"/>
          <w14:ligatures w14:val="none"/>
        </w:rPr>
        <w:t>. www.statista.com</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Supports data regarding OTA dominance and booking habits.</w:t>
      </w:r>
    </w:p>
    <w:p w14:paraId="2A5146CC"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VisitBritain (2023). </w:t>
      </w:r>
      <w:r w:rsidRPr="0030649F">
        <w:rPr>
          <w:rFonts w:ascii="Times New Roman" w:eastAsia="Times New Roman" w:hAnsi="Times New Roman" w:cs="Times New Roman"/>
          <w:i/>
          <w:iCs/>
          <w:kern w:val="0"/>
          <w:sz w:val="24"/>
          <w:szCs w:val="24"/>
          <w:lang w:eastAsia="en-GB"/>
          <w14:ligatures w14:val="none"/>
        </w:rPr>
        <w:t>Inbound and Domestic Tourism Trends in the UK</w:t>
      </w:r>
      <w:r w:rsidRPr="0030649F">
        <w:rPr>
          <w:rFonts w:ascii="Times New Roman" w:eastAsia="Times New Roman" w:hAnsi="Times New Roman" w:cs="Times New Roman"/>
          <w:kern w:val="0"/>
          <w:sz w:val="24"/>
          <w:szCs w:val="24"/>
          <w:lang w:eastAsia="en-GB"/>
          <w14:ligatures w14:val="none"/>
        </w:rPr>
        <w:t>. visitbritain.org</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to justify focus on local tourism and staycations.</w:t>
      </w:r>
    </w:p>
    <w:p w14:paraId="0B15CDE3"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World Tourism Organization (UNWTO) (2023). </w:t>
      </w:r>
      <w:r w:rsidRPr="0030649F">
        <w:rPr>
          <w:rFonts w:ascii="Times New Roman" w:eastAsia="Times New Roman" w:hAnsi="Times New Roman" w:cs="Times New Roman"/>
          <w:i/>
          <w:iCs/>
          <w:kern w:val="0"/>
          <w:sz w:val="24"/>
          <w:szCs w:val="24"/>
          <w:lang w:eastAsia="en-GB"/>
          <w14:ligatures w14:val="none"/>
        </w:rPr>
        <w:t>Tourism and Sustainability Report</w:t>
      </w:r>
      <w:r w:rsidRPr="0030649F">
        <w:rPr>
          <w:rFonts w:ascii="Times New Roman" w:eastAsia="Times New Roman" w:hAnsi="Times New Roman" w:cs="Times New Roman"/>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Supports sustainability-focused strategy for SMEs in hospitality.</w:t>
      </w:r>
    </w:p>
    <w:p w14:paraId="5E8845C5"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CIPD (2022). </w:t>
      </w:r>
      <w:r w:rsidRPr="0030649F">
        <w:rPr>
          <w:rFonts w:ascii="Times New Roman" w:eastAsia="Times New Roman" w:hAnsi="Times New Roman" w:cs="Times New Roman"/>
          <w:i/>
          <w:iCs/>
          <w:kern w:val="0"/>
          <w:sz w:val="24"/>
          <w:szCs w:val="24"/>
          <w:lang w:eastAsia="en-GB"/>
          <w14:ligatures w14:val="none"/>
        </w:rPr>
        <w:t>Recruitment and Retention in Hospitality</w:t>
      </w:r>
      <w:r w:rsidRPr="0030649F">
        <w:rPr>
          <w:rFonts w:ascii="Times New Roman" w:eastAsia="Times New Roman" w:hAnsi="Times New Roman" w:cs="Times New Roman"/>
          <w:kern w:val="0"/>
          <w:sz w:val="24"/>
          <w:szCs w:val="24"/>
          <w:lang w:eastAsia="en-GB"/>
          <w14:ligatures w14:val="none"/>
        </w:rPr>
        <w:t>. cipd.co.uk</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Used to support employee and HR challenges in the sector.</w:t>
      </w:r>
    </w:p>
    <w:p w14:paraId="2CE97B46"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British Business Bank (2023). </w:t>
      </w:r>
      <w:r w:rsidRPr="0030649F">
        <w:rPr>
          <w:rFonts w:ascii="Times New Roman" w:eastAsia="Times New Roman" w:hAnsi="Times New Roman" w:cs="Times New Roman"/>
          <w:i/>
          <w:iCs/>
          <w:kern w:val="0"/>
          <w:sz w:val="24"/>
          <w:szCs w:val="24"/>
          <w:lang w:eastAsia="en-GB"/>
          <w14:ligatures w14:val="none"/>
        </w:rPr>
        <w:t>Finance and Growth Barriers for UK SMEs</w:t>
      </w:r>
      <w:r w:rsidRPr="0030649F">
        <w:rPr>
          <w:rFonts w:ascii="Times New Roman" w:eastAsia="Times New Roman" w:hAnsi="Times New Roman" w:cs="Times New Roman"/>
          <w:kern w:val="0"/>
          <w:sz w:val="24"/>
          <w:szCs w:val="24"/>
          <w:lang w:eastAsia="en-GB"/>
          <w14:ligatures w14:val="none"/>
        </w:rPr>
        <w:t>. british-business-bank.co.uk</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Discusses SME financing constraints and investment capacity.</w:t>
      </w:r>
    </w:p>
    <w:p w14:paraId="142AE4B4" w14:textId="77777777" w:rsidR="0030649F" w:rsidRPr="0030649F" w:rsidRDefault="0030649F" w:rsidP="0030649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649F">
        <w:rPr>
          <w:rFonts w:ascii="Times New Roman" w:eastAsia="Times New Roman" w:hAnsi="Times New Roman" w:cs="Times New Roman"/>
          <w:kern w:val="0"/>
          <w:sz w:val="24"/>
          <w:szCs w:val="24"/>
          <w:lang w:eastAsia="en-GB"/>
          <w14:ligatures w14:val="none"/>
        </w:rPr>
        <w:t xml:space="preserve">Chaffey, D. &amp; Ellis-Chadwick, F. (2019). </w:t>
      </w:r>
      <w:r w:rsidRPr="0030649F">
        <w:rPr>
          <w:rFonts w:ascii="Times New Roman" w:eastAsia="Times New Roman" w:hAnsi="Times New Roman" w:cs="Times New Roman"/>
          <w:i/>
          <w:iCs/>
          <w:kern w:val="0"/>
          <w:sz w:val="24"/>
          <w:szCs w:val="24"/>
          <w:lang w:eastAsia="en-GB"/>
          <w14:ligatures w14:val="none"/>
        </w:rPr>
        <w:t>Digital Marketing</w:t>
      </w:r>
      <w:r w:rsidRPr="0030649F">
        <w:rPr>
          <w:rFonts w:ascii="Times New Roman" w:eastAsia="Times New Roman" w:hAnsi="Times New Roman" w:cs="Times New Roman"/>
          <w:kern w:val="0"/>
          <w:sz w:val="24"/>
          <w:szCs w:val="24"/>
          <w:lang w:eastAsia="en-GB"/>
          <w14:ligatures w14:val="none"/>
        </w:rPr>
        <w:t xml:space="preserve"> (7th ed.). Pearson Education.</w:t>
      </w:r>
      <w:r w:rsidRPr="0030649F">
        <w:rPr>
          <w:rFonts w:ascii="Times New Roman" w:eastAsia="Times New Roman" w:hAnsi="Times New Roman" w:cs="Times New Roman"/>
          <w:kern w:val="0"/>
          <w:sz w:val="24"/>
          <w:szCs w:val="24"/>
          <w:lang w:eastAsia="en-GB"/>
          <w14:ligatures w14:val="none"/>
        </w:rPr>
        <w:br/>
      </w:r>
      <w:r w:rsidRPr="0030649F">
        <w:rPr>
          <w:rFonts w:ascii="Segoe UI Symbol" w:eastAsia="Times New Roman" w:hAnsi="Segoe UI Symbol" w:cs="Segoe UI Symbol"/>
          <w:kern w:val="0"/>
          <w:sz w:val="24"/>
          <w:szCs w:val="24"/>
          <w:lang w:eastAsia="en-GB"/>
          <w14:ligatures w14:val="none"/>
        </w:rPr>
        <w:t>➤</w:t>
      </w:r>
      <w:r w:rsidRPr="0030649F">
        <w:rPr>
          <w:rFonts w:ascii="Times New Roman" w:eastAsia="Times New Roman" w:hAnsi="Times New Roman" w:cs="Times New Roman"/>
          <w:kern w:val="0"/>
          <w:sz w:val="24"/>
          <w:szCs w:val="24"/>
          <w:lang w:eastAsia="en-GB"/>
          <w14:ligatures w14:val="none"/>
        </w:rPr>
        <w:t xml:space="preserve"> Supports digital strategy, SEO, and customer engagement best practices.</w:t>
      </w:r>
    </w:p>
    <w:p w14:paraId="547E49EE" w14:textId="77777777" w:rsidR="0030649F" w:rsidRDefault="0030649F" w:rsidP="0030649F"/>
    <w:p w14:paraId="54E96778" w14:textId="77777777" w:rsidR="0030649F" w:rsidRPr="00022E92" w:rsidRDefault="0030649F" w:rsidP="00022E92"/>
    <w:sectPr w:rsidR="0030649F" w:rsidRPr="00022E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047B9" w14:textId="77777777" w:rsidR="009939CF" w:rsidRDefault="009939CF" w:rsidP="006B6556">
      <w:pPr>
        <w:spacing w:after="0" w:line="240" w:lineRule="auto"/>
      </w:pPr>
      <w:r>
        <w:separator/>
      </w:r>
    </w:p>
  </w:endnote>
  <w:endnote w:type="continuationSeparator" w:id="0">
    <w:p w14:paraId="4CCED8AB" w14:textId="77777777" w:rsidR="009939CF" w:rsidRDefault="009939CF" w:rsidP="006B6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4408191"/>
      <w:docPartObj>
        <w:docPartGallery w:val="Page Numbers (Bottom of Page)"/>
        <w:docPartUnique/>
      </w:docPartObj>
    </w:sdtPr>
    <w:sdtContent>
      <w:p w14:paraId="56438039" w14:textId="2DF12F89" w:rsidR="006B6556" w:rsidRDefault="006B6556">
        <w:pPr>
          <w:pStyle w:val="Footer"/>
          <w:jc w:val="center"/>
        </w:pPr>
        <w:r>
          <w:fldChar w:fldCharType="begin"/>
        </w:r>
        <w:r>
          <w:instrText>PAGE   \* MERGEFORMAT</w:instrText>
        </w:r>
        <w:r>
          <w:fldChar w:fldCharType="separate"/>
        </w:r>
        <w:r>
          <w:t>2</w:t>
        </w:r>
        <w:r>
          <w:fldChar w:fldCharType="end"/>
        </w:r>
      </w:p>
    </w:sdtContent>
  </w:sdt>
  <w:p w14:paraId="7C36BACA" w14:textId="77777777" w:rsidR="006B6556" w:rsidRDefault="006B6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8FF10" w14:textId="77777777" w:rsidR="009939CF" w:rsidRDefault="009939CF" w:rsidP="006B6556">
      <w:pPr>
        <w:spacing w:after="0" w:line="240" w:lineRule="auto"/>
      </w:pPr>
      <w:r>
        <w:separator/>
      </w:r>
    </w:p>
  </w:footnote>
  <w:footnote w:type="continuationSeparator" w:id="0">
    <w:p w14:paraId="7DEC2B3D" w14:textId="77777777" w:rsidR="009939CF" w:rsidRDefault="009939CF" w:rsidP="006B6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602DC"/>
    <w:multiLevelType w:val="multilevel"/>
    <w:tmpl w:val="D836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9275E"/>
    <w:multiLevelType w:val="multilevel"/>
    <w:tmpl w:val="E1621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065834"/>
    <w:multiLevelType w:val="multilevel"/>
    <w:tmpl w:val="38242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C06C82"/>
    <w:multiLevelType w:val="multilevel"/>
    <w:tmpl w:val="30FC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6347489">
    <w:abstractNumId w:val="0"/>
  </w:num>
  <w:num w:numId="2" w16cid:durableId="2064910322">
    <w:abstractNumId w:val="2"/>
  </w:num>
  <w:num w:numId="3" w16cid:durableId="738475755">
    <w:abstractNumId w:val="1"/>
  </w:num>
  <w:num w:numId="4" w16cid:durableId="493784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556"/>
    <w:rsid w:val="000171F4"/>
    <w:rsid w:val="00022E92"/>
    <w:rsid w:val="000B31B6"/>
    <w:rsid w:val="00120765"/>
    <w:rsid w:val="001810C1"/>
    <w:rsid w:val="00185C55"/>
    <w:rsid w:val="001B6624"/>
    <w:rsid w:val="001F4BBB"/>
    <w:rsid w:val="00256E87"/>
    <w:rsid w:val="002B34F8"/>
    <w:rsid w:val="002D1DD7"/>
    <w:rsid w:val="002F4B64"/>
    <w:rsid w:val="0030649F"/>
    <w:rsid w:val="0036285A"/>
    <w:rsid w:val="0040399D"/>
    <w:rsid w:val="00467D0E"/>
    <w:rsid w:val="004A06B7"/>
    <w:rsid w:val="004D0A01"/>
    <w:rsid w:val="00527DB6"/>
    <w:rsid w:val="00590B1C"/>
    <w:rsid w:val="006249C9"/>
    <w:rsid w:val="00630CC2"/>
    <w:rsid w:val="006B6556"/>
    <w:rsid w:val="007031A5"/>
    <w:rsid w:val="00754449"/>
    <w:rsid w:val="00852963"/>
    <w:rsid w:val="008C2576"/>
    <w:rsid w:val="009939CF"/>
    <w:rsid w:val="00A437BE"/>
    <w:rsid w:val="00CB30E0"/>
    <w:rsid w:val="00D85EC6"/>
    <w:rsid w:val="00D8702D"/>
    <w:rsid w:val="00DB636A"/>
    <w:rsid w:val="00F60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EDE63"/>
  <w15:chartTrackingRefBased/>
  <w15:docId w15:val="{E501E862-E097-4097-9C8E-E4175E4BB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5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65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5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5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5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5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5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5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5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5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65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5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5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5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5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5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5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556"/>
    <w:rPr>
      <w:rFonts w:eastAsiaTheme="majorEastAsia" w:cstheme="majorBidi"/>
      <w:color w:val="272727" w:themeColor="text1" w:themeTint="D8"/>
    </w:rPr>
  </w:style>
  <w:style w:type="paragraph" w:styleId="Title">
    <w:name w:val="Title"/>
    <w:basedOn w:val="Normal"/>
    <w:next w:val="Normal"/>
    <w:link w:val="TitleChar"/>
    <w:uiPriority w:val="10"/>
    <w:qFormat/>
    <w:rsid w:val="006B65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5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5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5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556"/>
    <w:pPr>
      <w:spacing w:before="160"/>
      <w:jc w:val="center"/>
    </w:pPr>
    <w:rPr>
      <w:i/>
      <w:iCs/>
      <w:color w:val="404040" w:themeColor="text1" w:themeTint="BF"/>
    </w:rPr>
  </w:style>
  <w:style w:type="character" w:customStyle="1" w:styleId="QuoteChar">
    <w:name w:val="Quote Char"/>
    <w:basedOn w:val="DefaultParagraphFont"/>
    <w:link w:val="Quote"/>
    <w:uiPriority w:val="29"/>
    <w:rsid w:val="006B6556"/>
    <w:rPr>
      <w:i/>
      <w:iCs/>
      <w:color w:val="404040" w:themeColor="text1" w:themeTint="BF"/>
    </w:rPr>
  </w:style>
  <w:style w:type="paragraph" w:styleId="ListParagraph">
    <w:name w:val="List Paragraph"/>
    <w:basedOn w:val="Normal"/>
    <w:uiPriority w:val="34"/>
    <w:qFormat/>
    <w:rsid w:val="006B6556"/>
    <w:pPr>
      <w:ind w:left="720"/>
      <w:contextualSpacing/>
    </w:pPr>
  </w:style>
  <w:style w:type="character" w:styleId="IntenseEmphasis">
    <w:name w:val="Intense Emphasis"/>
    <w:basedOn w:val="DefaultParagraphFont"/>
    <w:uiPriority w:val="21"/>
    <w:qFormat/>
    <w:rsid w:val="006B6556"/>
    <w:rPr>
      <w:i/>
      <w:iCs/>
      <w:color w:val="0F4761" w:themeColor="accent1" w:themeShade="BF"/>
    </w:rPr>
  </w:style>
  <w:style w:type="paragraph" w:styleId="IntenseQuote">
    <w:name w:val="Intense Quote"/>
    <w:basedOn w:val="Normal"/>
    <w:next w:val="Normal"/>
    <w:link w:val="IntenseQuoteChar"/>
    <w:uiPriority w:val="30"/>
    <w:qFormat/>
    <w:rsid w:val="006B65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556"/>
    <w:rPr>
      <w:i/>
      <w:iCs/>
      <w:color w:val="0F4761" w:themeColor="accent1" w:themeShade="BF"/>
    </w:rPr>
  </w:style>
  <w:style w:type="character" w:styleId="IntenseReference">
    <w:name w:val="Intense Reference"/>
    <w:basedOn w:val="DefaultParagraphFont"/>
    <w:uiPriority w:val="32"/>
    <w:qFormat/>
    <w:rsid w:val="006B6556"/>
    <w:rPr>
      <w:b/>
      <w:bCs/>
      <w:smallCaps/>
      <w:color w:val="0F4761" w:themeColor="accent1" w:themeShade="BF"/>
      <w:spacing w:val="5"/>
    </w:rPr>
  </w:style>
  <w:style w:type="paragraph" w:styleId="Header">
    <w:name w:val="header"/>
    <w:basedOn w:val="Normal"/>
    <w:link w:val="HeaderChar"/>
    <w:uiPriority w:val="99"/>
    <w:unhideWhenUsed/>
    <w:rsid w:val="006B6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556"/>
  </w:style>
  <w:style w:type="paragraph" w:styleId="Footer">
    <w:name w:val="footer"/>
    <w:basedOn w:val="Normal"/>
    <w:link w:val="FooterChar"/>
    <w:uiPriority w:val="99"/>
    <w:unhideWhenUsed/>
    <w:rsid w:val="006B6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556"/>
  </w:style>
  <w:style w:type="character" w:styleId="Strong">
    <w:name w:val="Strong"/>
    <w:basedOn w:val="DefaultParagraphFont"/>
    <w:uiPriority w:val="22"/>
    <w:qFormat/>
    <w:rsid w:val="00467D0E"/>
    <w:rPr>
      <w:b/>
      <w:bCs/>
    </w:rPr>
  </w:style>
  <w:style w:type="paragraph" w:styleId="TOCHeading">
    <w:name w:val="TOC Heading"/>
    <w:basedOn w:val="Heading1"/>
    <w:next w:val="Normal"/>
    <w:uiPriority w:val="39"/>
    <w:unhideWhenUsed/>
    <w:qFormat/>
    <w:rsid w:val="0036285A"/>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36285A"/>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36285A"/>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36285A"/>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36285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929323">
      <w:bodyDiv w:val="1"/>
      <w:marLeft w:val="0"/>
      <w:marRight w:val="0"/>
      <w:marTop w:val="0"/>
      <w:marBottom w:val="0"/>
      <w:divBdr>
        <w:top w:val="none" w:sz="0" w:space="0" w:color="auto"/>
        <w:left w:val="none" w:sz="0" w:space="0" w:color="auto"/>
        <w:bottom w:val="none" w:sz="0" w:space="0" w:color="auto"/>
        <w:right w:val="none" w:sz="0" w:space="0" w:color="auto"/>
      </w:divBdr>
      <w:divsChild>
        <w:div w:id="614024287">
          <w:marLeft w:val="0"/>
          <w:marRight w:val="0"/>
          <w:marTop w:val="0"/>
          <w:marBottom w:val="0"/>
          <w:divBdr>
            <w:top w:val="none" w:sz="0" w:space="0" w:color="auto"/>
            <w:left w:val="none" w:sz="0" w:space="0" w:color="auto"/>
            <w:bottom w:val="none" w:sz="0" w:space="0" w:color="auto"/>
            <w:right w:val="none" w:sz="0" w:space="0" w:color="auto"/>
          </w:divBdr>
          <w:divsChild>
            <w:div w:id="81403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462405">
      <w:bodyDiv w:val="1"/>
      <w:marLeft w:val="0"/>
      <w:marRight w:val="0"/>
      <w:marTop w:val="0"/>
      <w:marBottom w:val="0"/>
      <w:divBdr>
        <w:top w:val="none" w:sz="0" w:space="0" w:color="auto"/>
        <w:left w:val="none" w:sz="0" w:space="0" w:color="auto"/>
        <w:bottom w:val="none" w:sz="0" w:space="0" w:color="auto"/>
        <w:right w:val="none" w:sz="0" w:space="0" w:color="auto"/>
      </w:divBdr>
    </w:div>
    <w:div w:id="444347075">
      <w:bodyDiv w:val="1"/>
      <w:marLeft w:val="0"/>
      <w:marRight w:val="0"/>
      <w:marTop w:val="0"/>
      <w:marBottom w:val="0"/>
      <w:divBdr>
        <w:top w:val="none" w:sz="0" w:space="0" w:color="auto"/>
        <w:left w:val="none" w:sz="0" w:space="0" w:color="auto"/>
        <w:bottom w:val="none" w:sz="0" w:space="0" w:color="auto"/>
        <w:right w:val="none" w:sz="0" w:space="0" w:color="auto"/>
      </w:divBdr>
      <w:divsChild>
        <w:div w:id="1745640525">
          <w:marLeft w:val="0"/>
          <w:marRight w:val="0"/>
          <w:marTop w:val="0"/>
          <w:marBottom w:val="0"/>
          <w:divBdr>
            <w:top w:val="none" w:sz="0" w:space="0" w:color="auto"/>
            <w:left w:val="none" w:sz="0" w:space="0" w:color="auto"/>
            <w:bottom w:val="none" w:sz="0" w:space="0" w:color="auto"/>
            <w:right w:val="none" w:sz="0" w:space="0" w:color="auto"/>
          </w:divBdr>
          <w:divsChild>
            <w:div w:id="153677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095808">
      <w:bodyDiv w:val="1"/>
      <w:marLeft w:val="0"/>
      <w:marRight w:val="0"/>
      <w:marTop w:val="0"/>
      <w:marBottom w:val="0"/>
      <w:divBdr>
        <w:top w:val="none" w:sz="0" w:space="0" w:color="auto"/>
        <w:left w:val="none" w:sz="0" w:space="0" w:color="auto"/>
        <w:bottom w:val="none" w:sz="0" w:space="0" w:color="auto"/>
        <w:right w:val="none" w:sz="0" w:space="0" w:color="auto"/>
      </w:divBdr>
      <w:divsChild>
        <w:div w:id="1618294275">
          <w:marLeft w:val="0"/>
          <w:marRight w:val="0"/>
          <w:marTop w:val="0"/>
          <w:marBottom w:val="0"/>
          <w:divBdr>
            <w:top w:val="none" w:sz="0" w:space="0" w:color="auto"/>
            <w:left w:val="none" w:sz="0" w:space="0" w:color="auto"/>
            <w:bottom w:val="none" w:sz="0" w:space="0" w:color="auto"/>
            <w:right w:val="none" w:sz="0" w:space="0" w:color="auto"/>
          </w:divBdr>
          <w:divsChild>
            <w:div w:id="1793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569037">
      <w:bodyDiv w:val="1"/>
      <w:marLeft w:val="0"/>
      <w:marRight w:val="0"/>
      <w:marTop w:val="0"/>
      <w:marBottom w:val="0"/>
      <w:divBdr>
        <w:top w:val="none" w:sz="0" w:space="0" w:color="auto"/>
        <w:left w:val="none" w:sz="0" w:space="0" w:color="auto"/>
        <w:bottom w:val="none" w:sz="0" w:space="0" w:color="auto"/>
        <w:right w:val="none" w:sz="0" w:space="0" w:color="auto"/>
      </w:divBdr>
      <w:divsChild>
        <w:div w:id="1509834074">
          <w:marLeft w:val="0"/>
          <w:marRight w:val="0"/>
          <w:marTop w:val="0"/>
          <w:marBottom w:val="0"/>
          <w:divBdr>
            <w:top w:val="none" w:sz="0" w:space="0" w:color="auto"/>
            <w:left w:val="none" w:sz="0" w:space="0" w:color="auto"/>
            <w:bottom w:val="none" w:sz="0" w:space="0" w:color="auto"/>
            <w:right w:val="none" w:sz="0" w:space="0" w:color="auto"/>
          </w:divBdr>
          <w:divsChild>
            <w:div w:id="123708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272971">
      <w:bodyDiv w:val="1"/>
      <w:marLeft w:val="0"/>
      <w:marRight w:val="0"/>
      <w:marTop w:val="0"/>
      <w:marBottom w:val="0"/>
      <w:divBdr>
        <w:top w:val="none" w:sz="0" w:space="0" w:color="auto"/>
        <w:left w:val="none" w:sz="0" w:space="0" w:color="auto"/>
        <w:bottom w:val="none" w:sz="0" w:space="0" w:color="auto"/>
        <w:right w:val="none" w:sz="0" w:space="0" w:color="auto"/>
      </w:divBdr>
      <w:divsChild>
        <w:div w:id="1595430763">
          <w:marLeft w:val="0"/>
          <w:marRight w:val="0"/>
          <w:marTop w:val="0"/>
          <w:marBottom w:val="0"/>
          <w:divBdr>
            <w:top w:val="none" w:sz="0" w:space="0" w:color="auto"/>
            <w:left w:val="none" w:sz="0" w:space="0" w:color="auto"/>
            <w:bottom w:val="none" w:sz="0" w:space="0" w:color="auto"/>
            <w:right w:val="none" w:sz="0" w:space="0" w:color="auto"/>
          </w:divBdr>
          <w:divsChild>
            <w:div w:id="195555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92075">
      <w:bodyDiv w:val="1"/>
      <w:marLeft w:val="0"/>
      <w:marRight w:val="0"/>
      <w:marTop w:val="0"/>
      <w:marBottom w:val="0"/>
      <w:divBdr>
        <w:top w:val="none" w:sz="0" w:space="0" w:color="auto"/>
        <w:left w:val="none" w:sz="0" w:space="0" w:color="auto"/>
        <w:bottom w:val="none" w:sz="0" w:space="0" w:color="auto"/>
        <w:right w:val="none" w:sz="0" w:space="0" w:color="auto"/>
      </w:divBdr>
      <w:divsChild>
        <w:div w:id="679048075">
          <w:marLeft w:val="0"/>
          <w:marRight w:val="0"/>
          <w:marTop w:val="0"/>
          <w:marBottom w:val="0"/>
          <w:divBdr>
            <w:top w:val="none" w:sz="0" w:space="0" w:color="auto"/>
            <w:left w:val="none" w:sz="0" w:space="0" w:color="auto"/>
            <w:bottom w:val="none" w:sz="0" w:space="0" w:color="auto"/>
            <w:right w:val="none" w:sz="0" w:space="0" w:color="auto"/>
          </w:divBdr>
          <w:divsChild>
            <w:div w:id="72097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001657">
      <w:bodyDiv w:val="1"/>
      <w:marLeft w:val="0"/>
      <w:marRight w:val="0"/>
      <w:marTop w:val="0"/>
      <w:marBottom w:val="0"/>
      <w:divBdr>
        <w:top w:val="none" w:sz="0" w:space="0" w:color="auto"/>
        <w:left w:val="none" w:sz="0" w:space="0" w:color="auto"/>
        <w:bottom w:val="none" w:sz="0" w:space="0" w:color="auto"/>
        <w:right w:val="none" w:sz="0" w:space="0" w:color="auto"/>
      </w:divBdr>
      <w:divsChild>
        <w:div w:id="1279487516">
          <w:marLeft w:val="0"/>
          <w:marRight w:val="0"/>
          <w:marTop w:val="0"/>
          <w:marBottom w:val="0"/>
          <w:divBdr>
            <w:top w:val="none" w:sz="0" w:space="0" w:color="auto"/>
            <w:left w:val="none" w:sz="0" w:space="0" w:color="auto"/>
            <w:bottom w:val="none" w:sz="0" w:space="0" w:color="auto"/>
            <w:right w:val="none" w:sz="0" w:space="0" w:color="auto"/>
          </w:divBdr>
          <w:divsChild>
            <w:div w:id="91436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21954">
      <w:bodyDiv w:val="1"/>
      <w:marLeft w:val="0"/>
      <w:marRight w:val="0"/>
      <w:marTop w:val="0"/>
      <w:marBottom w:val="0"/>
      <w:divBdr>
        <w:top w:val="none" w:sz="0" w:space="0" w:color="auto"/>
        <w:left w:val="none" w:sz="0" w:space="0" w:color="auto"/>
        <w:bottom w:val="none" w:sz="0" w:space="0" w:color="auto"/>
        <w:right w:val="none" w:sz="0" w:space="0" w:color="auto"/>
      </w:divBdr>
      <w:divsChild>
        <w:div w:id="867135321">
          <w:marLeft w:val="0"/>
          <w:marRight w:val="0"/>
          <w:marTop w:val="0"/>
          <w:marBottom w:val="0"/>
          <w:divBdr>
            <w:top w:val="none" w:sz="0" w:space="0" w:color="auto"/>
            <w:left w:val="none" w:sz="0" w:space="0" w:color="auto"/>
            <w:bottom w:val="none" w:sz="0" w:space="0" w:color="auto"/>
            <w:right w:val="none" w:sz="0" w:space="0" w:color="auto"/>
          </w:divBdr>
          <w:divsChild>
            <w:div w:id="10403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704235">
      <w:bodyDiv w:val="1"/>
      <w:marLeft w:val="0"/>
      <w:marRight w:val="0"/>
      <w:marTop w:val="0"/>
      <w:marBottom w:val="0"/>
      <w:divBdr>
        <w:top w:val="none" w:sz="0" w:space="0" w:color="auto"/>
        <w:left w:val="none" w:sz="0" w:space="0" w:color="auto"/>
        <w:bottom w:val="none" w:sz="0" w:space="0" w:color="auto"/>
        <w:right w:val="none" w:sz="0" w:space="0" w:color="auto"/>
      </w:divBdr>
      <w:divsChild>
        <w:div w:id="648827626">
          <w:marLeft w:val="0"/>
          <w:marRight w:val="0"/>
          <w:marTop w:val="0"/>
          <w:marBottom w:val="0"/>
          <w:divBdr>
            <w:top w:val="none" w:sz="0" w:space="0" w:color="auto"/>
            <w:left w:val="none" w:sz="0" w:space="0" w:color="auto"/>
            <w:bottom w:val="none" w:sz="0" w:space="0" w:color="auto"/>
            <w:right w:val="none" w:sz="0" w:space="0" w:color="auto"/>
          </w:divBdr>
          <w:divsChild>
            <w:div w:id="90834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117128">
      <w:bodyDiv w:val="1"/>
      <w:marLeft w:val="0"/>
      <w:marRight w:val="0"/>
      <w:marTop w:val="0"/>
      <w:marBottom w:val="0"/>
      <w:divBdr>
        <w:top w:val="none" w:sz="0" w:space="0" w:color="auto"/>
        <w:left w:val="none" w:sz="0" w:space="0" w:color="auto"/>
        <w:bottom w:val="none" w:sz="0" w:space="0" w:color="auto"/>
        <w:right w:val="none" w:sz="0" w:space="0" w:color="auto"/>
      </w:divBdr>
    </w:div>
    <w:div w:id="1988699260">
      <w:bodyDiv w:val="1"/>
      <w:marLeft w:val="0"/>
      <w:marRight w:val="0"/>
      <w:marTop w:val="0"/>
      <w:marBottom w:val="0"/>
      <w:divBdr>
        <w:top w:val="none" w:sz="0" w:space="0" w:color="auto"/>
        <w:left w:val="none" w:sz="0" w:space="0" w:color="auto"/>
        <w:bottom w:val="none" w:sz="0" w:space="0" w:color="auto"/>
        <w:right w:val="none" w:sz="0" w:space="0" w:color="auto"/>
      </w:divBdr>
      <w:divsChild>
        <w:div w:id="1339771619">
          <w:marLeft w:val="0"/>
          <w:marRight w:val="0"/>
          <w:marTop w:val="0"/>
          <w:marBottom w:val="0"/>
          <w:divBdr>
            <w:top w:val="none" w:sz="0" w:space="0" w:color="auto"/>
            <w:left w:val="none" w:sz="0" w:space="0" w:color="auto"/>
            <w:bottom w:val="none" w:sz="0" w:space="0" w:color="auto"/>
            <w:right w:val="none" w:sz="0" w:space="0" w:color="auto"/>
          </w:divBdr>
          <w:divsChild>
            <w:div w:id="36969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01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17</Pages>
  <Words>4543</Words>
  <Characters>25898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3</cp:revision>
  <dcterms:created xsi:type="dcterms:W3CDTF">2025-11-10T17:13:00Z</dcterms:created>
  <dcterms:modified xsi:type="dcterms:W3CDTF">2025-11-10T17:46:00Z</dcterms:modified>
</cp:coreProperties>
</file>