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4DF5A0B" w:rsidP="2F3D096E" w:rsidRDefault="04DF5A0B" w14:paraId="68D8ED6B" w14:textId="34B0E19A">
      <w:pPr>
        <w:pStyle w:val="Normal"/>
        <w:rPr>
          <w:u w:val="none"/>
        </w:rPr>
      </w:pPr>
      <w:r w:rsidR="707FA472">
        <w:rPr/>
        <w:t xml:space="preserve">Explore and analyse the use of a Greek hero (Alexander) in Latin texts from the Roman Empire. Illustrate your answer with examples from no more than two texts. </w:t>
      </w:r>
    </w:p>
    <w:p w:rsidR="04DF5A0B" w:rsidP="2F3D096E" w:rsidRDefault="04DF5A0B" w14:paraId="534FE1AC" w14:textId="254F6FDE">
      <w:pPr>
        <w:pStyle w:val="Normal"/>
        <w:rPr>
          <w:u w:val="none"/>
        </w:rPr>
      </w:pPr>
      <w:r w:rsidRPr="3AB4478C" w:rsidR="707FA472">
        <w:rPr>
          <w:u w:val="single"/>
        </w:rPr>
        <w:t>Alexander</w:t>
      </w:r>
      <w:r w:rsidRPr="3AB4478C" w:rsidR="12248709">
        <w:rPr>
          <w:u w:val="single"/>
        </w:rPr>
        <w:t xml:space="preserve"> the Great</w:t>
      </w:r>
      <w:r w:rsidRPr="3AB4478C" w:rsidR="707FA472">
        <w:rPr>
          <w:u w:val="single"/>
        </w:rPr>
        <w:t xml:space="preserve"> in Roman Imperial Texts</w:t>
      </w:r>
    </w:p>
    <w:p w:rsidR="04DF5A0B" w:rsidP="2F3D096E" w:rsidRDefault="04DF5A0B" w14:paraId="59651273" w14:textId="21047DC0">
      <w:pPr>
        <w:pStyle w:val="Normal"/>
        <w:rPr>
          <w:u w:val="none"/>
        </w:rPr>
      </w:pPr>
      <w:r w:rsidR="707FA472">
        <w:rPr>
          <w:u w:val="none"/>
        </w:rPr>
        <w:t xml:space="preserve">The figure of Alexander the Great occupies a paradoxical position in literature from the Roman Empire. A Macedonian king educated along Greek </w:t>
      </w:r>
      <w:r w:rsidR="707FA472">
        <w:rPr>
          <w:u w:val="none"/>
        </w:rPr>
        <w:t>norms,</w:t>
      </w:r>
      <w:r w:rsidR="707FA472">
        <w:rPr>
          <w:u w:val="none"/>
        </w:rPr>
        <w:t xml:space="preserve"> Alexander nevertheless became a central figure in </w:t>
      </w:r>
      <w:r w:rsidR="1FF359EA">
        <w:rPr>
          <w:u w:val="none"/>
        </w:rPr>
        <w:t>Latin texts produced under the Roman Empire. H</w:t>
      </w:r>
      <w:r w:rsidR="0A578970">
        <w:rPr>
          <w:u w:val="none"/>
        </w:rPr>
        <w:t>owever, h</w:t>
      </w:r>
      <w:r w:rsidR="1FF359EA">
        <w:rPr>
          <w:u w:val="none"/>
        </w:rPr>
        <w:t>e is not passively inherited from Greek historiography but actively reconfigured within Roman ideological frameworks</w:t>
      </w:r>
      <w:r w:rsidR="163976D8">
        <w:rPr>
          <w:u w:val="none"/>
        </w:rPr>
        <w:t>.</w:t>
      </w:r>
    </w:p>
    <w:p w:rsidR="1FF359EA" w:rsidP="3AB4478C" w:rsidRDefault="1FF359EA" w14:paraId="10FC6022" w14:textId="27C20C11">
      <w:pPr>
        <w:pStyle w:val="Normal"/>
        <w:rPr>
          <w:i w:val="0"/>
          <w:iCs w:val="0"/>
          <w:u w:val="none"/>
        </w:rPr>
      </w:pPr>
      <w:r w:rsidR="1FF359EA">
        <w:rPr>
          <w:u w:val="none"/>
        </w:rPr>
        <w:t xml:space="preserve">This essay examines two major Latin engagements with Alexander: Quintus Curtius Rufus’ </w:t>
      </w:r>
      <w:r w:rsidRPr="3AB4478C" w:rsidR="1FF359EA">
        <w:rPr>
          <w:i w:val="1"/>
          <w:iCs w:val="1"/>
          <w:u w:val="none"/>
        </w:rPr>
        <w:t xml:space="preserve">Historiae </w:t>
      </w:r>
      <w:bookmarkStart w:name="_Int_z7wrD8JP" w:id="1266086898"/>
      <w:r w:rsidRPr="3AB4478C" w:rsidR="1FF359EA">
        <w:rPr>
          <w:i w:val="1"/>
          <w:iCs w:val="1"/>
          <w:u w:val="none"/>
        </w:rPr>
        <w:t>Alexandri</w:t>
      </w:r>
      <w:bookmarkEnd w:id="1266086898"/>
      <w:r w:rsidRPr="3AB4478C" w:rsidR="1FF359EA">
        <w:rPr>
          <w:i w:val="1"/>
          <w:iCs w:val="1"/>
          <w:u w:val="none"/>
        </w:rPr>
        <w:t xml:space="preserve"> Magni </w:t>
      </w:r>
      <w:r w:rsidRPr="3AB4478C" w:rsidR="1FF359EA">
        <w:rPr>
          <w:i w:val="0"/>
          <w:iCs w:val="0"/>
          <w:u w:val="none"/>
        </w:rPr>
        <w:t>(</w:t>
      </w:r>
      <w:r w:rsidRPr="3AB4478C" w:rsidR="2EA9122C">
        <w:rPr>
          <w:i w:val="0"/>
          <w:iCs w:val="0"/>
          <w:u w:val="none"/>
        </w:rPr>
        <w:t xml:space="preserve">first </w:t>
      </w:r>
      <w:r w:rsidRPr="3AB4478C" w:rsidR="1FF359EA">
        <w:rPr>
          <w:i w:val="0"/>
          <w:iCs w:val="0"/>
          <w:u w:val="none"/>
        </w:rPr>
        <w:t xml:space="preserve">century CE) and Julius Valerius’ </w:t>
      </w:r>
      <w:r w:rsidRPr="3AB4478C" w:rsidR="1FF359EA">
        <w:rPr>
          <w:i w:val="1"/>
          <w:iCs w:val="1"/>
          <w:u w:val="none"/>
        </w:rPr>
        <w:t xml:space="preserve">Res gestae Alexandri Magni </w:t>
      </w:r>
      <w:r w:rsidRPr="3AB4478C" w:rsidR="1FF359EA">
        <w:rPr>
          <w:i w:val="0"/>
          <w:iCs w:val="0"/>
          <w:u w:val="none"/>
        </w:rPr>
        <w:t>(</w:t>
      </w:r>
      <w:r w:rsidRPr="3AB4478C" w:rsidR="5541E00A">
        <w:rPr>
          <w:i w:val="0"/>
          <w:iCs w:val="0"/>
          <w:u w:val="none"/>
        </w:rPr>
        <w:t xml:space="preserve">fourth </w:t>
      </w:r>
      <w:r w:rsidRPr="3AB4478C" w:rsidR="1FF359EA">
        <w:rPr>
          <w:i w:val="0"/>
          <w:iCs w:val="0"/>
          <w:u w:val="none"/>
        </w:rPr>
        <w:t>century CE). Though separated by genre and chronology, b</w:t>
      </w:r>
      <w:r w:rsidRPr="3AB4478C" w:rsidR="5EE84483">
        <w:rPr>
          <w:i w:val="0"/>
          <w:iCs w:val="0"/>
          <w:u w:val="none"/>
        </w:rPr>
        <w:t xml:space="preserve">oth texts </w:t>
      </w:r>
      <w:r w:rsidRPr="3AB4478C" w:rsidR="5EE84483">
        <w:rPr>
          <w:i w:val="0"/>
          <w:iCs w:val="0"/>
          <w:u w:val="none"/>
        </w:rPr>
        <w:t>demonstrate</w:t>
      </w:r>
      <w:r w:rsidRPr="3AB4478C" w:rsidR="5EE84483">
        <w:rPr>
          <w:i w:val="0"/>
          <w:iCs w:val="0"/>
          <w:u w:val="none"/>
        </w:rPr>
        <w:t xml:space="preserve"> </w:t>
      </w:r>
      <w:r w:rsidRPr="3AB4478C" w:rsidR="22D2988F">
        <w:rPr>
          <w:i w:val="0"/>
          <w:iCs w:val="0"/>
          <w:u w:val="none"/>
        </w:rPr>
        <w:t xml:space="preserve">that Alexander’s function in Latin literature is </w:t>
      </w:r>
      <w:r w:rsidRPr="3AB4478C" w:rsidR="5EE84483">
        <w:rPr>
          <w:i w:val="0"/>
          <w:iCs w:val="0"/>
          <w:u w:val="none"/>
        </w:rPr>
        <w:t xml:space="preserve">less as an historical Macedonian king than as a flexible cultural construct. In </w:t>
      </w:r>
      <w:r w:rsidRPr="3AB4478C" w:rsidR="54E6D1AF">
        <w:rPr>
          <w:i w:val="0"/>
          <w:iCs w:val="0"/>
          <w:u w:val="none"/>
        </w:rPr>
        <w:t xml:space="preserve">work of Curtius Rufus</w:t>
      </w:r>
      <w:r w:rsidRPr="3AB4478C" w:rsidR="5EE84483">
        <w:rPr>
          <w:i w:val="0"/>
          <w:iCs w:val="0"/>
          <w:u w:val="none"/>
        </w:rPr>
        <w:t xml:space="preserve">, Alexander functions as a morally ambivalent exemplar of autocracy and imperial ambition; while </w:t>
      </w:r>
      <w:r w:rsidRPr="3AB4478C" w:rsidR="6171DA72">
        <w:rPr>
          <w:i w:val="0"/>
          <w:iCs w:val="0"/>
          <w:u w:val="none"/>
        </w:rPr>
        <w:t xml:space="preserve">Julius </w:t>
      </w:r>
      <w:r w:rsidRPr="3AB4478C" w:rsidR="7CA7575C">
        <w:rPr>
          <w:i w:val="0"/>
          <w:iCs w:val="0"/>
          <w:u w:val="none"/>
        </w:rPr>
        <w:t xml:space="preserve">Valerius reconstitutes him as a romantic hero </w:t>
      </w:r>
      <w:r w:rsidRPr="3AB4478C" w:rsidR="4575BE14">
        <w:rPr>
          <w:i w:val="0"/>
          <w:iCs w:val="0"/>
          <w:u w:val="none"/>
        </w:rPr>
        <w:t>striving for mythic expansion. Drawing upon Spencer’s analysis of Alexander as a ‘Roman cultural myth</w:t>
      </w:r>
      <w:r w:rsidRPr="3AB4478C" w:rsidR="4575BE14">
        <w:rPr>
          <w:i w:val="0"/>
          <w:iCs w:val="0"/>
          <w:u w:val="none"/>
        </w:rPr>
        <w:t>’,</w:t>
      </w:r>
      <w:r w:rsidRPr="3AB4478C" w:rsidR="4575BE14">
        <w:rPr>
          <w:i w:val="0"/>
          <w:iCs w:val="0"/>
          <w:u w:val="none"/>
        </w:rPr>
        <w:t xml:space="preserve"> Baynham’s study of Curtius’ historiographical method, and Heckel’s work on Alexander between myth and history</w:t>
      </w:r>
      <w:r w:rsidRPr="3AB4478C">
        <w:rPr>
          <w:rStyle w:val="FootnoteReference"/>
          <w:i w:val="0"/>
          <w:iCs w:val="0"/>
          <w:u w:val="none"/>
        </w:rPr>
        <w:footnoteReference w:id="16534"/>
      </w:r>
      <w:r w:rsidRPr="3AB4478C" w:rsidR="4575BE14">
        <w:rPr>
          <w:i w:val="0"/>
          <w:iCs w:val="0"/>
          <w:u w:val="none"/>
        </w:rPr>
        <w:t xml:space="preserve">, this essay contends </w:t>
      </w:r>
      <w:r w:rsidRPr="3AB4478C" w:rsidR="5886D539">
        <w:rPr>
          <w:i w:val="0"/>
          <w:iCs w:val="0"/>
          <w:u w:val="none"/>
        </w:rPr>
        <w:t>that the Roman Alexander is best understood not as a preserved Greek hero but as a flexible ideological instrument. Across periods and genres, Alexander becomes a mirror in which Rome negotiates the legitimacy, limits, and anxieties of empire.</w:t>
      </w:r>
    </w:p>
    <w:p w:rsidR="5886D539" w:rsidP="79CE136D" w:rsidRDefault="5886D539" w14:paraId="51E25FFF" w14:textId="5ED46B9D">
      <w:pPr>
        <w:pStyle w:val="Normal"/>
        <w:rPr>
          <w:i w:val="0"/>
          <w:iCs w:val="0"/>
          <w:u w:val="single"/>
        </w:rPr>
      </w:pPr>
      <w:r w:rsidRPr="79CE136D" w:rsidR="5886D539">
        <w:rPr>
          <w:i w:val="0"/>
          <w:iCs w:val="0"/>
          <w:u w:val="single"/>
        </w:rPr>
        <w:t>Alexander as Roman Cultural Myth</w:t>
      </w:r>
    </w:p>
    <w:p w:rsidR="5886D539" w:rsidP="3AB4478C" w:rsidRDefault="5886D539" w14:paraId="738E72F5" w14:textId="430041A3">
      <w:pPr>
        <w:pStyle w:val="Normal"/>
        <w:rPr>
          <w:i w:val="0"/>
          <w:iCs w:val="0"/>
          <w:u w:val="none"/>
        </w:rPr>
      </w:pPr>
      <w:r w:rsidRPr="3AB4478C" w:rsidR="5886D539">
        <w:rPr>
          <w:i w:val="0"/>
          <w:iCs w:val="0"/>
          <w:u w:val="none"/>
        </w:rPr>
        <w:t>Spencer's central concept is to treat Alexander not as a stable historical figure, but as a ‘cultural myth’ within Roman literature</w:t>
      </w:r>
      <w:r w:rsidRPr="3AB4478C">
        <w:rPr>
          <w:rStyle w:val="FootnoteReference"/>
          <w:i w:val="0"/>
          <w:iCs w:val="0"/>
          <w:u w:val="none"/>
        </w:rPr>
        <w:footnoteReference w:id="4767"/>
      </w:r>
      <w:r w:rsidRPr="3AB4478C" w:rsidR="5886D539">
        <w:rPr>
          <w:i w:val="0"/>
          <w:iCs w:val="0"/>
          <w:u w:val="none"/>
        </w:rPr>
        <w:t xml:space="preserve">. This formulation is crucial as it shifts emphasis from reception to production: Roman texts do not merely passively reproduce Greek </w:t>
      </w:r>
      <w:r w:rsidRPr="3AB4478C" w:rsidR="5886D539">
        <w:rPr>
          <w:i w:val="0"/>
          <w:iCs w:val="0"/>
          <w:u w:val="none"/>
        </w:rPr>
        <w:t>narratives,</w:t>
      </w:r>
      <w:r w:rsidRPr="3AB4478C" w:rsidR="5886D539">
        <w:rPr>
          <w:i w:val="0"/>
          <w:iCs w:val="0"/>
          <w:u w:val="none"/>
        </w:rPr>
        <w:t xml:space="preserve"> they reconstruct </w:t>
      </w:r>
      <w:r w:rsidRPr="3AB4478C" w:rsidR="363076C0">
        <w:rPr>
          <w:i w:val="0"/>
          <w:iCs w:val="0"/>
          <w:u w:val="none"/>
        </w:rPr>
        <w:t xml:space="preserve">the figure of Alexander as tailored to Roman imperial concerns. </w:t>
      </w:r>
      <w:r>
        <w:br/>
      </w:r>
      <w:r w:rsidRPr="3AB4478C" w:rsidR="5198F5FF">
        <w:rPr>
          <w:i w:val="0"/>
          <w:iCs w:val="0"/>
          <w:u w:val="none"/>
        </w:rPr>
        <w:t xml:space="preserve">Within a Roman context where republic governance had been replaced with imperial rule, Alexander’s kingship posed a productive tension. As Spencer </w:t>
      </w:r>
      <w:r w:rsidRPr="3AB4478C" w:rsidR="5198F5FF">
        <w:rPr>
          <w:i w:val="0"/>
          <w:iCs w:val="0"/>
          <w:u w:val="none"/>
        </w:rPr>
        <w:t>demonstrates</w:t>
      </w:r>
      <w:r w:rsidRPr="3AB4478C" w:rsidR="5198F5FF">
        <w:rPr>
          <w:i w:val="0"/>
          <w:iCs w:val="0"/>
          <w:u w:val="none"/>
        </w:rPr>
        <w:t xml:space="preserve">, </w:t>
      </w:r>
      <w:r w:rsidRPr="3AB4478C" w:rsidR="442F2BD9">
        <w:rPr>
          <w:i w:val="0"/>
          <w:iCs w:val="0"/>
          <w:u w:val="none"/>
        </w:rPr>
        <w:t xml:space="preserve">Latin </w:t>
      </w:r>
      <w:r w:rsidRPr="3AB4478C" w:rsidR="5198F5FF">
        <w:rPr>
          <w:i w:val="0"/>
          <w:iCs w:val="0"/>
          <w:u w:val="none"/>
        </w:rPr>
        <w:t xml:space="preserve">texts transform Alexander into a figure through whom Rome could negotiate its ambivalent relationship with monarchy and universal rule. The Roman Alexander is therefore structurally double: simultaneously exemplary and destabilising. </w:t>
      </w:r>
    </w:p>
    <w:p w:rsidR="5198F5FF" w:rsidP="3AB4478C" w:rsidRDefault="5198F5FF" w14:paraId="0B6C5F34" w14:textId="2A929D34">
      <w:pPr>
        <w:pStyle w:val="Normal"/>
        <w:suppressLineNumbers w:val="0"/>
        <w:bidi w:val="0"/>
        <w:spacing w:before="0" w:beforeAutospacing="off" w:after="160" w:afterAutospacing="off" w:line="279" w:lineRule="auto"/>
        <w:ind w:left="0" w:right="0"/>
        <w:jc w:val="left"/>
        <w:rPr>
          <w:i w:val="0"/>
          <w:iCs w:val="0"/>
          <w:u w:val="none"/>
        </w:rPr>
      </w:pPr>
      <w:r w:rsidRPr="3AB4478C" w:rsidR="5198F5FF">
        <w:rPr>
          <w:i w:val="0"/>
          <w:iCs w:val="0"/>
          <w:u w:val="none"/>
        </w:rPr>
        <w:t xml:space="preserve">By the early Empire, Rome ruled the eastern Mediterranean and positioned itself as successor to Hellenistic power. Alexander thus provided an attractive yet unstable model: a conqueror of the East whose career </w:t>
      </w:r>
      <w:r w:rsidRPr="3AB4478C" w:rsidR="5198F5FF">
        <w:rPr>
          <w:i w:val="0"/>
          <w:iCs w:val="0"/>
          <w:u w:val="none"/>
        </w:rPr>
        <w:t>anticipated</w:t>
      </w:r>
      <w:r w:rsidRPr="3AB4478C" w:rsidR="5198F5FF">
        <w:rPr>
          <w:i w:val="0"/>
          <w:iCs w:val="0"/>
          <w:u w:val="none"/>
        </w:rPr>
        <w:t xml:space="preserve"> Roman expansion, yet whose kingship challenged Roman republican memory</w:t>
      </w:r>
      <w:r w:rsidRPr="3AB4478C">
        <w:rPr>
          <w:rStyle w:val="FootnoteReference"/>
          <w:i w:val="0"/>
          <w:iCs w:val="0"/>
          <w:u w:val="none"/>
        </w:rPr>
        <w:footnoteReference w:id="24968"/>
      </w:r>
      <w:r w:rsidRPr="3AB4478C" w:rsidR="5198F5FF">
        <w:rPr>
          <w:i w:val="0"/>
          <w:iCs w:val="0"/>
          <w:u w:val="none"/>
        </w:rPr>
        <w:t xml:space="preserve">. </w:t>
      </w:r>
      <w:r w:rsidRPr="3AB4478C" w:rsidR="039CA9C1">
        <w:rPr>
          <w:i w:val="0"/>
          <w:iCs w:val="0"/>
          <w:u w:val="none"/>
        </w:rPr>
        <w:t xml:space="preserve">Latin </w:t>
      </w:r>
      <w:r w:rsidRPr="3AB4478C" w:rsidR="5198F5FF">
        <w:rPr>
          <w:i w:val="0"/>
          <w:iCs w:val="0"/>
          <w:u w:val="none"/>
        </w:rPr>
        <w:t xml:space="preserve">authors </w:t>
      </w:r>
      <w:r w:rsidRPr="3AB4478C" w:rsidR="72B9CC04">
        <w:rPr>
          <w:i w:val="0"/>
          <w:iCs w:val="0"/>
          <w:u w:val="none"/>
        </w:rPr>
        <w:t xml:space="preserve">w</w:t>
      </w:r>
      <w:r w:rsidRPr="3AB4478C" w:rsidR="5198F5FF">
        <w:rPr>
          <w:i w:val="0"/>
          <w:iCs w:val="0"/>
          <w:u w:val="none"/>
        </w:rPr>
        <w:t xml:space="preserve">ould therefore explore his liminality: he was Greek enough to embody </w:t>
      </w:r>
      <w:r w:rsidRPr="3AB4478C" w:rsidR="0812A79C">
        <w:rPr>
          <w:i w:val="0"/>
          <w:iCs w:val="0"/>
          <w:u w:val="none"/>
        </w:rPr>
        <w:t xml:space="preserve">the </w:t>
      </w:r>
      <w:r w:rsidRPr="3AB4478C" w:rsidR="5198F5FF">
        <w:rPr>
          <w:i w:val="0"/>
          <w:iCs w:val="0"/>
          <w:u w:val="none"/>
        </w:rPr>
        <w:t xml:space="preserve">admired Hellenic prestige, yet foreign enough to allow critical distance. </w:t>
      </w:r>
    </w:p>
    <w:p w:rsidR="79CE136D" w:rsidP="79CE136D" w:rsidRDefault="79CE136D" w14:paraId="2F95A7A4" w14:textId="6A74E3A8">
      <w:pPr>
        <w:pStyle w:val="Normal"/>
        <w:rPr>
          <w:i w:val="0"/>
          <w:iCs w:val="0"/>
          <w:u w:val="single"/>
        </w:rPr>
      </w:pPr>
    </w:p>
    <w:p w:rsidR="5198F5FF" w:rsidP="3AB4478C" w:rsidRDefault="5198F5FF" w14:paraId="4AA53578" w14:textId="7879E83D">
      <w:pPr>
        <w:pStyle w:val="Normal"/>
        <w:rPr>
          <w:i w:val="0"/>
          <w:iCs w:val="0"/>
          <w:u w:val="none"/>
        </w:rPr>
      </w:pPr>
      <w:r w:rsidRPr="3AB4478C" w:rsidR="37BA6826">
        <w:rPr>
          <w:i w:val="0"/>
          <w:iCs w:val="0"/>
          <w:u w:val="single"/>
        </w:rPr>
        <w:t xml:space="preserve">Quintus </w:t>
      </w:r>
      <w:r w:rsidRPr="3AB4478C" w:rsidR="5198F5FF">
        <w:rPr>
          <w:i w:val="0"/>
          <w:iCs w:val="0"/>
          <w:u w:val="single"/>
        </w:rPr>
        <w:t>Curtius Rufus: Moralising Autocracy</w:t>
      </w:r>
    </w:p>
    <w:p w:rsidR="5198F5FF" w:rsidP="3AB4478C" w:rsidRDefault="5198F5FF" w14:paraId="07D97779" w14:textId="28897945">
      <w:pPr>
        <w:pStyle w:val="Normal"/>
        <w:rPr>
          <w:i w:val="0"/>
          <w:iCs w:val="0"/>
          <w:u w:val="none"/>
        </w:rPr>
      </w:pPr>
      <w:r w:rsidRPr="3AB4478C" w:rsidR="5198F5FF">
        <w:rPr>
          <w:i w:val="0"/>
          <w:iCs w:val="0"/>
          <w:u w:val="none"/>
        </w:rPr>
        <w:t xml:space="preserve">Curtius</w:t>
      </w:r>
      <w:r w:rsidRPr="3AB4478C" w:rsidR="714F29F8">
        <w:rPr>
          <w:i w:val="0"/>
          <w:iCs w:val="0"/>
          <w:u w:val="none"/>
        </w:rPr>
        <w:t xml:space="preserve"> Rufus</w:t>
      </w:r>
      <w:r w:rsidRPr="3AB4478C" w:rsidR="5198F5FF">
        <w:rPr>
          <w:i w:val="0"/>
          <w:iCs w:val="0"/>
          <w:u w:val="none"/>
        </w:rPr>
        <w:t xml:space="preserve">' </w:t>
      </w:r>
      <w:r w:rsidRPr="3AB4478C" w:rsidR="5198F5FF">
        <w:rPr>
          <w:i w:val="1"/>
          <w:iCs w:val="1"/>
          <w:u w:val="none"/>
        </w:rPr>
        <w:t xml:space="preserve">Historiae Alexandri Magni </w:t>
      </w:r>
      <w:r w:rsidRPr="3AB4478C" w:rsidR="5198F5FF">
        <w:rPr>
          <w:i w:val="0"/>
          <w:iCs w:val="0"/>
          <w:u w:val="none"/>
        </w:rPr>
        <w:t xml:space="preserve">is often </w:t>
      </w:r>
      <w:r w:rsidRPr="3AB4478C" w:rsidR="2C23E4DD">
        <w:rPr>
          <w:i w:val="0"/>
          <w:iCs w:val="0"/>
          <w:u w:val="none"/>
        </w:rPr>
        <w:t>categoris</w:t>
      </w:r>
      <w:r w:rsidRPr="3AB4478C" w:rsidR="5198F5FF">
        <w:rPr>
          <w:i w:val="0"/>
          <w:iCs w:val="0"/>
          <w:u w:val="none"/>
        </w:rPr>
        <w:t xml:space="preserve">ed as historiography, but Baynham demonstrates that it is more accurately </w:t>
      </w:r>
      <w:r w:rsidRPr="3AB4478C" w:rsidR="18564AF8">
        <w:rPr>
          <w:i w:val="0"/>
          <w:iCs w:val="0"/>
          <w:u w:val="none"/>
        </w:rPr>
        <w:t xml:space="preserve">a </w:t>
      </w:r>
      <w:r w:rsidRPr="3AB4478C" w:rsidR="5198F5FF">
        <w:rPr>
          <w:i w:val="0"/>
          <w:iCs w:val="0"/>
          <w:u w:val="none"/>
        </w:rPr>
        <w:t>moralised rhetorical history</w:t>
      </w:r>
      <w:r w:rsidRPr="3AB4478C">
        <w:rPr>
          <w:rStyle w:val="FootnoteReference"/>
          <w:i w:val="0"/>
          <w:iCs w:val="0"/>
          <w:u w:val="none"/>
        </w:rPr>
        <w:footnoteReference w:id="16000"/>
      </w:r>
      <w:r w:rsidRPr="3AB4478C" w:rsidR="5198F5FF">
        <w:rPr>
          <w:i w:val="0"/>
          <w:iCs w:val="0"/>
          <w:u w:val="none"/>
        </w:rPr>
        <w:t xml:space="preserve">. Modern scholarship increasingly emphasises that Curtius is not primarily concerned with reconstructing Macedonian history </w:t>
      </w:r>
      <w:r w:rsidRPr="3AB4478C" w:rsidR="5CB20F61">
        <w:rPr>
          <w:i w:val="0"/>
          <w:iCs w:val="0"/>
          <w:u w:val="none"/>
        </w:rPr>
        <w:t xml:space="preserve">through his works </w:t>
      </w:r>
      <w:r w:rsidRPr="3AB4478C" w:rsidR="5198F5FF">
        <w:rPr>
          <w:i w:val="0"/>
          <w:iCs w:val="0"/>
          <w:u w:val="none"/>
        </w:rPr>
        <w:t>but with exploring moral and political themes relevant to imperi</w:t>
      </w:r>
      <w:r w:rsidRPr="3AB4478C" w:rsidR="432196DC">
        <w:rPr>
          <w:i w:val="0"/>
          <w:iCs w:val="0"/>
          <w:u w:val="none"/>
        </w:rPr>
        <w:t xml:space="preserve">al audiences. </w:t>
      </w:r>
    </w:p>
    <w:p w:rsidR="79CE136D" w:rsidP="3AB4478C" w:rsidRDefault="79CE136D" w14:paraId="176A2AE1" w14:textId="564813E7">
      <w:pPr>
        <w:pStyle w:val="Normal"/>
        <w:rPr>
          <w:i w:val="0"/>
          <w:iCs w:val="0"/>
          <w:u w:val="single"/>
        </w:rPr>
      </w:pPr>
      <w:r w:rsidRPr="3AB4478C" w:rsidR="79CE136D">
        <w:rPr>
          <w:i w:val="0"/>
          <w:iCs w:val="0"/>
          <w:u w:val="single"/>
        </w:rPr>
        <w:t xml:space="preserve">I. </w:t>
      </w:r>
      <w:r w:rsidRPr="3AB4478C" w:rsidR="6CEE5E9B">
        <w:rPr>
          <w:i w:val="1"/>
          <w:iCs w:val="1"/>
          <w:u w:val="single"/>
        </w:rPr>
        <w:t>Virtus</w:t>
      </w:r>
      <w:r w:rsidRPr="3AB4478C" w:rsidR="6CEE5E9B">
        <w:rPr>
          <w:i w:val="0"/>
          <w:iCs w:val="0"/>
          <w:u w:val="single"/>
        </w:rPr>
        <w:t xml:space="preserve"> and </w:t>
      </w:r>
      <w:r w:rsidRPr="3AB4478C" w:rsidR="6CEE5E9B">
        <w:rPr>
          <w:i w:val="1"/>
          <w:iCs w:val="1"/>
          <w:u w:val="single"/>
        </w:rPr>
        <w:t>Ambitio</w:t>
      </w:r>
    </w:p>
    <w:p w:rsidR="6CEE5E9B" w:rsidP="3AB4478C" w:rsidRDefault="6CEE5E9B" w14:paraId="3B431788" w14:textId="08F77607">
      <w:pPr>
        <w:pStyle w:val="Normal"/>
        <w:rPr>
          <w:i w:val="0"/>
          <w:iCs w:val="0"/>
          <w:u w:val="none"/>
        </w:rPr>
      </w:pPr>
      <w:r w:rsidRPr="3AB4478C" w:rsidR="6CEE5E9B">
        <w:rPr>
          <w:i w:val="0"/>
          <w:iCs w:val="0"/>
          <w:u w:val="none"/>
        </w:rPr>
        <w:t xml:space="preserve">In the early books, Alexander exemplifies Roman </w:t>
      </w:r>
      <w:bookmarkStart w:name="_Int_60UBjbRR" w:id="78016777"/>
      <w:r w:rsidRPr="3AB4478C" w:rsidR="6CEE5E9B">
        <w:rPr>
          <w:i w:val="1"/>
          <w:iCs w:val="1"/>
          <w:u w:val="none"/>
        </w:rPr>
        <w:t>virtus</w:t>
      </w:r>
      <w:bookmarkEnd w:id="78016777"/>
      <w:r w:rsidRPr="3AB4478C" w:rsidR="6CEE5E9B">
        <w:rPr>
          <w:i w:val="0"/>
          <w:iCs w:val="0"/>
          <w:u w:val="none"/>
        </w:rPr>
        <w:t xml:space="preserve">: courage, discipline, tactical intelligence (Curt. 3.5-6). Yet Curtius structures the narrative to emphasise the tension between </w:t>
      </w:r>
      <w:r w:rsidRPr="3AB4478C" w:rsidR="5C583759">
        <w:rPr>
          <w:i w:val="0"/>
          <w:iCs w:val="0"/>
          <w:u w:val="none"/>
        </w:rPr>
        <w:t xml:space="preserve">t</w:t>
      </w:r>
      <w:r w:rsidRPr="3AB4478C" w:rsidR="6CEE5E9B">
        <w:rPr>
          <w:i w:val="0"/>
          <w:iCs w:val="0"/>
          <w:u w:val="none"/>
        </w:rPr>
        <w:t xml:space="preserve">his </w:t>
      </w:r>
      <w:r w:rsidRPr="3AB4478C" w:rsidR="6CEE5E9B">
        <w:rPr>
          <w:i w:val="1"/>
          <w:iCs w:val="1"/>
          <w:u w:val="none"/>
        </w:rPr>
        <w:t>virtus</w:t>
      </w:r>
      <w:r w:rsidRPr="3AB4478C" w:rsidR="6CEE5E9B">
        <w:rPr>
          <w:i w:val="0"/>
          <w:iCs w:val="0"/>
          <w:u w:val="none"/>
        </w:rPr>
        <w:t xml:space="preserve"> and</w:t>
      </w:r>
      <w:r w:rsidRPr="3AB4478C" w:rsidR="759C1848">
        <w:rPr>
          <w:i w:val="0"/>
          <w:iCs w:val="0"/>
          <w:u w:val="none"/>
        </w:rPr>
        <w:t xml:space="preserve"> his</w:t>
      </w:r>
      <w:r w:rsidRPr="3AB4478C" w:rsidR="6CEE5E9B">
        <w:rPr>
          <w:i w:val="0"/>
          <w:iCs w:val="0"/>
          <w:u w:val="none"/>
        </w:rPr>
        <w:t xml:space="preserve"> </w:t>
      </w:r>
      <w:bookmarkStart w:name="_Int_ZGbSRiYN" w:id="348580992"/>
      <w:r w:rsidRPr="3AB4478C" w:rsidR="6CEE5E9B">
        <w:rPr>
          <w:i w:val="1"/>
          <w:iCs w:val="1"/>
          <w:u w:val="none"/>
        </w:rPr>
        <w:t>ambitio</w:t>
      </w:r>
      <w:bookmarkEnd w:id="348580992"/>
      <w:r w:rsidRPr="3AB4478C">
        <w:rPr>
          <w:rStyle w:val="FootnoteReference"/>
          <w:i w:val="0"/>
          <w:iCs w:val="0"/>
          <w:u w:val="none"/>
        </w:rPr>
        <w:footnoteReference w:id="2512"/>
      </w:r>
      <w:r w:rsidRPr="3AB4478C" w:rsidR="6CEE5E9B">
        <w:rPr>
          <w:i w:val="0"/>
          <w:iCs w:val="0"/>
          <w:u w:val="none"/>
        </w:rPr>
        <w:t xml:space="preserve">. </w:t>
      </w:r>
    </w:p>
    <w:p w:rsidR="6CEE5E9B" w:rsidP="3AB4478C" w:rsidRDefault="6CEE5E9B" w14:paraId="7B595076" w14:textId="77698D05">
      <w:pPr>
        <w:pStyle w:val="Normal"/>
        <w:rPr>
          <w:i w:val="0"/>
          <w:iCs w:val="0"/>
          <w:u w:val="none"/>
        </w:rPr>
      </w:pPr>
      <w:r w:rsidRPr="3AB4478C" w:rsidR="6CEE5E9B">
        <w:rPr>
          <w:i w:val="0"/>
          <w:iCs w:val="0"/>
          <w:u w:val="none"/>
        </w:rPr>
        <w:t>Baynham stresses that Curtius carefully constructs Alexander’s character development to show a progressive moral deterioration</w:t>
      </w:r>
      <w:r w:rsidRPr="3AB4478C">
        <w:rPr>
          <w:rStyle w:val="FootnoteReference"/>
          <w:i w:val="0"/>
          <w:iCs w:val="0"/>
          <w:u w:val="none"/>
        </w:rPr>
        <w:footnoteReference w:id="19358"/>
      </w:r>
      <w:r w:rsidRPr="3AB4478C" w:rsidR="6CEE5E9B">
        <w:rPr>
          <w:i w:val="0"/>
          <w:iCs w:val="0"/>
          <w:u w:val="none"/>
        </w:rPr>
        <w:t xml:space="preserve">. Episodes such as the murder of Cleitus (8.1-2) are framed rhetorically to highlight Alexander’s loss of moderation</w:t>
      </w:r>
      <w:r w:rsidRPr="3AB4478C" w:rsidR="4140C06C">
        <w:rPr>
          <w:i w:val="0"/>
          <w:iCs w:val="0"/>
          <w:u w:val="none"/>
        </w:rPr>
        <w:t xml:space="preserve"> and restraint</w:t>
      </w:r>
      <w:r w:rsidRPr="3AB4478C" w:rsidR="6CEE5E9B">
        <w:rPr>
          <w:i w:val="0"/>
          <w:iCs w:val="0"/>
          <w:u w:val="none"/>
        </w:rPr>
        <w:t xml:space="preserve">. </w:t>
      </w:r>
      <w:r w:rsidRPr="3AB4478C" w:rsidR="34119ECC">
        <w:rPr>
          <w:i w:val="0"/>
          <w:iCs w:val="0"/>
          <w:u w:val="none"/>
        </w:rPr>
        <w:t xml:space="preserve">In particular, t</w:t>
      </w:r>
      <w:r w:rsidRPr="3AB4478C" w:rsidR="6CEE5E9B">
        <w:rPr>
          <w:i w:val="0"/>
          <w:iCs w:val="0"/>
          <w:u w:val="none"/>
        </w:rPr>
        <w:t xml:space="preserve">he killing of Cleitus </w:t>
      </w:r>
      <w:r w:rsidRPr="3AB4478C" w:rsidR="6CEE5E9B">
        <w:rPr>
          <w:i w:val="0"/>
          <w:iCs w:val="0"/>
          <w:u w:val="none"/>
        </w:rPr>
        <w:t>functions</w:t>
      </w:r>
      <w:r w:rsidRPr="3AB4478C" w:rsidR="6CEE5E9B">
        <w:rPr>
          <w:i w:val="0"/>
          <w:iCs w:val="0"/>
          <w:u w:val="none"/>
        </w:rPr>
        <w:t xml:space="preserve"> as a tragic turning point: Alexander’s heroic rage becomes destructive, undermining the moral legitimacy of his leadership</w:t>
      </w:r>
      <w:r w:rsidRPr="3AB4478C">
        <w:rPr>
          <w:rStyle w:val="FootnoteReference"/>
          <w:i w:val="0"/>
          <w:iCs w:val="0"/>
          <w:u w:val="none"/>
        </w:rPr>
        <w:footnoteReference w:id="7818"/>
      </w:r>
      <w:r w:rsidRPr="3AB4478C" w:rsidR="6CEE5E9B">
        <w:rPr>
          <w:i w:val="0"/>
          <w:iCs w:val="0"/>
          <w:u w:val="none"/>
        </w:rPr>
        <w:t>. Baynham emphasises that Curtius crafts a trajectory in which gre</w:t>
      </w:r>
      <w:r w:rsidRPr="3AB4478C" w:rsidR="15329537">
        <w:rPr>
          <w:i w:val="0"/>
          <w:iCs w:val="0"/>
          <w:u w:val="none"/>
        </w:rPr>
        <w:t>atness (</w:t>
      </w:r>
      <w:r w:rsidRPr="3AB4478C" w:rsidR="15329537">
        <w:rPr>
          <w:i w:val="1"/>
          <w:iCs w:val="1"/>
          <w:u w:val="none"/>
        </w:rPr>
        <w:t>magnitudo</w:t>
      </w:r>
      <w:r w:rsidRPr="3AB4478C" w:rsidR="15329537">
        <w:rPr>
          <w:i w:val="0"/>
          <w:iCs w:val="0"/>
          <w:u w:val="none"/>
        </w:rPr>
        <w:t>) becomes indistinguishable from indistinguishable from moral overreach.</w:t>
      </w:r>
      <w:r>
        <w:br/>
      </w:r>
      <w:r w:rsidRPr="3AB4478C" w:rsidR="7E8E4DFC">
        <w:rPr>
          <w:i w:val="0"/>
          <w:iCs w:val="0"/>
          <w:u w:val="none"/>
        </w:rPr>
        <w:t xml:space="preserve">Thus, Curtius deploys Alexander not as a static hero but as a moral case study. The narrative invites reflection on whether the degeneration of greatness into tyranny is inevitable. Such concerns would have resonated in a political culture that officially repudiated kingship while </w:t>
      </w:r>
      <w:r w:rsidRPr="3AB4478C" w:rsidR="7E8E4DFC">
        <w:rPr>
          <w:i w:val="0"/>
          <w:iCs w:val="0"/>
          <w:u w:val="none"/>
        </w:rPr>
        <w:t>operating</w:t>
      </w:r>
      <w:r w:rsidRPr="3AB4478C" w:rsidR="7E8E4DFC">
        <w:rPr>
          <w:i w:val="0"/>
          <w:iCs w:val="0"/>
          <w:u w:val="none"/>
        </w:rPr>
        <w:t xml:space="preserve"> under imperial rule. </w:t>
      </w:r>
    </w:p>
    <w:p w:rsidR="7E8E4DFC" w:rsidP="79CE136D" w:rsidRDefault="7E8E4DFC" w14:paraId="7C61EDBF" w14:textId="018260C3">
      <w:pPr>
        <w:pStyle w:val="Normal"/>
        <w:rPr>
          <w:i w:val="0"/>
          <w:iCs w:val="0"/>
          <w:u w:val="single"/>
        </w:rPr>
      </w:pPr>
      <w:r w:rsidRPr="79CE136D" w:rsidR="7E8E4DFC">
        <w:rPr>
          <w:i w:val="0"/>
          <w:iCs w:val="0"/>
          <w:u w:val="single"/>
        </w:rPr>
        <w:t>II. Kingship and Imperial Anxiety</w:t>
      </w:r>
    </w:p>
    <w:p w:rsidR="7E8E4DFC" w:rsidP="79CE136D" w:rsidRDefault="7E8E4DFC" w14:paraId="1B4D0E97" w14:textId="6F4EA222">
      <w:pPr>
        <w:pStyle w:val="Normal"/>
        <w:rPr>
          <w:i w:val="0"/>
          <w:iCs w:val="0"/>
          <w:u w:val="none"/>
        </w:rPr>
      </w:pPr>
      <w:r w:rsidRPr="79CE136D" w:rsidR="7E8E4DFC">
        <w:rPr>
          <w:i w:val="0"/>
          <w:iCs w:val="0"/>
          <w:u w:val="none"/>
        </w:rPr>
        <w:t>Spencer argues that Curtius’ Alexander reflects Roman anxieties about monarchy under the Principate</w:t>
      </w:r>
      <w:r w:rsidRPr="79CE136D">
        <w:rPr>
          <w:rStyle w:val="FootnoteReference"/>
          <w:i w:val="0"/>
          <w:iCs w:val="0"/>
          <w:u w:val="none"/>
        </w:rPr>
        <w:footnoteReference w:id="17187"/>
      </w:r>
      <w:r w:rsidRPr="79CE136D" w:rsidR="7E8E4DFC">
        <w:rPr>
          <w:i w:val="0"/>
          <w:iCs w:val="0"/>
          <w:u w:val="none"/>
        </w:rPr>
        <w:t xml:space="preserve">. </w:t>
      </w:r>
      <w:r w:rsidRPr="79CE136D" w:rsidR="44C86523">
        <w:rPr>
          <w:i w:val="0"/>
          <w:iCs w:val="0"/>
          <w:u w:val="none"/>
        </w:rPr>
        <w:t>T</w:t>
      </w:r>
      <w:r w:rsidRPr="79CE136D" w:rsidR="7E8E4DFC">
        <w:rPr>
          <w:i w:val="0"/>
          <w:iCs w:val="0"/>
          <w:u w:val="none"/>
        </w:rPr>
        <w:t xml:space="preserve">he Republic’s memory </w:t>
      </w:r>
      <w:r w:rsidRPr="79CE136D" w:rsidR="7E8E4DFC">
        <w:rPr>
          <w:i w:val="0"/>
          <w:iCs w:val="0"/>
          <w:u w:val="none"/>
        </w:rPr>
        <w:t>rendered</w:t>
      </w:r>
      <w:r w:rsidRPr="79CE136D" w:rsidR="7E8E4DFC">
        <w:rPr>
          <w:i w:val="0"/>
          <w:iCs w:val="0"/>
          <w:u w:val="none"/>
        </w:rPr>
        <w:t xml:space="preserve"> kingship ideologically suspect, even as emperors exercised unprecedented authority. By staging Alexander’s transformation from charismatic commander to semi-divine autocrat, Curtius creates a narrative in which Roman readers could examine the costs of absolute rule</w:t>
      </w:r>
      <w:r w:rsidRPr="79CE136D">
        <w:rPr>
          <w:rStyle w:val="FootnoteReference"/>
          <w:i w:val="0"/>
          <w:iCs w:val="0"/>
          <w:u w:val="none"/>
        </w:rPr>
        <w:footnoteReference w:id="155"/>
      </w:r>
      <w:r w:rsidRPr="79CE136D" w:rsidR="7E8E4DFC">
        <w:rPr>
          <w:i w:val="0"/>
          <w:iCs w:val="0"/>
          <w:u w:val="none"/>
        </w:rPr>
        <w:t xml:space="preserve">. </w:t>
      </w:r>
    </w:p>
    <w:p w:rsidR="7E8E4DFC" w:rsidP="79CE136D" w:rsidRDefault="7E8E4DFC" w14:paraId="6D5A93A8" w14:textId="13DAC5D0">
      <w:pPr>
        <w:pStyle w:val="Normal"/>
        <w:rPr>
          <w:i w:val="0"/>
          <w:iCs w:val="0"/>
          <w:u w:val="none"/>
        </w:rPr>
      </w:pPr>
      <w:r w:rsidRPr="79CE136D" w:rsidR="7E8E4DFC">
        <w:rPr>
          <w:i w:val="0"/>
          <w:iCs w:val="0"/>
          <w:u w:val="none"/>
        </w:rPr>
        <w:t xml:space="preserve">The army’s refusal to march beyond the </w:t>
      </w:r>
      <w:r w:rsidRPr="79CE136D" w:rsidR="7E8E4DFC">
        <w:rPr>
          <w:i w:val="0"/>
          <w:iCs w:val="0"/>
          <w:u w:val="none"/>
        </w:rPr>
        <w:t>Hyphasis</w:t>
      </w:r>
      <w:r w:rsidRPr="79CE136D" w:rsidR="7E8E4DFC">
        <w:rPr>
          <w:i w:val="0"/>
          <w:iCs w:val="0"/>
          <w:u w:val="none"/>
        </w:rPr>
        <w:t xml:space="preserve"> (Curt. 9.2-3) further articulates Curtius’ interrogation of power by dramatising tension between limitless ambition</w:t>
      </w:r>
      <w:r w:rsidRPr="79CE136D" w:rsidR="04EBDA57">
        <w:rPr>
          <w:i w:val="0"/>
          <w:iCs w:val="0"/>
          <w:u w:val="none"/>
        </w:rPr>
        <w:t xml:space="preserve"> and collective endurance</w:t>
      </w:r>
      <w:r w:rsidRPr="79CE136D">
        <w:rPr>
          <w:rStyle w:val="FootnoteReference"/>
          <w:i w:val="0"/>
          <w:iCs w:val="0"/>
          <w:u w:val="none"/>
        </w:rPr>
        <w:footnoteReference w:id="19146"/>
      </w:r>
      <w:r w:rsidRPr="79CE136D" w:rsidR="04EBDA57">
        <w:rPr>
          <w:i w:val="0"/>
          <w:iCs w:val="0"/>
          <w:u w:val="none"/>
        </w:rPr>
        <w:t xml:space="preserve">. Alexander's desire to surpass the known world is framed as both sublime and excessive, raising questions about the limits of expansion and the legitimacy of command. Here, Curtius’ work functions less as Macedonian military history than as reflections on the fragility of imperial cohesion. </w:t>
      </w:r>
    </w:p>
    <w:p w:rsidR="04EBDA57" w:rsidP="79CE136D" w:rsidRDefault="04EBDA57" w14:paraId="6B6D0025" w14:textId="1CA90DBC">
      <w:pPr>
        <w:pStyle w:val="Normal"/>
        <w:rPr>
          <w:i w:val="0"/>
          <w:iCs w:val="0"/>
          <w:u w:val="single"/>
        </w:rPr>
      </w:pPr>
      <w:r w:rsidRPr="79CE136D" w:rsidR="04EBDA57">
        <w:rPr>
          <w:i w:val="0"/>
          <w:iCs w:val="0"/>
          <w:u w:val="single"/>
        </w:rPr>
        <w:t>III. Between Myth and History</w:t>
      </w:r>
    </w:p>
    <w:p w:rsidR="04EBDA57" w:rsidP="79CE136D" w:rsidRDefault="04EBDA57" w14:paraId="40B6C268" w14:textId="3A50C1E9">
      <w:pPr>
        <w:pStyle w:val="Normal"/>
        <w:rPr>
          <w:i w:val="0"/>
          <w:iCs w:val="0"/>
          <w:u w:val="none"/>
        </w:rPr>
      </w:pPr>
      <w:r w:rsidRPr="79CE136D" w:rsidR="04EBDA57">
        <w:rPr>
          <w:i w:val="0"/>
          <w:iCs w:val="0"/>
          <w:u w:val="none"/>
        </w:rPr>
        <w:t>Heckel emphasises Alexander’s self-fashioning in relation to mythic paradigms, especially those of Achilles and Heracles</w:t>
      </w:r>
      <w:r w:rsidRPr="79CE136D">
        <w:rPr>
          <w:rStyle w:val="FootnoteReference"/>
          <w:i w:val="0"/>
          <w:iCs w:val="0"/>
          <w:u w:val="none"/>
        </w:rPr>
        <w:footnoteReference w:id="17655"/>
      </w:r>
      <w:r w:rsidRPr="79CE136D" w:rsidR="04EBDA57">
        <w:rPr>
          <w:i w:val="0"/>
          <w:iCs w:val="0"/>
          <w:u w:val="none"/>
        </w:rPr>
        <w:t xml:space="preserve">. Curtius acknowledges these associations by subjecting them to ethical scrutiny. Alexander’s Achilles-like anger is not glorified but problematised, and his Heraclean ambition is </w:t>
      </w:r>
      <w:r w:rsidRPr="79CE136D" w:rsidR="04EBDA57">
        <w:rPr>
          <w:i w:val="0"/>
          <w:iCs w:val="0"/>
          <w:u w:val="none"/>
        </w:rPr>
        <w:t>rendered</w:t>
      </w:r>
      <w:r w:rsidRPr="79CE136D" w:rsidR="04EBDA57">
        <w:rPr>
          <w:i w:val="0"/>
          <w:iCs w:val="0"/>
          <w:u w:val="none"/>
        </w:rPr>
        <w:t xml:space="preserve"> morally ambiguous</w:t>
      </w:r>
      <w:r w:rsidRPr="79CE136D" w:rsidR="675EEA6F">
        <w:rPr>
          <w:i w:val="0"/>
          <w:iCs w:val="0"/>
          <w:u w:val="none"/>
        </w:rPr>
        <w:t xml:space="preserve">. </w:t>
      </w:r>
      <w:r>
        <w:br/>
      </w:r>
      <w:r w:rsidRPr="79CE136D" w:rsidR="675EEA6F">
        <w:rPr>
          <w:i w:val="0"/>
          <w:iCs w:val="0"/>
          <w:u w:val="none"/>
        </w:rPr>
        <w:t xml:space="preserve">Curtius thus combines Greek heroic tradition with Roman moral historiography. Alexander </w:t>
      </w:r>
      <w:r w:rsidRPr="79CE136D" w:rsidR="675EEA6F">
        <w:rPr>
          <w:i w:val="0"/>
          <w:iCs w:val="0"/>
          <w:u w:val="none"/>
        </w:rPr>
        <w:t>remains</w:t>
      </w:r>
      <w:r w:rsidRPr="79CE136D" w:rsidR="675EEA6F">
        <w:rPr>
          <w:i w:val="0"/>
          <w:iCs w:val="0"/>
          <w:u w:val="none"/>
        </w:rPr>
        <w:t xml:space="preserve"> heroic, but his heroism is interrogated through Roman ethical ideals. </w:t>
      </w:r>
    </w:p>
    <w:p w:rsidR="79CE136D" w:rsidP="79CE136D" w:rsidRDefault="79CE136D" w14:paraId="0C9731FE" w14:textId="7E857F7B">
      <w:pPr>
        <w:pStyle w:val="Normal"/>
        <w:rPr>
          <w:i w:val="0"/>
          <w:iCs w:val="0"/>
          <w:u w:val="none"/>
        </w:rPr>
      </w:pPr>
    </w:p>
    <w:p w:rsidR="675EEA6F" w:rsidP="79CE136D" w:rsidRDefault="675EEA6F" w14:paraId="29CEAC22" w14:textId="65210AA5">
      <w:pPr>
        <w:pStyle w:val="Normal"/>
        <w:rPr>
          <w:i w:val="0"/>
          <w:iCs w:val="0"/>
          <w:u w:val="single"/>
        </w:rPr>
      </w:pPr>
      <w:r w:rsidRPr="79CE136D" w:rsidR="675EEA6F">
        <w:rPr>
          <w:i w:val="0"/>
          <w:iCs w:val="0"/>
          <w:u w:val="single"/>
        </w:rPr>
        <w:t>Julius Valerius: Alexander as Universal Romance Hero</w:t>
      </w:r>
    </w:p>
    <w:p w:rsidR="675EEA6F" w:rsidP="79CE136D" w:rsidRDefault="675EEA6F" w14:paraId="7AB7EE31" w14:textId="75E62E2A">
      <w:pPr>
        <w:pStyle w:val="Normal"/>
        <w:rPr>
          <w:i w:val="0"/>
          <w:iCs w:val="0"/>
          <w:u w:val="none"/>
        </w:rPr>
      </w:pPr>
      <w:r w:rsidRPr="79CE136D" w:rsidR="675EEA6F">
        <w:rPr>
          <w:i w:val="0"/>
          <w:iCs w:val="0"/>
          <w:u w:val="none"/>
        </w:rPr>
        <w:t xml:space="preserve">By contrast, Valerius’ </w:t>
      </w:r>
      <w:r w:rsidRPr="79CE136D" w:rsidR="675EEA6F">
        <w:rPr>
          <w:i w:val="1"/>
          <w:iCs w:val="1"/>
          <w:u w:val="none"/>
        </w:rPr>
        <w:t xml:space="preserve">Res gestae Alexandri Magni </w:t>
      </w:r>
      <w:r w:rsidRPr="79CE136D" w:rsidR="675EEA6F">
        <w:rPr>
          <w:i w:val="0"/>
          <w:iCs w:val="0"/>
          <w:u w:val="none"/>
        </w:rPr>
        <w:t xml:space="preserve">belongs to the Latin tradition of the </w:t>
      </w:r>
      <w:r w:rsidRPr="79CE136D" w:rsidR="02465223">
        <w:rPr>
          <w:i w:val="0"/>
          <w:iCs w:val="0"/>
          <w:u w:val="none"/>
        </w:rPr>
        <w:t xml:space="preserve">Alexander Romance. Adapted from a Greek source </w:t>
      </w:r>
      <w:r w:rsidRPr="79CE136D" w:rsidR="02465223">
        <w:rPr>
          <w:i w:val="0"/>
          <w:iCs w:val="0"/>
          <w:u w:val="none"/>
        </w:rPr>
        <w:t>att</w:t>
      </w:r>
      <w:r w:rsidRPr="79CE136D" w:rsidR="2A6EB156">
        <w:rPr>
          <w:i w:val="0"/>
          <w:iCs w:val="0"/>
          <w:u w:val="none"/>
        </w:rPr>
        <w:t>r</w:t>
      </w:r>
      <w:r w:rsidRPr="79CE136D" w:rsidR="02465223">
        <w:rPr>
          <w:i w:val="0"/>
          <w:iCs w:val="0"/>
          <w:u w:val="none"/>
        </w:rPr>
        <w:t>ibuted</w:t>
      </w:r>
      <w:r w:rsidRPr="79CE136D" w:rsidR="02465223">
        <w:rPr>
          <w:i w:val="0"/>
          <w:iCs w:val="0"/>
          <w:u w:val="none"/>
        </w:rPr>
        <w:t xml:space="preserve"> to Pseudo-Callisthenes, it replaces hi</w:t>
      </w:r>
      <w:r w:rsidRPr="79CE136D" w:rsidR="2B6F8659">
        <w:rPr>
          <w:i w:val="0"/>
          <w:iCs w:val="0"/>
          <w:u w:val="none"/>
        </w:rPr>
        <w:t xml:space="preserve">storiographical moral analysis with wonder narrative and mythic elaboration. </w:t>
      </w:r>
    </w:p>
    <w:p w:rsidR="79CE136D" w:rsidP="79CE136D" w:rsidRDefault="79CE136D" w14:paraId="45CC208E" w14:textId="11C4E62F">
      <w:pPr>
        <w:pStyle w:val="Normal"/>
        <w:rPr>
          <w:i w:val="0"/>
          <w:iCs w:val="0"/>
          <w:u w:val="single"/>
        </w:rPr>
      </w:pPr>
      <w:r w:rsidRPr="79CE136D" w:rsidR="79CE136D">
        <w:rPr>
          <w:i w:val="0"/>
          <w:iCs w:val="0"/>
          <w:u w:val="single"/>
        </w:rPr>
        <w:t xml:space="preserve">I. </w:t>
      </w:r>
      <w:r w:rsidRPr="79CE136D" w:rsidR="34F82E34">
        <w:rPr>
          <w:i w:val="0"/>
          <w:iCs w:val="0"/>
          <w:u w:val="single"/>
        </w:rPr>
        <w:t>Genre and Transformation</w:t>
      </w:r>
    </w:p>
    <w:p w:rsidR="34F82E34" w:rsidP="79CE136D" w:rsidRDefault="34F82E34" w14:paraId="2FAC0FD0" w14:textId="4B1F728D">
      <w:pPr>
        <w:pStyle w:val="Normal"/>
        <w:rPr>
          <w:i w:val="0"/>
          <w:iCs w:val="0"/>
          <w:u w:val="none"/>
        </w:rPr>
      </w:pPr>
      <w:r w:rsidRPr="79CE136D" w:rsidR="34F82E34">
        <w:rPr>
          <w:i w:val="0"/>
          <w:iCs w:val="0"/>
          <w:u w:val="none"/>
        </w:rPr>
        <w:t xml:space="preserve">Where </w:t>
      </w:r>
      <w:r w:rsidRPr="79CE136D" w:rsidR="2BD477EF">
        <w:rPr>
          <w:i w:val="0"/>
          <w:iCs w:val="0"/>
          <w:u w:val="none"/>
        </w:rPr>
        <w:t xml:space="preserve">Curtius presents a rhetorically structured history, Valerius offers episodic adventure. Alexander’s divine paternity through </w:t>
      </w:r>
      <w:r w:rsidRPr="79CE136D" w:rsidR="2BD477EF">
        <w:rPr>
          <w:i w:val="0"/>
          <w:iCs w:val="0"/>
          <w:u w:val="none"/>
        </w:rPr>
        <w:t>Nectanebo</w:t>
      </w:r>
      <w:r w:rsidRPr="79CE136D" w:rsidR="2BD477EF">
        <w:rPr>
          <w:i w:val="0"/>
          <w:iCs w:val="0"/>
          <w:u w:val="none"/>
        </w:rPr>
        <w:t>, his encounters with monstrous races, and his quest for the Water of Life situate him firmly within romance</w:t>
      </w:r>
      <w:r w:rsidRPr="79CE136D">
        <w:rPr>
          <w:rStyle w:val="FootnoteReference"/>
          <w:i w:val="0"/>
          <w:iCs w:val="0"/>
          <w:u w:val="none"/>
        </w:rPr>
        <w:footnoteReference w:id="6412"/>
      </w:r>
      <w:r w:rsidRPr="79CE136D" w:rsidR="2BD477EF">
        <w:rPr>
          <w:i w:val="0"/>
          <w:iCs w:val="0"/>
          <w:u w:val="none"/>
        </w:rPr>
        <w:t>.</w:t>
      </w:r>
    </w:p>
    <w:p w:rsidR="2BD477EF" w:rsidP="3AB4478C" w:rsidRDefault="2BD477EF" w14:paraId="77FD254B" w14:textId="3C68DECC">
      <w:pPr>
        <w:pStyle w:val="Normal"/>
        <w:rPr>
          <w:i w:val="0"/>
          <w:iCs w:val="0"/>
          <w:u w:val="none"/>
        </w:rPr>
      </w:pPr>
      <w:r w:rsidRPr="3AB4478C" w:rsidR="2BD477EF">
        <w:rPr>
          <w:i w:val="0"/>
          <w:iCs w:val="0"/>
          <w:u w:val="none"/>
        </w:rPr>
        <w:t xml:space="preserve">This shift </w:t>
      </w:r>
      <w:r w:rsidRPr="3AB4478C" w:rsidR="25BB8854">
        <w:rPr>
          <w:i w:val="0"/>
          <w:iCs w:val="0"/>
          <w:u w:val="none"/>
        </w:rPr>
        <w:t xml:space="preserve">i</w:t>
      </w:r>
      <w:r w:rsidRPr="3AB4478C" w:rsidR="2BD477EF">
        <w:rPr>
          <w:i w:val="0"/>
          <w:iCs w:val="0"/>
          <w:u w:val="none"/>
        </w:rPr>
        <w:t xml:space="preserve">n genre does not entail ideological neutrality, but rather a transformed imperial imagination. By the 4th century CE, Roman identity was thoroughly entangled with Greek cultural capital. The anxiety about kingship that animates Curtius is muted. What </w:t>
      </w:r>
      <w:r w:rsidRPr="3AB4478C" w:rsidR="2BD477EF">
        <w:rPr>
          <w:i w:val="0"/>
          <w:iCs w:val="0"/>
          <w:u w:val="none"/>
        </w:rPr>
        <w:t>remains</w:t>
      </w:r>
      <w:r w:rsidRPr="3AB4478C" w:rsidR="2BD477EF">
        <w:rPr>
          <w:i w:val="0"/>
          <w:iCs w:val="0"/>
          <w:u w:val="none"/>
        </w:rPr>
        <w:t xml:space="preserve"> is the fascination with universality. The Alexander of Valerius is not primarily a political exemplar, but an explorer whose journeys map the limits of the inhabited world. Spencer’s framework once again proves relevant: Alexander becomes a mythic vehicle through which Roman readers engage with fantasies of universal dominion</w:t>
      </w:r>
      <w:r w:rsidRPr="3AB4478C">
        <w:rPr>
          <w:rStyle w:val="FootnoteReference"/>
          <w:i w:val="0"/>
          <w:iCs w:val="0"/>
          <w:u w:val="none"/>
        </w:rPr>
        <w:footnoteReference w:id="21552"/>
      </w:r>
      <w:r w:rsidRPr="3AB4478C" w:rsidR="2BD477EF">
        <w:rPr>
          <w:i w:val="0"/>
          <w:iCs w:val="0"/>
          <w:u w:val="none"/>
        </w:rPr>
        <w:t xml:space="preserve">. </w:t>
      </w:r>
    </w:p>
    <w:p w:rsidR="2BD477EF" w:rsidP="79CE136D" w:rsidRDefault="2BD477EF" w14:paraId="0FD29AEF" w14:textId="2A4C4C4B">
      <w:pPr>
        <w:pStyle w:val="Normal"/>
        <w:rPr>
          <w:i w:val="0"/>
          <w:iCs w:val="0"/>
          <w:u w:val="single"/>
        </w:rPr>
      </w:pPr>
      <w:r w:rsidRPr="79CE136D" w:rsidR="2BD477EF">
        <w:rPr>
          <w:i w:val="0"/>
          <w:iCs w:val="0"/>
          <w:u w:val="single"/>
        </w:rPr>
        <w:t xml:space="preserve">II. </w:t>
      </w:r>
      <w:r w:rsidRPr="79CE136D" w:rsidR="0F74751A">
        <w:rPr>
          <w:i w:val="0"/>
          <w:iCs w:val="0"/>
          <w:u w:val="single"/>
        </w:rPr>
        <w:t>Cosmopolitan</w:t>
      </w:r>
      <w:r w:rsidRPr="79CE136D" w:rsidR="2BD477EF">
        <w:rPr>
          <w:i w:val="0"/>
          <w:iCs w:val="0"/>
          <w:u w:val="single"/>
        </w:rPr>
        <w:t xml:space="preserve"> Empire and Mythic Expansion</w:t>
      </w:r>
    </w:p>
    <w:p w:rsidR="2BD477EF" w:rsidP="79CE136D" w:rsidRDefault="2BD477EF" w14:paraId="363CBCEA" w14:textId="0D5D6B55">
      <w:pPr>
        <w:pStyle w:val="Normal"/>
        <w:rPr>
          <w:i w:val="0"/>
          <w:iCs w:val="0"/>
          <w:u w:val="none"/>
        </w:rPr>
      </w:pPr>
      <w:r w:rsidRPr="79CE136D" w:rsidR="2BD477EF">
        <w:rPr>
          <w:i w:val="0"/>
          <w:iCs w:val="0"/>
          <w:u w:val="none"/>
        </w:rPr>
        <w:t>By the 4</w:t>
      </w:r>
      <w:r w:rsidRPr="79CE136D" w:rsidR="2BD477EF">
        <w:rPr>
          <w:i w:val="0"/>
          <w:iCs w:val="0"/>
          <w:u w:val="none"/>
          <w:vertAlign w:val="superscript"/>
        </w:rPr>
        <w:t>th</w:t>
      </w:r>
      <w:r w:rsidRPr="79CE136D" w:rsidR="2BD477EF">
        <w:rPr>
          <w:i w:val="0"/>
          <w:iCs w:val="0"/>
          <w:u w:val="none"/>
        </w:rPr>
        <w:t xml:space="preserve"> century CE, the Roman empire was culturally diverse and geographically expansive, something Valerius’ Alexander mirrors. The anxiety about kingship that animates Curtius is muted, what </w:t>
      </w:r>
      <w:r w:rsidRPr="79CE136D" w:rsidR="2BD477EF">
        <w:rPr>
          <w:i w:val="0"/>
          <w:iCs w:val="0"/>
          <w:u w:val="none"/>
        </w:rPr>
        <w:t>remains</w:t>
      </w:r>
      <w:r w:rsidRPr="79CE136D" w:rsidR="2BD477EF">
        <w:rPr>
          <w:i w:val="0"/>
          <w:iCs w:val="0"/>
          <w:u w:val="none"/>
        </w:rPr>
        <w:t xml:space="preserve"> is the fascination with universality. He traverses geographical and cosmological boundaries, </w:t>
      </w:r>
      <w:r w:rsidRPr="79CE136D" w:rsidR="2BD477EF">
        <w:rPr>
          <w:i w:val="0"/>
          <w:iCs w:val="0"/>
          <w:u w:val="none"/>
        </w:rPr>
        <w:t>encountering</w:t>
      </w:r>
      <w:r w:rsidRPr="79CE136D" w:rsidR="2BD477EF">
        <w:rPr>
          <w:i w:val="0"/>
          <w:iCs w:val="0"/>
          <w:u w:val="none"/>
        </w:rPr>
        <w:t xml:space="preserve"> the edges of the inhabited world. The narrative is structured around expansion of knowledge as much as territory. </w:t>
      </w:r>
    </w:p>
    <w:p w:rsidR="2BD477EF" w:rsidP="79CE136D" w:rsidRDefault="2BD477EF" w14:paraId="356CAD5A" w14:textId="139A4D80">
      <w:pPr>
        <w:pStyle w:val="Normal"/>
        <w:rPr>
          <w:i w:val="0"/>
          <w:iCs w:val="0"/>
          <w:u w:val="none"/>
        </w:rPr>
      </w:pPr>
      <w:r w:rsidRPr="79CE136D" w:rsidR="2BD477EF">
        <w:rPr>
          <w:i w:val="0"/>
          <w:iCs w:val="0"/>
          <w:u w:val="none"/>
        </w:rPr>
        <w:t>Unlike Curtius’ morally ambivalent autocrat, the Alexander of Valerius embodies imperial totality. Heckel’s discussion of Alexander’s mythic affiliation clarifies how romance amplifies his self-identification with heroic predecessors</w:t>
      </w:r>
      <w:r w:rsidRPr="79CE136D">
        <w:rPr>
          <w:rStyle w:val="FootnoteReference"/>
          <w:i w:val="0"/>
          <w:iCs w:val="0"/>
          <w:u w:val="none"/>
        </w:rPr>
        <w:footnoteReference w:id="10756"/>
      </w:r>
      <w:r w:rsidRPr="79CE136D" w:rsidR="2BD477EF">
        <w:rPr>
          <w:i w:val="0"/>
          <w:iCs w:val="0"/>
          <w:u w:val="none"/>
        </w:rPr>
        <w:t xml:space="preserve">. In Valerius, these mythic affiliations are amplified rather than interrogated as his liminality between mortal and divine is foregrounded. The result is a fully mythologised Alexander who no longer functions as a cautionary exemplar but as a universal hero. Greek heroic paradigms are not critiqued but assimilated into Roman moral discourse, with Alexander becoming a symbol of boundless reach rather than a cautionary exemplar. </w:t>
      </w:r>
    </w:p>
    <w:p w:rsidR="79CE136D" w:rsidP="79CE136D" w:rsidRDefault="79CE136D" w14:paraId="22ED15EF" w14:textId="246DEAFE">
      <w:pPr>
        <w:pStyle w:val="Normal"/>
        <w:rPr>
          <w:i w:val="0"/>
          <w:iCs w:val="0"/>
          <w:u w:val="none"/>
        </w:rPr>
      </w:pPr>
    </w:p>
    <w:p w:rsidR="4B8C5773" w:rsidP="79CE136D" w:rsidRDefault="4B8C5773" w14:paraId="7F32CD99" w14:textId="428DB055">
      <w:pPr>
        <w:pStyle w:val="Normal"/>
        <w:rPr>
          <w:i w:val="0"/>
          <w:iCs w:val="0"/>
          <w:u w:val="single"/>
        </w:rPr>
      </w:pPr>
      <w:r w:rsidRPr="3AB4478C" w:rsidR="4B8C5773">
        <w:rPr>
          <w:i w:val="0"/>
          <w:iCs w:val="0"/>
          <w:u w:val="single"/>
        </w:rPr>
        <w:t xml:space="preserve">Conclusion </w:t>
      </w:r>
    </w:p>
    <w:p w:rsidR="1D6FF834" w:rsidP="3AB4478C" w:rsidRDefault="1D6FF834" w14:paraId="65D2F1B2" w14:textId="68F85032">
      <w:pPr>
        <w:pStyle w:val="Normal"/>
        <w:rPr>
          <w:i w:val="0"/>
          <w:iCs w:val="0"/>
          <w:u w:val="none"/>
        </w:rPr>
      </w:pPr>
      <w:r w:rsidRPr="3AB4478C" w:rsidR="1D6FF834">
        <w:rPr>
          <w:i w:val="0"/>
          <w:iCs w:val="0"/>
          <w:u w:val="none"/>
        </w:rPr>
        <w:t>The Roman reception of Alexander the Great in Latin literature reveals not the preservation of Greek hero, but his systematic reconfiguration within Roman ideological, ethical, and literary fra</w:t>
      </w:r>
      <w:r w:rsidRPr="3AB4478C" w:rsidR="2E9E344F">
        <w:rPr>
          <w:i w:val="0"/>
          <w:iCs w:val="0"/>
          <w:u w:val="none"/>
        </w:rPr>
        <w:t>me</w:t>
      </w:r>
      <w:r w:rsidRPr="3AB4478C" w:rsidR="1D6FF834">
        <w:rPr>
          <w:i w:val="0"/>
          <w:iCs w:val="0"/>
          <w:u w:val="none"/>
        </w:rPr>
        <w:t>works</w:t>
      </w:r>
      <w:r w:rsidRPr="3AB4478C" w:rsidR="1D6FF834">
        <w:rPr>
          <w:i w:val="0"/>
          <w:iCs w:val="0"/>
          <w:u w:val="none"/>
        </w:rPr>
        <w:t>. Across the works of both Curtius Rufus and J</w:t>
      </w:r>
      <w:r w:rsidRPr="3AB4478C" w:rsidR="137EBC73">
        <w:rPr>
          <w:i w:val="0"/>
          <w:iCs w:val="0"/>
          <w:u w:val="none"/>
        </w:rPr>
        <w:t>u</w:t>
      </w:r>
      <w:r w:rsidRPr="3AB4478C" w:rsidR="1D6FF834">
        <w:rPr>
          <w:i w:val="0"/>
          <w:iCs w:val="0"/>
          <w:u w:val="none"/>
        </w:rPr>
        <w:t>lius Valerius</w:t>
      </w:r>
      <w:r w:rsidRPr="3AB4478C" w:rsidR="06E6CD7F">
        <w:rPr>
          <w:i w:val="0"/>
          <w:iCs w:val="0"/>
          <w:u w:val="none"/>
        </w:rPr>
        <w:t xml:space="preserve">, Alexander functions as a site of negotiation between admiration and anxiety, history and myth, Greek </w:t>
      </w:r>
      <w:r w:rsidRPr="3AB4478C" w:rsidR="06E6CD7F">
        <w:rPr>
          <w:i w:val="0"/>
          <w:iCs w:val="0"/>
          <w:u w:val="none"/>
        </w:rPr>
        <w:t>prestige</w:t>
      </w:r>
      <w:r w:rsidRPr="3AB4478C" w:rsidR="06E6CD7F">
        <w:rPr>
          <w:i w:val="0"/>
          <w:iCs w:val="0"/>
          <w:u w:val="none"/>
        </w:rPr>
        <w:t xml:space="preserve"> and Roman authority. </w:t>
      </w:r>
    </w:p>
    <w:p w:rsidR="06E6CD7F" w:rsidP="3AB4478C" w:rsidRDefault="06E6CD7F" w14:paraId="4B9A5AD6" w14:textId="0702695C">
      <w:pPr>
        <w:pStyle w:val="Normal"/>
        <w:suppressLineNumbers w:val="0"/>
        <w:bidi w:val="0"/>
        <w:spacing w:before="0" w:beforeAutospacing="off" w:after="160" w:afterAutospacing="off" w:line="279" w:lineRule="auto"/>
        <w:ind w:left="0" w:right="0"/>
        <w:jc w:val="left"/>
        <w:rPr>
          <w:i w:val="0"/>
          <w:iCs w:val="0"/>
          <w:u w:val="none"/>
        </w:rPr>
      </w:pPr>
      <w:r w:rsidRPr="3AB4478C" w:rsidR="06E6CD7F">
        <w:rPr>
          <w:i w:val="0"/>
          <w:iCs w:val="0"/>
          <w:u w:val="none"/>
        </w:rPr>
        <w:t xml:space="preserve">In Curtius Rufus, Alexander is a morally unstable exemplum. His career is structured as an ethical trajectory in which </w:t>
      </w:r>
      <w:r w:rsidRPr="3AB4478C" w:rsidR="06E6CD7F">
        <w:rPr>
          <w:i w:val="1"/>
          <w:iCs w:val="1"/>
          <w:u w:val="none"/>
        </w:rPr>
        <w:t>virtus</w:t>
      </w:r>
      <w:r w:rsidRPr="3AB4478C" w:rsidR="06E6CD7F">
        <w:rPr>
          <w:i w:val="0"/>
          <w:iCs w:val="0"/>
          <w:u w:val="none"/>
        </w:rPr>
        <w:t xml:space="preserve"> shifts into </w:t>
      </w:r>
      <w:r w:rsidRPr="3AB4478C" w:rsidR="06E6CD7F">
        <w:rPr>
          <w:i w:val="1"/>
          <w:iCs w:val="1"/>
          <w:u w:val="none"/>
        </w:rPr>
        <w:t>ambitio</w:t>
      </w:r>
      <w:r w:rsidRPr="3AB4478C" w:rsidR="06E6CD7F">
        <w:rPr>
          <w:i w:val="0"/>
          <w:iCs w:val="0"/>
          <w:u w:val="none"/>
        </w:rPr>
        <w:t xml:space="preserve">, and heroic ambition becomes tyrannical success. </w:t>
      </w:r>
      <w:r w:rsidRPr="3AB4478C" w:rsidR="183A1FCD">
        <w:rPr>
          <w:i w:val="0"/>
          <w:iCs w:val="0"/>
          <w:u w:val="none"/>
        </w:rPr>
        <w:t xml:space="preserve">The text invites Roman readers to interrogate the psychological and political implications of autocracy at a time when imperial rule coexisted uneasily with memories of the Republic. </w:t>
      </w:r>
      <w:r w:rsidRPr="3AB4478C" w:rsidR="4C816E30">
        <w:rPr>
          <w:i w:val="0"/>
          <w:iCs w:val="0"/>
          <w:u w:val="none"/>
        </w:rPr>
        <w:t xml:space="preserve">Alexander's descent is neither simple condemnation nor uncritical praise, rather it </w:t>
      </w:r>
      <w:r w:rsidRPr="3AB4478C" w:rsidR="4C816E30">
        <w:rPr>
          <w:i w:val="0"/>
          <w:iCs w:val="0"/>
          <w:u w:val="none"/>
        </w:rPr>
        <w:t>dramatises</w:t>
      </w:r>
      <w:r w:rsidRPr="3AB4478C" w:rsidR="4C816E30">
        <w:rPr>
          <w:i w:val="0"/>
          <w:iCs w:val="0"/>
          <w:u w:val="none"/>
        </w:rPr>
        <w:t xml:space="preserve"> the structural fragility of empire buil</w:t>
      </w:r>
      <w:r w:rsidRPr="3AB4478C" w:rsidR="3DB3A02D">
        <w:rPr>
          <w:i w:val="0"/>
          <w:iCs w:val="0"/>
          <w:u w:val="none"/>
        </w:rPr>
        <w:t>t upon an individual</w:t>
      </w:r>
      <w:r w:rsidRPr="3AB4478C" w:rsidR="4137C735">
        <w:rPr>
          <w:i w:val="0"/>
          <w:iCs w:val="0"/>
          <w:u w:val="none"/>
        </w:rPr>
        <w:t xml:space="preserve">. In this respect, </w:t>
      </w:r>
      <w:r w:rsidRPr="3AB4478C" w:rsidR="5A09A301">
        <w:rPr>
          <w:i w:val="0"/>
          <w:iCs w:val="0"/>
          <w:u w:val="none"/>
        </w:rPr>
        <w:t xml:space="preserve">as Spencer argues, </w:t>
      </w:r>
      <w:r w:rsidRPr="3AB4478C" w:rsidR="4137C735">
        <w:rPr>
          <w:i w:val="0"/>
          <w:iCs w:val="0"/>
          <w:u w:val="none"/>
        </w:rPr>
        <w:t xml:space="preserve">the Greek conqueror </w:t>
      </w:r>
      <w:r w:rsidRPr="3AB4478C" w:rsidR="7B8B7297">
        <w:rPr>
          <w:i w:val="0"/>
          <w:iCs w:val="0"/>
          <w:u w:val="none"/>
        </w:rPr>
        <w:t>operates</w:t>
      </w:r>
      <w:r w:rsidRPr="3AB4478C" w:rsidR="7B8B7297">
        <w:rPr>
          <w:i w:val="0"/>
          <w:iCs w:val="0"/>
          <w:u w:val="none"/>
        </w:rPr>
        <w:t xml:space="preserve"> as a cultural myth</w:t>
      </w:r>
      <w:r w:rsidRPr="3AB4478C" w:rsidR="4137C735">
        <w:rPr>
          <w:i w:val="0"/>
          <w:iCs w:val="0"/>
          <w:u w:val="none"/>
        </w:rPr>
        <w:t xml:space="preserve"> </w:t>
      </w:r>
      <w:r w:rsidRPr="3AB4478C" w:rsidR="4137C735">
        <w:rPr>
          <w:i w:val="0"/>
          <w:iCs w:val="0"/>
          <w:u w:val="none"/>
        </w:rPr>
        <w:t>for Roman self-examination</w:t>
      </w:r>
      <w:r w:rsidRPr="3AB4478C">
        <w:rPr>
          <w:rStyle w:val="FootnoteReference"/>
          <w:i w:val="0"/>
          <w:iCs w:val="0"/>
          <w:u w:val="none"/>
        </w:rPr>
        <w:footnoteReference w:id="26672"/>
      </w:r>
      <w:r w:rsidRPr="3AB4478C" w:rsidR="705EA4B3">
        <w:rPr>
          <w:i w:val="0"/>
          <w:iCs w:val="0"/>
          <w:u w:val="none"/>
        </w:rPr>
        <w:t>.</w:t>
      </w:r>
    </w:p>
    <w:p w:rsidR="3C65EF3C" w:rsidP="3AB4478C" w:rsidRDefault="3C65EF3C" w14:paraId="08BD321E" w14:textId="594741AF">
      <w:pPr>
        <w:pStyle w:val="Normal"/>
        <w:suppressLineNumbers w:val="0"/>
        <w:bidi w:val="0"/>
        <w:spacing w:before="0" w:beforeAutospacing="off" w:after="160" w:afterAutospacing="off" w:line="279" w:lineRule="auto"/>
        <w:ind w:left="0" w:right="0"/>
        <w:jc w:val="left"/>
        <w:rPr>
          <w:i w:val="0"/>
          <w:iCs w:val="0"/>
          <w:u w:val="none"/>
        </w:rPr>
      </w:pPr>
      <w:r w:rsidRPr="3AB4478C" w:rsidR="3C65EF3C">
        <w:rPr>
          <w:i w:val="0"/>
          <w:iCs w:val="0"/>
          <w:u w:val="none"/>
        </w:rPr>
        <w:t xml:space="preserve">Julius Valerius’ romance, by contrast, reflects a transformed imperial imagination. The moral tension that animates Curtius recedes, replaced by a mythic amplification and expansion. Alexander is no longer primarily a cautionary figure but a universal </w:t>
      </w:r>
      <w:r w:rsidRPr="3AB4478C" w:rsidR="38C56EB9">
        <w:rPr>
          <w:i w:val="0"/>
          <w:iCs w:val="0"/>
          <w:u w:val="none"/>
        </w:rPr>
        <w:t xml:space="preserve">adventurer whose journeys symbolise the reach of imperial ambition. The romance does not abandon ideology, it </w:t>
      </w:r>
      <w:r w:rsidRPr="3AB4478C" w:rsidR="38C56EB9">
        <w:rPr>
          <w:i w:val="0"/>
          <w:iCs w:val="0"/>
          <w:u w:val="none"/>
        </w:rPr>
        <w:t>relocates</w:t>
      </w:r>
      <w:r w:rsidRPr="3AB4478C" w:rsidR="38C56EB9">
        <w:rPr>
          <w:i w:val="0"/>
          <w:iCs w:val="0"/>
          <w:u w:val="none"/>
        </w:rPr>
        <w:t xml:space="preserve"> it. </w:t>
      </w:r>
      <w:r w:rsidRPr="3AB4478C" w:rsidR="76CB0870">
        <w:rPr>
          <w:i w:val="0"/>
          <w:iCs w:val="0"/>
          <w:u w:val="none"/>
        </w:rPr>
        <w:t>Alexander's traversal of the world mirrors late antique conceptions of a vast, interconnected empire. His mythic associations enable this transformation: poised between history and legend, he becomes a figu</w:t>
      </w:r>
      <w:r w:rsidRPr="3AB4478C" w:rsidR="1E5D1E5E">
        <w:rPr>
          <w:i w:val="0"/>
          <w:iCs w:val="0"/>
          <w:u w:val="none"/>
        </w:rPr>
        <w:t>re ample enough to sustain</w:t>
      </w:r>
      <w:r w:rsidRPr="3AB4478C" w:rsidR="3C3AC835">
        <w:rPr>
          <w:i w:val="0"/>
          <w:iCs w:val="0"/>
          <w:u w:val="none"/>
        </w:rPr>
        <w:t xml:space="preserve"> this</w:t>
      </w:r>
      <w:r w:rsidRPr="3AB4478C" w:rsidR="1E5D1E5E">
        <w:rPr>
          <w:i w:val="0"/>
          <w:iCs w:val="0"/>
          <w:u w:val="none"/>
        </w:rPr>
        <w:t xml:space="preserve"> universalising fantasy. </w:t>
      </w:r>
    </w:p>
    <w:p w:rsidR="2185EF6F" w:rsidP="3AB4478C" w:rsidRDefault="2185EF6F" w14:paraId="0712B8D5" w14:textId="4C25C060">
      <w:pPr>
        <w:pStyle w:val="Normal"/>
        <w:suppressLineNumbers w:val="0"/>
        <w:bidi w:val="0"/>
        <w:spacing w:before="0" w:beforeAutospacing="off" w:after="160" w:afterAutospacing="off" w:line="279" w:lineRule="auto"/>
        <w:ind w:left="0" w:right="0"/>
        <w:jc w:val="left"/>
        <w:rPr>
          <w:i w:val="0"/>
          <w:iCs w:val="0"/>
          <w:u w:val="none"/>
        </w:rPr>
      </w:pPr>
      <w:r w:rsidRPr="3AB4478C" w:rsidR="2185EF6F">
        <w:rPr>
          <w:i w:val="0"/>
          <w:iCs w:val="0"/>
          <w:u w:val="none"/>
        </w:rPr>
        <w:t xml:space="preserve">Taken together, these texts </w:t>
      </w:r>
      <w:r w:rsidRPr="3AB4478C" w:rsidR="2185EF6F">
        <w:rPr>
          <w:i w:val="0"/>
          <w:iCs w:val="0"/>
          <w:u w:val="none"/>
        </w:rPr>
        <w:t>demonstrate</w:t>
      </w:r>
      <w:r w:rsidRPr="3AB4478C" w:rsidR="2185EF6F">
        <w:rPr>
          <w:i w:val="0"/>
          <w:iCs w:val="0"/>
          <w:u w:val="none"/>
        </w:rPr>
        <w:t xml:space="preserve"> that Roman engagement with Greek heroism was neither derivative nor static. Curtius and Valerius represent different moments in a continuous process of </w:t>
      </w:r>
      <w:r w:rsidRPr="3AB4478C" w:rsidR="45F52D9B">
        <w:rPr>
          <w:i w:val="0"/>
          <w:iCs w:val="0"/>
          <w:u w:val="none"/>
        </w:rPr>
        <w:t>Ro</w:t>
      </w:r>
      <w:r w:rsidRPr="3AB4478C" w:rsidR="2185EF6F">
        <w:rPr>
          <w:i w:val="0"/>
          <w:iCs w:val="0"/>
          <w:u w:val="none"/>
        </w:rPr>
        <w:t>man cultural approp</w:t>
      </w:r>
      <w:r w:rsidRPr="3AB4478C" w:rsidR="7E18CFF9">
        <w:rPr>
          <w:i w:val="0"/>
          <w:iCs w:val="0"/>
          <w:u w:val="none"/>
        </w:rPr>
        <w:t xml:space="preserve">riation. </w:t>
      </w:r>
      <w:r w:rsidRPr="3AB4478C" w:rsidR="2D9646E5">
        <w:rPr>
          <w:i w:val="0"/>
          <w:iCs w:val="0"/>
          <w:u w:val="none"/>
        </w:rPr>
        <w:t xml:space="preserve">In the early Empire, Alexander’s kingship provides a lens for examining the ethics of monarchy and the limits of conquest. In late antiquity, his legend articulates the imaginative scope of a cosmopolitan imperial world. This shift is not from seriousness to </w:t>
      </w:r>
      <w:r w:rsidRPr="3AB4478C" w:rsidR="75B5460A">
        <w:rPr>
          <w:i w:val="0"/>
          <w:iCs w:val="0"/>
          <w:u w:val="none"/>
        </w:rPr>
        <w:t xml:space="preserve">frivolity, but from political introspection to mythic universalism. </w:t>
      </w:r>
    </w:p>
    <w:p w:rsidR="75B5460A" w:rsidP="3AB4478C" w:rsidRDefault="75B5460A" w14:paraId="4CE7439D" w14:textId="46CBD0CD">
      <w:pPr>
        <w:pStyle w:val="Normal"/>
        <w:suppressLineNumbers w:val="0"/>
        <w:bidi w:val="0"/>
        <w:spacing w:before="0" w:beforeAutospacing="off" w:after="160" w:afterAutospacing="off" w:line="279" w:lineRule="auto"/>
        <w:ind w:left="0" w:right="0"/>
        <w:jc w:val="left"/>
        <w:rPr>
          <w:i w:val="0"/>
          <w:iCs w:val="0"/>
          <w:u w:val="none"/>
        </w:rPr>
      </w:pPr>
      <w:r w:rsidRPr="3AB4478C" w:rsidR="75B5460A">
        <w:rPr>
          <w:i w:val="0"/>
          <w:iCs w:val="0"/>
          <w:u w:val="none"/>
        </w:rPr>
        <w:t xml:space="preserve">What </w:t>
      </w:r>
      <w:r w:rsidRPr="3AB4478C" w:rsidR="75B5460A">
        <w:rPr>
          <w:i w:val="0"/>
          <w:iCs w:val="0"/>
          <w:u w:val="none"/>
        </w:rPr>
        <w:t>remains</w:t>
      </w:r>
      <w:r w:rsidRPr="3AB4478C" w:rsidR="75B5460A">
        <w:rPr>
          <w:i w:val="0"/>
          <w:iCs w:val="0"/>
          <w:u w:val="none"/>
        </w:rPr>
        <w:t xml:space="preserve"> constant is the adaptability of Alexander as a symbolic figure. As Baynham has shown, even Curtius’ historical narrative is shaped by rhetorical and moral design rather than historical exactnes</w:t>
      </w:r>
      <w:r w:rsidRPr="3AB4478C" w:rsidR="6C7E6460">
        <w:rPr>
          <w:i w:val="0"/>
          <w:iCs w:val="0"/>
          <w:u w:val="none"/>
        </w:rPr>
        <w:t>s</w:t>
      </w:r>
      <w:r w:rsidRPr="3AB4478C">
        <w:rPr>
          <w:rStyle w:val="FootnoteReference"/>
          <w:i w:val="0"/>
          <w:iCs w:val="0"/>
          <w:u w:val="none"/>
        </w:rPr>
        <w:footnoteReference w:id="5189"/>
      </w:r>
      <w:r w:rsidRPr="3AB4478C" w:rsidR="6C7E6460">
        <w:rPr>
          <w:i w:val="0"/>
          <w:iCs w:val="0"/>
          <w:u w:val="none"/>
        </w:rPr>
        <w:t xml:space="preserve">. The Alexander who </w:t>
      </w:r>
      <w:r w:rsidRPr="3AB4478C" w:rsidR="6C7E6460">
        <w:rPr>
          <w:i w:val="0"/>
          <w:iCs w:val="0"/>
          <w:u w:val="none"/>
        </w:rPr>
        <w:t>emerges</w:t>
      </w:r>
      <w:r w:rsidRPr="3AB4478C" w:rsidR="6C7E6460">
        <w:rPr>
          <w:i w:val="0"/>
          <w:iCs w:val="0"/>
          <w:u w:val="none"/>
        </w:rPr>
        <w:t xml:space="preserve"> in Latin literature is therefore fashioned to serve Roman discursive needs. The Greek hero becomes Roman not by ethnic or cultural assimilation, but by interpretative transformation. </w:t>
      </w:r>
    </w:p>
    <w:p w:rsidR="17CE9CA7" w:rsidP="3AB4478C" w:rsidRDefault="17CE9CA7" w14:paraId="06E8F478" w14:textId="7E78C2FB">
      <w:pPr>
        <w:pStyle w:val="Normal"/>
        <w:suppressLineNumbers w:val="0"/>
        <w:bidi w:val="0"/>
        <w:spacing w:before="0" w:beforeAutospacing="off" w:after="160" w:afterAutospacing="off" w:line="279" w:lineRule="auto"/>
        <w:ind w:left="0" w:right="0"/>
        <w:jc w:val="left"/>
        <w:rPr>
          <w:i w:val="0"/>
          <w:iCs w:val="0"/>
          <w:u w:val="none"/>
        </w:rPr>
      </w:pPr>
      <w:r w:rsidRPr="3AB4478C" w:rsidR="17CE9CA7">
        <w:rPr>
          <w:i w:val="0"/>
          <w:iCs w:val="0"/>
          <w:u w:val="none"/>
        </w:rPr>
        <w:t>Ultimately, the</w:t>
      </w:r>
      <w:r w:rsidRPr="3AB4478C" w:rsidR="17CE9CA7">
        <w:rPr>
          <w:i w:val="0"/>
          <w:iCs w:val="0"/>
          <w:u w:val="none"/>
        </w:rPr>
        <w:t xml:space="preserve"> image of Alexander allows Roman writers to explore the legitimacy of power, the seductions of glory, and the aspiration to universal dominion. </w:t>
      </w:r>
      <w:r w:rsidRPr="3AB4478C" w:rsidR="440DCEDF">
        <w:rPr>
          <w:i w:val="0"/>
          <w:iCs w:val="0"/>
          <w:u w:val="none"/>
        </w:rPr>
        <w:t xml:space="preserve">That he could be </w:t>
      </w:r>
      <w:r w:rsidRPr="3AB4478C" w:rsidR="440DCEDF">
        <w:rPr>
          <w:i w:val="0"/>
          <w:iCs w:val="0"/>
          <w:u w:val="none"/>
        </w:rPr>
        <w:t>rendered</w:t>
      </w:r>
      <w:r w:rsidRPr="3AB4478C" w:rsidR="440DCEDF">
        <w:rPr>
          <w:i w:val="0"/>
          <w:iCs w:val="0"/>
          <w:u w:val="none"/>
        </w:rPr>
        <w:t xml:space="preserve"> alternately tragic autocrat and mythic world-conqueror underscores his function as flexible cultural construct, rather than a fixed historical subject. The Latin texts examined here </w:t>
      </w:r>
      <w:r w:rsidRPr="3AB4478C" w:rsidR="440DCEDF">
        <w:rPr>
          <w:i w:val="0"/>
          <w:iCs w:val="0"/>
          <w:u w:val="none"/>
        </w:rPr>
        <w:t>demonstrate</w:t>
      </w:r>
      <w:r w:rsidRPr="3AB4478C" w:rsidR="440DCEDF">
        <w:rPr>
          <w:i w:val="0"/>
          <w:iCs w:val="0"/>
          <w:u w:val="none"/>
        </w:rPr>
        <w:t xml:space="preserve"> that Hellenic heroic tradition did not stand outside </w:t>
      </w:r>
      <w:r w:rsidRPr="3AB4478C" w:rsidR="7CC22C14">
        <w:rPr>
          <w:i w:val="0"/>
          <w:iCs w:val="0"/>
          <w:u w:val="none"/>
        </w:rPr>
        <w:t xml:space="preserve">Roman imperial culture, it was absorbed, reshaped, and redeployed within it. </w:t>
      </w:r>
    </w:p>
    <w:p w:rsidR="7CC22C14" w:rsidP="3AB4478C" w:rsidRDefault="7CC22C14" w14:paraId="6DC1BA18" w14:textId="2E0EFFBE">
      <w:pPr>
        <w:pStyle w:val="Normal"/>
        <w:suppressLineNumbers w:val="0"/>
        <w:bidi w:val="0"/>
        <w:spacing w:before="0" w:beforeAutospacing="off" w:after="160" w:afterAutospacing="off" w:line="279" w:lineRule="auto"/>
        <w:ind w:left="0" w:right="0"/>
        <w:jc w:val="left"/>
        <w:rPr>
          <w:i w:val="0"/>
          <w:iCs w:val="0"/>
          <w:u w:val="none"/>
        </w:rPr>
      </w:pPr>
      <w:r w:rsidRPr="3AB4478C" w:rsidR="7CC22C14">
        <w:rPr>
          <w:i w:val="0"/>
          <w:iCs w:val="0"/>
          <w:u w:val="none"/>
        </w:rPr>
        <w:t xml:space="preserve">Alexander's endurance in Latin literature thus exemplifies a broader imperial cultural practice: the assertion of dominance by Rome not only through conquest but through interpretation in many forms. By rewriting Alexander in Latin, Roman authors claimed authority over the memory of Greek heroism. </w:t>
      </w:r>
    </w:p>
    <w:p w:rsidR="3AB4478C" w:rsidP="3AB4478C" w:rsidRDefault="3AB4478C" w14:paraId="76E30219" w14:textId="6761EF4F">
      <w:pPr>
        <w:pStyle w:val="Normal"/>
        <w:rPr>
          <w:i w:val="0"/>
          <w:iCs w:val="0"/>
          <w:u w:val="none"/>
        </w:rPr>
      </w:pPr>
    </w:p>
    <w:p w:rsidR="52CDCC80" w:rsidP="79CE136D" w:rsidRDefault="52CDCC80" w14:paraId="53B778DE" w14:textId="76531BC1">
      <w:pPr>
        <w:pStyle w:val="Normal"/>
        <w:rPr>
          <w:i w:val="0"/>
          <w:iCs w:val="0"/>
          <w:u w:val="single"/>
        </w:rPr>
      </w:pPr>
      <w:r w:rsidRPr="79CE136D" w:rsidR="52CDCC80">
        <w:rPr>
          <w:i w:val="0"/>
          <w:iCs w:val="0"/>
          <w:u w:val="single"/>
        </w:rPr>
        <w:t>Reference List:</w:t>
      </w:r>
    </w:p>
    <w:p w:rsidR="52CDCC80" w:rsidP="3AB4478C" w:rsidRDefault="52CDCC80" w14:paraId="1E7BB67B" w14:textId="18DC46BB">
      <w:pPr>
        <w:pStyle w:val="ListParagraph"/>
        <w:numPr>
          <w:ilvl w:val="0"/>
          <w:numId w:val="3"/>
        </w:numPr>
        <w:rPr>
          <w:i w:val="0"/>
          <w:iCs w:val="0"/>
          <w:u w:val="none"/>
        </w:rPr>
      </w:pPr>
      <w:r w:rsidRPr="3AB4478C" w:rsidR="52CDCC80">
        <w:rPr>
          <w:i w:val="0"/>
          <w:iCs w:val="0"/>
          <w:u w:val="none"/>
        </w:rPr>
        <w:t>Baynham, E</w:t>
      </w:r>
      <w:r w:rsidRPr="3AB4478C" w:rsidR="0BA140E5">
        <w:rPr>
          <w:i w:val="0"/>
          <w:iCs w:val="0"/>
          <w:u w:val="none"/>
        </w:rPr>
        <w:t>lizabeth</w:t>
      </w:r>
      <w:r w:rsidRPr="3AB4478C" w:rsidR="52CDCC80">
        <w:rPr>
          <w:i w:val="0"/>
          <w:iCs w:val="0"/>
          <w:u w:val="none"/>
        </w:rPr>
        <w:t xml:space="preserve">, </w:t>
      </w:r>
      <w:r w:rsidRPr="3AB4478C" w:rsidR="52CDCC80">
        <w:rPr>
          <w:i w:val="1"/>
          <w:iCs w:val="1"/>
          <w:u w:val="none"/>
        </w:rPr>
        <w:t xml:space="preserve">Alexander </w:t>
      </w:r>
      <w:r w:rsidRPr="3AB4478C" w:rsidR="52CDCC80">
        <w:rPr>
          <w:i w:val="1"/>
          <w:iCs w:val="1"/>
          <w:u w:val="none"/>
        </w:rPr>
        <w:t>The</w:t>
      </w:r>
      <w:r w:rsidRPr="3AB4478C" w:rsidR="52CDCC80">
        <w:rPr>
          <w:i w:val="1"/>
          <w:iCs w:val="1"/>
          <w:u w:val="none"/>
        </w:rPr>
        <w:t xml:space="preserve"> Great: The Unique History of Quintus Curtius Rufus</w:t>
      </w:r>
      <w:r w:rsidRPr="3AB4478C" w:rsidR="52CDCC80">
        <w:rPr>
          <w:i w:val="0"/>
          <w:iCs w:val="0"/>
          <w:u w:val="none"/>
        </w:rPr>
        <w:t xml:space="preserve"> (London: Routledge, 1998)</w:t>
      </w:r>
    </w:p>
    <w:p w:rsidR="52CDCC80" w:rsidP="79CE136D" w:rsidRDefault="52CDCC80" w14:paraId="798F5F4C" w14:textId="0CA4CC5E">
      <w:pPr>
        <w:pStyle w:val="ListParagraph"/>
        <w:numPr>
          <w:ilvl w:val="0"/>
          <w:numId w:val="3"/>
        </w:numPr>
        <w:rPr>
          <w:i w:val="0"/>
          <w:iCs w:val="0"/>
          <w:u w:val="none"/>
        </w:rPr>
      </w:pPr>
      <w:r w:rsidRPr="79CE136D" w:rsidR="52CDCC80">
        <w:rPr>
          <w:i w:val="0"/>
          <w:iCs w:val="0"/>
          <w:u w:val="none"/>
        </w:rPr>
        <w:t xml:space="preserve">Curtius Rufus, </w:t>
      </w:r>
      <w:r w:rsidRPr="79CE136D" w:rsidR="52CDCC80">
        <w:rPr>
          <w:i w:val="0"/>
          <w:iCs w:val="0"/>
          <w:u w:val="none"/>
        </w:rPr>
        <w:t>Quintus</w:t>
      </w:r>
      <w:r w:rsidRPr="79CE136D" w:rsidR="52CDCC80">
        <w:rPr>
          <w:i w:val="1"/>
          <w:iCs w:val="1"/>
          <w:u w:val="none"/>
        </w:rPr>
        <w:t>, Historiae Alexandri Magni</w:t>
      </w:r>
      <w:r w:rsidRPr="79CE136D" w:rsidR="52CDCC80">
        <w:rPr>
          <w:i w:val="0"/>
          <w:iCs w:val="0"/>
          <w:u w:val="none"/>
        </w:rPr>
        <w:t>, trans. by John Yardley (London: Penguin, 1984)</w:t>
      </w:r>
    </w:p>
    <w:p w:rsidR="52CDCC80" w:rsidP="3AB4478C" w:rsidRDefault="52CDCC80" w14:paraId="035A7BCC" w14:textId="73A61FBF">
      <w:pPr>
        <w:pStyle w:val="ListParagraph"/>
        <w:numPr>
          <w:ilvl w:val="0"/>
          <w:numId w:val="3"/>
        </w:numPr>
        <w:rPr>
          <w:i w:val="0"/>
          <w:iCs w:val="0"/>
          <w:u w:val="none"/>
        </w:rPr>
      </w:pPr>
      <w:r w:rsidRPr="3AB4478C" w:rsidR="52CDCC80">
        <w:rPr>
          <w:i w:val="0"/>
          <w:iCs w:val="0"/>
          <w:u w:val="none"/>
        </w:rPr>
        <w:t>Heckel, W</w:t>
      </w:r>
      <w:r w:rsidRPr="3AB4478C" w:rsidR="2D63214B">
        <w:rPr>
          <w:i w:val="0"/>
          <w:iCs w:val="0"/>
          <w:u w:val="none"/>
        </w:rPr>
        <w:t>aldemar</w:t>
      </w:r>
      <w:r w:rsidRPr="3AB4478C" w:rsidR="52CDCC80">
        <w:rPr>
          <w:i w:val="0"/>
          <w:iCs w:val="0"/>
          <w:u w:val="none"/>
        </w:rPr>
        <w:t xml:space="preserve">, </w:t>
      </w:r>
      <w:r w:rsidRPr="3AB4478C" w:rsidR="52CDCC80">
        <w:rPr>
          <w:i w:val="1"/>
          <w:iCs w:val="1"/>
          <w:u w:val="none"/>
        </w:rPr>
        <w:t>Alexander, Heracles, and Achilles: Between Myth and History</w:t>
      </w:r>
      <w:r w:rsidRPr="3AB4478C" w:rsidR="52CDCC80">
        <w:rPr>
          <w:i w:val="0"/>
          <w:iCs w:val="0"/>
          <w:u w:val="none"/>
        </w:rPr>
        <w:t xml:space="preserve"> (Oxford: Oxford University Press, 2015)</w:t>
      </w:r>
    </w:p>
    <w:p w:rsidR="52CDCC80" w:rsidP="3AB4478C" w:rsidRDefault="52CDCC80" w14:paraId="7A5D21E8" w14:textId="4400FC57">
      <w:pPr>
        <w:pStyle w:val="ListParagraph"/>
        <w:numPr>
          <w:ilvl w:val="0"/>
          <w:numId w:val="3"/>
        </w:numPr>
        <w:rPr>
          <w:i w:val="0"/>
          <w:iCs w:val="0"/>
          <w:u w:val="none"/>
        </w:rPr>
      </w:pPr>
      <w:r w:rsidRPr="3AB4478C" w:rsidR="52CDCC80">
        <w:rPr>
          <w:i w:val="0"/>
          <w:iCs w:val="0"/>
          <w:u w:val="none"/>
        </w:rPr>
        <w:t>Spencer, D</w:t>
      </w:r>
      <w:r w:rsidRPr="3AB4478C" w:rsidR="21750649">
        <w:rPr>
          <w:i w:val="0"/>
          <w:iCs w:val="0"/>
          <w:u w:val="none"/>
        </w:rPr>
        <w:t>iana</w:t>
      </w:r>
      <w:r w:rsidRPr="3AB4478C" w:rsidR="52CDCC80">
        <w:rPr>
          <w:i w:val="0"/>
          <w:iCs w:val="0"/>
          <w:u w:val="none"/>
        </w:rPr>
        <w:t xml:space="preserve">, </w:t>
      </w:r>
      <w:r w:rsidRPr="3AB4478C" w:rsidR="52CDCC80">
        <w:rPr>
          <w:i w:val="1"/>
          <w:iCs w:val="1"/>
          <w:u w:val="none"/>
        </w:rPr>
        <w:t xml:space="preserve">The Roman Alexander: Reading a Cultural Myth </w:t>
      </w:r>
      <w:r w:rsidRPr="3AB4478C" w:rsidR="52CDCC80">
        <w:rPr>
          <w:i w:val="0"/>
          <w:iCs w:val="0"/>
          <w:u w:val="none"/>
        </w:rPr>
        <w:t>(London: Routledge, 2002)</w:t>
      </w:r>
    </w:p>
    <w:p w:rsidR="52CDCC80" w:rsidP="79CE136D" w:rsidRDefault="52CDCC80" w14:paraId="299D9E69" w14:textId="7EE4282F">
      <w:pPr>
        <w:pStyle w:val="ListParagraph"/>
        <w:numPr>
          <w:ilvl w:val="0"/>
          <w:numId w:val="3"/>
        </w:numPr>
        <w:rPr>
          <w:i w:val="0"/>
          <w:iCs w:val="0"/>
          <w:u w:val="none"/>
        </w:rPr>
      </w:pPr>
      <w:r w:rsidRPr="79CE136D" w:rsidR="52CDCC80">
        <w:rPr>
          <w:i w:val="0"/>
          <w:iCs w:val="0"/>
          <w:u w:val="none"/>
        </w:rPr>
        <w:t xml:space="preserve">Valerius, Julius, </w:t>
      </w:r>
      <w:r w:rsidRPr="79CE136D" w:rsidR="52CDCC80">
        <w:rPr>
          <w:i w:val="1"/>
          <w:iCs w:val="1"/>
          <w:u w:val="none"/>
        </w:rPr>
        <w:t>Res gestae Alexandri Magni</w:t>
      </w:r>
      <w:r w:rsidRPr="79CE136D" w:rsidR="52CDCC80">
        <w:rPr>
          <w:i w:val="0"/>
          <w:iCs w:val="0"/>
          <w:u w:val="none"/>
        </w:rPr>
        <w:t>, trans. by Richard Stoneman (London: Penguin, 1991)</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79CE136D" w:rsidRDefault="79CE136D" w14:paraId="72AB6A62" w14:textId="6321E2EB">
      <w:pPr>
        <w:spacing w:after="0" w:line="240" w:lineRule="auto"/>
      </w:pPr>
      <w:r>
        <w:separator/>
      </w:r>
    </w:p>
  </w:footnote>
  <w:footnote w:type="continuationSeparator" w:id="0">
    <w:p w:rsidR="79CE136D" w:rsidRDefault="79CE136D" w14:paraId="4D4D9273" w14:textId="30B58E12">
      <w:pPr>
        <w:spacing w:after="0" w:line="240" w:lineRule="auto"/>
      </w:pPr>
      <w:r>
        <w:continuationSeparator/>
      </w:r>
    </w:p>
  </w:footnote>
  <w:footnote w:id="16534">
    <w:p w:rsidR="79CE136D" w:rsidP="79CE136D" w:rsidRDefault="79CE136D" w14:paraId="695D3FC8" w14:textId="29376943">
      <w:pPr>
        <w:pStyle w:val="FootnoteText"/>
        <w:bidi w:val="0"/>
      </w:pPr>
      <w:r w:rsidRPr="79CE136D">
        <w:rPr>
          <w:rStyle w:val="FootnoteReference"/>
        </w:rPr>
        <w:footnoteRef/>
      </w:r>
      <w:r w:rsidR="3AB4478C">
        <w:rPr/>
        <w:t xml:space="preserve"> D</w:t>
      </w:r>
      <w:r w:rsidR="3AB4478C">
        <w:rPr/>
        <w:t xml:space="preserve">. </w:t>
      </w:r>
      <w:r w:rsidR="3AB4478C">
        <w:rPr/>
        <w:t xml:space="preserve">Spencer, </w:t>
      </w:r>
      <w:r w:rsidRPr="3AB4478C" w:rsidR="3AB4478C">
        <w:rPr>
          <w:i w:val="1"/>
          <w:iCs w:val="1"/>
        </w:rPr>
        <w:t xml:space="preserve">The Roman Alexander: Reading a Cultural Myth</w:t>
      </w:r>
      <w:r w:rsidR="3AB4478C">
        <w:rPr/>
        <w:t xml:space="preserve"> (London: Routledge, 2002); E</w:t>
      </w:r>
      <w:r w:rsidR="3AB4478C">
        <w:rPr/>
        <w:t xml:space="preserve">.</w:t>
      </w:r>
      <w:r w:rsidR="3AB4478C">
        <w:rPr/>
        <w:t xml:space="preserve"> Baynham, </w:t>
      </w:r>
      <w:r w:rsidRPr="3AB4478C" w:rsidR="3AB4478C">
        <w:rPr>
          <w:i w:val="1"/>
          <w:iCs w:val="1"/>
        </w:rPr>
        <w:t xml:space="preserve">Alexander the Great: The Unique History of Quintus Curtius Rufus</w:t>
      </w:r>
      <w:r w:rsidR="3AB4478C">
        <w:rPr/>
        <w:t xml:space="preserve"> (London: Routledge, 1998); W</w:t>
      </w:r>
      <w:r w:rsidR="3AB4478C">
        <w:rPr/>
        <w:t xml:space="preserve">.</w:t>
      </w:r>
      <w:r w:rsidR="3AB4478C">
        <w:rPr/>
        <w:t xml:space="preserve"> Heckel, </w:t>
      </w:r>
      <w:r w:rsidRPr="3AB4478C" w:rsidR="3AB4478C">
        <w:rPr>
          <w:i w:val="1"/>
          <w:iCs w:val="1"/>
        </w:rPr>
        <w:t xml:space="preserve">Alexander, Heracles, and Achilles: Between Myth and History</w:t>
      </w:r>
      <w:r w:rsidR="3AB4478C">
        <w:rPr/>
        <w:t xml:space="preserve"> (Oxford: Oxford University Press, 2015). </w:t>
      </w:r>
    </w:p>
  </w:footnote>
  <w:footnote w:id="4767">
    <w:p w:rsidR="79CE136D" w:rsidP="79CE136D" w:rsidRDefault="79CE136D" w14:paraId="2EA92F5C" w14:textId="54A0D30F">
      <w:pPr>
        <w:pStyle w:val="FootnoteText"/>
        <w:bidi w:val="0"/>
        <w:rPr>
          <w:i w:val="0"/>
          <w:iCs w:val="0"/>
        </w:rPr>
      </w:pPr>
      <w:r w:rsidRPr="79CE136D">
        <w:rPr>
          <w:rStyle w:val="FootnoteReference"/>
        </w:rPr>
        <w:footnoteRef/>
      </w:r>
      <w:r w:rsidR="79CE136D">
        <w:rPr/>
        <w:t xml:space="preserve"> Spencer, </w:t>
      </w:r>
      <w:r w:rsidRPr="79CE136D" w:rsidR="79CE136D">
        <w:rPr>
          <w:i w:val="1"/>
          <w:iCs w:val="1"/>
        </w:rPr>
        <w:t xml:space="preserve">Roman Alexander, </w:t>
      </w:r>
      <w:r w:rsidRPr="79CE136D" w:rsidR="79CE136D">
        <w:rPr>
          <w:i w:val="0"/>
          <w:iCs w:val="0"/>
        </w:rPr>
        <w:t xml:space="preserve">pp. 1-15. </w:t>
      </w:r>
    </w:p>
  </w:footnote>
  <w:footnote w:id="24968">
    <w:p w:rsidR="79CE136D" w:rsidP="79CE136D" w:rsidRDefault="79CE136D" w14:paraId="27F56D82" w14:textId="44C0058C">
      <w:pPr>
        <w:pStyle w:val="FootnoteText"/>
        <w:bidi w:val="0"/>
        <w:rPr>
          <w:i w:val="0"/>
          <w:iCs w:val="0"/>
        </w:rPr>
      </w:pPr>
      <w:r w:rsidRPr="79CE136D">
        <w:rPr>
          <w:rStyle w:val="FootnoteReference"/>
        </w:rPr>
        <w:footnoteRef/>
      </w:r>
      <w:r w:rsidR="79CE136D">
        <w:rPr/>
        <w:t xml:space="preserve"> Heckel, </w:t>
      </w:r>
      <w:r w:rsidRPr="79CE136D" w:rsidR="79CE136D">
        <w:rPr>
          <w:i w:val="1"/>
          <w:iCs w:val="1"/>
        </w:rPr>
        <w:t xml:space="preserve">Alexander, Heracles, and Achilles, </w:t>
      </w:r>
      <w:r w:rsidRPr="79CE136D" w:rsidR="79CE136D">
        <w:rPr>
          <w:i w:val="0"/>
          <w:iCs w:val="0"/>
        </w:rPr>
        <w:t>pp. 45-68.</w:t>
      </w:r>
    </w:p>
  </w:footnote>
  <w:footnote w:id="16000">
    <w:p w:rsidR="79CE136D" w:rsidP="79CE136D" w:rsidRDefault="79CE136D" w14:paraId="756E15A1" w14:textId="58A328E2">
      <w:pPr>
        <w:pStyle w:val="FootnoteText"/>
        <w:bidi w:val="0"/>
        <w:rPr>
          <w:i w:val="0"/>
          <w:iCs w:val="0"/>
        </w:rPr>
      </w:pPr>
      <w:r w:rsidRPr="79CE136D">
        <w:rPr>
          <w:rStyle w:val="FootnoteReference"/>
        </w:rPr>
        <w:footnoteRef/>
      </w:r>
      <w:r w:rsidR="79CE136D">
        <w:rPr/>
        <w:t xml:space="preserve"> Baynham, </w:t>
      </w:r>
      <w:r w:rsidRPr="79CE136D" w:rsidR="79CE136D">
        <w:rPr>
          <w:i w:val="1"/>
          <w:iCs w:val="1"/>
        </w:rPr>
        <w:t xml:space="preserve">Unique History, </w:t>
      </w:r>
      <w:r w:rsidRPr="79CE136D" w:rsidR="79CE136D">
        <w:rPr>
          <w:i w:val="0"/>
          <w:iCs w:val="0"/>
        </w:rPr>
        <w:t>pp. 52-78.</w:t>
      </w:r>
    </w:p>
  </w:footnote>
  <w:footnote w:id="2512">
    <w:p w:rsidR="79CE136D" w:rsidP="79CE136D" w:rsidRDefault="79CE136D" w14:paraId="4FA20264" w14:textId="4121DE44">
      <w:pPr>
        <w:pStyle w:val="FootnoteText"/>
        <w:bidi w:val="0"/>
      </w:pPr>
      <w:r w:rsidRPr="79CE136D">
        <w:rPr>
          <w:rStyle w:val="FootnoteReference"/>
        </w:rPr>
        <w:footnoteRef/>
      </w:r>
      <w:r w:rsidR="79CE136D">
        <w:rPr/>
        <w:t xml:space="preserve"> Quintus Curtius Rufus, </w:t>
      </w:r>
      <w:r w:rsidRPr="79CE136D" w:rsidR="79CE136D">
        <w:rPr>
          <w:i w:val="1"/>
          <w:iCs w:val="1"/>
        </w:rPr>
        <w:t>Historiae Alexandri Magni,</w:t>
      </w:r>
      <w:r w:rsidR="79CE136D">
        <w:rPr/>
        <w:t xml:space="preserve"> trans. by John Yardley (London: Penguin, 1984), 3.5-6. </w:t>
      </w:r>
    </w:p>
  </w:footnote>
  <w:footnote w:id="19358">
    <w:p w:rsidR="79CE136D" w:rsidP="79CE136D" w:rsidRDefault="79CE136D" w14:paraId="618FEAA0" w14:textId="07F86DB6">
      <w:pPr>
        <w:pStyle w:val="FootnoteText"/>
        <w:bidi w:val="0"/>
        <w:rPr>
          <w:i w:val="0"/>
          <w:iCs w:val="0"/>
        </w:rPr>
      </w:pPr>
      <w:r w:rsidRPr="79CE136D">
        <w:rPr>
          <w:rStyle w:val="FootnoteReference"/>
        </w:rPr>
        <w:footnoteRef/>
      </w:r>
      <w:r w:rsidR="79CE136D">
        <w:rPr/>
        <w:t xml:space="preserve"> Baynham, </w:t>
      </w:r>
      <w:r w:rsidRPr="79CE136D" w:rsidR="79CE136D">
        <w:rPr>
          <w:i w:val="1"/>
          <w:iCs w:val="1"/>
        </w:rPr>
        <w:t>Unique History</w:t>
      </w:r>
      <w:r w:rsidRPr="79CE136D" w:rsidR="79CE136D">
        <w:rPr>
          <w:i w:val="0"/>
          <w:iCs w:val="0"/>
        </w:rPr>
        <w:t>, pp. 52-78; pp. 134-45.</w:t>
      </w:r>
    </w:p>
  </w:footnote>
  <w:footnote w:id="7818">
    <w:p w:rsidR="79CE136D" w:rsidP="79CE136D" w:rsidRDefault="79CE136D" w14:paraId="6E0D726C" w14:textId="5609CBB1">
      <w:pPr>
        <w:pStyle w:val="FootnoteText"/>
        <w:bidi w:val="0"/>
        <w:rPr>
          <w:i w:val="0"/>
          <w:iCs w:val="0"/>
        </w:rPr>
      </w:pPr>
      <w:r w:rsidRPr="79CE136D">
        <w:rPr>
          <w:rStyle w:val="FootnoteReference"/>
        </w:rPr>
        <w:footnoteRef/>
      </w:r>
      <w:r w:rsidR="79CE136D">
        <w:rPr/>
        <w:t xml:space="preserve"> Curtius Rufus, </w:t>
      </w:r>
      <w:r w:rsidRPr="79CE136D" w:rsidR="79CE136D">
        <w:rPr>
          <w:i w:val="1"/>
          <w:iCs w:val="1"/>
        </w:rPr>
        <w:t>Historiae</w:t>
      </w:r>
      <w:r w:rsidRPr="79CE136D" w:rsidR="79CE136D">
        <w:rPr>
          <w:i w:val="0"/>
          <w:iCs w:val="0"/>
        </w:rPr>
        <w:t>, 8.1-2.</w:t>
      </w:r>
    </w:p>
  </w:footnote>
  <w:footnote w:id="17187">
    <w:p w:rsidR="79CE136D" w:rsidP="79CE136D" w:rsidRDefault="79CE136D" w14:paraId="599E908C" w14:textId="2A94B687">
      <w:pPr>
        <w:pStyle w:val="FootnoteText"/>
        <w:bidi w:val="0"/>
        <w:rPr>
          <w:i w:val="0"/>
          <w:iCs w:val="0"/>
        </w:rPr>
      </w:pPr>
      <w:r w:rsidRPr="79CE136D">
        <w:rPr>
          <w:rStyle w:val="FootnoteReference"/>
        </w:rPr>
        <w:footnoteRef/>
      </w:r>
      <w:r w:rsidR="79CE136D">
        <w:rPr/>
        <w:t xml:space="preserve"> Spencer, </w:t>
      </w:r>
      <w:r w:rsidRPr="79CE136D" w:rsidR="79CE136D">
        <w:rPr>
          <w:i w:val="1"/>
          <w:iCs w:val="1"/>
        </w:rPr>
        <w:t xml:space="preserve">Roman Alexander, </w:t>
      </w:r>
      <w:r w:rsidRPr="79CE136D" w:rsidR="79CE136D">
        <w:rPr>
          <w:i w:val="0"/>
          <w:iCs w:val="0"/>
        </w:rPr>
        <w:t xml:space="preserve">pp. 88-95; pp. 100-120. </w:t>
      </w:r>
    </w:p>
  </w:footnote>
  <w:footnote w:id="155">
    <w:p w:rsidR="79CE136D" w:rsidP="79CE136D" w:rsidRDefault="79CE136D" w14:paraId="3096BC2E" w14:textId="2C898CA7">
      <w:pPr>
        <w:pStyle w:val="FootnoteText"/>
        <w:bidi w:val="0"/>
        <w:rPr>
          <w:i w:val="0"/>
          <w:iCs w:val="0"/>
        </w:rPr>
      </w:pPr>
      <w:r w:rsidRPr="79CE136D">
        <w:rPr>
          <w:rStyle w:val="FootnoteReference"/>
        </w:rPr>
        <w:footnoteRef/>
      </w:r>
      <w:r w:rsidR="79CE136D">
        <w:rPr/>
        <w:t xml:space="preserve"> Baynham, </w:t>
      </w:r>
      <w:r w:rsidRPr="79CE136D" w:rsidR="79CE136D">
        <w:rPr>
          <w:i w:val="1"/>
          <w:iCs w:val="1"/>
        </w:rPr>
        <w:t>Unique History</w:t>
      </w:r>
      <w:r w:rsidRPr="79CE136D" w:rsidR="79CE136D">
        <w:rPr>
          <w:i w:val="0"/>
          <w:iCs w:val="0"/>
        </w:rPr>
        <w:t>, pp. 160-175.</w:t>
      </w:r>
    </w:p>
  </w:footnote>
  <w:footnote w:id="19146">
    <w:p w:rsidR="79CE136D" w:rsidP="79CE136D" w:rsidRDefault="79CE136D" w14:paraId="61F8101B" w14:textId="27F56282">
      <w:pPr>
        <w:pStyle w:val="FootnoteText"/>
        <w:bidi w:val="0"/>
        <w:rPr>
          <w:i w:val="0"/>
          <w:iCs w:val="0"/>
        </w:rPr>
      </w:pPr>
      <w:r w:rsidRPr="79CE136D">
        <w:rPr>
          <w:rStyle w:val="FootnoteReference"/>
        </w:rPr>
        <w:footnoteRef/>
      </w:r>
      <w:r w:rsidR="79CE136D">
        <w:rPr/>
        <w:t xml:space="preserve"> Curtius Rufus, </w:t>
      </w:r>
      <w:r w:rsidRPr="79CE136D" w:rsidR="79CE136D">
        <w:rPr>
          <w:i w:val="1"/>
          <w:iCs w:val="1"/>
        </w:rPr>
        <w:t>Historiae</w:t>
      </w:r>
      <w:r w:rsidRPr="79CE136D" w:rsidR="79CE136D">
        <w:rPr>
          <w:i w:val="0"/>
          <w:iCs w:val="0"/>
        </w:rPr>
        <w:t>, 9.2-3.</w:t>
      </w:r>
    </w:p>
  </w:footnote>
  <w:footnote w:id="17655">
    <w:p w:rsidR="79CE136D" w:rsidP="79CE136D" w:rsidRDefault="79CE136D" w14:paraId="025A6B77" w14:textId="66ABA708">
      <w:pPr>
        <w:pStyle w:val="FootnoteText"/>
        <w:bidi w:val="0"/>
      </w:pPr>
      <w:r w:rsidRPr="79CE136D">
        <w:rPr>
          <w:rStyle w:val="FootnoteReference"/>
        </w:rPr>
        <w:footnoteRef/>
      </w:r>
      <w:r w:rsidR="79CE136D">
        <w:rPr/>
        <w:t xml:space="preserve"> </w:t>
      </w:r>
      <w:r w:rsidR="79CE136D">
        <w:rPr/>
        <w:t xml:space="preserve">Heckel, </w:t>
      </w:r>
      <w:r w:rsidRPr="79CE136D" w:rsidR="79CE136D">
        <w:rPr>
          <w:i w:val="1"/>
          <w:iCs w:val="1"/>
        </w:rPr>
        <w:t>Alexander, Heracles, and Achilles</w:t>
      </w:r>
      <w:r w:rsidR="79CE136D">
        <w:rPr/>
        <w:t>, pp. 45-68.</w:t>
      </w:r>
    </w:p>
  </w:footnote>
  <w:footnote w:id="6412">
    <w:p w:rsidR="79CE136D" w:rsidP="79CE136D" w:rsidRDefault="79CE136D" w14:paraId="6DB9003C" w14:textId="27A3115F">
      <w:pPr>
        <w:pStyle w:val="FootnoteText"/>
        <w:bidi w:val="0"/>
      </w:pPr>
      <w:r w:rsidRPr="79CE136D">
        <w:rPr>
          <w:rStyle w:val="FootnoteReference"/>
        </w:rPr>
        <w:footnoteRef/>
      </w:r>
      <w:r w:rsidR="79CE136D">
        <w:rPr/>
        <w:t xml:space="preserve"> Ju</w:t>
      </w:r>
      <w:r w:rsidR="79CE136D">
        <w:rPr/>
        <w:t>lius</w:t>
      </w:r>
      <w:r w:rsidR="79CE136D">
        <w:rPr/>
        <w:t xml:space="preserve"> Valerius, </w:t>
      </w:r>
      <w:r w:rsidRPr="79CE136D" w:rsidR="79CE136D">
        <w:rPr>
          <w:i w:val="1"/>
          <w:iCs w:val="1"/>
        </w:rPr>
        <w:t>Res gestae Alexandri Magni</w:t>
      </w:r>
      <w:r w:rsidR="79CE136D">
        <w:rPr/>
        <w:t>, trans. by Richard Stoneman (London: Penguin, 1991), I.1-5.</w:t>
      </w:r>
    </w:p>
  </w:footnote>
  <w:footnote w:id="21552">
    <w:p w:rsidR="79CE136D" w:rsidP="79CE136D" w:rsidRDefault="79CE136D" w14:paraId="5DDBAB39" w14:textId="0D0470E4">
      <w:pPr>
        <w:pStyle w:val="FootnoteText"/>
        <w:bidi w:val="0"/>
      </w:pPr>
      <w:r w:rsidRPr="79CE136D">
        <w:rPr>
          <w:rStyle w:val="FootnoteReference"/>
        </w:rPr>
        <w:footnoteRef/>
      </w:r>
      <w:r w:rsidR="79CE136D">
        <w:rPr/>
        <w:t xml:space="preserve"> Spencer, </w:t>
      </w:r>
      <w:r w:rsidRPr="79CE136D" w:rsidR="79CE136D">
        <w:rPr>
          <w:i w:val="1"/>
          <w:iCs w:val="1"/>
        </w:rPr>
        <w:t>Roman Alexander</w:t>
      </w:r>
      <w:r w:rsidR="79CE136D">
        <w:rPr/>
        <w:t>, pp. 173-185.</w:t>
      </w:r>
    </w:p>
  </w:footnote>
  <w:footnote w:id="10756">
    <w:p w:rsidR="79CE136D" w:rsidP="79CE136D" w:rsidRDefault="79CE136D" w14:paraId="2F19C181" w14:textId="4E48866B">
      <w:pPr>
        <w:pStyle w:val="FootnoteText"/>
        <w:bidi w:val="0"/>
      </w:pPr>
      <w:r w:rsidRPr="79CE136D">
        <w:rPr>
          <w:rStyle w:val="FootnoteReference"/>
        </w:rPr>
        <w:footnoteRef/>
      </w:r>
      <w:r w:rsidR="79CE136D">
        <w:rPr/>
        <w:t xml:space="preserve"> Heckel, </w:t>
      </w:r>
      <w:r w:rsidRPr="79CE136D" w:rsidR="79CE136D">
        <w:rPr>
          <w:i w:val="1"/>
          <w:iCs w:val="1"/>
        </w:rPr>
        <w:t>Alexander, Heracles, and Achilles</w:t>
      </w:r>
      <w:r w:rsidR="79CE136D">
        <w:rPr/>
        <w:t xml:space="preserve">, pp. 120-145. </w:t>
      </w:r>
    </w:p>
  </w:footnote>
  <w:footnote w:id="5189">
    <w:p w:rsidR="3AB4478C" w:rsidP="3AB4478C" w:rsidRDefault="3AB4478C" w14:paraId="4D067959" w14:textId="6C64CD0C">
      <w:pPr>
        <w:pStyle w:val="FootnoteText"/>
        <w:bidi w:val="0"/>
        <w:rPr>
          <w:i w:val="0"/>
          <w:iCs w:val="0"/>
        </w:rPr>
      </w:pPr>
      <w:r w:rsidRPr="3AB4478C">
        <w:rPr>
          <w:rStyle w:val="FootnoteReference"/>
        </w:rPr>
        <w:footnoteRef/>
      </w:r>
      <w:r w:rsidR="3AB4478C">
        <w:rPr/>
        <w:t xml:space="preserve"> Baynham, </w:t>
      </w:r>
      <w:r w:rsidRPr="3AB4478C" w:rsidR="3AB4478C">
        <w:rPr>
          <w:i w:val="1"/>
          <w:iCs w:val="1"/>
        </w:rPr>
        <w:t>Alexander the Great,</w:t>
      </w:r>
      <w:r w:rsidRPr="3AB4478C" w:rsidR="3AB4478C">
        <w:rPr>
          <w:i w:val="0"/>
          <w:iCs w:val="0"/>
        </w:rPr>
        <w:t xml:space="preserve"> pp. 180-200. </w:t>
      </w:r>
    </w:p>
  </w:footnote>
  <w:footnote w:id="26672">
    <w:p w:rsidR="3AB4478C" w:rsidP="3AB4478C" w:rsidRDefault="3AB4478C" w14:paraId="074D02C9" w14:textId="6B9F9E05">
      <w:pPr>
        <w:pStyle w:val="FootnoteText"/>
        <w:bidi w:val="0"/>
        <w:rPr>
          <w:i w:val="0"/>
          <w:iCs w:val="0"/>
        </w:rPr>
      </w:pPr>
      <w:r w:rsidRPr="3AB4478C">
        <w:rPr>
          <w:rStyle w:val="FootnoteReference"/>
        </w:rPr>
        <w:footnoteRef/>
      </w:r>
      <w:r w:rsidR="3AB4478C">
        <w:rPr/>
        <w:t xml:space="preserve"> Spencer, </w:t>
      </w:r>
      <w:r w:rsidRPr="3AB4478C" w:rsidR="3AB4478C">
        <w:rPr>
          <w:i w:val="1"/>
          <w:iCs w:val="1"/>
        </w:rPr>
        <w:t>The Roman Alexander</w:t>
      </w:r>
      <w:r w:rsidRPr="3AB4478C" w:rsidR="3AB4478C">
        <w:rPr>
          <w:i w:val="0"/>
          <w:iCs w:val="0"/>
        </w:rPr>
        <w:t xml:space="preserve">, pp. 1-15; pp. 200-215. </w:t>
      </w:r>
    </w:p>
  </w:footnote>
</w:footnotes>
</file>

<file path=word/intelligence2.xml><?xml version="1.0" encoding="utf-8"?>
<int2:intelligence xmlns:int2="http://schemas.microsoft.com/office/intelligence/2020/intelligence">
  <int2:observations>
    <int2:bookmark int2:bookmarkName="_Int_ZGbSRiYN" int2:invalidationBookmarkName="" int2:hashCode="AqwXpW+U73UxS6" int2:id="RmNsYRv0">
      <int2:state int2:type="spell" int2:value="Rejected"/>
    </int2:bookmark>
    <int2:bookmark int2:bookmarkName="_Int_60UBjbRR" int2:invalidationBookmarkName="" int2:hashCode="VOZhA2tl+58yyv" int2:id="QYmT9KTr">
      <int2:state int2:type="spell" int2:value="Rejected"/>
    </int2:bookmark>
    <int2:bookmark int2:bookmarkName="_Int_z7wrD8JP" int2:invalidationBookmarkName="" int2:hashCode="qcZVKLakQCoBQs" int2:id="yveFN9Pl">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ac752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5716966"/>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4dda68a"/>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C136F1"/>
    <w:rsid w:val="00C08B03"/>
    <w:rsid w:val="01ECDD44"/>
    <w:rsid w:val="02465223"/>
    <w:rsid w:val="031A5A12"/>
    <w:rsid w:val="0392E2C5"/>
    <w:rsid w:val="0396754C"/>
    <w:rsid w:val="039CA9C1"/>
    <w:rsid w:val="039F0213"/>
    <w:rsid w:val="042C875D"/>
    <w:rsid w:val="048A41B2"/>
    <w:rsid w:val="04A78EE6"/>
    <w:rsid w:val="04DF5A0B"/>
    <w:rsid w:val="04E69098"/>
    <w:rsid w:val="04EBDA57"/>
    <w:rsid w:val="06E6CD7F"/>
    <w:rsid w:val="0812A79C"/>
    <w:rsid w:val="082A9A9F"/>
    <w:rsid w:val="08D1DDB3"/>
    <w:rsid w:val="09CB660B"/>
    <w:rsid w:val="0A0ADCB3"/>
    <w:rsid w:val="0A578970"/>
    <w:rsid w:val="0B3C1E5E"/>
    <w:rsid w:val="0BA140E5"/>
    <w:rsid w:val="0BD17235"/>
    <w:rsid w:val="0CAF9785"/>
    <w:rsid w:val="0F5B0C0F"/>
    <w:rsid w:val="0F74751A"/>
    <w:rsid w:val="10AA85E8"/>
    <w:rsid w:val="12248709"/>
    <w:rsid w:val="137EBC73"/>
    <w:rsid w:val="14F24878"/>
    <w:rsid w:val="14F742C4"/>
    <w:rsid w:val="15329537"/>
    <w:rsid w:val="163976D8"/>
    <w:rsid w:val="16E8680A"/>
    <w:rsid w:val="174A7798"/>
    <w:rsid w:val="17CE9CA7"/>
    <w:rsid w:val="183A1FCD"/>
    <w:rsid w:val="18564AF8"/>
    <w:rsid w:val="18E5CDD3"/>
    <w:rsid w:val="199BB8B0"/>
    <w:rsid w:val="19AEF544"/>
    <w:rsid w:val="19AEF544"/>
    <w:rsid w:val="1A151B2B"/>
    <w:rsid w:val="1A923B97"/>
    <w:rsid w:val="1B146E42"/>
    <w:rsid w:val="1BF1BC83"/>
    <w:rsid w:val="1C009EB6"/>
    <w:rsid w:val="1D6FF834"/>
    <w:rsid w:val="1E5D1E5E"/>
    <w:rsid w:val="1FF359EA"/>
    <w:rsid w:val="2083A6B4"/>
    <w:rsid w:val="2083A6B4"/>
    <w:rsid w:val="208C309C"/>
    <w:rsid w:val="20C136F1"/>
    <w:rsid w:val="20E4A941"/>
    <w:rsid w:val="21750649"/>
    <w:rsid w:val="2185EF6F"/>
    <w:rsid w:val="22D2988F"/>
    <w:rsid w:val="253F39C6"/>
    <w:rsid w:val="253F39C6"/>
    <w:rsid w:val="2565CCA9"/>
    <w:rsid w:val="25BB8854"/>
    <w:rsid w:val="26B0A2B6"/>
    <w:rsid w:val="27D9C7FA"/>
    <w:rsid w:val="28440ECE"/>
    <w:rsid w:val="2A6EB156"/>
    <w:rsid w:val="2AF566E1"/>
    <w:rsid w:val="2B538753"/>
    <w:rsid w:val="2B6F8659"/>
    <w:rsid w:val="2BD477EF"/>
    <w:rsid w:val="2C23E4DD"/>
    <w:rsid w:val="2CDB50B1"/>
    <w:rsid w:val="2D63214B"/>
    <w:rsid w:val="2D9646E5"/>
    <w:rsid w:val="2E9E344F"/>
    <w:rsid w:val="2EA9122C"/>
    <w:rsid w:val="2F3D096E"/>
    <w:rsid w:val="31FE1560"/>
    <w:rsid w:val="33777834"/>
    <w:rsid w:val="34119ECC"/>
    <w:rsid w:val="34F82E34"/>
    <w:rsid w:val="350C70A8"/>
    <w:rsid w:val="35A333AC"/>
    <w:rsid w:val="35B8B266"/>
    <w:rsid w:val="363076C0"/>
    <w:rsid w:val="37BA6826"/>
    <w:rsid w:val="3808E2D8"/>
    <w:rsid w:val="3808E2D8"/>
    <w:rsid w:val="38C56EB9"/>
    <w:rsid w:val="3930FA96"/>
    <w:rsid w:val="3A8D9E0E"/>
    <w:rsid w:val="3A8D9E0E"/>
    <w:rsid w:val="3AB4478C"/>
    <w:rsid w:val="3C3AC835"/>
    <w:rsid w:val="3C65EF3C"/>
    <w:rsid w:val="3DB3A02D"/>
    <w:rsid w:val="3E7551DB"/>
    <w:rsid w:val="3E9F057E"/>
    <w:rsid w:val="3F13AF1E"/>
    <w:rsid w:val="411DA397"/>
    <w:rsid w:val="4137C735"/>
    <w:rsid w:val="4140C06C"/>
    <w:rsid w:val="432196DC"/>
    <w:rsid w:val="440DCEDF"/>
    <w:rsid w:val="442F2BD9"/>
    <w:rsid w:val="448A4873"/>
    <w:rsid w:val="44B2FC70"/>
    <w:rsid w:val="44C86523"/>
    <w:rsid w:val="4575BE14"/>
    <w:rsid w:val="45F52D9B"/>
    <w:rsid w:val="4640744B"/>
    <w:rsid w:val="47E51742"/>
    <w:rsid w:val="47EB166D"/>
    <w:rsid w:val="47F9E447"/>
    <w:rsid w:val="4883FD45"/>
    <w:rsid w:val="4A91AF5B"/>
    <w:rsid w:val="4AF7A751"/>
    <w:rsid w:val="4B50FC5D"/>
    <w:rsid w:val="4B50FC5D"/>
    <w:rsid w:val="4B8C5773"/>
    <w:rsid w:val="4C816E30"/>
    <w:rsid w:val="4DF7D765"/>
    <w:rsid w:val="4EC96B1A"/>
    <w:rsid w:val="4F42AACE"/>
    <w:rsid w:val="4FAB50F0"/>
    <w:rsid w:val="50507934"/>
    <w:rsid w:val="508E7933"/>
    <w:rsid w:val="50D94A4A"/>
    <w:rsid w:val="515B4716"/>
    <w:rsid w:val="5198F5FF"/>
    <w:rsid w:val="52CDCC80"/>
    <w:rsid w:val="52E089F8"/>
    <w:rsid w:val="5355602A"/>
    <w:rsid w:val="5438D323"/>
    <w:rsid w:val="5438D323"/>
    <w:rsid w:val="54E6D1AF"/>
    <w:rsid w:val="5541E00A"/>
    <w:rsid w:val="57171C7A"/>
    <w:rsid w:val="57CB2BA9"/>
    <w:rsid w:val="57DB843C"/>
    <w:rsid w:val="5819CD99"/>
    <w:rsid w:val="5819CD99"/>
    <w:rsid w:val="5886D539"/>
    <w:rsid w:val="5A09A301"/>
    <w:rsid w:val="5A48FE7F"/>
    <w:rsid w:val="5C583759"/>
    <w:rsid w:val="5CB20F61"/>
    <w:rsid w:val="5D2D9904"/>
    <w:rsid w:val="5DDC14F2"/>
    <w:rsid w:val="5EE84483"/>
    <w:rsid w:val="5F24C559"/>
    <w:rsid w:val="5F7D77F0"/>
    <w:rsid w:val="5F7D77F0"/>
    <w:rsid w:val="606BA0E9"/>
    <w:rsid w:val="60E3798F"/>
    <w:rsid w:val="6171DA72"/>
    <w:rsid w:val="622A8BE4"/>
    <w:rsid w:val="6239B404"/>
    <w:rsid w:val="651C58E9"/>
    <w:rsid w:val="66F6A5D7"/>
    <w:rsid w:val="675EEA6F"/>
    <w:rsid w:val="6B24CB4D"/>
    <w:rsid w:val="6BA92B39"/>
    <w:rsid w:val="6C7E6460"/>
    <w:rsid w:val="6CDBAF06"/>
    <w:rsid w:val="6CEE5E9B"/>
    <w:rsid w:val="6D220538"/>
    <w:rsid w:val="6D7F0F7B"/>
    <w:rsid w:val="6DFB7EA5"/>
    <w:rsid w:val="6E42B20D"/>
    <w:rsid w:val="6ED631B3"/>
    <w:rsid w:val="6F8D9BD6"/>
    <w:rsid w:val="705EA4B3"/>
    <w:rsid w:val="707FA472"/>
    <w:rsid w:val="7118DC5B"/>
    <w:rsid w:val="714F29F8"/>
    <w:rsid w:val="718EB7CB"/>
    <w:rsid w:val="72B9CC04"/>
    <w:rsid w:val="739F3E5B"/>
    <w:rsid w:val="73DD0526"/>
    <w:rsid w:val="7447C414"/>
    <w:rsid w:val="744DC93E"/>
    <w:rsid w:val="7472BD34"/>
    <w:rsid w:val="759C1848"/>
    <w:rsid w:val="75B5460A"/>
    <w:rsid w:val="767FA3DA"/>
    <w:rsid w:val="76CB0870"/>
    <w:rsid w:val="77989D80"/>
    <w:rsid w:val="79C1AB37"/>
    <w:rsid w:val="79CE136D"/>
    <w:rsid w:val="7A304895"/>
    <w:rsid w:val="7B8B7297"/>
    <w:rsid w:val="7CA7575C"/>
    <w:rsid w:val="7CC22C14"/>
    <w:rsid w:val="7CECC2B4"/>
    <w:rsid w:val="7CECC2B4"/>
    <w:rsid w:val="7E18CFF9"/>
    <w:rsid w:val="7E8E4DFC"/>
    <w:rsid w:val="7F44AA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136F1"/>
  <w15:chartTrackingRefBased/>
  <w15:docId w15:val="{0B955579-D9C3-4BE8-B068-55098BCB0E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F3D096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9CE136D"/>
    <w:pPr>
      <w:spacing/>
      <w:ind w:left="720"/>
      <w:contextualSpacing/>
    </w:pPr>
  </w:style>
  <w:style w:type="paragraph" w:styleId="FootnoteText">
    <w:uiPriority w:val="99"/>
    <w:name w:val="footnote text"/>
    <w:basedOn w:val="Normal"/>
    <w:semiHidden/>
    <w:unhideWhenUsed/>
    <w:rsid w:val="79CE136D"/>
    <w:rPr>
      <w:sz w:val="20"/>
      <w:szCs w:val="20"/>
    </w:rPr>
    <w:pPr>
      <w:spacing w:after="0" w:line="240" w:lineRule="auto"/>
    </w:pPr>
  </w:style>
  <w:style w:type="character" w:styleId="FootnoteReference">
    <w:uiPriority w:val="99"/>
    <w:name w:val="footnote reference"/>
    <w:basedOn w:val="DefaultParagraphFont"/>
    <w:semiHidden/>
    <w:unhideWhenUsed/>
    <w:rsid w:val="79CE136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806082211548419f" /><Relationship Type="http://schemas.microsoft.com/office/2020/10/relationships/intelligence" Target="intelligence2.xml" Id="R656982ac84d443d3" /><Relationship Type="http://schemas.openxmlformats.org/officeDocument/2006/relationships/numbering" Target="numbering.xml" Id="R8ae87c8550894f2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2026-02-22T17:36:01.4329946Z</dcterms:created>
  <dcterms:modified xsi:type="dcterms:W3CDTF">2026-02-22T21:37:34.2743726Z</dcterms:modified>
  <dc:creator>Caitlin Clyne (2304935)</dc:creator>
  <lastModifiedBy>Caitlin Clyne (2304935)</lastModifiedBy>
</coreProperties>
</file>