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rFonts w:ascii="Calibri" w:cs="Calibri" w:eastAsia="Calibri" w:hAnsi="Calibri"/>
          <w:sz w:val="22"/>
          <w:szCs w:val="22"/>
        </w:rPr>
      </w:pPr>
      <w:bookmarkStart w:colFirst="0" w:colLast="0" w:name="_heading=h.uhw0pwvoyd75" w:id="0"/>
      <w:bookmarkEnd w:id="0"/>
      <w:r w:rsidDel="00000000" w:rsidR="00000000" w:rsidRPr="00000000">
        <w:rPr>
          <w:rtl w:val="0"/>
        </w:rPr>
      </w:r>
    </w:p>
    <w:p w:rsidR="00000000" w:rsidDel="00000000" w:rsidP="00000000" w:rsidRDefault="00000000" w:rsidRPr="00000000" w14:paraId="00000002">
      <w:pPr>
        <w:spacing w:line="360" w:lineRule="auto"/>
        <w:jc w:val="center"/>
        <w:rPr>
          <w:rFonts w:ascii="Calibri" w:cs="Calibri" w:eastAsia="Calibri" w:hAnsi="Calibri"/>
          <w:sz w:val="22"/>
          <w:szCs w:val="22"/>
        </w:rPr>
      </w:pPr>
      <w:r w:rsidDel="00000000" w:rsidR="00000000" w:rsidRPr="00000000">
        <w:rPr>
          <w:rFonts w:ascii="Calibri" w:cs="Calibri" w:eastAsia="Calibri" w:hAnsi="Calibri"/>
          <w:sz w:val="22"/>
          <w:szCs w:val="22"/>
        </w:rPr>
        <w:drawing>
          <wp:inline distB="0" distT="0" distL="0" distR="0">
            <wp:extent cx="1634959" cy="644316"/>
            <wp:effectExtent b="0" l="0" r="0" t="0"/>
            <wp:docPr id="45"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634959" cy="644316"/>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spacing w:line="360" w:lineRule="auto"/>
        <w:jc w:val="center"/>
        <w:rPr>
          <w:rFonts w:ascii="Calibri" w:cs="Calibri" w:eastAsia="Calibri" w:hAnsi="Calibri"/>
          <w:sz w:val="22"/>
          <w:szCs w:val="22"/>
        </w:rPr>
      </w:pPr>
      <w:r w:rsidDel="00000000" w:rsidR="00000000" w:rsidRPr="00000000">
        <w:rPr>
          <w:rtl w:val="0"/>
        </w:rPr>
      </w:r>
    </w:p>
    <w:tbl>
      <w:tblPr>
        <w:tblStyle w:val="Table1"/>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350"/>
        <w:tblGridChange w:id="0">
          <w:tblGrid>
            <w:gridCol w:w="9350"/>
          </w:tblGrid>
        </w:tblGridChange>
      </w:tblGrid>
      <w:tr>
        <w:trPr>
          <w:cantSplit w:val="0"/>
          <w:tblHeader w:val="0"/>
        </w:trPr>
        <w:tc>
          <w:tcPr>
            <w:shd w:fill="e7e6e6" w:val="clear"/>
          </w:tcPr>
          <w:p w:rsidR="00000000" w:rsidDel="00000000" w:rsidP="00000000" w:rsidRDefault="00000000" w:rsidRPr="00000000" w14:paraId="00000004">
            <w:pPr>
              <w:spacing w:line="360" w:lineRule="auto"/>
              <w:jc w:val="center"/>
              <w:rPr>
                <w:b w:val="1"/>
                <w:bCs w:val="1"/>
              </w:rPr>
            </w:pPr>
            <w:r w:rsidDel="00000000" w:rsidR="00000000" w:rsidRPr="00000000">
              <w:rPr>
                <w:rtl w:val="0"/>
              </w:rPr>
            </w:r>
          </w:p>
          <w:p w:rsidR="00000000" w:rsidDel="00000000" w:rsidP="00000000" w:rsidRDefault="00000000" w:rsidRPr="00000000" w14:paraId="00000005">
            <w:pPr>
              <w:spacing w:line="360" w:lineRule="auto"/>
              <w:jc w:val="center"/>
              <w:rPr>
                <w:b w:val="1"/>
                <w:bCs w:val="1"/>
              </w:rPr>
            </w:pPr>
            <w:r w:rsidDel="00000000" w:rsidR="00000000" w:rsidRPr="00000000">
              <w:rPr>
                <w:b w:val="1"/>
                <w:bCs w:val="1"/>
                <w:rtl w:val="0"/>
              </w:rPr>
              <w:t xml:space="preserve">UNDERGRADUATE DISSERTATION</w:t>
            </w:r>
          </w:p>
          <w:p w:rsidR="00000000" w:rsidDel="00000000" w:rsidP="00000000" w:rsidRDefault="00000000" w:rsidRPr="00000000" w14:paraId="00000006">
            <w:pPr>
              <w:spacing w:line="360" w:lineRule="auto"/>
              <w:jc w:val="center"/>
              <w:rPr>
                <w:b w:val="1"/>
                <w:bCs w:val="1"/>
              </w:rPr>
            </w:pPr>
            <w:r w:rsidDel="00000000" w:rsidR="00000000" w:rsidRPr="00000000">
              <w:rPr>
                <w:b w:val="1"/>
                <w:bCs w:val="1"/>
                <w:rtl w:val="0"/>
              </w:rPr>
              <w:t xml:space="preserve">RESEARCH PROPOSAL FORM</w:t>
            </w:r>
          </w:p>
          <w:p w:rsidR="00000000" w:rsidDel="00000000" w:rsidP="00000000" w:rsidRDefault="00000000" w:rsidRPr="00000000" w14:paraId="00000007">
            <w:pPr>
              <w:spacing w:line="360" w:lineRule="auto"/>
              <w:jc w:val="center"/>
              <w:rPr>
                <w:rFonts w:ascii="Calibri" w:cs="Calibri" w:eastAsia="Calibri" w:hAnsi="Calibri"/>
                <w:sz w:val="22"/>
                <w:szCs w:val="22"/>
              </w:rPr>
            </w:pPr>
            <w:r w:rsidDel="00000000" w:rsidR="00000000" w:rsidRPr="00000000">
              <w:rPr>
                <w:rtl w:val="0"/>
              </w:rPr>
            </w:r>
          </w:p>
        </w:tc>
      </w:tr>
    </w:tbl>
    <w:p w:rsidR="00000000" w:rsidDel="00000000" w:rsidP="00000000" w:rsidRDefault="00000000" w:rsidRPr="00000000" w14:paraId="00000008">
      <w:pPr>
        <w:spacing w:line="360" w:lineRule="auto"/>
        <w:ind w:right="-199"/>
        <w:rPr>
          <w:rFonts w:ascii="Calibri" w:cs="Calibri" w:eastAsia="Calibri" w:hAnsi="Calibri"/>
          <w:sz w:val="22"/>
          <w:szCs w:val="22"/>
        </w:rPr>
      </w:pPr>
      <w:r w:rsidDel="00000000" w:rsidR="00000000" w:rsidRPr="00000000">
        <w:rPr>
          <w:rFonts w:ascii="Calibri" w:cs="Calibri" w:eastAsia="Calibri" w:hAnsi="Calibri"/>
          <w:b w:val="1"/>
          <w:bCs w:val="1"/>
          <w:sz w:val="22"/>
          <w:szCs w:val="22"/>
          <w:rtl w:val="0"/>
        </w:rPr>
        <w:t xml:space="preserve"> </w:t>
      </w:r>
      <w:r w:rsidDel="00000000" w:rsidR="00000000" w:rsidRPr="00000000">
        <w:rPr>
          <w:rtl w:val="0"/>
        </w:rPr>
      </w:r>
    </w:p>
    <w:p w:rsidR="00000000" w:rsidDel="00000000" w:rsidP="00000000" w:rsidRDefault="00000000" w:rsidRPr="00000000" w14:paraId="00000009">
      <w:pPr>
        <w:spacing w:line="360" w:lineRule="auto"/>
        <w:rPr>
          <w:sz w:val="22"/>
          <w:szCs w:val="22"/>
        </w:rPr>
      </w:pPr>
      <w:r w:rsidDel="00000000" w:rsidR="00000000" w:rsidRPr="00000000">
        <w:rPr>
          <w:sz w:val="22"/>
          <w:szCs w:val="22"/>
          <w:rtl w:val="0"/>
        </w:rPr>
        <w:t xml:space="preserve">Please complete the following research proposal and email to </w:t>
      </w:r>
      <w:hyperlink r:id="rId8">
        <w:r w:rsidDel="00000000" w:rsidR="00000000" w:rsidRPr="00000000">
          <w:rPr>
            <w:color w:val="0000ff"/>
            <w:sz w:val="22"/>
            <w:szCs w:val="22"/>
            <w:u w:val="single"/>
            <w:rtl w:val="0"/>
          </w:rPr>
          <w:t xml:space="preserve">mike.durke@uwtsd.ac.uk</w:t>
        </w:r>
      </w:hyperlink>
      <w:r w:rsidDel="00000000" w:rsidR="00000000" w:rsidRPr="00000000">
        <w:rPr>
          <w:sz w:val="22"/>
          <w:szCs w:val="22"/>
          <w:rtl w:val="0"/>
        </w:rPr>
        <w:t xml:space="preserve"> </w:t>
      </w:r>
    </w:p>
    <w:p w:rsidR="00000000" w:rsidDel="00000000" w:rsidP="00000000" w:rsidRDefault="00000000" w:rsidRPr="00000000" w14:paraId="0000000A">
      <w:pPr>
        <w:spacing w:line="360" w:lineRule="auto"/>
        <w:jc w:val="both"/>
        <w:rPr>
          <w:rFonts w:ascii="Calibri" w:cs="Calibri" w:eastAsia="Calibri" w:hAnsi="Calibri"/>
          <w:sz w:val="22"/>
          <w:szCs w:val="22"/>
        </w:rPr>
      </w:pPr>
      <w:r w:rsidDel="00000000" w:rsidR="00000000" w:rsidRPr="00000000">
        <w:rPr>
          <w:rtl w:val="0"/>
        </w:rPr>
      </w:r>
    </w:p>
    <w:tbl>
      <w:tblPr>
        <w:tblStyle w:val="Table2"/>
        <w:tblW w:w="9077.0" w:type="dxa"/>
        <w:jc w:val="left"/>
        <w:tblInd w:w="-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242"/>
        <w:gridCol w:w="2835"/>
        <w:tblGridChange w:id="0">
          <w:tblGrid>
            <w:gridCol w:w="6242"/>
            <w:gridCol w:w="2835"/>
          </w:tblGrid>
        </w:tblGridChange>
      </w:tblGrid>
      <w:tr>
        <w:trPr>
          <w:cantSplit w:val="0"/>
          <w:tblHeader w:val="0"/>
        </w:trPr>
        <w:tc>
          <w:tcPr>
            <w:tcMar>
              <w:top w:w="0.0" w:type="dxa"/>
              <w:left w:w="108.0" w:type="dxa"/>
              <w:bottom w:w="0.0" w:type="dxa"/>
              <w:right w:w="108.0" w:type="dxa"/>
            </w:tcMar>
          </w:tcPr>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NAME: William Bryce</w:t>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tc>
        <w:tc>
          <w:tcPr/>
          <w:p w:rsidR="00000000" w:rsidDel="00000000" w:rsidP="00000000" w:rsidRDefault="00000000" w:rsidRPr="00000000" w14:paraId="0000000D">
            <w:pPr>
              <w:spacing w:line="360" w:lineRule="auto"/>
              <w:jc w:val="both"/>
              <w:rPr>
                <w:sz w:val="22"/>
                <w:szCs w:val="22"/>
              </w:rPr>
            </w:pPr>
            <w:r w:rsidDel="00000000" w:rsidR="00000000" w:rsidRPr="00000000">
              <w:rPr>
                <w:rFonts w:ascii="Calibri" w:cs="Calibri" w:eastAsia="Calibri" w:hAnsi="Calibri"/>
                <w:b w:val="1"/>
                <w:bCs w:val="1"/>
                <w:sz w:val="22"/>
                <w:szCs w:val="22"/>
                <w:rtl w:val="0"/>
              </w:rPr>
              <w:t xml:space="preserve"> </w:t>
            </w:r>
            <w:r w:rsidDel="00000000" w:rsidR="00000000" w:rsidRPr="00000000">
              <w:rPr>
                <w:b w:val="1"/>
                <w:bCs w:val="1"/>
                <w:sz w:val="22"/>
                <w:szCs w:val="22"/>
                <w:rtl w:val="0"/>
              </w:rPr>
              <w:t xml:space="preserve">ID No.: 2416710</w:t>
            </w:r>
            <w:r w:rsidDel="00000000" w:rsidR="00000000" w:rsidRPr="00000000">
              <w:rPr>
                <w:rtl w:val="0"/>
              </w:rPr>
            </w:r>
          </w:p>
        </w:tc>
      </w:tr>
      <w:tr>
        <w:trPr>
          <w:cantSplit w:val="0"/>
          <w:tblHeader w:val="0"/>
        </w:trPr>
        <w:tc>
          <w:tcPr>
            <w:gridSpan w:val="2"/>
            <w:shd w:fill="ffffff" w:val="clear"/>
            <w:tcMar>
              <w:top w:w="0.0" w:type="dxa"/>
              <w:left w:w="108.0" w:type="dxa"/>
              <w:bottom w:w="0.0" w:type="dxa"/>
              <w:right w:w="108.0" w:type="dxa"/>
            </w:tcMar>
          </w:tcPr>
          <w:p w:rsidR="00000000" w:rsidDel="00000000" w:rsidP="00000000" w:rsidRDefault="00000000" w:rsidRPr="00000000" w14:paraId="0000000E">
            <w:pPr>
              <w:spacing w:line="360" w:lineRule="auto"/>
              <w:jc w:val="both"/>
              <w:rPr>
                <w:sz w:val="22"/>
                <w:szCs w:val="22"/>
              </w:rPr>
            </w:pPr>
            <w:r w:rsidDel="00000000" w:rsidR="00000000" w:rsidRPr="00000000">
              <w:rPr>
                <w:b w:val="1"/>
                <w:bCs w:val="1"/>
                <w:sz w:val="22"/>
                <w:szCs w:val="22"/>
                <w:rtl w:val="0"/>
              </w:rPr>
              <w:t xml:space="preserve">DRAFT RESEARCH TITLE QUESTION:</w:t>
            </w:r>
            <w:r w:rsidDel="00000000" w:rsidR="00000000" w:rsidRPr="00000000">
              <w:rPr>
                <w:rtl w:val="0"/>
              </w:rPr>
            </w:r>
          </w:p>
          <w:p w:rsidR="00000000" w:rsidDel="00000000" w:rsidP="00000000" w:rsidRDefault="00000000" w:rsidRPr="00000000" w14:paraId="0000000F">
            <w:pPr>
              <w:spacing w:line="360" w:lineRule="auto"/>
              <w:jc w:val="both"/>
              <w:rPr>
                <w:sz w:val="22"/>
                <w:szCs w:val="22"/>
                <w:highlight w:val="yellow"/>
              </w:rPr>
            </w:pPr>
            <w:r w:rsidDel="00000000" w:rsidR="00000000" w:rsidRPr="00000000">
              <w:rPr>
                <w:sz w:val="22"/>
                <w:szCs w:val="22"/>
                <w:rtl w:val="0"/>
              </w:rPr>
              <w:t xml:space="preserve">Why this topic?  Why is it worthy of consideration for an undergraduate dissertation? </w:t>
            </w:r>
            <w:r w:rsidDel="00000000" w:rsidR="00000000" w:rsidRPr="00000000">
              <w:rPr>
                <w:rtl w:val="0"/>
              </w:rPr>
            </w:r>
          </w:p>
          <w:p w:rsidR="00000000" w:rsidDel="00000000" w:rsidP="00000000" w:rsidRDefault="00000000" w:rsidRPr="00000000" w14:paraId="00000010">
            <w:pPr>
              <w:tabs>
                <w:tab w:val="left" w:leader="none" w:pos="1860"/>
              </w:tabs>
              <w:spacing w:line="360" w:lineRule="auto"/>
              <w:jc w:val="both"/>
              <w:rPr>
                <w:sz w:val="22"/>
                <w:szCs w:val="22"/>
                <w:highlight w:val="yellow"/>
              </w:rPr>
            </w:pPr>
            <w:r w:rsidDel="00000000" w:rsidR="00000000" w:rsidRPr="00000000">
              <w:rPr>
                <w:sz w:val="22"/>
                <w:szCs w:val="22"/>
                <w:highlight w:val="yellow"/>
                <w:rtl w:val="0"/>
              </w:rPr>
              <w:t xml:space="preserve"> </w:t>
            </w:r>
          </w:p>
          <w:p w:rsidR="00000000" w:rsidDel="00000000" w:rsidP="00000000" w:rsidRDefault="00000000" w:rsidRPr="00000000" w14:paraId="00000011">
            <w:pPr>
              <w:tabs>
                <w:tab w:val="left" w:leader="none" w:pos="1860"/>
              </w:tabs>
              <w:spacing w:after="160" w:line="360" w:lineRule="auto"/>
              <w:jc w:val="both"/>
              <w:rPr/>
            </w:pPr>
            <w:r w:rsidDel="00000000" w:rsidR="00000000" w:rsidRPr="00000000">
              <w:rPr>
                <w:rtl w:val="0"/>
              </w:rPr>
              <w:t xml:space="preserve">This topic is worthy of consideration because it addresses a current and increasingly significant issue within Criminology, policing, and online extremism. Incel communities have attracted increased attention over the past decade due to their association with misogynistic ideology, grievance based narratives, and acts of real world violence such as the 2018 Toronto attack, as well as the 2014 Isla Vista killings by  Elliot Rodgers (Hoffman, Ware, and Shapiro, 2020; Baele, Brace, and Coan, 2021). The Black Pill ideology is significant because it encourages nihilist fatalistic beliefs surrounding gender relations, rejection, and male victimhood/suffering, which may contribute to the normalisation and or justification of violence (Lindsay, 2022). </w:t>
            </w:r>
          </w:p>
          <w:p w:rsidR="00000000" w:rsidDel="00000000" w:rsidP="00000000" w:rsidRDefault="00000000" w:rsidRPr="00000000" w14:paraId="00000012">
            <w:pPr>
              <w:tabs>
                <w:tab w:val="left" w:leader="none" w:pos="1860"/>
              </w:tabs>
              <w:spacing w:after="160" w:line="360" w:lineRule="auto"/>
              <w:jc w:val="both"/>
              <w:rPr/>
            </w:pPr>
            <w:r w:rsidDel="00000000" w:rsidR="00000000" w:rsidRPr="00000000">
              <w:rPr>
                <w:rtl w:val="0"/>
              </w:rPr>
              <w:t xml:space="preserve">The topic of incel (involuntary celibate) extremism is suitable for an undergraduate dissertation because it allows for the investigation of an emerging criminological issue, while also engaging in wider discussions surrounding radicalisation, online extremism, masculinity, and violence against women and girls. </w:t>
            </w:r>
          </w:p>
          <w:p w:rsidR="00000000" w:rsidDel="00000000" w:rsidP="00000000" w:rsidRDefault="00000000" w:rsidRPr="00000000" w14:paraId="00000013">
            <w:pPr>
              <w:tabs>
                <w:tab w:val="left" w:leader="none" w:pos="1860"/>
              </w:tabs>
              <w:spacing w:after="160" w:line="360" w:lineRule="auto"/>
              <w:jc w:val="both"/>
              <w:rPr>
                <w:sz w:val="22"/>
                <w:szCs w:val="22"/>
                <w:highlight w:val="yellow"/>
              </w:rPr>
            </w:pPr>
            <w:r w:rsidDel="00000000" w:rsidR="00000000" w:rsidRPr="00000000">
              <w:rPr>
                <w:rtl w:val="0"/>
              </w:rPr>
              <w:t xml:space="preserve">This study on incel extremism is valuable because it focuses on how it is perceived  by the general public, rather than specialist groups, providing primary data on whether it is seen as a credible pathway to violence in the UK. </w:t>
            </w:r>
            <w:r w:rsidDel="00000000" w:rsidR="00000000" w:rsidRPr="00000000">
              <w:rPr>
                <w:rtl w:val="0"/>
              </w:rPr>
            </w:r>
          </w:p>
          <w:p w:rsidR="00000000" w:rsidDel="00000000" w:rsidP="00000000" w:rsidRDefault="00000000" w:rsidRPr="00000000" w14:paraId="00000014">
            <w:pPr>
              <w:tabs>
                <w:tab w:val="left" w:leader="none" w:pos="1860"/>
              </w:tabs>
              <w:spacing w:line="360" w:lineRule="auto"/>
              <w:jc w:val="both"/>
              <w:rPr>
                <w:sz w:val="22"/>
                <w:szCs w:val="22"/>
              </w:rPr>
            </w:pPr>
            <w:r w:rsidDel="00000000" w:rsidR="00000000" w:rsidRPr="00000000">
              <w:rPr>
                <w:rtl w:val="0"/>
              </w:rPr>
            </w:r>
          </w:p>
        </w:tc>
      </w:tr>
      <w:tr>
        <w:trPr>
          <w:cantSplit w:val="0"/>
          <w:tblHeader w:val="0"/>
        </w:trPr>
        <w:tc>
          <w:tcPr>
            <w:gridSpan w:val="2"/>
            <w:tcMar>
              <w:top w:w="0.0" w:type="dxa"/>
              <w:left w:w="108.0" w:type="dxa"/>
              <w:bottom w:w="0.0" w:type="dxa"/>
              <w:right w:w="108.0" w:type="dxa"/>
            </w:tcMar>
          </w:tcPr>
          <w:p w:rsidR="00000000" w:rsidDel="00000000" w:rsidP="00000000" w:rsidRDefault="00000000" w:rsidRPr="00000000" w14:paraId="00000016">
            <w:pPr>
              <w:spacing w:line="360" w:lineRule="auto"/>
              <w:jc w:val="both"/>
              <w:rPr>
                <w:b w:val="1"/>
                <w:bCs w:val="1"/>
                <w:sz w:val="22"/>
                <w:szCs w:val="22"/>
              </w:rPr>
            </w:pPr>
            <w:r w:rsidDel="00000000" w:rsidR="00000000" w:rsidRPr="00000000">
              <w:rPr>
                <w:b w:val="1"/>
                <w:bCs w:val="1"/>
                <w:sz w:val="22"/>
                <w:szCs w:val="22"/>
                <w:rtl w:val="0"/>
              </w:rPr>
              <w:t xml:space="preserve">SUMMARY OF RESEARCH AIM &amp; OBJECTIVES: </w:t>
            </w:r>
          </w:p>
          <w:p w:rsidR="00000000" w:rsidDel="00000000" w:rsidP="00000000" w:rsidRDefault="00000000" w:rsidRPr="00000000" w14:paraId="00000017">
            <w:pPr>
              <w:spacing w:line="360" w:lineRule="auto"/>
              <w:rPr>
                <w:sz w:val="22"/>
                <w:szCs w:val="22"/>
              </w:rPr>
            </w:pPr>
            <w:r w:rsidDel="00000000" w:rsidR="00000000" w:rsidRPr="00000000">
              <w:rPr>
                <w:sz w:val="22"/>
                <w:szCs w:val="22"/>
                <w:rtl w:val="0"/>
              </w:rPr>
              <w:t xml:space="preserve">The assessment specification has broken down the structure of the dissertation or placement-based project. Here, you are required to clarify the information you want to collect on your research topic in the form of two, three or four key objectives: </w:t>
            </w:r>
          </w:p>
          <w:p w:rsidR="00000000" w:rsidDel="00000000" w:rsidP="00000000" w:rsidRDefault="00000000" w:rsidRPr="00000000" w14:paraId="00000018">
            <w:pPr>
              <w:spacing w:line="360" w:lineRule="auto"/>
              <w:rPr>
                <w:sz w:val="22"/>
                <w:szCs w:val="22"/>
              </w:rPr>
            </w:pPr>
            <w:r w:rsidDel="00000000" w:rsidR="00000000" w:rsidRPr="00000000">
              <w:rPr>
                <w:rtl w:val="0"/>
              </w:rPr>
            </w:r>
          </w:p>
          <w:p w:rsidR="00000000" w:rsidDel="00000000" w:rsidP="00000000" w:rsidRDefault="00000000" w:rsidRPr="00000000" w14:paraId="00000019">
            <w:pPr>
              <w:spacing w:after="160" w:line="360" w:lineRule="auto"/>
              <w:jc w:val="both"/>
              <w:rPr/>
            </w:pPr>
            <w:r w:rsidDel="00000000" w:rsidR="00000000" w:rsidRPr="00000000">
              <w:rPr>
                <w:rtl w:val="0"/>
              </w:rPr>
              <w:t xml:space="preserve">Aim:</w:t>
            </w:r>
          </w:p>
          <w:p w:rsidR="00000000" w:rsidDel="00000000" w:rsidP="00000000" w:rsidRDefault="00000000" w:rsidRPr="00000000" w14:paraId="0000001A">
            <w:pPr>
              <w:spacing w:after="160" w:line="360" w:lineRule="auto"/>
              <w:jc w:val="both"/>
              <w:rPr/>
            </w:pPr>
            <w:r w:rsidDel="00000000" w:rsidR="00000000" w:rsidRPr="00000000">
              <w:rPr>
                <w:rtl w:val="0"/>
              </w:rPr>
              <w:t xml:space="preserve">This study aims to critically examine the Black Pill ideology within incel communities, and explore its potential role as a pathway to violence. It also aims to investigate how incel extremism is understood by the public in order to  assess whether it is perceived as a credible emerging threat within the UK.</w:t>
            </w:r>
          </w:p>
          <w:p w:rsidR="00000000" w:rsidDel="00000000" w:rsidP="00000000" w:rsidRDefault="00000000" w:rsidRPr="00000000" w14:paraId="0000001B">
            <w:pPr>
              <w:spacing w:after="160" w:line="360" w:lineRule="auto"/>
              <w:jc w:val="both"/>
              <w:rPr/>
            </w:pPr>
            <w:r w:rsidDel="00000000" w:rsidR="00000000" w:rsidRPr="00000000">
              <w:rPr>
                <w:rtl w:val="0"/>
              </w:rPr>
              <w:t xml:space="preserve">Objectives:</w:t>
            </w:r>
          </w:p>
          <w:p w:rsidR="00000000" w:rsidDel="00000000" w:rsidP="00000000" w:rsidRDefault="00000000" w:rsidRPr="00000000" w14:paraId="0000001C">
            <w:pPr>
              <w:numPr>
                <w:ilvl w:val="0"/>
                <w:numId w:val="1"/>
              </w:numPr>
              <w:spacing w:line="360" w:lineRule="auto"/>
              <w:ind w:left="720" w:hanging="360"/>
              <w:jc w:val="both"/>
              <w:rPr>
                <w:rFonts w:ascii="Arial" w:cs="Arial" w:eastAsia="Arial" w:hAnsi="Arial"/>
              </w:rPr>
            </w:pPr>
            <w:r w:rsidDel="00000000" w:rsidR="00000000" w:rsidRPr="00000000">
              <w:rPr>
                <w:rtl w:val="0"/>
              </w:rPr>
              <w:t xml:space="preserve">Identify the core beliefs, narratives, and characteristics associated with the Black Pill ideology.</w:t>
            </w:r>
          </w:p>
          <w:p w:rsidR="00000000" w:rsidDel="00000000" w:rsidP="00000000" w:rsidRDefault="00000000" w:rsidRPr="00000000" w14:paraId="0000001D">
            <w:pPr>
              <w:numPr>
                <w:ilvl w:val="0"/>
                <w:numId w:val="1"/>
              </w:numPr>
              <w:spacing w:line="360" w:lineRule="auto"/>
              <w:ind w:left="720" w:hanging="360"/>
              <w:jc w:val="both"/>
              <w:rPr>
                <w:rFonts w:ascii="Arial" w:cs="Arial" w:eastAsia="Arial" w:hAnsi="Arial"/>
              </w:rPr>
            </w:pPr>
            <w:r w:rsidDel="00000000" w:rsidR="00000000" w:rsidRPr="00000000">
              <w:rPr>
                <w:rtl w:val="0"/>
              </w:rPr>
              <w:t xml:space="preserve">Critically evaluate whether the Black Pill ideology aligns with recognised theories of radicalisation and extremism and the implications for managing risk.</w:t>
            </w:r>
          </w:p>
          <w:p w:rsidR="00000000" w:rsidDel="00000000" w:rsidP="00000000" w:rsidRDefault="00000000" w:rsidRPr="00000000" w14:paraId="0000001E">
            <w:pPr>
              <w:numPr>
                <w:ilvl w:val="0"/>
                <w:numId w:val="1"/>
              </w:numPr>
              <w:spacing w:after="160" w:line="360" w:lineRule="auto"/>
              <w:ind w:left="720" w:hanging="360"/>
              <w:jc w:val="both"/>
              <w:rPr>
                <w:rFonts w:ascii="Arial" w:cs="Arial" w:eastAsia="Arial" w:hAnsi="Arial"/>
              </w:rPr>
            </w:pPr>
            <w:r w:rsidDel="00000000" w:rsidR="00000000" w:rsidRPr="00000000">
              <w:rPr>
                <w:rtl w:val="0"/>
              </w:rPr>
              <w:t xml:space="preserve">Explore how the public understands incel extremism, and whether it is seen as a credible emerging threat in the UK.</w:t>
            </w:r>
            <w:r w:rsidDel="00000000" w:rsidR="00000000" w:rsidRPr="00000000">
              <w:rPr>
                <w:rtl w:val="0"/>
              </w:rPr>
            </w:r>
          </w:p>
          <w:p w:rsidR="00000000" w:rsidDel="00000000" w:rsidP="00000000" w:rsidRDefault="00000000" w:rsidRPr="00000000" w14:paraId="0000001F">
            <w:pPr>
              <w:spacing w:line="360" w:lineRule="auto"/>
              <w:jc w:val="both"/>
              <w:rPr>
                <w:sz w:val="22"/>
                <w:szCs w:val="22"/>
              </w:rPr>
            </w:pPr>
            <w:r w:rsidDel="00000000" w:rsidR="00000000" w:rsidRPr="00000000">
              <w:rPr>
                <w:rtl w:val="0"/>
              </w:rPr>
            </w:r>
          </w:p>
        </w:tc>
      </w:tr>
      <w:tr>
        <w:trPr>
          <w:cantSplit w:val="0"/>
          <w:tblHeader w:val="0"/>
        </w:trPr>
        <w:tc>
          <w:tcPr>
            <w:gridSpan w:val="2"/>
            <w:tcMar>
              <w:top w:w="0.0" w:type="dxa"/>
              <w:left w:w="108.0" w:type="dxa"/>
              <w:bottom w:w="0.0" w:type="dxa"/>
              <w:right w:w="108.0" w:type="dxa"/>
            </w:tcMar>
          </w:tcPr>
          <w:p w:rsidR="00000000" w:rsidDel="00000000" w:rsidP="00000000" w:rsidRDefault="00000000" w:rsidRPr="00000000" w14:paraId="00000021">
            <w:pPr>
              <w:spacing w:line="360" w:lineRule="auto"/>
              <w:rPr>
                <w:b w:val="1"/>
                <w:bCs w:val="1"/>
                <w:sz w:val="22"/>
                <w:szCs w:val="22"/>
              </w:rPr>
            </w:pPr>
            <w:r w:rsidDel="00000000" w:rsidR="00000000" w:rsidRPr="00000000">
              <w:rPr>
                <w:b w:val="1"/>
                <w:bCs w:val="1"/>
                <w:sz w:val="22"/>
                <w:szCs w:val="22"/>
                <w:rtl w:val="0"/>
              </w:rPr>
              <w:t xml:space="preserve">THEORETICAL CONTEXT:</w:t>
            </w:r>
          </w:p>
          <w:p w:rsidR="00000000" w:rsidDel="00000000" w:rsidP="00000000" w:rsidRDefault="00000000" w:rsidRPr="00000000" w14:paraId="00000022">
            <w:pPr>
              <w:spacing w:line="360" w:lineRule="auto"/>
              <w:rPr>
                <w:sz w:val="22"/>
                <w:szCs w:val="22"/>
              </w:rPr>
            </w:pPr>
            <w:r w:rsidDel="00000000" w:rsidR="00000000" w:rsidRPr="00000000">
              <w:rPr>
                <w:sz w:val="22"/>
                <w:szCs w:val="22"/>
                <w:rtl w:val="0"/>
              </w:rPr>
              <w:t xml:space="preserve">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rsidR="00000000" w:rsidDel="00000000" w:rsidP="00000000" w:rsidRDefault="00000000" w:rsidRPr="00000000" w14:paraId="00000023">
            <w:pPr>
              <w:spacing w:after="160" w:line="360" w:lineRule="auto"/>
              <w:rPr>
                <w:i w:val="1"/>
                <w:iCs w:val="1"/>
              </w:rPr>
            </w:pPr>
            <w:r w:rsidDel="00000000" w:rsidR="00000000" w:rsidRPr="00000000">
              <w:rPr>
                <w:rtl w:val="0"/>
              </w:rPr>
            </w:r>
          </w:p>
          <w:p w:rsidR="00000000" w:rsidDel="00000000" w:rsidP="00000000" w:rsidRDefault="00000000" w:rsidRPr="00000000" w14:paraId="00000024">
            <w:pPr>
              <w:spacing w:after="160" w:line="360" w:lineRule="auto"/>
              <w:jc w:val="both"/>
              <w:rPr/>
            </w:pPr>
            <w:r w:rsidDel="00000000" w:rsidR="00000000" w:rsidRPr="00000000">
              <w:rPr>
                <w:rtl w:val="0"/>
              </w:rPr>
              <w:t xml:space="preserve">Existing literature suggests that incel communities are not simply online discussion spaces for socially isolated men, but instead, can function as ideological environments in which grievance, entitlement, resentment, and hostility towards women and girls is normalised. Ging (2019) shows that incels reside within the wider “manosphere”, and how these spaces reproduce and reinforce gendered hierarchies and hostile forms of masculinity. This helps frame the incel identity as a social construct rather than purely individual or psychological. Hoffman, Ware, and Shapiro (2020) expand on the argument by examining whether incel violence should be viewed as a legitimate extremist threat, particularly where misogynistic worldviews, and the sanctification of attackers such as Elliot Rodgeers and Alek Minassian (Baele, Brace, and Coan, 2021), and online echo chambers overlap. </w:t>
            </w:r>
          </w:p>
          <w:p w:rsidR="00000000" w:rsidDel="00000000" w:rsidP="00000000" w:rsidRDefault="00000000" w:rsidRPr="00000000" w14:paraId="00000025">
            <w:pPr>
              <w:spacing w:after="160" w:line="360" w:lineRule="auto"/>
              <w:jc w:val="both"/>
              <w:rPr/>
            </w:pPr>
            <w:r w:rsidDel="00000000" w:rsidR="00000000" w:rsidRPr="00000000">
              <w:rPr>
                <w:rtl w:val="0"/>
              </w:rPr>
              <w:t xml:space="preserve">The central concept in this dissertation is the Black Pill ideology. The “Black Pill” portrays romantic and sexual rejection as biologically fixed and irreversible, this encourages a nihilistically fatalistic resentment, and belief that violence towards women is either understandable or inevitable (Anti-Defamation League, 2019).  Baele, Brace, and Coan’s (2021) study of the 2018 Toronto attack shows how incel discourse within an echo chamber can construct a worldview built around humiliation, victimhood, and violence. O'Malley, Holt, and Holt (2022) examines the overlap between incels and the wider misogynistic online communities within the manosphere, and shows that incel ideology is situated within broader digital cultures of hatred towards women rather than it being an isolated phenomenon. This dissertation will utilise radicalisation theory to assess the Black Pill ideology and whether it shares features with other extremist belief systems. This does not mean assuming all incels are terrorist, but instead using radicalisation frameworks to assess whether the movement shows patterns associated with ideological escalation, such as grievance, identity fusion, in group verse out group thinking, moral disengagement, and legitimisation of violence (McCauley and Moskalenko, 2008). Borum’s (2011) work on defining radicalisation and the development of the “four stage model” is useful as a broad theoretical standpoint, while more recent studies examine whether incel violence is best explained through extremism, misogyny, and mental health, or a combination of all (De Roos, Veldhuizen-Ochodničanová, and Hanna, 2024). The 2024 Predicting harm among incels report (Whittaker, Costello, and Thomas, 2024) is the largest study done on incels to date, this report is particularly important because it found a complex relationship between mental health, ideological belief, and social networking, it also warned against reducing the issue to a simple “terrorism” label.</w:t>
            </w:r>
          </w:p>
          <w:p w:rsidR="00000000" w:rsidDel="00000000" w:rsidP="00000000" w:rsidRDefault="00000000" w:rsidRPr="00000000" w14:paraId="00000026">
            <w:pPr>
              <w:spacing w:after="160" w:line="360" w:lineRule="auto"/>
              <w:jc w:val="both"/>
              <w:rPr/>
            </w:pPr>
            <w:r w:rsidDel="00000000" w:rsidR="00000000" w:rsidRPr="00000000">
              <w:rPr>
                <w:rtl w:val="0"/>
              </w:rPr>
              <w:t xml:space="preserve">This dissertation will also use theories of masculinity and aggrieved entitlement. These are useful in explaining how some incle narratives are built around perceived loss, sexual exclusion, and resentment towards women and socially successful men (Thornburn, Powell, and Chambers, 2023). This literature helps the study in understanding how identity, humiliation, and exclusion can evolve into misogynistic ideology. </w:t>
            </w:r>
          </w:p>
          <w:p w:rsidR="00000000" w:rsidDel="00000000" w:rsidP="00000000" w:rsidRDefault="00000000" w:rsidRPr="00000000" w14:paraId="00000027">
            <w:pPr>
              <w:spacing w:after="160" w:line="360" w:lineRule="auto"/>
              <w:jc w:val="both"/>
              <w:rPr>
                <w:sz w:val="22"/>
                <w:szCs w:val="22"/>
              </w:rPr>
            </w:pPr>
            <w:r w:rsidDel="00000000" w:rsidR="00000000" w:rsidRPr="00000000">
              <w:rPr>
                <w:rtl w:val="0"/>
              </w:rPr>
              <w:t xml:space="preserve">Finally, this study will utilise UK policy and safeguarding literature, this is because this study is not just about what incels believe,  but also whether the public perceive incel extremism as a credible risk in the UK. The counter-terrorism strategy (CONTEST) (Home Office, 2023) will be used as key literature as it will situate the discussion within  counter-terrorism and prevention policy, along with Tackling violence against women and girls strategy (Home Office, 2021) which will provide a framework for understanding the public issue of misogyny rather than it being purely a private attitude. The Commission for Counter Extremism’s research completed by Swansea University is particularly important due to its debate on incels ideology as a mental health issue, counter-extremist, or hybrid response.  </w:t>
            </w:r>
            <w:r w:rsidDel="00000000" w:rsidR="00000000" w:rsidRPr="00000000">
              <w:rPr>
                <w:rtl w:val="0"/>
              </w:rPr>
            </w:r>
          </w:p>
        </w:tc>
      </w:tr>
      <w:tr>
        <w:trPr>
          <w:cantSplit w:val="0"/>
          <w:tblHeader w:val="0"/>
        </w:trPr>
        <w:tc>
          <w:tcPr>
            <w:gridSpan w:val="2"/>
            <w:tcMar>
              <w:top w:w="0.0" w:type="dxa"/>
              <w:left w:w="108.0" w:type="dxa"/>
              <w:bottom w:w="0.0" w:type="dxa"/>
              <w:right w:w="108.0" w:type="dxa"/>
            </w:tcMar>
          </w:tcPr>
          <w:p w:rsidR="00000000" w:rsidDel="00000000" w:rsidP="00000000" w:rsidRDefault="00000000" w:rsidRPr="00000000" w14:paraId="00000029">
            <w:pPr>
              <w:spacing w:line="360" w:lineRule="auto"/>
              <w:rPr>
                <w:b w:val="1"/>
                <w:bCs w:val="1"/>
                <w:sz w:val="22"/>
                <w:szCs w:val="22"/>
              </w:rPr>
            </w:pPr>
            <w:r w:rsidDel="00000000" w:rsidR="00000000" w:rsidRPr="00000000">
              <w:rPr>
                <w:b w:val="1"/>
                <w:bCs w:val="1"/>
                <w:sz w:val="22"/>
                <w:szCs w:val="22"/>
                <w:rtl w:val="0"/>
              </w:rPr>
              <w:t xml:space="preserve">SUMMARY OF RESEARCH –SURVEY METHOD: </w:t>
            </w:r>
          </w:p>
          <w:p w:rsidR="00000000" w:rsidDel="00000000" w:rsidP="00000000" w:rsidRDefault="00000000" w:rsidRPr="00000000" w14:paraId="0000002A">
            <w:pPr>
              <w:spacing w:line="360" w:lineRule="auto"/>
              <w:rPr>
                <w:sz w:val="22"/>
                <w:szCs w:val="22"/>
              </w:rPr>
            </w:pPr>
            <w:r w:rsidDel="00000000" w:rsidR="00000000" w:rsidRPr="00000000">
              <w:rPr>
                <w:sz w:val="22"/>
                <w:szCs w:val="22"/>
                <w:rtl w:val="0"/>
              </w:rPr>
              <w:t xml:space="preserve">Summary of qualitative or quantitative methods, and survey techniques being considered.</w:t>
            </w:r>
          </w:p>
          <w:p w:rsidR="00000000" w:rsidDel="00000000" w:rsidP="00000000" w:rsidRDefault="00000000" w:rsidRPr="00000000" w14:paraId="0000002B">
            <w:pPr>
              <w:spacing w:line="360" w:lineRule="auto"/>
              <w:rPr>
                <w:sz w:val="22"/>
                <w:szCs w:val="22"/>
              </w:rPr>
            </w:pPr>
            <w:r w:rsidDel="00000000" w:rsidR="00000000" w:rsidRPr="00000000">
              <w:rPr>
                <w:sz w:val="22"/>
                <w:szCs w:val="22"/>
                <w:rtl w:val="0"/>
              </w:rPr>
              <w:t xml:space="preserve"> </w:t>
            </w:r>
          </w:p>
          <w:p w:rsidR="00000000" w:rsidDel="00000000" w:rsidP="00000000" w:rsidRDefault="00000000" w:rsidRPr="00000000" w14:paraId="0000002C">
            <w:pPr>
              <w:spacing w:after="160" w:line="360" w:lineRule="auto"/>
              <w:jc w:val="both"/>
              <w:rPr/>
            </w:pPr>
            <w:r w:rsidDel="00000000" w:rsidR="00000000" w:rsidRPr="00000000">
              <w:rPr>
                <w:rtl w:val="0"/>
              </w:rPr>
              <w:t xml:space="preserve">This research will use both quantitative and qualitative research methods based on an anonymous online survey. The survey will be distributed to adult members of  the general public to gather data on their awareness and perception of incel extremism, the Black Pill ideology, and to what extent they view it as a credible pathway to violence in the UK. This method allows data to be collected from a wide range of participants in a practical and time efficient way.</w:t>
            </w:r>
          </w:p>
          <w:p w:rsidR="00000000" w:rsidDel="00000000" w:rsidP="00000000" w:rsidRDefault="00000000" w:rsidRPr="00000000" w14:paraId="0000002D">
            <w:pPr>
              <w:spacing w:after="160" w:line="360" w:lineRule="auto"/>
              <w:jc w:val="both"/>
              <w:rPr/>
            </w:pPr>
            <w:r w:rsidDel="00000000" w:rsidR="00000000" w:rsidRPr="00000000">
              <w:rPr>
                <w:rtl w:val="0"/>
              </w:rPr>
              <w:t xml:space="preserve">The survey will be created using Microsoft Forms, and will be circulated through appropriate public networks where access is possible. The survey will mainly include closed questions and Likert-scale questions to measure attitudes, awareness levels, and perceived risk. A small number of open ended questions will be included to allow participants to briefly expand on their viewpoints where relevant. </w:t>
            </w:r>
          </w:p>
          <w:p w:rsidR="00000000" w:rsidDel="00000000" w:rsidP="00000000" w:rsidRDefault="00000000" w:rsidRPr="00000000" w14:paraId="0000002E">
            <w:pPr>
              <w:spacing w:after="160" w:line="360" w:lineRule="auto"/>
              <w:jc w:val="both"/>
              <w:rPr>
                <w:rFonts w:ascii="Calibri" w:cs="Calibri" w:eastAsia="Calibri" w:hAnsi="Calibri"/>
                <w:sz w:val="22"/>
                <w:szCs w:val="22"/>
              </w:rPr>
            </w:pPr>
            <w:r w:rsidDel="00000000" w:rsidR="00000000" w:rsidRPr="00000000">
              <w:rPr>
                <w:rtl w:val="0"/>
              </w:rPr>
              <w:t xml:space="preserve">The survey will be anonymous and voluntary, participants will be informed about the purpose of the research before taking part. They will also be informed of their right to withdraw at any point before submitting their response, and to skip any questions they do not wish to answer. </w:t>
            </w:r>
            <w:r w:rsidDel="00000000" w:rsidR="00000000" w:rsidRPr="00000000">
              <w:rPr>
                <w:rtl w:val="0"/>
              </w:rPr>
            </w:r>
          </w:p>
        </w:tc>
      </w:tr>
      <w:tr>
        <w:trPr>
          <w:cantSplit w:val="0"/>
          <w:tblHeader w:val="0"/>
        </w:trPr>
        <w:tc>
          <w:tcPr>
            <w:gridSpan w:val="2"/>
            <w:tcMar>
              <w:top w:w="0.0" w:type="dxa"/>
              <w:left w:w="108.0" w:type="dxa"/>
              <w:bottom w:w="0.0" w:type="dxa"/>
              <w:right w:w="108.0" w:type="dxa"/>
            </w:tcMar>
          </w:tcPr>
          <w:p w:rsidR="00000000" w:rsidDel="00000000" w:rsidP="00000000" w:rsidRDefault="00000000" w:rsidRPr="00000000" w14:paraId="00000030">
            <w:pPr>
              <w:spacing w:line="360" w:lineRule="auto"/>
              <w:rPr>
                <w:rFonts w:ascii="Calibri" w:cs="Calibri" w:eastAsia="Calibri" w:hAnsi="Calibri"/>
                <w:sz w:val="22"/>
                <w:szCs w:val="22"/>
              </w:rPr>
            </w:pPr>
            <w:r w:rsidDel="00000000" w:rsidR="00000000" w:rsidRPr="00000000">
              <w:rPr>
                <w:b w:val="1"/>
                <w:bCs w:val="1"/>
                <w:sz w:val="22"/>
                <w:szCs w:val="22"/>
                <w:rtl w:val="0"/>
              </w:rPr>
              <w:t xml:space="preserve">SUMMARY OF SAMPLING FRAMEWORK:</w:t>
            </w:r>
            <w:r w:rsidDel="00000000" w:rsidR="00000000" w:rsidRPr="00000000">
              <w:rPr>
                <w:rFonts w:ascii="Calibri" w:cs="Calibri" w:eastAsia="Calibri" w:hAnsi="Calibri"/>
                <w:sz w:val="22"/>
                <w:szCs w:val="22"/>
                <w:rtl w:val="0"/>
              </w:rPr>
              <w:t xml:space="preserve"> </w:t>
            </w:r>
          </w:p>
          <w:p w:rsidR="00000000" w:rsidDel="00000000" w:rsidP="00000000" w:rsidRDefault="00000000" w:rsidRPr="00000000" w14:paraId="00000031">
            <w:pPr>
              <w:spacing w:line="360" w:lineRule="auto"/>
              <w:rPr>
                <w:rFonts w:ascii="Calibri" w:cs="Calibri" w:eastAsia="Calibri" w:hAnsi="Calibri"/>
                <w:sz w:val="22"/>
                <w:szCs w:val="22"/>
              </w:rPr>
            </w:pPr>
            <w:r w:rsidDel="00000000" w:rsidR="00000000" w:rsidRPr="00000000">
              <w:rPr>
                <w:sz w:val="22"/>
                <w:szCs w:val="22"/>
                <w:rtl w:val="0"/>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r w:rsidDel="00000000" w:rsidR="00000000" w:rsidRPr="00000000">
              <w:rPr>
                <w:rtl w:val="0"/>
              </w:rPr>
            </w:r>
          </w:p>
          <w:p w:rsidR="00000000" w:rsidDel="00000000" w:rsidP="00000000" w:rsidRDefault="00000000" w:rsidRPr="00000000" w14:paraId="00000032">
            <w:pPr>
              <w:spacing w:line="36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33">
            <w:pPr>
              <w:spacing w:after="160" w:line="360" w:lineRule="auto"/>
              <w:jc w:val="both"/>
              <w:rPr>
                <w:i w:val="1"/>
                <w:iCs w:val="1"/>
              </w:rPr>
            </w:pPr>
            <w:r w:rsidDel="00000000" w:rsidR="00000000" w:rsidRPr="00000000">
              <w:rPr>
                <w:i w:val="1"/>
                <w:iCs w:val="1"/>
                <w:rtl w:val="0"/>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p>
          <w:p w:rsidR="00000000" w:rsidDel="00000000" w:rsidP="00000000" w:rsidRDefault="00000000" w:rsidRPr="00000000" w14:paraId="00000034">
            <w:pPr>
              <w:spacing w:after="160" w:line="360" w:lineRule="auto"/>
              <w:jc w:val="both"/>
              <w:rPr/>
            </w:pPr>
            <w:r w:rsidDel="00000000" w:rsidR="00000000" w:rsidRPr="00000000">
              <w:rPr>
                <w:rtl w:val="0"/>
              </w:rPr>
              <w:t xml:space="preserve">The target sample for this research will consist of adults aged 18 or over from the general public. This group has been selected because the study is concerned with the public perception of incel extremism and the Black Pill ideology. </w:t>
            </w:r>
          </w:p>
          <w:p w:rsidR="00000000" w:rsidDel="00000000" w:rsidP="00000000" w:rsidRDefault="00000000" w:rsidRPr="00000000" w14:paraId="00000035">
            <w:pPr>
              <w:spacing w:after="160" w:line="360" w:lineRule="auto"/>
              <w:jc w:val="both"/>
              <w:rPr/>
            </w:pPr>
            <w:r w:rsidDel="00000000" w:rsidR="00000000" w:rsidRPr="00000000">
              <w:rPr>
                <w:rtl w:val="0"/>
              </w:rPr>
              <w:t xml:space="preserve">This research will use a non probability sampling strategy, based on convenience and purposive sampling. Participants will be recruited through the circulation of an anonymous online survey using Microsoft Forms across online platforms and networks where access is available. All participants will need to be aged 18 or over. The study will be adult respondents only, which is more appropriate given the topic. </w:t>
            </w:r>
          </w:p>
          <w:p w:rsidR="00000000" w:rsidDel="00000000" w:rsidP="00000000" w:rsidRDefault="00000000" w:rsidRPr="00000000" w14:paraId="00000036">
            <w:pPr>
              <w:spacing w:after="160" w:line="360" w:lineRule="auto"/>
              <w:jc w:val="both"/>
              <w:rPr>
                <w:rFonts w:ascii="Calibri" w:cs="Calibri" w:eastAsia="Calibri" w:hAnsi="Calibri"/>
                <w:sz w:val="22"/>
                <w:szCs w:val="22"/>
              </w:rPr>
            </w:pPr>
            <w:r w:rsidDel="00000000" w:rsidR="00000000" w:rsidRPr="00000000">
              <w:rPr>
                <w:rtl w:val="0"/>
              </w:rPr>
              <w:t xml:space="preserve">The aim of this sampling methodology is not to generate findings that can be generalised to the whole UK population, instead to gather a broad range of perception data from adult members of the general public. </w:t>
            </w:r>
            <w:r w:rsidDel="00000000" w:rsidR="00000000" w:rsidRPr="00000000">
              <w:rPr>
                <w:rtl w:val="0"/>
              </w:rPr>
            </w:r>
          </w:p>
          <w:p w:rsidR="00000000" w:rsidDel="00000000" w:rsidP="00000000" w:rsidRDefault="00000000" w:rsidRPr="00000000" w14:paraId="00000037">
            <w:pPr>
              <w:spacing w:line="360" w:lineRule="auto"/>
              <w:jc w:val="both"/>
              <w:rPr>
                <w:rFonts w:ascii="Calibri" w:cs="Calibri" w:eastAsia="Calibri" w:hAnsi="Calibri"/>
                <w:sz w:val="22"/>
                <w:szCs w:val="22"/>
              </w:rPr>
            </w:pPr>
            <w:r w:rsidDel="00000000" w:rsidR="00000000" w:rsidRPr="00000000">
              <w:rPr>
                <w:rtl w:val="0"/>
              </w:rPr>
            </w:r>
          </w:p>
        </w:tc>
      </w:tr>
      <w:tr>
        <w:trPr>
          <w:cantSplit w:val="0"/>
          <w:tblHeader w:val="0"/>
        </w:trPr>
        <w:tc>
          <w:tcPr>
            <w:gridSpan w:val="2"/>
            <w:tcMar>
              <w:top w:w="0.0" w:type="dxa"/>
              <w:left w:w="108.0" w:type="dxa"/>
              <w:bottom w:w="0.0" w:type="dxa"/>
              <w:right w:w="108.0" w:type="dxa"/>
            </w:tcMar>
          </w:tcPr>
          <w:p w:rsidR="00000000" w:rsidDel="00000000" w:rsidP="00000000" w:rsidRDefault="00000000" w:rsidRPr="00000000" w14:paraId="00000039">
            <w:pPr>
              <w:spacing w:line="360" w:lineRule="auto"/>
              <w:jc w:val="both"/>
              <w:rPr>
                <w:b w:val="1"/>
                <w:bCs w:val="1"/>
                <w:sz w:val="22"/>
                <w:szCs w:val="22"/>
              </w:rPr>
            </w:pPr>
            <w:r w:rsidDel="00000000" w:rsidR="00000000" w:rsidRPr="00000000">
              <w:rPr>
                <w:b w:val="1"/>
                <w:bCs w:val="1"/>
                <w:sz w:val="22"/>
                <w:szCs w:val="22"/>
                <w:rtl w:val="0"/>
              </w:rPr>
              <w:t xml:space="preserve">INITIAL REFERENCE LIST:</w:t>
            </w:r>
          </w:p>
          <w:p w:rsidR="00000000" w:rsidDel="00000000" w:rsidP="00000000" w:rsidRDefault="00000000" w:rsidRPr="00000000" w14:paraId="0000003A">
            <w:pPr>
              <w:spacing w:line="360" w:lineRule="auto"/>
              <w:jc w:val="both"/>
              <w:rPr>
                <w:sz w:val="22"/>
                <w:szCs w:val="22"/>
              </w:rPr>
            </w:pPr>
            <w:r w:rsidDel="00000000" w:rsidR="00000000" w:rsidRPr="00000000">
              <w:rPr>
                <w:sz w:val="22"/>
                <w:szCs w:val="22"/>
                <w:rtl w:val="0"/>
              </w:rPr>
              <w:t xml:space="preserve">Please follow the Harvard referencing system</w:t>
            </w:r>
          </w:p>
          <w:p w:rsidR="00000000" w:rsidDel="00000000" w:rsidP="00000000" w:rsidRDefault="00000000" w:rsidRPr="00000000" w14:paraId="0000003B">
            <w:pPr>
              <w:spacing w:line="360" w:lineRule="auto"/>
              <w:jc w:val="both"/>
              <w:rPr>
                <w:rFonts w:ascii="Calibri" w:cs="Calibri" w:eastAsia="Calibri" w:hAnsi="Calibri"/>
                <w:i w:val="1"/>
                <w:iCs w:val="1"/>
                <w:sz w:val="22"/>
                <w:szCs w:val="22"/>
              </w:rPr>
            </w:pPr>
            <w:r w:rsidDel="00000000" w:rsidR="00000000" w:rsidRPr="00000000">
              <w:rPr>
                <w:rtl w:val="0"/>
              </w:rPr>
            </w:r>
          </w:p>
          <w:p w:rsidR="00000000" w:rsidDel="00000000" w:rsidP="00000000" w:rsidRDefault="00000000" w:rsidRPr="00000000" w14:paraId="0000003C">
            <w:pPr>
              <w:spacing w:after="160" w:line="360" w:lineRule="auto"/>
              <w:rPr/>
            </w:pPr>
            <w:r w:rsidDel="00000000" w:rsidR="00000000" w:rsidRPr="00000000">
              <w:rPr>
                <w:rtl w:val="0"/>
              </w:rPr>
              <w:t xml:space="preserve">Anti-Defamation League (2019) </w:t>
            </w:r>
            <w:r w:rsidDel="00000000" w:rsidR="00000000" w:rsidRPr="00000000">
              <w:rPr>
                <w:i w:val="1"/>
                <w:iCs w:val="1"/>
                <w:rtl w:val="0"/>
              </w:rPr>
              <w:t xml:space="preserve">The Extremist Medicine Cabinet: A Guide to Online “Pills”</w:t>
            </w:r>
            <w:r w:rsidDel="00000000" w:rsidR="00000000" w:rsidRPr="00000000">
              <w:rPr>
                <w:rtl w:val="0"/>
              </w:rPr>
              <w:t xml:space="preserve">, Available at: </w:t>
            </w:r>
            <w:hyperlink r:id="rId9">
              <w:r w:rsidDel="00000000" w:rsidR="00000000" w:rsidRPr="00000000">
                <w:rPr>
                  <w:u w:val="single"/>
                  <w:rtl w:val="0"/>
                </w:rPr>
                <w:t xml:space="preserve">https://www.adl.org/resources/article/extremist-medicine-cabinet-guide-online-pills</w:t>
              </w:r>
            </w:hyperlink>
            <w:r w:rsidDel="00000000" w:rsidR="00000000" w:rsidRPr="00000000">
              <w:rPr>
                <w:rtl w:val="0"/>
              </w:rPr>
              <w:t xml:space="preserve"> (Accessed: 28 April 2026). </w:t>
            </w:r>
          </w:p>
          <w:p w:rsidR="00000000" w:rsidDel="00000000" w:rsidP="00000000" w:rsidRDefault="00000000" w:rsidRPr="00000000" w14:paraId="0000003D">
            <w:pPr>
              <w:spacing w:after="160" w:line="360" w:lineRule="auto"/>
              <w:rPr/>
            </w:pPr>
            <w:r w:rsidDel="00000000" w:rsidR="00000000" w:rsidRPr="00000000">
              <w:rPr>
                <w:rtl w:val="0"/>
              </w:rPr>
              <w:t xml:space="preserve">Baele, S.J., Brace, L. and Coan, T.G. (2021) “From ‘Incel’ to ‘Saint’: Analyzing the violent worldview behind the 2018 Toronto attack,” </w:t>
            </w:r>
            <w:r w:rsidDel="00000000" w:rsidR="00000000" w:rsidRPr="00000000">
              <w:rPr>
                <w:i w:val="1"/>
                <w:iCs w:val="1"/>
                <w:rtl w:val="0"/>
              </w:rPr>
              <w:t xml:space="preserve">Terrorism and political violence</w:t>
            </w:r>
            <w:r w:rsidDel="00000000" w:rsidR="00000000" w:rsidRPr="00000000">
              <w:rPr>
                <w:rtl w:val="0"/>
              </w:rPr>
              <w:t xml:space="preserve">, 33(8), pp. 1667–1691. Available at: </w:t>
            </w:r>
            <w:hyperlink r:id="rId10">
              <w:r w:rsidDel="00000000" w:rsidR="00000000" w:rsidRPr="00000000">
                <w:rPr>
                  <w:u w:val="single"/>
                  <w:rtl w:val="0"/>
                </w:rPr>
                <w:t xml:space="preserve">https://doi.org/10.1080/09546553.2019.1638256</w:t>
              </w:r>
            </w:hyperlink>
            <w:r w:rsidDel="00000000" w:rsidR="00000000" w:rsidRPr="00000000">
              <w:rPr>
                <w:rtl w:val="0"/>
              </w:rPr>
              <w:t xml:space="preserve">. (Accessed: 14 April 2026). </w:t>
            </w:r>
          </w:p>
          <w:p w:rsidR="00000000" w:rsidDel="00000000" w:rsidP="00000000" w:rsidRDefault="00000000" w:rsidRPr="00000000" w14:paraId="0000003E">
            <w:pPr>
              <w:spacing w:after="160" w:line="360" w:lineRule="auto"/>
              <w:rPr/>
            </w:pPr>
            <w:r w:rsidDel="00000000" w:rsidR="00000000" w:rsidRPr="00000000">
              <w:rPr>
                <w:rtl w:val="0"/>
              </w:rPr>
              <w:t xml:space="preserve">Borum, R. (2011) “Radicalization into Violent Extremism II: A Review of Conceptual Models and Empirical Research,” </w:t>
            </w:r>
            <w:r w:rsidDel="00000000" w:rsidR="00000000" w:rsidRPr="00000000">
              <w:rPr>
                <w:i w:val="1"/>
                <w:iCs w:val="1"/>
                <w:rtl w:val="0"/>
              </w:rPr>
              <w:t xml:space="preserve">Journal of strategic security</w:t>
            </w:r>
            <w:r w:rsidDel="00000000" w:rsidR="00000000" w:rsidRPr="00000000">
              <w:rPr>
                <w:rtl w:val="0"/>
              </w:rPr>
              <w:t xml:space="preserve">, 4(4), pp. 37–62. Available at: </w:t>
            </w:r>
            <w:hyperlink r:id="rId11">
              <w:r w:rsidDel="00000000" w:rsidR="00000000" w:rsidRPr="00000000">
                <w:rPr>
                  <w:u w:val="single"/>
                  <w:rtl w:val="0"/>
                </w:rPr>
                <w:t xml:space="preserve">https://doi.org/10.5038/1944-0472.4.4.2</w:t>
              </w:r>
            </w:hyperlink>
            <w:r w:rsidDel="00000000" w:rsidR="00000000" w:rsidRPr="00000000">
              <w:rPr>
                <w:rtl w:val="0"/>
              </w:rPr>
              <w:t xml:space="preserve">. (Accessed: 14 April 2026). </w:t>
            </w:r>
          </w:p>
          <w:p w:rsidR="00000000" w:rsidDel="00000000" w:rsidP="00000000" w:rsidRDefault="00000000" w:rsidRPr="00000000" w14:paraId="0000003F">
            <w:pPr>
              <w:spacing w:after="160" w:line="360" w:lineRule="auto"/>
              <w:rPr/>
            </w:pPr>
            <w:r w:rsidDel="00000000" w:rsidR="00000000" w:rsidRPr="00000000">
              <w:rPr>
                <w:rtl w:val="0"/>
              </w:rPr>
              <w:t xml:space="preserve">de Roos, M.S., Veldhuizen-Ochodničanová, L. and Hanna, A. (2024) “The Angry Echo Chamber: A Study of Extremist and Emotional Language Changes in Incel Communities Over Time,” </w:t>
            </w:r>
            <w:r w:rsidDel="00000000" w:rsidR="00000000" w:rsidRPr="00000000">
              <w:rPr>
                <w:i w:val="1"/>
                <w:iCs w:val="1"/>
                <w:rtl w:val="0"/>
              </w:rPr>
              <w:t xml:space="preserve">Journal of interpersonal violence</w:t>
            </w:r>
            <w:r w:rsidDel="00000000" w:rsidR="00000000" w:rsidRPr="00000000">
              <w:rPr>
                <w:rtl w:val="0"/>
              </w:rPr>
              <w:t xml:space="preserve">, 39(21–22), pp. 4573–4597. Available at: </w:t>
            </w:r>
            <w:hyperlink r:id="rId12">
              <w:r w:rsidDel="00000000" w:rsidR="00000000" w:rsidRPr="00000000">
                <w:rPr>
                  <w:u w:val="single"/>
                  <w:rtl w:val="0"/>
                </w:rPr>
                <w:t xml:space="preserve">https://doi.org/10.1177/08862605241239451</w:t>
              </w:r>
            </w:hyperlink>
            <w:r w:rsidDel="00000000" w:rsidR="00000000" w:rsidRPr="00000000">
              <w:rPr>
                <w:rtl w:val="0"/>
              </w:rPr>
              <w:t xml:space="preserve">. (Accessed: 14 April 2026).</w:t>
            </w:r>
          </w:p>
          <w:p w:rsidR="00000000" w:rsidDel="00000000" w:rsidP="00000000" w:rsidRDefault="00000000" w:rsidRPr="00000000" w14:paraId="00000040">
            <w:pPr>
              <w:spacing w:after="160" w:line="360" w:lineRule="auto"/>
              <w:rPr/>
            </w:pPr>
            <w:r w:rsidDel="00000000" w:rsidR="00000000" w:rsidRPr="00000000">
              <w:rPr>
                <w:rtl w:val="0"/>
              </w:rPr>
              <w:t xml:space="preserve">Ging, D. (2019) “Alphas, Betas, and Incels: Theorizing the Masculinities of the Manosphere,” </w:t>
            </w:r>
            <w:r w:rsidDel="00000000" w:rsidR="00000000" w:rsidRPr="00000000">
              <w:rPr>
                <w:i w:val="1"/>
                <w:iCs w:val="1"/>
                <w:rtl w:val="0"/>
              </w:rPr>
              <w:t xml:space="preserve">Men and masculinities</w:t>
            </w:r>
            <w:r w:rsidDel="00000000" w:rsidR="00000000" w:rsidRPr="00000000">
              <w:rPr>
                <w:rtl w:val="0"/>
              </w:rPr>
              <w:t xml:space="preserve">, 22(4), pp. 638–657. Available at: </w:t>
            </w:r>
            <w:hyperlink r:id="rId13">
              <w:r w:rsidDel="00000000" w:rsidR="00000000" w:rsidRPr="00000000">
                <w:rPr>
                  <w:u w:val="single"/>
                  <w:rtl w:val="0"/>
                </w:rPr>
                <w:t xml:space="preserve">https://doi.org/10.1177/1097184X17706401</w:t>
              </w:r>
            </w:hyperlink>
            <w:r w:rsidDel="00000000" w:rsidR="00000000" w:rsidRPr="00000000">
              <w:rPr>
                <w:rtl w:val="0"/>
              </w:rPr>
              <w:t xml:space="preserve">. (Accessed: 14 April 2026). </w:t>
            </w:r>
          </w:p>
          <w:p w:rsidR="00000000" w:rsidDel="00000000" w:rsidP="00000000" w:rsidRDefault="00000000" w:rsidRPr="00000000" w14:paraId="00000041">
            <w:pPr>
              <w:spacing w:after="160" w:line="360" w:lineRule="auto"/>
              <w:rPr/>
            </w:pPr>
            <w:r w:rsidDel="00000000" w:rsidR="00000000" w:rsidRPr="00000000">
              <w:rPr>
                <w:rtl w:val="0"/>
              </w:rPr>
              <w:t xml:space="preserve">Hoffman, B., Ware, J. and Shapiro, E. (2020) “Assessing the Threat of Incel Violence,” </w:t>
            </w:r>
            <w:r w:rsidDel="00000000" w:rsidR="00000000" w:rsidRPr="00000000">
              <w:rPr>
                <w:i w:val="1"/>
                <w:iCs w:val="1"/>
                <w:rtl w:val="0"/>
              </w:rPr>
              <w:t xml:space="preserve">Studies in conflict and terrorism</w:t>
            </w:r>
            <w:r w:rsidDel="00000000" w:rsidR="00000000" w:rsidRPr="00000000">
              <w:rPr>
                <w:rtl w:val="0"/>
              </w:rPr>
              <w:t xml:space="preserve">, 43(7), pp. 565–587. Available at: </w:t>
            </w:r>
            <w:hyperlink r:id="rId14">
              <w:r w:rsidDel="00000000" w:rsidR="00000000" w:rsidRPr="00000000">
                <w:rPr>
                  <w:u w:val="single"/>
                  <w:rtl w:val="0"/>
                </w:rPr>
                <w:t xml:space="preserve">https://doi.org/10.1080/1057610X.2020.1751459</w:t>
              </w:r>
            </w:hyperlink>
            <w:r w:rsidDel="00000000" w:rsidR="00000000" w:rsidRPr="00000000">
              <w:rPr>
                <w:rtl w:val="0"/>
              </w:rPr>
              <w:t xml:space="preserve">. (Accessed: 14 April 2026). </w:t>
            </w:r>
          </w:p>
          <w:p w:rsidR="00000000" w:rsidDel="00000000" w:rsidP="00000000" w:rsidRDefault="00000000" w:rsidRPr="00000000" w14:paraId="00000042">
            <w:pPr>
              <w:spacing w:line="360" w:lineRule="auto"/>
              <w:rPr/>
            </w:pPr>
            <w:r w:rsidDel="00000000" w:rsidR="00000000" w:rsidRPr="00000000">
              <w:rPr>
                <w:rtl w:val="0"/>
              </w:rPr>
              <w:t xml:space="preserve">Home Office (2023). </w:t>
            </w:r>
            <w:r w:rsidDel="00000000" w:rsidR="00000000" w:rsidRPr="00000000">
              <w:rPr>
                <w:i w:val="1"/>
                <w:iCs w:val="1"/>
                <w:rtl w:val="0"/>
              </w:rPr>
              <w:t xml:space="preserve">Counter-terrorism strategy (CONTEST) 2023</w:t>
            </w:r>
            <w:r w:rsidDel="00000000" w:rsidR="00000000" w:rsidRPr="00000000">
              <w:rPr>
                <w:rtl w:val="0"/>
              </w:rPr>
              <w:t xml:space="preserve">. GOV.UK. Available at: </w:t>
            </w:r>
            <w:hyperlink r:id="rId15">
              <w:r w:rsidDel="00000000" w:rsidR="00000000" w:rsidRPr="00000000">
                <w:rPr>
                  <w:u w:val="single"/>
                  <w:rtl w:val="0"/>
                </w:rPr>
                <w:t xml:space="preserve">https://www.gov.uk/government/publications/counter-terrorism-strategy-contest-2023</w:t>
              </w:r>
            </w:hyperlink>
            <w:r w:rsidDel="00000000" w:rsidR="00000000" w:rsidRPr="00000000">
              <w:rPr>
                <w:rtl w:val="0"/>
              </w:rPr>
              <w:t xml:space="preserve">. (Accessed: 14 April 2026). </w:t>
            </w:r>
          </w:p>
          <w:p w:rsidR="00000000" w:rsidDel="00000000" w:rsidP="00000000" w:rsidRDefault="00000000" w:rsidRPr="00000000" w14:paraId="00000043">
            <w:pPr>
              <w:spacing w:line="360" w:lineRule="auto"/>
              <w:rPr/>
            </w:pPr>
            <w:r w:rsidDel="00000000" w:rsidR="00000000" w:rsidRPr="00000000">
              <w:rPr>
                <w:rtl w:val="0"/>
              </w:rPr>
              <w:t xml:space="preserve">Home Office (2021). </w:t>
            </w:r>
            <w:r w:rsidDel="00000000" w:rsidR="00000000" w:rsidRPr="00000000">
              <w:rPr>
                <w:i w:val="1"/>
                <w:iCs w:val="1"/>
                <w:rtl w:val="0"/>
              </w:rPr>
              <w:t xml:space="preserve">Tackling Violence against Women and Girls Strategy</w:t>
            </w:r>
            <w:r w:rsidDel="00000000" w:rsidR="00000000" w:rsidRPr="00000000">
              <w:rPr>
                <w:rtl w:val="0"/>
              </w:rPr>
              <w:t xml:space="preserve">. GOV.UK. Available at: </w:t>
            </w:r>
            <w:hyperlink r:id="rId16">
              <w:r w:rsidDel="00000000" w:rsidR="00000000" w:rsidRPr="00000000">
                <w:rPr>
                  <w:u w:val="single"/>
                  <w:rtl w:val="0"/>
                </w:rPr>
                <w:t xml:space="preserve">https://www.gov.uk/government/publications/tackling-violence-against-women-and-girls-strategy/tackling-violence-against-women-and-girls-strategy</w:t>
              </w:r>
            </w:hyperlink>
            <w:r w:rsidDel="00000000" w:rsidR="00000000" w:rsidRPr="00000000">
              <w:rPr>
                <w:rtl w:val="0"/>
              </w:rPr>
              <w:t xml:space="preserve">. (Accessed: 14 April 2026). </w:t>
            </w:r>
          </w:p>
          <w:p w:rsidR="00000000" w:rsidDel="00000000" w:rsidP="00000000" w:rsidRDefault="00000000" w:rsidRPr="00000000" w14:paraId="00000044">
            <w:pPr>
              <w:spacing w:line="360" w:lineRule="auto"/>
              <w:rPr/>
            </w:pPr>
            <w:r w:rsidDel="00000000" w:rsidR="00000000" w:rsidRPr="00000000">
              <w:rPr>
                <w:rtl w:val="0"/>
              </w:rPr>
              <w:t xml:space="preserve">Lindsay, A. (2022) ‘Swallowing the Black Pill: Involuntary Celibates’ (Incels) Anti Feminism within Digital Society’, </w:t>
            </w:r>
            <w:r w:rsidDel="00000000" w:rsidR="00000000" w:rsidRPr="00000000">
              <w:rPr>
                <w:i w:val="1"/>
                <w:iCs w:val="1"/>
                <w:rtl w:val="0"/>
              </w:rPr>
              <w:t xml:space="preserve">International Journal for Crime, Justice and Social Democracy</w:t>
            </w:r>
            <w:r w:rsidDel="00000000" w:rsidR="00000000" w:rsidRPr="00000000">
              <w:rPr>
                <w:rtl w:val="0"/>
              </w:rPr>
              <w:t xml:space="preserve">, 11(1), pp. 210–224. Available at: </w:t>
            </w:r>
            <w:hyperlink r:id="rId17">
              <w:r w:rsidDel="00000000" w:rsidR="00000000" w:rsidRPr="00000000">
                <w:rPr>
                  <w:u w:val="single"/>
                  <w:rtl w:val="0"/>
                </w:rPr>
                <w:t xml:space="preserve">https://doi.org/10.5204/ijcjsd.2138</w:t>
              </w:r>
            </w:hyperlink>
            <w:r w:rsidDel="00000000" w:rsidR="00000000" w:rsidRPr="00000000">
              <w:rPr>
                <w:rtl w:val="0"/>
              </w:rPr>
              <w:t xml:space="preserve">. (Accessed: 27 April 2026).</w:t>
            </w:r>
          </w:p>
          <w:p w:rsidR="00000000" w:rsidDel="00000000" w:rsidP="00000000" w:rsidRDefault="00000000" w:rsidRPr="00000000" w14:paraId="00000045">
            <w:pPr>
              <w:spacing w:after="160" w:line="360" w:lineRule="auto"/>
              <w:rPr/>
            </w:pPr>
            <w:r w:rsidDel="00000000" w:rsidR="00000000" w:rsidRPr="00000000">
              <w:rPr>
                <w:rtl w:val="0"/>
              </w:rPr>
              <w:t xml:space="preserve">McCauley, C. and Moskalenko, S. (2008) “Mechanisms of Political Radicalization: Pathways Toward Terrorism,” </w:t>
            </w:r>
            <w:r w:rsidDel="00000000" w:rsidR="00000000" w:rsidRPr="00000000">
              <w:rPr>
                <w:i w:val="1"/>
                <w:iCs w:val="1"/>
                <w:rtl w:val="0"/>
              </w:rPr>
              <w:t xml:space="preserve">Terrorism and political violence</w:t>
            </w:r>
            <w:r w:rsidDel="00000000" w:rsidR="00000000" w:rsidRPr="00000000">
              <w:rPr>
                <w:rtl w:val="0"/>
              </w:rPr>
              <w:t xml:space="preserve">, 20(3), pp. 415–433. Available at: </w:t>
            </w:r>
            <w:hyperlink r:id="rId18">
              <w:r w:rsidDel="00000000" w:rsidR="00000000" w:rsidRPr="00000000">
                <w:rPr>
                  <w:u w:val="single"/>
                  <w:rtl w:val="0"/>
                </w:rPr>
                <w:t xml:space="preserve">https://doi.org/10.1080/09546550802073367</w:t>
              </w:r>
            </w:hyperlink>
            <w:r w:rsidDel="00000000" w:rsidR="00000000" w:rsidRPr="00000000">
              <w:rPr>
                <w:rtl w:val="0"/>
              </w:rPr>
              <w:t xml:space="preserve">. (Accessed: 14 April 2026).</w:t>
            </w:r>
          </w:p>
          <w:p w:rsidR="00000000" w:rsidDel="00000000" w:rsidP="00000000" w:rsidRDefault="00000000" w:rsidRPr="00000000" w14:paraId="00000046">
            <w:pPr>
              <w:spacing w:after="160" w:line="360" w:lineRule="auto"/>
              <w:rPr/>
            </w:pPr>
            <w:r w:rsidDel="00000000" w:rsidR="00000000" w:rsidRPr="00000000">
              <w:rPr>
                <w:rtl w:val="0"/>
              </w:rPr>
              <w:t xml:space="preserve">O’Malley, R.L., Holt, K. and Holt, T.J. (2022) “An Exploration of the Involuntary Celibate (Incel) Subculture Online,” </w:t>
            </w:r>
            <w:r w:rsidDel="00000000" w:rsidR="00000000" w:rsidRPr="00000000">
              <w:rPr>
                <w:i w:val="1"/>
                <w:iCs w:val="1"/>
                <w:rtl w:val="0"/>
              </w:rPr>
              <w:t xml:space="preserve">Journal of interpersonal violence</w:t>
            </w:r>
            <w:r w:rsidDel="00000000" w:rsidR="00000000" w:rsidRPr="00000000">
              <w:rPr>
                <w:rtl w:val="0"/>
              </w:rPr>
              <w:t xml:space="preserve">, 37(7–8), pp. NP4981–NP5008. Available at: </w:t>
            </w:r>
            <w:hyperlink r:id="rId19">
              <w:r w:rsidDel="00000000" w:rsidR="00000000" w:rsidRPr="00000000">
                <w:rPr>
                  <w:u w:val="single"/>
                  <w:rtl w:val="0"/>
                </w:rPr>
                <w:t xml:space="preserve">https://doi.org/10.1177/0886260520959625</w:t>
              </w:r>
            </w:hyperlink>
            <w:r w:rsidDel="00000000" w:rsidR="00000000" w:rsidRPr="00000000">
              <w:rPr>
                <w:rtl w:val="0"/>
              </w:rPr>
              <w:t xml:space="preserve">. (Accessed: 14 April 2026). </w:t>
            </w:r>
          </w:p>
          <w:p w:rsidR="00000000" w:rsidDel="00000000" w:rsidP="00000000" w:rsidRDefault="00000000" w:rsidRPr="00000000" w14:paraId="00000047">
            <w:pPr>
              <w:spacing w:after="160" w:line="360" w:lineRule="auto"/>
              <w:rPr/>
            </w:pPr>
            <w:r w:rsidDel="00000000" w:rsidR="00000000" w:rsidRPr="00000000">
              <w:rPr>
                <w:rtl w:val="0"/>
              </w:rPr>
              <w:t xml:space="preserve">Thorburn, J., Powell, A. and Chambers, P. (2023) “A world alone: Masculinities, humiliation and aggrieved entitlement on an incel forum,” </w:t>
            </w:r>
            <w:r w:rsidDel="00000000" w:rsidR="00000000" w:rsidRPr="00000000">
              <w:rPr>
                <w:i w:val="1"/>
                <w:iCs w:val="1"/>
                <w:rtl w:val="0"/>
              </w:rPr>
              <w:t xml:space="preserve">British journal of criminology</w:t>
            </w:r>
            <w:r w:rsidDel="00000000" w:rsidR="00000000" w:rsidRPr="00000000">
              <w:rPr>
                <w:rtl w:val="0"/>
              </w:rPr>
              <w:t xml:space="preserve">, 63(1), pp. 238–254. Available at: </w:t>
            </w:r>
            <w:hyperlink r:id="rId20">
              <w:r w:rsidDel="00000000" w:rsidR="00000000" w:rsidRPr="00000000">
                <w:rPr>
                  <w:u w:val="single"/>
                  <w:rtl w:val="0"/>
                </w:rPr>
                <w:t xml:space="preserve">https://doi.org/10.1093/bjc/azac020</w:t>
              </w:r>
            </w:hyperlink>
            <w:r w:rsidDel="00000000" w:rsidR="00000000" w:rsidRPr="00000000">
              <w:rPr>
                <w:rtl w:val="0"/>
              </w:rPr>
              <w:t xml:space="preserve">. (Accessed: 14 April 2026). </w:t>
            </w:r>
          </w:p>
          <w:p w:rsidR="00000000" w:rsidDel="00000000" w:rsidP="00000000" w:rsidRDefault="00000000" w:rsidRPr="00000000" w14:paraId="00000048">
            <w:pPr>
              <w:spacing w:after="160" w:line="360" w:lineRule="auto"/>
              <w:rPr>
                <w:rFonts w:ascii="Calibri" w:cs="Calibri" w:eastAsia="Calibri" w:hAnsi="Calibri"/>
                <w:sz w:val="22"/>
                <w:szCs w:val="22"/>
              </w:rPr>
            </w:pPr>
            <w:r w:rsidDel="00000000" w:rsidR="00000000" w:rsidRPr="00000000">
              <w:rPr>
                <w:rtl w:val="0"/>
              </w:rPr>
              <w:t xml:space="preserve">Whittaker, J., Costello, W., and Thomas, A.G. (2024) “</w:t>
            </w:r>
            <w:r w:rsidDel="00000000" w:rsidR="00000000" w:rsidRPr="00000000">
              <w:rPr>
                <w:highlight w:val="white"/>
                <w:rtl w:val="0"/>
              </w:rPr>
              <w:t xml:space="preserve">Predicting harm among incels (involuntary celibates): the roles of mental health, ideological belief and social networking,” </w:t>
            </w:r>
            <w:r w:rsidDel="00000000" w:rsidR="00000000" w:rsidRPr="00000000">
              <w:rPr>
                <w:i w:val="1"/>
                <w:iCs w:val="1"/>
                <w:highlight w:val="white"/>
                <w:rtl w:val="0"/>
              </w:rPr>
              <w:t xml:space="preserve">Commission for Counter Extremism / Swansea University</w:t>
            </w:r>
            <w:r w:rsidDel="00000000" w:rsidR="00000000" w:rsidRPr="00000000">
              <w:rPr>
                <w:highlight w:val="white"/>
                <w:rtl w:val="0"/>
              </w:rPr>
              <w:t xml:space="preserve">. Available</w:t>
            </w:r>
            <w:r w:rsidDel="00000000" w:rsidR="00000000" w:rsidRPr="00000000">
              <w:rPr>
                <w:rtl w:val="0"/>
              </w:rPr>
              <w:t xml:space="preserve"> at: doi:</w:t>
            </w:r>
            <w:hyperlink r:id="rId21">
              <w:r w:rsidDel="00000000" w:rsidR="00000000" w:rsidRPr="00000000">
                <w:rPr>
                  <w:u w:val="single"/>
                  <w:rtl w:val="0"/>
                </w:rPr>
                <w:t xml:space="preserve">https://doi.org/10.13140/RG.2.2.25268.22405</w:t>
              </w:r>
            </w:hyperlink>
            <w:r w:rsidDel="00000000" w:rsidR="00000000" w:rsidRPr="00000000">
              <w:rPr>
                <w:rtl w:val="0"/>
              </w:rPr>
              <w:t xml:space="preserve">. (Accessed: 14 April 2026). </w:t>
            </w:r>
            <w:r w:rsidDel="00000000" w:rsidR="00000000" w:rsidRPr="00000000">
              <w:rPr>
                <w:rtl w:val="0"/>
              </w:rPr>
            </w:r>
          </w:p>
        </w:tc>
      </w:tr>
    </w:tbl>
    <w:p w:rsidR="00000000" w:rsidDel="00000000" w:rsidP="00000000" w:rsidRDefault="00000000" w:rsidRPr="00000000" w14:paraId="0000004A">
      <w:pPr>
        <w:spacing w:line="360" w:lineRule="auto"/>
        <w:jc w:val="both"/>
        <w:rPr>
          <w:rFonts w:ascii="Calibri" w:cs="Calibri" w:eastAsia="Calibri" w:hAnsi="Calibri"/>
          <w:b w:val="1"/>
          <w:bCs w:val="1"/>
          <w:sz w:val="22"/>
          <w:szCs w:val="22"/>
        </w:rPr>
      </w:pPr>
      <w:r w:rsidDel="00000000" w:rsidR="00000000" w:rsidRPr="00000000">
        <w:rPr>
          <w:rtl w:val="0"/>
        </w:rPr>
      </w:r>
    </w:p>
    <w:sectPr>
      <w:footerReference r:id="rId22" w:type="firs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mbria"/>
  <w:font w:name="Georgia"/>
  <w:font w:name="Calibri"/>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819"/>
        <w:tab w:val="right" w:leader="none" w:pos="9071"/>
      </w:tabs>
      <w:spacing w:after="0" w:before="0" w:line="240" w:lineRule="auto"/>
      <w:ind w:left="0" w:right="0" w:firstLine="0"/>
      <w:jc w:val="center"/>
      <w:rPr>
        <w:rFonts w:ascii="Arial" w:cs="Arial" w:eastAsia="Arial" w:hAnsi="Arial"/>
        <w:b w:val="0"/>
        <w:bCs w:val="0"/>
        <w:i w:val="0"/>
        <w:iCs w:val="0"/>
        <w:smallCaps w:val="0"/>
        <w:strike w:val="0"/>
        <w:color w:val="000000"/>
        <w:sz w:val="10"/>
        <w:szCs w:val="1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bCs w:val="0"/>
        <w:i w:val="0"/>
        <w:iCs w:val="0"/>
        <w:smallCaps w:val="0"/>
        <w:strike w:val="0"/>
        <w:color w:val="000000"/>
        <w:sz w:val="10"/>
        <w:szCs w:val="10"/>
        <w:u w:val="none"/>
        <w:shd w:fill="auto" w:val="clear"/>
        <w:vertAlign w:val="baseline"/>
        <w:rtl w:val="0"/>
      </w:rPr>
      <w:tab/>
      <w:tab/>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
      <w:lvlJc w:val="left"/>
      <w:pPr>
        <w:ind w:left="0" w:firstLine="0"/>
      </w:pPr>
      <w:rPr/>
    </w:lvl>
    <w:lvl w:ilvl="2">
      <w:start w:val="1"/>
      <w:numFmt w:val="bullet"/>
      <w:lvlText w:val=""/>
      <w:lvlJc w:val="left"/>
      <w:pPr>
        <w:ind w:left="0" w:firstLine="0"/>
      </w:pPr>
      <w:rPr/>
    </w:lvl>
    <w:lvl w:ilvl="3">
      <w:start w:val="1"/>
      <w:numFmt w:val="bullet"/>
      <w:lvlText w:val=""/>
      <w:lvlJc w:val="left"/>
      <w:pPr>
        <w:ind w:left="0" w:firstLine="0"/>
      </w:pPr>
      <w:rPr/>
    </w:lvl>
    <w:lvl w:ilvl="4">
      <w:start w:val="1"/>
      <w:numFmt w:val="bullet"/>
      <w:lvlText w:val=""/>
      <w:lvlJc w:val="left"/>
      <w:pPr>
        <w:ind w:left="0" w:firstLine="0"/>
      </w:pPr>
      <w:rPr/>
    </w:lvl>
    <w:lvl w:ilvl="5">
      <w:start w:val="1"/>
      <w:numFmt w:val="bullet"/>
      <w:lvlText w:val=""/>
      <w:lvlJc w:val="left"/>
      <w:pPr>
        <w:ind w:left="0" w:firstLine="0"/>
      </w:pPr>
      <w:rPr/>
    </w:lvl>
    <w:lvl w:ilvl="6">
      <w:start w:val="1"/>
      <w:numFmt w:val="bullet"/>
      <w:lvlText w:val=""/>
      <w:lvlJc w:val="left"/>
      <w:pPr>
        <w:ind w:left="0" w:firstLine="0"/>
      </w:pPr>
      <w:rPr/>
    </w:lvl>
    <w:lvl w:ilvl="7">
      <w:start w:val="1"/>
      <w:numFmt w:val="bullet"/>
      <w:lvlText w:val=""/>
      <w:lvlJc w:val="left"/>
      <w:pPr>
        <w:ind w:left="0" w:firstLine="0"/>
      </w:pPr>
      <w:rPr/>
    </w:lvl>
    <w:lvl w:ilvl="8">
      <w:start w:val="1"/>
      <w:numFmt w:val="bullet"/>
      <w:lvlText w:val=""/>
      <w:lvlJc w:val="left"/>
      <w:pPr>
        <w:ind w:left="0" w:firstLine="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_GB"/>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spacing w:after="60" w:before="240" w:lineRule="auto"/>
    </w:pPr>
    <w:rPr>
      <w:b w:val="1"/>
      <w:bCs w:val="1"/>
      <w:sz w:val="32"/>
      <w:szCs w:val="32"/>
    </w:rPr>
  </w:style>
  <w:style w:type="paragraph" w:styleId="Heading2">
    <w:name w:val="heading 2"/>
    <w:basedOn w:val="Normal"/>
    <w:next w:val="Normal"/>
    <w:pPr>
      <w:keepNext w:val="1"/>
      <w:spacing w:after="60" w:before="240" w:lineRule="auto"/>
    </w:pPr>
    <w:rPr>
      <w:b w:val="1"/>
      <w:bCs w:val="1"/>
      <w:sz w:val="28"/>
      <w:szCs w:val="28"/>
    </w:rPr>
  </w:style>
  <w:style w:type="paragraph" w:styleId="Heading3">
    <w:name w:val="heading 3"/>
    <w:basedOn w:val="Normal"/>
    <w:next w:val="Normal"/>
    <w:pPr>
      <w:keepNext w:val="1"/>
      <w:keepLines w:val="1"/>
      <w:spacing w:before="200" w:lineRule="auto"/>
    </w:pPr>
    <w:rPr>
      <w:rFonts w:ascii="Cambria" w:cs="Cambria" w:eastAsia="Cambria" w:hAnsi="Cambria"/>
      <w:b w:val="1"/>
      <w:bCs w:val="1"/>
      <w:color w:val="4f81bd"/>
    </w:rPr>
  </w:style>
  <w:style w:type="paragraph" w:styleId="Heading4">
    <w:name w:val="heading 4"/>
    <w:basedOn w:val="Normal"/>
    <w:next w:val="Normal"/>
    <w:pPr>
      <w:keepNext w:val="1"/>
      <w:spacing w:after="60" w:before="240" w:lineRule="auto"/>
    </w:pPr>
    <w:rPr>
      <w:b w:val="1"/>
      <w:bCs w:val="1"/>
      <w:sz w:val="28"/>
      <w:szCs w:val="28"/>
    </w:rPr>
  </w:style>
  <w:style w:type="paragraph" w:styleId="Heading5">
    <w:name w:val="heading 5"/>
    <w:basedOn w:val="Normal"/>
    <w:next w:val="Normal"/>
    <w:pPr>
      <w:keepNext w:val="1"/>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ind w:left="630" w:right="-616"/>
    </w:pPr>
    <w:rPr>
      <w:b w:val="1"/>
      <w:bCs w:val="1"/>
      <w:i w:val="1"/>
      <w:iCs w:val="1"/>
      <w:sz w:val="28"/>
      <w:szCs w:val="28"/>
      <w:u w:val="single"/>
    </w:rPr>
  </w:style>
  <w:style w:type="paragraph" w:styleId="Heading6">
    <w:name w:val="heading 6"/>
    <w:basedOn w:val="Normal"/>
    <w:next w:val="Normal"/>
    <w:pPr>
      <w:spacing w:after="60" w:before="240" w:lineRule="auto"/>
    </w:pPr>
    <w:rPr>
      <w:b w:val="1"/>
      <w:bCs w:val="1"/>
      <w:sz w:val="22"/>
      <w:szCs w:val="22"/>
    </w:rPr>
  </w:style>
  <w:style w:type="paragraph" w:styleId="Title">
    <w:name w:val="Title"/>
    <w:basedOn w:val="Normal"/>
    <w:next w:val="Normal"/>
    <w:pPr>
      <w:jc w:val="center"/>
    </w:pPr>
    <w:rPr>
      <w:b w:val="1"/>
      <w:bCs w:val="1"/>
    </w:rPr>
  </w:style>
  <w:style w:type="paragraph" w:styleId="Heading7">
    <w:name w:val="heading 7"/>
    <w:aliases w:val="Sub heading"/>
    <w:basedOn w:val="Normal"/>
    <w:next w:val="Normal"/>
    <w:link w:val="Heading7Char"/>
    <w:uiPriority w:val="99"/>
    <w:qFormat w:val="1"/>
    <w:rsid w:val="00940A08"/>
    <w:pPr>
      <w:numPr>
        <w:ilvl w:val="1"/>
        <w:numId w:val="10"/>
      </w:numPr>
      <w:spacing w:before="240"/>
      <w:outlineLvl w:val="6"/>
    </w:pPr>
    <w:rPr>
      <w:rFonts w:cs="Arial"/>
      <w:b w:val="1"/>
      <w:bCs w:val="1"/>
      <w:sz w:val="22"/>
      <w:szCs w:val="22"/>
      <w:lang w:eastAsia="en-GB"/>
    </w:rPr>
  </w:style>
  <w:style w:type="paragraph" w:styleId="Heading8">
    <w:name w:val="heading 8"/>
    <w:basedOn w:val="Normal"/>
    <w:next w:val="Normal"/>
    <w:link w:val="Heading8Char"/>
    <w:uiPriority w:val="9"/>
    <w:qFormat w:val="1"/>
    <w:rsid w:val="00A01FCE"/>
    <w:pPr>
      <w:keepNext w:val="1"/>
      <w:jc w:val="center"/>
      <w:outlineLvl w:val="7"/>
    </w:pPr>
    <w:rPr>
      <w:b w:val="1"/>
      <w:sz w:val="4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link w:val="Heading1"/>
    <w:uiPriority w:val="99"/>
    <w:rsid w:val="008E4A17"/>
    <w:rPr>
      <w:rFonts w:ascii="Cambria" w:cs="Times New Roman" w:eastAsia="Times New Roman" w:hAnsi="Cambria"/>
      <w:b w:val="1"/>
      <w:bCs w:val="1"/>
      <w:kern w:val="32"/>
      <w:sz w:val="32"/>
      <w:szCs w:val="32"/>
      <w:lang w:eastAsia="en-US"/>
    </w:rPr>
  </w:style>
  <w:style w:type="character" w:styleId="Heading2Char" w:customStyle="1">
    <w:name w:val="Heading 2 Char"/>
    <w:link w:val="Heading2"/>
    <w:uiPriority w:val="9"/>
    <w:rsid w:val="00680B0E"/>
    <w:rPr>
      <w:rFonts w:ascii="Arial" w:cs="Arial" w:hAnsi="Arial"/>
      <w:b w:val="1"/>
      <w:bCs w:val="1"/>
      <w:iCs w:val="1"/>
      <w:sz w:val="28"/>
      <w:szCs w:val="28"/>
      <w:lang w:eastAsia="en-US"/>
    </w:rPr>
  </w:style>
  <w:style w:type="character" w:styleId="Heading4Char" w:customStyle="1">
    <w:name w:val="Heading 4 Char"/>
    <w:link w:val="Heading4"/>
    <w:uiPriority w:val="99"/>
    <w:semiHidden w:val="1"/>
    <w:rsid w:val="008E4A17"/>
    <w:rPr>
      <w:rFonts w:ascii="Calibri" w:cs="Times New Roman" w:eastAsia="Times New Roman" w:hAnsi="Calibri"/>
      <w:b w:val="1"/>
      <w:bCs w:val="1"/>
      <w:sz w:val="28"/>
      <w:szCs w:val="28"/>
      <w:lang w:eastAsia="en-US"/>
    </w:rPr>
  </w:style>
  <w:style w:type="character" w:styleId="Heading5Char" w:customStyle="1">
    <w:name w:val="Heading 5 Char"/>
    <w:link w:val="Heading5"/>
    <w:uiPriority w:val="9"/>
    <w:semiHidden w:val="1"/>
    <w:rsid w:val="008E4A17"/>
    <w:rPr>
      <w:rFonts w:ascii="Calibri" w:cs="Times New Roman" w:eastAsia="Times New Roman" w:hAnsi="Calibri"/>
      <w:b w:val="1"/>
      <w:bCs w:val="1"/>
      <w:i w:val="1"/>
      <w:iCs w:val="1"/>
      <w:sz w:val="26"/>
      <w:szCs w:val="26"/>
      <w:lang w:eastAsia="en-US"/>
    </w:rPr>
  </w:style>
  <w:style w:type="character" w:styleId="Heading6Char" w:customStyle="1">
    <w:name w:val="Heading 6 Char"/>
    <w:link w:val="Heading6"/>
    <w:uiPriority w:val="9"/>
    <w:semiHidden w:val="1"/>
    <w:rsid w:val="008E4A17"/>
    <w:rPr>
      <w:rFonts w:ascii="Calibri" w:cs="Times New Roman" w:eastAsia="Times New Roman" w:hAnsi="Calibri"/>
      <w:b w:val="1"/>
      <w:bCs w:val="1"/>
      <w:sz w:val="22"/>
      <w:szCs w:val="22"/>
      <w:lang w:eastAsia="en-US"/>
    </w:rPr>
  </w:style>
  <w:style w:type="character" w:styleId="Heading8Char" w:customStyle="1">
    <w:name w:val="Heading 8 Char"/>
    <w:link w:val="Heading8"/>
    <w:uiPriority w:val="9"/>
    <w:semiHidden w:val="1"/>
    <w:rsid w:val="008E4A17"/>
    <w:rPr>
      <w:rFonts w:ascii="Calibri" w:cs="Times New Roman" w:eastAsia="Times New Roman" w:hAnsi="Calibri"/>
      <w:i w:val="1"/>
      <w:iCs w:val="1"/>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styleId="FooterChar" w:customStyle="1">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styleId="HeaderChar" w:customStyle="1">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styleId="BodyTextChar" w:customStyle="1">
    <w:name w:val="Body Text Char"/>
    <w:link w:val="BodyText"/>
    <w:uiPriority w:val="99"/>
    <w:rsid w:val="008E4A17"/>
    <w:rPr>
      <w:sz w:val="24"/>
      <w:lang w:eastAsia="en-US"/>
    </w:rPr>
  </w:style>
  <w:style w:type="paragraph" w:styleId="t3" w:customStyle="1">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styleId="BodyText2Char" w:customStyle="1">
    <w:name w:val="Body Text 2 Char"/>
    <w:link w:val="BodyText2"/>
    <w:uiPriority w:val="99"/>
    <w:semiHidden w:val="1"/>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BodyText3">
    <w:name w:val="Body Text 3"/>
    <w:basedOn w:val="Normal"/>
    <w:link w:val="BodyText3Char"/>
    <w:uiPriority w:val="99"/>
    <w:rsid w:val="00E939AC"/>
    <w:pPr>
      <w:spacing w:after="120"/>
    </w:pPr>
    <w:rPr>
      <w:sz w:val="16"/>
      <w:szCs w:val="16"/>
    </w:rPr>
  </w:style>
  <w:style w:type="character" w:styleId="BodyText3Char" w:customStyle="1">
    <w:name w:val="Body Text 3 Char"/>
    <w:link w:val="BodyText3"/>
    <w:uiPriority w:val="99"/>
    <w:semiHidden w:val="1"/>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styleId="BodyTextIndent2Char" w:customStyle="1">
    <w:name w:val="Body Text Indent 2 Char"/>
    <w:link w:val="BodyTextIndent2"/>
    <w:uiPriority w:val="99"/>
    <w:semiHidden w:val="1"/>
    <w:rsid w:val="008E4A17"/>
    <w:rPr>
      <w:sz w:val="24"/>
      <w:lang w:eastAsia="en-US"/>
    </w:rPr>
  </w:style>
  <w:style w:type="paragraph" w:styleId="Default" w:customStyle="1">
    <w:name w:val="Default"/>
    <w:rsid w:val="00EE32BC"/>
    <w:pPr>
      <w:widowControl w:val="0"/>
      <w:autoSpaceDE w:val="0"/>
      <w:autoSpaceDN w:val="0"/>
      <w:adjustRightInd w:val="0"/>
    </w:pPr>
    <w:rPr>
      <w:color w:val="000000"/>
      <w:sz w:val="24"/>
      <w:szCs w:val="24"/>
      <w:lang w:eastAsia="en-US" w:val="en-US"/>
    </w:rPr>
  </w:style>
  <w:style w:type="paragraph" w:styleId="NormalWeb">
    <w:name w:val="Normal (Web)"/>
    <w:basedOn w:val="Default"/>
    <w:next w:val="Default"/>
    <w:uiPriority w:val="99"/>
    <w:rsid w:val="00AF05ED"/>
    <w:pPr>
      <w:spacing w:after="100" w:before="100"/>
    </w:pPr>
    <w:rPr>
      <w:color w:val="auto"/>
    </w:rPr>
  </w:style>
  <w:style w:type="paragraph" w:styleId="BodyTextIndent">
    <w:name w:val="Body Text Indent"/>
    <w:basedOn w:val="Normal"/>
    <w:link w:val="BodyTextIndentChar"/>
    <w:uiPriority w:val="99"/>
    <w:unhideWhenUsed w:val="1"/>
    <w:rsid w:val="006F69A1"/>
    <w:pPr>
      <w:widowControl w:val="0"/>
      <w:autoSpaceDE w:val="0"/>
      <w:autoSpaceDN w:val="0"/>
      <w:adjustRightInd w:val="0"/>
      <w:spacing w:after="120"/>
      <w:ind w:left="283"/>
    </w:pPr>
    <w:rPr>
      <w:szCs w:val="24"/>
    </w:rPr>
  </w:style>
  <w:style w:type="character" w:styleId="BodyTextIndentChar" w:customStyle="1">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cs="Tahoma" w:hAnsi="Tahoma"/>
      <w:sz w:val="16"/>
      <w:szCs w:val="16"/>
    </w:rPr>
  </w:style>
  <w:style w:type="character" w:styleId="BalloonTextChar" w:customStyle="1">
    <w:name w:val="Balloon Text Char"/>
    <w:link w:val="BalloonText"/>
    <w:uiPriority w:val="99"/>
    <w:rsid w:val="006221DF"/>
    <w:rPr>
      <w:rFonts w:ascii="Tahoma" w:cs="Tahoma" w:hAnsi="Tahoma"/>
      <w:sz w:val="16"/>
      <w:szCs w:val="16"/>
      <w:lang w:eastAsia="en-US"/>
    </w:rPr>
  </w:style>
  <w:style w:type="paragraph" w:styleId="ListParagraph">
    <w:name w:val="List Paragraph"/>
    <w:basedOn w:val="Normal"/>
    <w:link w:val="ListParagraphChar"/>
    <w:uiPriority w:val="34"/>
    <w:qFormat w:val="1"/>
    <w:rsid w:val="00680B0E"/>
    <w:pPr>
      <w:ind w:left="720"/>
      <w:contextualSpacing w:val="1"/>
    </w:pPr>
  </w:style>
  <w:style w:type="paragraph" w:styleId="TOC1">
    <w:name w:val="toc 1"/>
    <w:basedOn w:val="Normal"/>
    <w:next w:val="Normal"/>
    <w:autoRedefine w:val="1"/>
    <w:uiPriority w:val="39"/>
    <w:rsid w:val="003B45E8"/>
    <w:pPr>
      <w:spacing w:after="120" w:before="120"/>
    </w:pPr>
    <w:rPr>
      <w:rFonts w:ascii="Calibri" w:hAnsi="Calibri"/>
      <w:b w:val="1"/>
      <w:bCs w:val="1"/>
      <w:caps w:val="1"/>
      <w:sz w:val="20"/>
    </w:rPr>
  </w:style>
  <w:style w:type="paragraph" w:styleId="TOC2">
    <w:name w:val="toc 2"/>
    <w:basedOn w:val="Normal"/>
    <w:next w:val="Normal"/>
    <w:autoRedefine w:val="1"/>
    <w:uiPriority w:val="39"/>
    <w:rsid w:val="003B45E8"/>
    <w:pPr>
      <w:ind w:left="240"/>
    </w:pPr>
    <w:rPr>
      <w:rFonts w:ascii="Calibri" w:hAnsi="Calibri"/>
      <w:smallCaps w:val="1"/>
      <w:sz w:val="20"/>
    </w:rPr>
  </w:style>
  <w:style w:type="paragraph" w:styleId="TOC3">
    <w:name w:val="toc 3"/>
    <w:basedOn w:val="Normal"/>
    <w:next w:val="Normal"/>
    <w:autoRedefine w:val="1"/>
    <w:uiPriority w:val="39"/>
    <w:rsid w:val="003B45E8"/>
    <w:pPr>
      <w:ind w:left="480"/>
    </w:pPr>
    <w:rPr>
      <w:rFonts w:ascii="Calibri" w:hAnsi="Calibri"/>
      <w:i w:val="1"/>
      <w:iCs w:val="1"/>
      <w:sz w:val="20"/>
    </w:rPr>
  </w:style>
  <w:style w:type="paragraph" w:styleId="TOC4">
    <w:name w:val="toc 4"/>
    <w:basedOn w:val="Normal"/>
    <w:next w:val="Normal"/>
    <w:autoRedefine w:val="1"/>
    <w:uiPriority w:val="39"/>
    <w:rsid w:val="003B45E8"/>
    <w:pPr>
      <w:ind w:left="720"/>
    </w:pPr>
    <w:rPr>
      <w:rFonts w:ascii="Calibri" w:hAnsi="Calibri"/>
      <w:sz w:val="18"/>
      <w:szCs w:val="18"/>
    </w:rPr>
  </w:style>
  <w:style w:type="paragraph" w:styleId="TOC5">
    <w:name w:val="toc 5"/>
    <w:basedOn w:val="Normal"/>
    <w:next w:val="Normal"/>
    <w:autoRedefine w:val="1"/>
    <w:uiPriority w:val="39"/>
    <w:rsid w:val="003B45E8"/>
    <w:pPr>
      <w:ind w:left="960"/>
    </w:pPr>
    <w:rPr>
      <w:rFonts w:ascii="Calibri" w:hAnsi="Calibri"/>
      <w:sz w:val="18"/>
      <w:szCs w:val="18"/>
    </w:rPr>
  </w:style>
  <w:style w:type="paragraph" w:styleId="TOC6">
    <w:name w:val="toc 6"/>
    <w:basedOn w:val="Normal"/>
    <w:next w:val="Normal"/>
    <w:autoRedefine w:val="1"/>
    <w:uiPriority w:val="39"/>
    <w:rsid w:val="003B45E8"/>
    <w:pPr>
      <w:ind w:left="1200"/>
    </w:pPr>
    <w:rPr>
      <w:rFonts w:ascii="Calibri" w:hAnsi="Calibri"/>
      <w:sz w:val="18"/>
      <w:szCs w:val="18"/>
    </w:rPr>
  </w:style>
  <w:style w:type="paragraph" w:styleId="TOC7">
    <w:name w:val="toc 7"/>
    <w:basedOn w:val="Normal"/>
    <w:next w:val="Normal"/>
    <w:autoRedefine w:val="1"/>
    <w:uiPriority w:val="39"/>
    <w:rsid w:val="003B45E8"/>
    <w:pPr>
      <w:ind w:left="1440"/>
    </w:pPr>
    <w:rPr>
      <w:rFonts w:ascii="Calibri" w:hAnsi="Calibri"/>
      <w:sz w:val="18"/>
      <w:szCs w:val="18"/>
    </w:rPr>
  </w:style>
  <w:style w:type="paragraph" w:styleId="TOC8">
    <w:name w:val="toc 8"/>
    <w:basedOn w:val="Normal"/>
    <w:next w:val="Normal"/>
    <w:autoRedefine w:val="1"/>
    <w:uiPriority w:val="39"/>
    <w:rsid w:val="003B45E8"/>
    <w:pPr>
      <w:ind w:left="1680"/>
    </w:pPr>
    <w:rPr>
      <w:rFonts w:ascii="Calibri" w:hAnsi="Calibri"/>
      <w:sz w:val="18"/>
      <w:szCs w:val="18"/>
    </w:rPr>
  </w:style>
  <w:style w:type="paragraph" w:styleId="TOC9">
    <w:name w:val="toc 9"/>
    <w:basedOn w:val="Normal"/>
    <w:next w:val="Normal"/>
    <w:autoRedefine w:val="1"/>
    <w:uiPriority w:val="39"/>
    <w:rsid w:val="003B45E8"/>
    <w:pPr>
      <w:ind w:left="1920"/>
    </w:pPr>
    <w:rPr>
      <w:rFonts w:ascii="Calibri" w:hAnsi="Calibri"/>
      <w:sz w:val="18"/>
      <w:szCs w:val="18"/>
    </w:rPr>
  </w:style>
  <w:style w:type="paragraph" w:styleId="SMUNORMALARIAL" w:customStyle="1">
    <w:name w:val="SMU NORMAL ARIAL"/>
    <w:basedOn w:val="Normal"/>
    <w:rsid w:val="00BF2A01"/>
    <w:rPr>
      <w:sz w:val="22"/>
      <w:szCs w:val="24"/>
      <w:lang w:eastAsia="en-GB"/>
    </w:rPr>
  </w:style>
  <w:style w:type="paragraph" w:styleId="SMUARIAL14BOLD" w:customStyle="1">
    <w:name w:val="SMU ARIAL 14 BOLD"/>
    <w:rsid w:val="00BF2A01"/>
    <w:pPr>
      <w:spacing w:before="240"/>
    </w:pPr>
    <w:rPr>
      <w:rFonts w:ascii="Arial" w:cs="Arial" w:hAnsi="Arial"/>
      <w:b w:val="1"/>
      <w:bCs w:val="1"/>
      <w:caps w:val="1"/>
      <w:kern w:val="32"/>
      <w:sz w:val="28"/>
      <w:szCs w:val="32"/>
    </w:rPr>
  </w:style>
  <w:style w:type="character" w:styleId="Heading3Char" w:customStyle="1">
    <w:name w:val="Heading 3 Char"/>
    <w:link w:val="Heading3"/>
    <w:semiHidden w:val="1"/>
    <w:rsid w:val="008B2529"/>
    <w:rPr>
      <w:rFonts w:ascii="Cambria" w:cs="Times New Roman" w:eastAsia="Times New Roman" w:hAnsi="Cambria"/>
      <w:b w:val="1"/>
      <w:bCs w:val="1"/>
      <w:color w:val="4f81bd"/>
      <w:sz w:val="24"/>
      <w:lang w:eastAsia="en-US"/>
    </w:rPr>
  </w:style>
  <w:style w:type="character" w:styleId="Strong">
    <w:name w:val="Strong"/>
    <w:uiPriority w:val="22"/>
    <w:qFormat w:val="1"/>
    <w:rsid w:val="008B2529"/>
    <w:rPr>
      <w:b w:val="1"/>
      <w:bCs w:val="1"/>
    </w:rPr>
  </w:style>
  <w:style w:type="character" w:styleId="TitleChar" w:customStyle="1">
    <w:name w:val="Title Char"/>
    <w:link w:val="Title"/>
    <w:uiPriority w:val="99"/>
    <w:rsid w:val="008B2529"/>
    <w:rPr>
      <w:b w:val="1"/>
      <w:bCs w:val="1"/>
      <w:sz w:val="24"/>
      <w:lang w:eastAsia="en-US" w:val="en-US"/>
    </w:rPr>
  </w:style>
  <w:style w:type="paragraph" w:styleId="BodyText1" w:customStyle="1">
    <w:name w:val="Body Text1"/>
    <w:basedOn w:val="Normal"/>
    <w:rsid w:val="000971B7"/>
    <w:pPr>
      <w:tabs>
        <w:tab w:val="left" w:pos="720"/>
        <w:tab w:val="left" w:pos="1440"/>
      </w:tabs>
    </w:pPr>
    <w:rPr>
      <w:rFonts w:ascii="CG Times (WN)" w:hAnsi="CG Times (WN)"/>
    </w:rPr>
  </w:style>
  <w:style w:type="character" w:styleId="Emphasis">
    <w:name w:val="Emphasis"/>
    <w:qFormat w:val="1"/>
    <w:rsid w:val="00212E76"/>
    <w:rPr>
      <w:i w:val="1"/>
      <w:iCs w:val="1"/>
    </w:rPr>
  </w:style>
  <w:style w:type="character" w:styleId="apple-style-span" w:customStyle="1">
    <w:name w:val="apple-style-span"/>
    <w:rsid w:val="00557E08"/>
  </w:style>
  <w:style w:type="paragraph" w:styleId="NormalWeb1" w:customStyle="1">
    <w:name w:val="Normal (Web)1"/>
    <w:basedOn w:val="Normal"/>
    <w:uiPriority w:val="99"/>
    <w:rsid w:val="00557E08"/>
    <w:rPr>
      <w:rFonts w:eastAsia="Calibri"/>
      <w:szCs w:val="24"/>
      <w:lang w:eastAsia="en-GB"/>
    </w:rPr>
  </w:style>
  <w:style w:type="character" w:styleId="nw1" w:customStyle="1">
    <w:name w:val="nw1"/>
    <w:uiPriority w:val="99"/>
    <w:rsid w:val="00557E08"/>
  </w:style>
  <w:style w:type="character" w:styleId="hps" w:customStyle="1">
    <w:name w:val="hps"/>
    <w:rsid w:val="00557E08"/>
  </w:style>
  <w:style w:type="character" w:styleId="FollowedHyperlink">
    <w:name w:val="FollowedHyperlink"/>
    <w:uiPriority w:val="99"/>
    <w:rsid w:val="00037D7A"/>
    <w:rPr>
      <w:color w:val="800080"/>
      <w:u w:val="single"/>
    </w:rPr>
  </w:style>
  <w:style w:type="paragraph" w:styleId="heading" w:customStyle="1">
    <w:name w:val="heading"/>
    <w:basedOn w:val="Normal"/>
    <w:link w:val="headingChar"/>
    <w:rsid w:val="006C5084"/>
    <w:pPr>
      <w:tabs>
        <w:tab w:val="left" w:pos="720"/>
        <w:tab w:val="left" w:pos="1440"/>
        <w:tab w:val="left" w:pos="2160"/>
        <w:tab w:val="left" w:pos="2880"/>
      </w:tabs>
      <w:overflowPunct w:val="0"/>
      <w:autoSpaceDE w:val="0"/>
      <w:autoSpaceDN w:val="0"/>
      <w:adjustRightInd w:val="0"/>
      <w:spacing w:after="120" w:before="240"/>
      <w:ind w:left="3600" w:hanging="3600"/>
      <w:textAlignment w:val="baseline"/>
    </w:pPr>
    <w:rPr>
      <w:b w:val="1"/>
      <w:lang w:eastAsia="en-GB"/>
    </w:rPr>
  </w:style>
  <w:style w:type="character" w:styleId="headingChar" w:customStyle="1">
    <w:name w:val="heading Char"/>
    <w:link w:val="heading"/>
    <w:rsid w:val="006C5084"/>
    <w:rPr>
      <w:b w:val="1"/>
      <w:sz w:val="24"/>
    </w:rPr>
  </w:style>
  <w:style w:type="character" w:styleId="Heading7Char" w:customStyle="1">
    <w:name w:val="Heading 7 Char"/>
    <w:aliases w:val="Sub heading Char"/>
    <w:link w:val="Heading7"/>
    <w:uiPriority w:val="99"/>
    <w:rsid w:val="00940A08"/>
    <w:rPr>
      <w:rFonts w:ascii="Arial" w:cs="Arial" w:hAnsi="Arial"/>
      <w:b w:val="1"/>
      <w:bCs w:val="1"/>
      <w:sz w:val="22"/>
      <w:szCs w:val="22"/>
    </w:rPr>
  </w:style>
  <w:style w:type="character" w:styleId="lookup-resultcontent" w:customStyle="1">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color="7ba0cd" w:space="0" w:sz="8" w:val="single"/>
        <w:left w:color="7ba0cd" w:space="0" w:sz="8" w:val="single"/>
        <w:bottom w:color="7ba0cd" w:space="0" w:sz="8" w:val="single"/>
        <w:right w:color="7ba0cd" w:space="0" w:sz="8" w:val="single"/>
        <w:insideH w:color="7ba0cd" w:space="0" w:sz="8" w:val="single"/>
        <w:insideV w:color="7ba0cd" w:space="0" w:sz="8" w:val="single"/>
      </w:tblBorders>
    </w:tblPr>
    <w:tcPr>
      <w:shd w:color="auto" w:fill="d3dfee" w:val="clear"/>
    </w:tcPr>
    <w:tblStylePr w:type="firstRow">
      <w:rPr>
        <w:b w:val="1"/>
        <w:bCs w:val="1"/>
      </w:rPr>
    </w:tblStylePr>
    <w:tblStylePr w:type="lastRow">
      <w:rPr>
        <w:b w:val="1"/>
        <w:bCs w:val="1"/>
      </w:rPr>
      <w:tblPr/>
      <w:tcPr>
        <w:tcBorders>
          <w:top w:color="7ba0cd" w:space="0" w:sz="18" w:val="single"/>
        </w:tcBorders>
      </w:tcPr>
    </w:tblStylePr>
    <w:tblStylePr w:type="firstCol">
      <w:rPr>
        <w:b w:val="1"/>
        <w:bCs w:val="1"/>
      </w:rPr>
    </w:tblStylePr>
    <w:tblStylePr w:type="lastCol">
      <w:rPr>
        <w:b w:val="1"/>
        <w:bCs w:val="1"/>
      </w:rPr>
    </w:tblStylePr>
    <w:tblStylePr w:type="band1Vert">
      <w:tblPr/>
      <w:tcPr>
        <w:shd w:color="auto" w:fill="a7bfde" w:val="clear"/>
      </w:tcPr>
    </w:tblStylePr>
    <w:tblStylePr w:type="band1Horz">
      <w:tblPr/>
      <w:tcPr>
        <w:shd w:color="auto" w:fill="a7bfde" w:val="clear"/>
      </w:tcPr>
    </w:tblStylePr>
  </w:style>
  <w:style w:type="paragraph" w:styleId="deannah1" w:customStyle="1">
    <w:name w:val="deannah1"/>
    <w:basedOn w:val="Normal"/>
    <w:uiPriority w:val="99"/>
    <w:rsid w:val="00336342"/>
    <w:pPr>
      <w:keepNext w:val="1"/>
      <w:spacing w:after="240"/>
    </w:pPr>
    <w:rPr>
      <w:b w:val="1"/>
      <w:bCs w:val="1"/>
      <w:szCs w:val="24"/>
    </w:rPr>
  </w:style>
  <w:style w:type="character" w:styleId="Hyperlink1" w:customStyle="1">
    <w:name w:val="Hyperlink1"/>
    <w:uiPriority w:val="99"/>
    <w:rsid w:val="00336342"/>
    <w:rPr>
      <w:color w:val="535353"/>
      <w:u w:val="single"/>
      <w:effect w:val="none"/>
    </w:rPr>
  </w:style>
  <w:style w:type="character" w:styleId="CommentReference">
    <w:name w:val="annotation reference"/>
    <w:uiPriority w:val="99"/>
    <w:unhideWhenUsed w:val="1"/>
    <w:rsid w:val="00336342"/>
    <w:rPr>
      <w:sz w:val="16"/>
      <w:szCs w:val="16"/>
    </w:rPr>
  </w:style>
  <w:style w:type="paragraph" w:styleId="CommentText">
    <w:name w:val="annotation text"/>
    <w:basedOn w:val="Normal"/>
    <w:link w:val="CommentTextChar"/>
    <w:uiPriority w:val="99"/>
    <w:unhideWhenUsed w:val="1"/>
    <w:rsid w:val="00336342"/>
    <w:rPr>
      <w:sz w:val="20"/>
    </w:rPr>
  </w:style>
  <w:style w:type="character" w:styleId="CommentTextChar" w:customStyle="1">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val="1"/>
    <w:rsid w:val="00336342"/>
    <w:rPr>
      <w:b w:val="1"/>
      <w:bCs w:val="1"/>
    </w:rPr>
  </w:style>
  <w:style w:type="character" w:styleId="CommentSubjectChar" w:customStyle="1">
    <w:name w:val="Comment Subject Char"/>
    <w:link w:val="CommentSubject"/>
    <w:uiPriority w:val="99"/>
    <w:rsid w:val="00336342"/>
    <w:rPr>
      <w:b w:val="1"/>
      <w:bCs w:val="1"/>
      <w:lang w:eastAsia="en-US"/>
    </w:rPr>
  </w:style>
  <w:style w:type="table" w:styleId="GridTable1Light-Accent21" w:customStyle="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0" w:type="nil"/>
      <w:tblBorders>
        <w:top w:color="f7caac" w:space="0" w:sz="4" w:val="single"/>
        <w:left w:color="f7caac" w:space="0" w:sz="4" w:val="single"/>
        <w:bottom w:color="f7caac" w:space="0" w:sz="4" w:val="single"/>
        <w:right w:color="f7caac" w:space="0" w:sz="4" w:val="single"/>
        <w:insideH w:color="f7caac" w:space="0" w:sz="4" w:val="single"/>
        <w:insideV w:color="f7caac" w:space="0" w:sz="4" w:val="single"/>
      </w:tblBorders>
    </w:tblPr>
    <w:tblStylePr w:type="firstRow">
      <w:rPr>
        <w:b w:val="1"/>
        <w:bCs w:val="1"/>
      </w:rPr>
      <w:tblPr/>
      <w:tcPr>
        <w:tcBorders>
          <w:bottom w:color="f4b083" w:space="0" w:sz="12" w:val="single"/>
        </w:tcBorders>
      </w:tcPr>
    </w:tblStylePr>
    <w:tblStylePr w:type="lastRow">
      <w:rPr>
        <w:b w:val="1"/>
        <w:bCs w:val="1"/>
      </w:rPr>
      <w:tblPr/>
      <w:tcPr>
        <w:tcBorders>
          <w:top w:color="f4b083" w:space="0" w:sz="2" w:val="double"/>
        </w:tcBorders>
      </w:tcPr>
    </w:tblStylePr>
    <w:tblStylePr w:type="firstCol">
      <w:rPr>
        <w:b w:val="1"/>
        <w:bCs w:val="1"/>
      </w:rPr>
    </w:tblStylePr>
    <w:tblStylePr w:type="lastCol">
      <w:rPr>
        <w:b w:val="1"/>
        <w:bCs w:val="1"/>
      </w:rPr>
    </w:tblStylePr>
  </w:style>
  <w:style w:type="table" w:styleId="GridTable1Light-Accent2">
    <w:name w:val="Grid Table 1 Light Accent 2"/>
    <w:basedOn w:val="TableNormal"/>
    <w:uiPriority w:val="46"/>
    <w:rsid w:val="00C5678B"/>
    <w:tblPr>
      <w:tblStyleRowBandSize w:val="1"/>
      <w:tblStyleColBandSize w:val="1"/>
      <w:tblBorders>
        <w:top w:color="f7caac" w:space="0" w:sz="4" w:val="single"/>
        <w:left w:color="f7caac" w:space="0" w:sz="4" w:val="single"/>
        <w:bottom w:color="f7caac" w:space="0" w:sz="4" w:val="single"/>
        <w:right w:color="f7caac" w:space="0" w:sz="4" w:val="single"/>
        <w:insideH w:color="f7caac" w:space="0" w:sz="4" w:val="single"/>
        <w:insideV w:color="f7caac" w:space="0" w:sz="4" w:val="single"/>
      </w:tblBorders>
    </w:tblPr>
    <w:tblStylePr w:type="firstRow">
      <w:rPr>
        <w:b w:val="1"/>
        <w:bCs w:val="1"/>
      </w:rPr>
      <w:tblPr/>
      <w:tcPr>
        <w:tcBorders>
          <w:bottom w:color="f4b083" w:space="0" w:sz="12" w:val="single"/>
        </w:tcBorders>
      </w:tcPr>
    </w:tblStylePr>
    <w:tblStylePr w:type="lastRow">
      <w:rPr>
        <w:b w:val="1"/>
        <w:bCs w:val="1"/>
      </w:rPr>
      <w:tblPr/>
      <w:tcPr>
        <w:tcBorders>
          <w:top w:color="f4b083" w:space="0" w:sz="2" w:val="double"/>
        </w:tcBorders>
      </w:tcPr>
    </w:tblStylePr>
    <w:tblStylePr w:type="firstCol">
      <w:rPr>
        <w:b w:val="1"/>
        <w:bCs w:val="1"/>
      </w:rPr>
    </w:tblStylePr>
    <w:tblStylePr w:type="lastCol">
      <w:rPr>
        <w:b w:val="1"/>
        <w:bCs w:val="1"/>
      </w:rPr>
    </w:tblStylePr>
  </w:style>
  <w:style w:type="table" w:styleId="TableGrid2">
    <w:name w:val="Table Grid 2"/>
    <w:basedOn w:val="TableNormal"/>
    <w:rsid w:val="00180E5F"/>
    <w:tblPr>
      <w:tblBorders>
        <w:insideH w:color="000000" w:space="0" w:sz="6" w:val="single"/>
        <w:insideV w:color="000000" w:space="0" w:sz="6" w:val="single"/>
      </w:tblBorders>
    </w:tblPr>
    <w:tcPr>
      <w:shd w:color="auto" w:fill="auto" w:val="clear"/>
    </w:tcPr>
    <w:tblStylePr w:type="firstRow">
      <w:rPr>
        <w:b w:val="1"/>
        <w:bCs w:val="1"/>
      </w:rPr>
      <w:tblPr/>
      <w:tcPr>
        <w:tcBorders>
          <w:tl2br w:color="auto" w:space="0" w:sz="0" w:val="none"/>
          <w:tr2bl w:color="auto" w:space="0" w:sz="0" w:val="none"/>
        </w:tcBorders>
      </w:tcPr>
    </w:tblStylePr>
    <w:tblStylePr w:type="lastRow">
      <w:rPr>
        <w:b w:val="1"/>
        <w:bCs w:val="1"/>
      </w:rPr>
      <w:tblPr/>
      <w:tcPr>
        <w:tcBorders>
          <w:top w:color="000000" w:space="0" w:sz="6" w:val="single"/>
          <w:tl2br w:color="auto" w:space="0" w:sz="0" w:val="none"/>
          <w:tr2bl w:color="auto" w:space="0" w:sz="0" w:val="none"/>
        </w:tcBorders>
      </w:tcPr>
    </w:tblStylePr>
    <w:tblStylePr w:type="firstCol">
      <w:rPr>
        <w:b w:val="1"/>
        <w:bCs w:val="1"/>
      </w:rPr>
      <w:tblPr/>
      <w:tcPr>
        <w:tcBorders>
          <w:tl2br w:color="auto" w:space="0" w:sz="0" w:val="none"/>
          <w:tr2bl w:color="auto" w:space="0" w:sz="0" w:val="none"/>
        </w:tcBorders>
      </w:tcPr>
    </w:tblStylePr>
    <w:tblStylePr w:type="lastCol">
      <w:rPr>
        <w:b w:val="1"/>
        <w:bCs w:val="1"/>
      </w:rPr>
      <w:tblPr/>
      <w:tcPr>
        <w:tcBorders>
          <w:tl2br w:color="auto" w:space="0" w:sz="0" w:val="none"/>
          <w:tr2bl w:color="auto" w:space="0" w:sz="0" w:val="none"/>
        </w:tcBorders>
      </w:tcPr>
    </w:tblStylePr>
  </w:style>
  <w:style w:type="table" w:styleId="GridTable5Dark-Accent4">
    <w:name w:val="Grid Table 5 Dark Accent 4"/>
    <w:basedOn w:val="TableNormal"/>
    <w:uiPriority w:val="50"/>
    <w:rsid w:val="00180E5F"/>
    <w:tblPr>
      <w:tblStyleRowBandSize w:val="1"/>
      <w:tblStyleColBandSize w:val="1"/>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Pr>
    <w:tcPr>
      <w:shd w:color="auto" w:fill="fff2cc" w:val="clear"/>
    </w:tcPr>
    <w:tblStylePr w:type="firstRow">
      <w:rPr>
        <w:b w:val="1"/>
        <w:bCs w:val="1"/>
        <w:color w:val="ffffff"/>
      </w:rPr>
      <w:tblPr/>
      <w:tcPr>
        <w:tcBorders>
          <w:top w:color="ffffff" w:space="0" w:sz="4" w:val="single"/>
          <w:left w:color="ffffff" w:space="0" w:sz="4" w:val="single"/>
          <w:right w:color="ffffff" w:space="0" w:sz="4" w:val="single"/>
          <w:insideH w:space="0" w:sz="0" w:val="nil"/>
          <w:insideV w:space="0" w:sz="0" w:val="nil"/>
        </w:tcBorders>
        <w:shd w:color="auto" w:fill="ffc000" w:val="clear"/>
      </w:tcPr>
    </w:tblStylePr>
    <w:tblStylePr w:type="lastRow">
      <w:rPr>
        <w:b w:val="1"/>
        <w:bCs w:val="1"/>
        <w:color w:val="ffffff"/>
      </w:rPr>
      <w:tblPr/>
      <w:tcPr>
        <w:tcBorders>
          <w:left w:color="ffffff" w:space="0" w:sz="4" w:val="single"/>
          <w:bottom w:color="ffffff" w:space="0" w:sz="4" w:val="single"/>
          <w:right w:color="ffffff" w:space="0" w:sz="4" w:val="single"/>
          <w:insideH w:space="0" w:sz="0" w:val="nil"/>
          <w:insideV w:space="0" w:sz="0" w:val="nil"/>
        </w:tcBorders>
        <w:shd w:color="auto" w:fill="ffc000" w:val="clear"/>
      </w:tcPr>
    </w:tblStylePr>
    <w:tblStylePr w:type="firstCol">
      <w:rPr>
        <w:b w:val="1"/>
        <w:bCs w:val="1"/>
        <w:color w:val="ffffff"/>
      </w:rPr>
      <w:tblPr/>
      <w:tcPr>
        <w:tcBorders>
          <w:top w:color="ffffff" w:space="0" w:sz="4" w:val="single"/>
          <w:left w:color="ffffff" w:space="0" w:sz="4" w:val="single"/>
          <w:bottom w:color="ffffff" w:space="0" w:sz="4" w:val="single"/>
          <w:insideV w:space="0" w:sz="0" w:val="nil"/>
        </w:tcBorders>
        <w:shd w:color="auto" w:fill="ffc000" w:val="clear"/>
      </w:tcPr>
    </w:tblStylePr>
    <w:tblStylePr w:type="lastCol">
      <w:rPr>
        <w:b w:val="1"/>
        <w:bCs w:val="1"/>
        <w:color w:val="ffffff"/>
      </w:rPr>
      <w:tblPr/>
      <w:tcPr>
        <w:tcBorders>
          <w:top w:color="ffffff" w:space="0" w:sz="4" w:val="single"/>
          <w:bottom w:color="ffffff" w:space="0" w:sz="4" w:val="single"/>
          <w:right w:color="ffffff" w:space="0" w:sz="4" w:val="single"/>
          <w:insideV w:space="0" w:sz="0" w:val="nil"/>
        </w:tcBorders>
        <w:shd w:color="auto" w:fill="ffc000" w:val="clear"/>
      </w:tcPr>
    </w:tblStylePr>
    <w:tblStylePr w:type="band1Vert">
      <w:tblPr/>
      <w:tcPr>
        <w:shd w:color="auto" w:fill="ffe599" w:val="clear"/>
      </w:tcPr>
    </w:tblStylePr>
    <w:tblStylePr w:type="band1Horz">
      <w:tblPr/>
      <w:tcPr>
        <w:shd w:color="auto" w:fill="ffe599" w:val="clear"/>
      </w:tcPr>
    </w:tblStylePr>
  </w:style>
  <w:style w:type="table" w:styleId="MediumGrid3-Accent4">
    <w:name w:val="Medium Grid 3 Accent 4"/>
    <w:basedOn w:val="TableNormal"/>
    <w:uiPriority w:val="69"/>
    <w:rsid w:val="00180E5F"/>
    <w:tblPr>
      <w:tblStyleRowBandSize w:val="1"/>
      <w:tblStyleColBandSize w:val="1"/>
      <w:tblBorders>
        <w:top w:color="ffffff" w:space="0" w:sz="8" w:val="single"/>
        <w:left w:color="ffffff" w:space="0" w:sz="8" w:val="single"/>
        <w:bottom w:color="ffffff" w:space="0" w:sz="8" w:val="single"/>
        <w:right w:color="ffffff" w:space="0" w:sz="8" w:val="single"/>
        <w:insideH w:color="ffffff" w:space="0" w:sz="6" w:val="single"/>
        <w:insideV w:color="ffffff" w:space="0" w:sz="6" w:val="single"/>
      </w:tblBorders>
    </w:tblPr>
    <w:tcPr>
      <w:shd w:color="auto" w:fill="ffefc0" w:val="clear"/>
    </w:tcPr>
    <w:tblStylePr w:type="firstRow">
      <w:rPr>
        <w:b w:val="1"/>
        <w:bCs w:val="1"/>
        <w:i w:val="0"/>
        <w:iCs w:val="0"/>
        <w:color w:val="ffffff"/>
      </w:rPr>
      <w:tblPr/>
      <w:tcPr>
        <w:tcBorders>
          <w:top w:color="ffffff" w:space="0" w:sz="8" w:val="single"/>
          <w:left w:color="ffffff" w:space="0" w:sz="8" w:val="single"/>
          <w:bottom w:color="ffffff" w:space="0" w:sz="24" w:val="single"/>
          <w:right w:color="ffffff" w:space="0" w:sz="8" w:val="single"/>
          <w:insideH w:space="0" w:sz="0" w:val="nil"/>
          <w:insideV w:color="ffffff" w:space="0" w:sz="8" w:val="single"/>
        </w:tcBorders>
        <w:shd w:color="auto" w:fill="ffc000" w:val="clear"/>
      </w:tcPr>
    </w:tblStylePr>
    <w:tblStylePr w:type="lastRow">
      <w:rPr>
        <w:b w:val="1"/>
        <w:bCs w:val="1"/>
        <w:i w:val="0"/>
        <w:iCs w:val="0"/>
        <w:color w:val="ffffff"/>
      </w:rPr>
      <w:tblPr/>
      <w:tcPr>
        <w:tcBorders>
          <w:top w:color="ffffff" w:space="0" w:sz="24" w:val="single"/>
          <w:left w:color="ffffff" w:space="0" w:sz="8" w:val="single"/>
          <w:bottom w:color="ffffff" w:space="0" w:sz="8" w:val="single"/>
          <w:right w:color="ffffff" w:space="0" w:sz="8" w:val="single"/>
          <w:insideH w:space="0" w:sz="0" w:val="nil"/>
          <w:insideV w:color="ffffff" w:space="0" w:sz="8" w:val="single"/>
        </w:tcBorders>
        <w:shd w:color="auto" w:fill="ffc000" w:val="clear"/>
      </w:tcPr>
    </w:tblStylePr>
    <w:tblStylePr w:type="firstCol">
      <w:rPr>
        <w:b w:val="1"/>
        <w:bCs w:val="1"/>
        <w:i w:val="0"/>
        <w:iCs w:val="0"/>
        <w:color w:val="ffffff"/>
      </w:rPr>
      <w:tblPr/>
      <w:tcPr>
        <w:tcBorders>
          <w:left w:color="ffffff" w:space="0" w:sz="8" w:val="single"/>
          <w:right w:color="ffffff" w:space="0" w:sz="24" w:val="single"/>
          <w:insideH w:space="0" w:sz="0" w:val="nil"/>
          <w:insideV w:space="0" w:sz="0" w:val="nil"/>
        </w:tcBorders>
        <w:shd w:color="auto" w:fill="ffc000" w:val="clear"/>
      </w:tcPr>
    </w:tblStylePr>
    <w:tblStylePr w:type="lastCol">
      <w:rPr>
        <w:b w:val="1"/>
        <w:bCs w:val="1"/>
        <w:i w:val="0"/>
        <w:iCs w:val="0"/>
        <w:color w:val="ffffff"/>
      </w:rPr>
      <w:tblPr/>
      <w:tcPr>
        <w:tcBorders>
          <w:top w:space="0" w:sz="0" w:val="nil"/>
          <w:left w:color="ffffff" w:space="0" w:sz="24" w:val="single"/>
          <w:bottom w:space="0" w:sz="0" w:val="nil"/>
          <w:right w:space="0" w:sz="0" w:val="nil"/>
          <w:insideH w:space="0" w:sz="0" w:val="nil"/>
          <w:insideV w:space="0" w:sz="0" w:val="nil"/>
        </w:tcBorders>
        <w:shd w:color="auto" w:fill="ffc000" w:val="clear"/>
      </w:tcPr>
    </w:tblStylePr>
    <w:tblStylePr w:type="band1Vert">
      <w:tblPr/>
      <w:tcPr>
        <w:tcBorders>
          <w:top w:color="ffffff" w:space="0" w:sz="8" w:val="single"/>
          <w:left w:color="ffffff" w:space="0" w:sz="8" w:val="single"/>
          <w:bottom w:color="ffffff" w:space="0" w:sz="8" w:val="single"/>
          <w:right w:color="ffffff" w:space="0" w:sz="8" w:val="single"/>
          <w:insideH w:space="0" w:sz="0" w:val="nil"/>
          <w:insideV w:space="0" w:sz="0" w:val="nil"/>
        </w:tcBorders>
        <w:shd w:color="auto" w:fill="ffdf80" w:val="clear"/>
      </w:tcPr>
    </w:tblStylePr>
    <w:tblStylePr w:type="band1Horz">
      <w:tblPr/>
      <w:tcPr>
        <w:tcBorders>
          <w:top w:color="ffffff" w:space="0" w:sz="8" w:val="single"/>
          <w:left w:color="ffffff" w:space="0" w:sz="8" w:val="single"/>
          <w:bottom w:color="ffffff" w:space="0" w:sz="8" w:val="single"/>
          <w:right w:color="ffffff" w:space="0" w:sz="8" w:val="single"/>
          <w:insideH w:color="ffffff" w:space="0" w:sz="8" w:val="single"/>
          <w:insideV w:color="ffffff" w:space="0" w:sz="8" w:val="single"/>
        </w:tcBorders>
        <w:shd w:color="auto" w:fill="ffdf80" w:val="clear"/>
      </w:tcPr>
    </w:tblStylePr>
  </w:style>
  <w:style w:type="paragraph" w:styleId="fixed" w:customStyle="1">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val="1"/>
      <w:sz w:val="24"/>
    </w:rPr>
  </w:style>
  <w:style w:type="paragraph" w:styleId="bullet" w:customStyle="1">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styleId="fixedChar" w:customStyle="1">
    <w:name w:val="fixed Char"/>
    <w:link w:val="fixed"/>
    <w:rsid w:val="00180E5F"/>
    <w:rPr>
      <w:b w:val="1"/>
      <w:sz w:val="24"/>
    </w:rPr>
  </w:style>
  <w:style w:type="character" w:styleId="bulletChar" w:customStyle="1">
    <w:name w:val="bullet Char"/>
    <w:link w:val="bullet"/>
    <w:rsid w:val="00180E5F"/>
    <w:rPr>
      <w:sz w:val="24"/>
    </w:rPr>
  </w:style>
  <w:style w:type="character" w:styleId="ListParagraphChar" w:customStyle="1">
    <w:name w:val="List Paragraph Char"/>
    <w:link w:val="ListParagraph"/>
    <w:uiPriority w:val="34"/>
    <w:locked w:val="1"/>
    <w:rsid w:val="00180E5F"/>
    <w:rPr>
      <w:sz w:val="24"/>
      <w:lang w:eastAsia="en-US"/>
    </w:rPr>
  </w:style>
  <w:style w:type="paragraph" w:styleId="StyleCJ1" w:customStyle="1">
    <w:name w:val="StyleCJ1"/>
    <w:basedOn w:val="Heading1"/>
    <w:link w:val="StyleCJ1Char"/>
    <w:qFormat w:val="1"/>
    <w:rsid w:val="009903DA"/>
    <w:rPr>
      <w:rFonts w:ascii="Calibri" w:cs="Calibri" w:hAnsi="Calibri"/>
      <w:sz w:val="28"/>
      <w:szCs w:val="22"/>
    </w:rPr>
  </w:style>
  <w:style w:type="paragraph" w:styleId="Style1CJ2" w:customStyle="1">
    <w:name w:val="Style1CJ2"/>
    <w:basedOn w:val="Heading1"/>
    <w:link w:val="Style1CJ2Char"/>
    <w:qFormat w:val="1"/>
    <w:rsid w:val="009903DA"/>
    <w:rPr>
      <w:rFonts w:ascii="Calibri" w:cs="Calibri" w:hAnsi="Calibri"/>
      <w:sz w:val="22"/>
      <w:szCs w:val="22"/>
      <w:lang w:eastAsia="en-GB"/>
    </w:rPr>
  </w:style>
  <w:style w:type="character" w:styleId="StyleCJ1Char" w:customStyle="1">
    <w:name w:val="StyleCJ1 Char"/>
    <w:link w:val="StyleCJ1"/>
    <w:rsid w:val="009903DA"/>
    <w:rPr>
      <w:rFonts w:ascii="Calibri" w:cs="Calibri" w:eastAsia="Times New Roman" w:hAnsi="Calibri"/>
      <w:b w:val="1"/>
      <w:bCs w:val="1"/>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color="f4b083" w:space="0" w:sz="4" w:val="single"/>
        <w:left w:color="f4b083" w:space="0" w:sz="4" w:val="single"/>
        <w:bottom w:color="f4b083" w:space="0" w:sz="4" w:val="single"/>
        <w:right w:color="f4b083" w:space="0" w:sz="4" w:val="single"/>
        <w:insideH w:color="f4b083" w:space="0" w:sz="4" w:val="single"/>
        <w:insideV w:color="f4b083" w:space="0" w:sz="4" w:val="single"/>
      </w:tblBorders>
    </w:tblPr>
    <w:tblStylePr w:type="firstRow">
      <w:rPr>
        <w:b w:val="1"/>
        <w:bCs w:val="1"/>
        <w:color w:val="ffffff"/>
      </w:rPr>
      <w:tblPr/>
      <w:tcPr>
        <w:tcBorders>
          <w:top w:color="ed7d31" w:space="0" w:sz="4" w:val="single"/>
          <w:left w:color="ed7d31" w:space="0" w:sz="4" w:val="single"/>
          <w:bottom w:color="ed7d31" w:space="0" w:sz="4" w:val="single"/>
          <w:right w:color="ed7d31" w:space="0" w:sz="4" w:val="single"/>
          <w:insideH w:space="0" w:sz="0" w:val="nil"/>
          <w:insideV w:space="0" w:sz="0" w:val="nil"/>
        </w:tcBorders>
        <w:shd w:color="auto" w:fill="ed7d31" w:val="clear"/>
      </w:tcPr>
    </w:tblStylePr>
    <w:tblStylePr w:type="lastRow">
      <w:rPr>
        <w:b w:val="1"/>
        <w:bCs w:val="1"/>
      </w:rPr>
      <w:tblPr/>
      <w:tcPr>
        <w:tcBorders>
          <w:top w:color="ed7d31" w:space="0" w:sz="4" w:val="double"/>
        </w:tcBorders>
      </w:tcPr>
    </w:tblStylePr>
    <w:tblStylePr w:type="firstCol">
      <w:rPr>
        <w:b w:val="1"/>
        <w:bCs w:val="1"/>
      </w:rPr>
    </w:tblStylePr>
    <w:tblStylePr w:type="lastCol">
      <w:rPr>
        <w:b w:val="1"/>
        <w:bCs w:val="1"/>
      </w:rPr>
    </w:tblStylePr>
    <w:tblStylePr w:type="band1Vert">
      <w:tblPr/>
      <w:tcPr>
        <w:shd w:color="auto" w:fill="fbe4d5" w:val="clear"/>
      </w:tcPr>
    </w:tblStylePr>
    <w:tblStylePr w:type="band1Horz">
      <w:tblPr/>
      <w:tcPr>
        <w:shd w:color="auto" w:fill="fbe4d5" w:val="clear"/>
      </w:tcPr>
    </w:tblStylePr>
  </w:style>
  <w:style w:type="character" w:styleId="Style1CJ2Char" w:customStyle="1">
    <w:name w:val="Style1CJ2 Char"/>
    <w:link w:val="Style1CJ2"/>
    <w:rsid w:val="009903DA"/>
    <w:rPr>
      <w:rFonts w:ascii="Calibri" w:cs="Calibri" w:eastAsia="Times New Roman" w:hAnsi="Calibri"/>
      <w:b w:val="1"/>
      <w:bCs w:val="1"/>
      <w:kern w:val="32"/>
      <w:sz w:val="22"/>
      <w:szCs w:val="22"/>
      <w:lang w:eastAsia="en-US"/>
    </w:rPr>
  </w:style>
  <w:style w:type="character" w:styleId="UnresolvedMention">
    <w:name w:val="Unresolved Mention"/>
    <w:uiPriority w:val="99"/>
    <w:semiHidden w:val="1"/>
    <w:unhideWhenUsed w:val="1"/>
    <w:rsid w:val="0079068F"/>
    <w:rPr>
      <w:color w:val="605e5c"/>
      <w:shd w:color="auto" w:fill="e1dfdd" w:val="clear"/>
    </w:rPr>
  </w:style>
  <w:style w:type="paragraph" w:styleId="TOCHeading">
    <w:name w:val="TOC Heading"/>
    <w:basedOn w:val="Heading1"/>
    <w:next w:val="Normal"/>
    <w:uiPriority w:val="39"/>
    <w:unhideWhenUsed w:val="1"/>
    <w:qFormat w:val="1"/>
    <w:rsid w:val="00D977FF"/>
    <w:pPr>
      <w:keepLines w:val="1"/>
      <w:spacing w:after="0" w:line="259" w:lineRule="auto"/>
      <w:outlineLvl w:val="9"/>
    </w:pPr>
    <w:rPr>
      <w:rFonts w:ascii="Calibri Light" w:cs="Times New Roman" w:hAnsi="Calibri Light"/>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color="ffd966" w:space="0" w:sz="4" w:val="single"/>
        <w:left w:color="ffd966" w:space="0" w:sz="4" w:val="single"/>
        <w:bottom w:color="ffd966" w:space="0" w:sz="4" w:val="single"/>
        <w:right w:color="ffd966" w:space="0" w:sz="4" w:val="single"/>
        <w:insideH w:color="ffd966" w:space="0" w:sz="4" w:val="single"/>
        <w:insideV w:color="ffd966" w:space="0" w:sz="4" w:val="single"/>
      </w:tblBorders>
    </w:tblPr>
    <w:tblStylePr w:type="firstRow">
      <w:rPr>
        <w:b w:val="1"/>
        <w:bCs w:val="1"/>
      </w:rPr>
      <w:tblPr/>
      <w:tcPr>
        <w:tcBorders>
          <w:bottom w:color="ffd966" w:space="0" w:sz="12" w:val="single"/>
        </w:tcBorders>
      </w:tcPr>
    </w:tblStylePr>
    <w:tblStylePr w:type="lastRow">
      <w:rPr>
        <w:b w:val="1"/>
        <w:bCs w:val="1"/>
      </w:rPr>
      <w:tblPr/>
      <w:tcPr>
        <w:tcBorders>
          <w:top w:color="ffd966" w:space="0" w:sz="4" w:val="double"/>
        </w:tcBorders>
      </w:tcPr>
    </w:tblStylePr>
    <w:tblStylePr w:type="firstCol">
      <w:rPr>
        <w:b w:val="1"/>
        <w:bCs w:val="1"/>
      </w:rPr>
    </w:tblStylePr>
    <w:tblStylePr w:type="lastCol">
      <w:rPr>
        <w:b w:val="1"/>
        <w:bCs w:val="1"/>
      </w:rPr>
    </w:tblStylePr>
    <w:tblStylePr w:type="band1Vert">
      <w:tblPr/>
      <w:tcPr>
        <w:shd w:color="auto" w:fill="fff2cc" w:val="clear"/>
      </w:tcPr>
    </w:tblStylePr>
    <w:tblStylePr w:type="band1Horz">
      <w:tblPr/>
      <w:tcPr>
        <w:shd w:color="auto" w:fill="fff2cc" w:val="clear"/>
      </w:tcPr>
    </w:tblStylePr>
  </w:style>
  <w:style w:type="table" w:styleId="MediumGrid1-Accent4">
    <w:name w:val="Medium Grid 1 Accent 4"/>
    <w:basedOn w:val="TableNormal"/>
    <w:uiPriority w:val="67"/>
    <w:rsid w:val="00D977FF"/>
    <w:tblPr>
      <w:tblStyleRowBandSize w:val="1"/>
      <w:tblStyleColBandSize w:val="1"/>
      <w:tblBorders>
        <w:top w:color="ffcf40" w:space="0" w:sz="8" w:val="single"/>
        <w:left w:color="ffcf40" w:space="0" w:sz="8" w:val="single"/>
        <w:bottom w:color="ffcf40" w:space="0" w:sz="8" w:val="single"/>
        <w:right w:color="ffcf40" w:space="0" w:sz="8" w:val="single"/>
        <w:insideH w:color="ffcf40" w:space="0" w:sz="8" w:val="single"/>
        <w:insideV w:color="ffcf40" w:space="0" w:sz="8" w:val="single"/>
      </w:tblBorders>
    </w:tblPr>
    <w:tcPr>
      <w:shd w:color="auto" w:fill="ffefc0" w:val="clear"/>
    </w:tcPr>
    <w:tblStylePr w:type="firstRow">
      <w:rPr>
        <w:b w:val="1"/>
        <w:bCs w:val="1"/>
      </w:rPr>
    </w:tblStylePr>
    <w:tblStylePr w:type="lastRow">
      <w:rPr>
        <w:b w:val="1"/>
        <w:bCs w:val="1"/>
      </w:rPr>
      <w:tblPr/>
      <w:tcPr>
        <w:tcBorders>
          <w:top w:color="ffcf40" w:space="0" w:sz="18" w:val="single"/>
        </w:tcBorders>
      </w:tcPr>
    </w:tblStylePr>
    <w:tblStylePr w:type="firstCol">
      <w:rPr>
        <w:b w:val="1"/>
        <w:bCs w:val="1"/>
      </w:rPr>
    </w:tblStylePr>
    <w:tblStylePr w:type="lastCol">
      <w:rPr>
        <w:b w:val="1"/>
        <w:bCs w:val="1"/>
      </w:rPr>
    </w:tblStylePr>
    <w:tblStylePr w:type="band1Vert">
      <w:tblPr/>
      <w:tcPr>
        <w:shd w:color="auto" w:fill="ffdf80" w:val="clear"/>
      </w:tcPr>
    </w:tblStylePr>
    <w:tblStylePr w:type="band1Horz">
      <w:tblPr/>
      <w:tcPr>
        <w:shd w:color="auto" w:fill="ffdf80" w:val="clear"/>
      </w:tcPr>
    </w:tblStylePr>
  </w:style>
  <w:style w:type="table" w:styleId="GridTable5Dark-Accent5">
    <w:name w:val="Grid Table 5 Dark Accent 5"/>
    <w:basedOn w:val="TableNormal"/>
    <w:uiPriority w:val="50"/>
    <w:rsid w:val="00D82F4E"/>
    <w:tblPr>
      <w:tblStyleRowBandSize w:val="1"/>
      <w:tblStyleColBandSize w:val="1"/>
      <w:tblBorders>
        <w:top w:color="ffffff" w:space="0" w:sz="4" w:themeColor="background1" w:val="single"/>
        <w:left w:color="ffffff" w:space="0" w:sz="4" w:themeColor="background1" w:val="single"/>
        <w:bottom w:color="ffffff" w:space="0" w:sz="4" w:themeColor="background1" w:val="single"/>
        <w:right w:color="ffffff" w:space="0" w:sz="4" w:themeColor="background1" w:val="single"/>
        <w:insideH w:color="ffffff" w:space="0" w:sz="4" w:themeColor="background1" w:val="single"/>
        <w:insideV w:color="ffffff" w:space="0" w:sz="4" w:themeColor="background1" w:val="single"/>
      </w:tblBorders>
    </w:tblPr>
    <w:tcPr>
      <w:shd w:color="auto" w:fill="deeaf6" w:themeFill="accent5" w:themeFillTint="000033" w:val="clear"/>
    </w:tcPr>
    <w:tblStylePr w:type="firstRow">
      <w:rPr>
        <w:b w:val="1"/>
        <w:bCs w:val="1"/>
        <w:color w:val="ffffff" w:themeColor="background1"/>
      </w:rPr>
      <w:tblPr/>
      <w:tcPr>
        <w:tcBorders>
          <w:top w:color="ffffff" w:space="0" w:sz="4" w:themeColor="background1" w:val="single"/>
          <w:left w:color="ffffff" w:space="0" w:sz="4" w:themeColor="background1" w:val="single"/>
          <w:right w:color="ffffff" w:space="0" w:sz="4" w:themeColor="background1" w:val="single"/>
          <w:insideH w:space="0" w:sz="0" w:val="nil"/>
          <w:insideV w:space="0" w:sz="0" w:val="nil"/>
        </w:tcBorders>
        <w:shd w:color="auto" w:fill="5b9bd5" w:themeFill="accent5" w:val="clear"/>
      </w:tcPr>
    </w:tblStylePr>
    <w:tblStylePr w:type="lastRow">
      <w:rPr>
        <w:b w:val="1"/>
        <w:bCs w:val="1"/>
        <w:color w:val="ffffff" w:themeColor="background1"/>
      </w:rPr>
      <w:tblPr/>
      <w:tcPr>
        <w:tcBorders>
          <w:left w:color="ffffff" w:space="0" w:sz="4" w:themeColor="background1" w:val="single"/>
          <w:bottom w:color="ffffff" w:space="0" w:sz="4" w:themeColor="background1" w:val="single"/>
          <w:right w:color="ffffff" w:space="0" w:sz="4" w:themeColor="background1" w:val="single"/>
          <w:insideH w:space="0" w:sz="0" w:val="nil"/>
          <w:insideV w:space="0" w:sz="0" w:val="nil"/>
        </w:tcBorders>
        <w:shd w:color="auto" w:fill="5b9bd5" w:themeFill="accent5" w:val="clear"/>
      </w:tcPr>
    </w:tblStylePr>
    <w:tblStylePr w:type="firstCol">
      <w:rPr>
        <w:b w:val="1"/>
        <w:bCs w:val="1"/>
        <w:color w:val="ffffff" w:themeColor="background1"/>
      </w:rPr>
      <w:tblPr/>
      <w:tcPr>
        <w:tcBorders>
          <w:top w:color="ffffff" w:space="0" w:sz="4" w:themeColor="background1" w:val="single"/>
          <w:left w:color="ffffff" w:space="0" w:sz="4" w:themeColor="background1" w:val="single"/>
          <w:bottom w:color="ffffff" w:space="0" w:sz="4" w:themeColor="background1" w:val="single"/>
          <w:insideV w:space="0" w:sz="0" w:val="nil"/>
        </w:tcBorders>
        <w:shd w:color="auto" w:fill="5b9bd5" w:themeFill="accent5" w:val="clear"/>
      </w:tcPr>
    </w:tblStylePr>
    <w:tblStylePr w:type="lastCol">
      <w:rPr>
        <w:b w:val="1"/>
        <w:bCs w:val="1"/>
        <w:color w:val="ffffff" w:themeColor="background1"/>
      </w:rPr>
      <w:tblPr/>
      <w:tcPr>
        <w:tcBorders>
          <w:top w:color="ffffff" w:space="0" w:sz="4" w:themeColor="background1" w:val="single"/>
          <w:bottom w:color="ffffff" w:space="0" w:sz="4" w:themeColor="background1" w:val="single"/>
          <w:right w:color="ffffff" w:space="0" w:sz="4" w:themeColor="background1" w:val="single"/>
          <w:insideV w:space="0" w:sz="0" w:val="nil"/>
        </w:tcBorders>
        <w:shd w:color="auto" w:fill="5b9bd5" w:themeFill="accent5" w:val="clear"/>
      </w:tcPr>
    </w:tblStylePr>
    <w:tblStylePr w:type="band1Vert">
      <w:tblPr/>
      <w:tcPr>
        <w:shd w:color="auto" w:fill="bdd6ee" w:themeFill="accent5" w:themeFillTint="000066" w:val="clear"/>
      </w:tcPr>
    </w:tblStylePr>
    <w:tblStylePr w:type="band1Horz">
      <w:tblPr/>
      <w:tcPr>
        <w:shd w:color="auto" w:fill="bdd6ee" w:themeFill="accent5" w:themeFillTint="000066" w:val="clear"/>
      </w:tcPr>
    </w:tblStylePr>
  </w:style>
  <w:style w:type="paragraph" w:styleId="Subheadingcj" w:customStyle="1">
    <w:name w:val="Subheadingcj"/>
    <w:basedOn w:val="Normal"/>
    <w:link w:val="SubheadingcjChar"/>
    <w:qFormat w:val="1"/>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cstheme="minorHAnsi" w:hAnsiTheme="minorHAnsi"/>
    </w:rPr>
  </w:style>
  <w:style w:type="character" w:styleId="SubheadingcjChar" w:customStyle="1">
    <w:name w:val="Subheadingcj Char"/>
    <w:basedOn w:val="DefaultParagraphFont"/>
    <w:link w:val="Subheadingcj"/>
    <w:rsid w:val="00165440"/>
    <w:rPr>
      <w:rFonts w:asciiTheme="minorHAnsi" w:cstheme="minorHAnsi" w:hAnsiTheme="minorHAnsi"/>
      <w:sz w:val="24"/>
      <w:lang w:eastAsia="en-US"/>
    </w:rPr>
  </w:style>
  <w:style w:type="table" w:styleId="TableGrid39" w:customStyle="1">
    <w:name w:val="Table Grid39"/>
    <w:basedOn w:val="TableNormal"/>
    <w:next w:val="TableGrid"/>
    <w:uiPriority w:val="59"/>
    <w:rsid w:val="00F65000"/>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doi.org/10.1093/bjc/azac020" TargetMode="External"/><Relationship Id="rId11" Type="http://schemas.openxmlformats.org/officeDocument/2006/relationships/hyperlink" Target="https://doi.org/10.5038/1944-0472.4.4.2" TargetMode="External"/><Relationship Id="rId22" Type="http://schemas.openxmlformats.org/officeDocument/2006/relationships/footer" Target="footer1.xml"/><Relationship Id="rId10" Type="http://schemas.openxmlformats.org/officeDocument/2006/relationships/hyperlink" Target="https://doi.org/10.1080/09546553.2019.1638256" TargetMode="External"/><Relationship Id="rId21" Type="http://schemas.openxmlformats.org/officeDocument/2006/relationships/hyperlink" Target="https://doi.org/10.13140/RG.2.2.25268.22405" TargetMode="External"/><Relationship Id="rId13" Type="http://schemas.openxmlformats.org/officeDocument/2006/relationships/hyperlink" Target="https://doi.org/10.1177/1097184X17706401" TargetMode="External"/><Relationship Id="rId12" Type="http://schemas.openxmlformats.org/officeDocument/2006/relationships/hyperlink" Target="https://doi.org/10.1177/08862605241239451"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adl.org/resources/article/extremist-medicine-cabinet-guide-online-pills" TargetMode="External"/><Relationship Id="rId15" Type="http://schemas.openxmlformats.org/officeDocument/2006/relationships/hyperlink" Target="https://www.gov.uk/government/publications/counter-terrorism-strategy-contest-2023" TargetMode="External"/><Relationship Id="rId14" Type="http://schemas.openxmlformats.org/officeDocument/2006/relationships/hyperlink" Target="https://doi.org/10.1080/1057610X.2020.1751459" TargetMode="External"/><Relationship Id="rId17" Type="http://schemas.openxmlformats.org/officeDocument/2006/relationships/hyperlink" Target="https://doi.org/10.5204/ijcjsd.2138" TargetMode="External"/><Relationship Id="rId16" Type="http://schemas.openxmlformats.org/officeDocument/2006/relationships/hyperlink" Target="https://www.gov.uk/government/publications/tackling-violence-against-women-and-girls-strategy/tackling-violence-against-women-and-girls-strategy" TargetMode="External"/><Relationship Id="rId5" Type="http://schemas.openxmlformats.org/officeDocument/2006/relationships/styles" Target="styles.xml"/><Relationship Id="rId19" Type="http://schemas.openxmlformats.org/officeDocument/2006/relationships/hyperlink" Target="https://doi.org/10.1177/0886260520959625" TargetMode="External"/><Relationship Id="rId6" Type="http://schemas.openxmlformats.org/officeDocument/2006/relationships/customXml" Target="../customXML/item1.xml"/><Relationship Id="rId18" Type="http://schemas.openxmlformats.org/officeDocument/2006/relationships/hyperlink" Target="https://doi.org/10.1080/09546550802073367" TargetMode="External"/><Relationship Id="rId7" Type="http://schemas.openxmlformats.org/officeDocument/2006/relationships/image" Target="media/image1.png"/><Relationship Id="rId8" Type="http://schemas.openxmlformats.org/officeDocument/2006/relationships/hyperlink" Target="mailto:mike.durke@uwtsd.ac.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FKXeHZrzi7eu7e3MYAb2ygnPE6Q==">CgMxLjAyDmgudWh3MHB3dm95ZDc1OAByITFNUm9TVm5ZUXlxdnp5YnJlZ3YtamdjT1Jxb080akpqTA==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2021-10-08T16:31:00Z</dcterms:created>
  <dc:creator>bus-sh</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