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F271D" w14:textId="50AAF7CE" w:rsidR="054EB83E" w:rsidRPr="00C84821" w:rsidRDefault="054EB83E" w:rsidP="00C84821">
      <w:pPr>
        <w:spacing w:before="240" w:line="480" w:lineRule="auto"/>
        <w:rPr>
          <w:rFonts w:ascii="Aptos" w:eastAsiaTheme="minorEastAsia" w:hAnsi="Aptos"/>
          <w:u w:val="single"/>
        </w:rPr>
      </w:pPr>
      <w:r w:rsidRPr="00C84821">
        <w:rPr>
          <w:rFonts w:ascii="Aptos" w:eastAsiaTheme="minorEastAsia" w:hAnsi="Aptos"/>
          <w:b/>
          <w:bCs/>
          <w:u w:val="single"/>
        </w:rPr>
        <w:t>Research proposal</w:t>
      </w:r>
      <w:r w:rsidR="00C84821">
        <w:rPr>
          <w:rFonts w:ascii="Aptos" w:eastAsiaTheme="minorEastAsia" w:hAnsi="Aptos"/>
          <w:u w:val="single"/>
        </w:rPr>
        <w:t xml:space="preserve">: </w:t>
      </w:r>
      <w:r w:rsidR="00C84821" w:rsidRPr="00C84821">
        <w:rPr>
          <w:rFonts w:ascii="Aptos" w:eastAsiaTheme="minorEastAsia" w:hAnsi="Aptos"/>
          <w:b/>
          <w:bCs/>
          <w:u w:val="single"/>
        </w:rPr>
        <w:t>multilingual therapeutic dyads: experiences of monolingual therapists and their multilingual clients</w:t>
      </w:r>
    </w:p>
    <w:p w14:paraId="4406D0A9" w14:textId="20C93523" w:rsidR="054EB83E" w:rsidRPr="00C84821" w:rsidRDefault="054EB83E" w:rsidP="00C84821">
      <w:pPr>
        <w:spacing w:before="240" w:line="480" w:lineRule="auto"/>
        <w:rPr>
          <w:rFonts w:ascii="Aptos" w:eastAsiaTheme="minorEastAsia" w:hAnsi="Aptos"/>
          <w:u w:val="single"/>
        </w:rPr>
      </w:pPr>
      <w:r w:rsidRPr="00C84821">
        <w:rPr>
          <w:rFonts w:ascii="Aptos" w:eastAsiaTheme="minorEastAsia" w:hAnsi="Aptos"/>
          <w:b/>
          <w:bCs/>
          <w:u w:val="single"/>
        </w:rPr>
        <w:t>Rationale and aims</w:t>
      </w:r>
      <w:r w:rsidRPr="00C84821">
        <w:rPr>
          <w:rFonts w:ascii="Aptos" w:eastAsiaTheme="minorEastAsia" w:hAnsi="Aptos"/>
          <w:u w:val="single"/>
        </w:rPr>
        <w:t xml:space="preserve"> </w:t>
      </w:r>
    </w:p>
    <w:p w14:paraId="5555486E" w14:textId="229FF610"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rPr>
        <w:t xml:space="preserve">This study is entitled ‘multilingual therapeutic dyads: experiences of monolingual therapists and their multilingual clients’. It will attempt to understand language use in therapy from both sides of the relationship by analysing the experiences of UK-based therapists who are proficient in </w:t>
      </w:r>
      <w:r w:rsidRPr="00C84821">
        <w:rPr>
          <w:rFonts w:ascii="Aptos" w:eastAsiaTheme="minorEastAsia" w:hAnsi="Aptos"/>
          <w:i/>
          <w:iCs/>
        </w:rPr>
        <w:t>only</w:t>
      </w:r>
      <w:r w:rsidRPr="00C84821">
        <w:rPr>
          <w:rFonts w:ascii="Aptos" w:eastAsiaTheme="minorEastAsia" w:hAnsi="Aptos"/>
        </w:rPr>
        <w:t xml:space="preserve"> English, alongside their multilingual clients who speak English as a non-native language. It aims to investigate therapists’ thoughts and strategies around providing therapy to non-native speakers, how clients receive this, and any perceived advantages or disadvantages of using multiple languages.</w:t>
      </w:r>
      <w:r w:rsidRPr="00C84821">
        <w:rPr>
          <w:rFonts w:ascii="Aptos" w:eastAsiaTheme="minorEastAsia" w:hAnsi="Aptos"/>
          <w:color w:val="000000" w:themeColor="text1"/>
        </w:rPr>
        <w:t xml:space="preserve"> </w:t>
      </w:r>
    </w:p>
    <w:p w14:paraId="475FBE4F" w14:textId="3C6C3E86"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Despite increasing numbers of multilingual people seeking psychotherapy in the UK (Costa, 2020), this phenomenon is </w:t>
      </w:r>
      <w:r w:rsidRPr="00C84821">
        <w:rPr>
          <w:rFonts w:ascii="Aptos" w:eastAsiaTheme="minorEastAsia" w:hAnsi="Aptos"/>
        </w:rPr>
        <w:t>relatively under researched (Calvo-Rodriguez, 2021; Nguyen, 2014) and appears only briefly on many training courses, which seem to be dominated by a “monolingual ideology” (Costa, 2020, p. 8). Previous qualitative studies have shown that multilingualism has a range of benefits and implications for therapy that would be valuable to research further (Costa and Dewaele, 2013).</w:t>
      </w:r>
      <w:r w:rsidRPr="00C84821">
        <w:rPr>
          <w:rFonts w:ascii="Aptos" w:eastAsiaTheme="minorEastAsia" w:hAnsi="Aptos"/>
          <w:color w:val="000000" w:themeColor="text1"/>
        </w:rPr>
        <w:t xml:space="preserve"> </w:t>
      </w:r>
      <w:r w:rsidRPr="00C84821">
        <w:rPr>
          <w:rFonts w:ascii="Aptos" w:eastAsiaTheme="minorEastAsia" w:hAnsi="Aptos"/>
        </w:rPr>
        <w:t>Specifically, there a relatively few studies documenting monolingual therapists' experiences (</w:t>
      </w:r>
      <w:r w:rsidRPr="00C84821">
        <w:rPr>
          <w:rFonts w:ascii="Aptos" w:eastAsiaTheme="minorEastAsia" w:hAnsi="Aptos"/>
          <w:color w:val="000000" w:themeColor="text1"/>
        </w:rPr>
        <w:t xml:space="preserve">Calvo-Rodriguez, 2021; Stevens and Holland, 2008; Bowker and Richards, 2004) and an absence of research into therapeutic pairs. I propose to add to the existing literature by contributing to these lesser studied but important areas. </w:t>
      </w:r>
    </w:p>
    <w:p w14:paraId="4F4E240F" w14:textId="3960D20E"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b/>
          <w:bCs/>
          <w:color w:val="000000" w:themeColor="text1"/>
          <w:u w:val="single"/>
        </w:rPr>
        <w:t>Literature review</w:t>
      </w:r>
      <w:r w:rsidRPr="00C84821">
        <w:rPr>
          <w:rFonts w:ascii="Aptos" w:eastAsiaTheme="minorEastAsia" w:hAnsi="Aptos"/>
          <w:color w:val="000000" w:themeColor="text1"/>
          <w:u w:val="single"/>
        </w:rPr>
        <w:t xml:space="preserve"> </w:t>
      </w:r>
    </w:p>
    <w:p w14:paraId="77540513" w14:textId="2F37DA15"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Most research concerning multilingualism in psychotherapy focuses on the experiences of multilingual therapists (Al-</w:t>
      </w:r>
      <w:proofErr w:type="spellStart"/>
      <w:r w:rsidRPr="00C84821">
        <w:rPr>
          <w:rFonts w:ascii="Aptos" w:eastAsiaTheme="minorEastAsia" w:hAnsi="Aptos"/>
          <w:color w:val="000000" w:themeColor="text1"/>
        </w:rPr>
        <w:t>Mahroos</w:t>
      </w:r>
      <w:proofErr w:type="spellEnd"/>
      <w:r w:rsidRPr="00C84821">
        <w:rPr>
          <w:rFonts w:ascii="Aptos" w:eastAsiaTheme="minorEastAsia" w:hAnsi="Aptos"/>
          <w:color w:val="000000" w:themeColor="text1"/>
        </w:rPr>
        <w:t xml:space="preserve"> and Braccio, 2022; </w:t>
      </w:r>
      <w:proofErr w:type="spellStart"/>
      <w:r w:rsidRPr="00C84821">
        <w:rPr>
          <w:rFonts w:ascii="Aptos" w:eastAsiaTheme="minorEastAsia" w:hAnsi="Aptos"/>
        </w:rPr>
        <w:t>Verkerk</w:t>
      </w:r>
      <w:proofErr w:type="spellEnd"/>
      <w:r w:rsidRPr="00C84821">
        <w:rPr>
          <w:rFonts w:ascii="Aptos" w:eastAsiaTheme="minorEastAsia" w:hAnsi="Aptos"/>
        </w:rPr>
        <w:t xml:space="preserve"> </w:t>
      </w:r>
      <w:r w:rsidRPr="00C84821">
        <w:rPr>
          <w:rFonts w:ascii="Aptos" w:eastAsiaTheme="minorEastAsia" w:hAnsi="Aptos"/>
          <w:i/>
          <w:iCs/>
        </w:rPr>
        <w:t>et al</w:t>
      </w:r>
      <w:r w:rsidRPr="00C84821">
        <w:rPr>
          <w:rFonts w:ascii="Aptos" w:eastAsiaTheme="minorEastAsia" w:hAnsi="Aptos"/>
        </w:rPr>
        <w:t xml:space="preserve">, 2021; </w:t>
      </w:r>
      <w:proofErr w:type="spellStart"/>
      <w:r w:rsidRPr="00C84821">
        <w:rPr>
          <w:rFonts w:ascii="Aptos" w:eastAsiaTheme="minorEastAsia" w:hAnsi="Aptos"/>
        </w:rPr>
        <w:t>Gulina</w:t>
      </w:r>
      <w:proofErr w:type="spellEnd"/>
      <w:r w:rsidRPr="00C84821">
        <w:rPr>
          <w:rFonts w:ascii="Aptos" w:eastAsiaTheme="minorEastAsia" w:hAnsi="Aptos"/>
        </w:rPr>
        <w:t xml:space="preserve"> and </w:t>
      </w:r>
      <w:proofErr w:type="spellStart"/>
      <w:r w:rsidRPr="00C84821">
        <w:rPr>
          <w:rFonts w:ascii="Aptos" w:eastAsiaTheme="minorEastAsia" w:hAnsi="Aptos"/>
        </w:rPr>
        <w:lastRenderedPageBreak/>
        <w:t>Dubrolioubova</w:t>
      </w:r>
      <w:proofErr w:type="spellEnd"/>
      <w:r w:rsidRPr="00C84821">
        <w:rPr>
          <w:rFonts w:ascii="Aptos" w:eastAsiaTheme="minorEastAsia" w:hAnsi="Aptos"/>
        </w:rPr>
        <w:t xml:space="preserve">, 2018; Nguyen, 2014; </w:t>
      </w:r>
      <w:proofErr w:type="spellStart"/>
      <w:r w:rsidRPr="00C84821">
        <w:rPr>
          <w:rFonts w:ascii="Aptos" w:eastAsiaTheme="minorEastAsia" w:hAnsi="Aptos"/>
        </w:rPr>
        <w:t>Kokaliari</w:t>
      </w:r>
      <w:proofErr w:type="spellEnd"/>
      <w:r w:rsidRPr="00C84821">
        <w:rPr>
          <w:rFonts w:ascii="Aptos" w:eastAsiaTheme="minorEastAsia" w:hAnsi="Aptos"/>
        </w:rPr>
        <w:t xml:space="preserve"> </w:t>
      </w:r>
      <w:r w:rsidRPr="00C84821">
        <w:rPr>
          <w:rFonts w:ascii="Aptos" w:eastAsiaTheme="minorEastAsia" w:hAnsi="Aptos"/>
          <w:i/>
          <w:iCs/>
        </w:rPr>
        <w:t>et al</w:t>
      </w:r>
      <w:r w:rsidRPr="00C84821">
        <w:rPr>
          <w:rFonts w:ascii="Aptos" w:eastAsiaTheme="minorEastAsia" w:hAnsi="Aptos"/>
        </w:rPr>
        <w:t xml:space="preserve">, 2013; Costa, 2010; Santiago-Rivera </w:t>
      </w:r>
      <w:r w:rsidRPr="00C84821">
        <w:rPr>
          <w:rFonts w:ascii="Aptos" w:eastAsiaTheme="minorEastAsia" w:hAnsi="Aptos"/>
          <w:i/>
          <w:iCs/>
        </w:rPr>
        <w:t>et al</w:t>
      </w:r>
      <w:r w:rsidRPr="00C84821">
        <w:rPr>
          <w:rFonts w:ascii="Aptos" w:eastAsiaTheme="minorEastAsia" w:hAnsi="Aptos"/>
        </w:rPr>
        <w:t>, 2009), compared to those of monolingual therapists or multilingual clients, thus demonstrating a need to investigate these lesser researched perspectives. Additionally, there seems to be a complete lack of dual-perspective studies examining multilingualism within a therapeutic dyad. As such, this literature review focuses first on studies addressing monolingual therapists’ experiences, followed by multilingual clients’ experiences and demonstrates the need to study this phenomenon further, particularly in the context of a therapeutic dyad.</w:t>
      </w:r>
      <w:r w:rsidRPr="00C84821">
        <w:rPr>
          <w:rFonts w:ascii="Aptos" w:eastAsiaTheme="minorEastAsia" w:hAnsi="Aptos"/>
          <w:color w:val="000000" w:themeColor="text1"/>
        </w:rPr>
        <w:t xml:space="preserve"> </w:t>
      </w:r>
    </w:p>
    <w:p w14:paraId="7F7F508D" w14:textId="12FB9DE2"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Recent research suggests that monolingual therapists view clients using a non-native language as a barrier to therapy and were </w:t>
      </w:r>
      <w:r w:rsidRPr="00C84821">
        <w:rPr>
          <w:rFonts w:ascii="Aptos" w:eastAsiaTheme="minorEastAsia" w:hAnsi="Aptos"/>
        </w:rPr>
        <w:t>predominantly concerned about miscommunication and disconnection between the clients and themselves (Costa and Dewaele, 2013; Calvo-Rodriguez, 2021). Language was described as a technical aspect of therapy rather than something of psychological, social, or political importance, and most had not considered how multiple languages could be used therapeutically to help clients present different identities and levels of emotionality (Costa and Dewaele, 2013; Calvo-Rodriguez, 2021), as has been documented in linguistic studies (Wierzbicka, 2004; Pavlenko, 2005; Dewaele, 2013). The data for these studies was collected predominantly via questionnaires which may lack a depth of experience required to understand the nuances of therapeutic encounters, and so semi-structured interviews may be more appropriate for further research (Braun and Clarke, 2013).</w:t>
      </w:r>
      <w:r w:rsidRPr="00C84821">
        <w:rPr>
          <w:rFonts w:ascii="Aptos" w:eastAsiaTheme="minorEastAsia" w:hAnsi="Aptos"/>
          <w:color w:val="000000" w:themeColor="text1"/>
        </w:rPr>
        <w:t xml:space="preserve"> </w:t>
      </w:r>
    </w:p>
    <w:p w14:paraId="0D538B99" w14:textId="72C9BF19"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Earlier studies from the mid-2000s seemed to gather richer data through their interviews with monolingual therapists as their findings documented more emotional responses rather than logistical ones, such as feelings of inadequacy and powerlessness (Bowker and Richards, 2004; Stevens and Holland, 2008). Although these findings are </w:t>
      </w:r>
      <w:r w:rsidRPr="00C84821">
        <w:rPr>
          <w:rFonts w:ascii="Aptos" w:eastAsiaTheme="minorEastAsia" w:hAnsi="Aptos"/>
        </w:rPr>
        <w:t>likely outdated, they demonstrate that interviews yield more personal and meaningful data and therefore further semi-structured interviews with monolingual therapists, such as the ones I am proposing, may provide a comprehensive and valuable update on this phenomenon.</w:t>
      </w:r>
      <w:r w:rsidRPr="00C84821">
        <w:rPr>
          <w:rFonts w:ascii="Aptos" w:eastAsiaTheme="minorEastAsia" w:hAnsi="Aptos"/>
          <w:color w:val="000000" w:themeColor="text1"/>
        </w:rPr>
        <w:t xml:space="preserve"> </w:t>
      </w:r>
    </w:p>
    <w:p w14:paraId="26360DE7" w14:textId="71483E63"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lastRenderedPageBreak/>
        <w:t xml:space="preserve">Equally, there are a small number of studies documenting multilingual clients’ experiences and these focus on the use of multiple languages in therapy, and moving between languages, known as code-switching (Rolland et al, 2021; Rolland et al, 2017; Dewaele and Costa, 2013). Most clients reported only using the default language and had not considered using other languages because they had not had explicit conversations with their therapists about which languages could be used or what their language profiles were (Rolland et al, 2021; Rolland et al, 2017; Dewaele and Costa, 2013). </w:t>
      </w:r>
    </w:p>
    <w:p w14:paraId="6C079B34" w14:textId="07590A4E"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The few clients that were encouraged to code-switch by their therapists felt surprised and empowered, showing that it can be therapeutically beneficial, however, it was </w:t>
      </w:r>
      <w:r w:rsidRPr="00C84821">
        <w:rPr>
          <w:rFonts w:ascii="Aptos" w:eastAsiaTheme="minorEastAsia" w:hAnsi="Aptos"/>
        </w:rPr>
        <w:t xml:space="preserve">generally only used logistically to name something that they could not translate (Rolland et al, 2021; Rolland et al, 2017; Dewaele and Costa, 2013). Only one study (Dewaele and Costa, 2013) found that code-switching was occasionally used to moderate emotionality: clients used different languages to either connect with or distance themselves from certain emotions, in line with previous studies on language choice and emotionality (Wierzbicka, 2004; Dewaele, 2013; Pavlenko, 2005; </w:t>
      </w:r>
      <w:proofErr w:type="spellStart"/>
      <w:r w:rsidRPr="00C84821">
        <w:rPr>
          <w:rFonts w:ascii="Aptos" w:eastAsiaTheme="minorEastAsia" w:hAnsi="Aptos"/>
        </w:rPr>
        <w:t>Verkerk</w:t>
      </w:r>
      <w:proofErr w:type="spellEnd"/>
      <w:r w:rsidRPr="00C84821">
        <w:rPr>
          <w:rFonts w:ascii="Aptos" w:eastAsiaTheme="minorEastAsia" w:hAnsi="Aptos"/>
        </w:rPr>
        <w:t xml:space="preserve"> et al, 2021; Cook and Dewaele, 2022). </w:t>
      </w:r>
      <w:r w:rsidRPr="00C84821">
        <w:rPr>
          <w:rFonts w:ascii="Aptos" w:eastAsiaTheme="minorEastAsia" w:hAnsi="Aptos"/>
          <w:color w:val="000000" w:themeColor="text1"/>
        </w:rPr>
        <w:t xml:space="preserve"> </w:t>
      </w:r>
    </w:p>
    <w:p w14:paraId="6487D6E8" w14:textId="1AF6F5F5"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Code-switching occurred more </w:t>
      </w:r>
      <w:r w:rsidRPr="00C84821">
        <w:rPr>
          <w:rFonts w:ascii="Aptos" w:eastAsiaTheme="minorEastAsia" w:hAnsi="Aptos"/>
        </w:rPr>
        <w:t xml:space="preserve">frequently with multilingual therapists than with monolingual therapists, because clients felt that multilingual therapists would better empathise with language switching and were more likely to understand additional languages (Dewaele and Costa, 2013; Rolland et al, 2017). Most clients had not considered that they could code-switch and then translate for the therapist and as such those who had monolingual therapists felt constrained to the default language, and importantly, clients tended to automatically assume that their therapist was monolingual if there were no obvious markers of multilingualism such as an accent (Rolland </w:t>
      </w:r>
      <w:r w:rsidRPr="00C84821">
        <w:rPr>
          <w:rFonts w:ascii="Aptos" w:eastAsiaTheme="minorEastAsia" w:hAnsi="Aptos"/>
          <w:i/>
          <w:iCs/>
        </w:rPr>
        <w:t>et al</w:t>
      </w:r>
      <w:r w:rsidRPr="00C84821">
        <w:rPr>
          <w:rFonts w:ascii="Aptos" w:eastAsiaTheme="minorEastAsia" w:hAnsi="Aptos"/>
        </w:rPr>
        <w:t xml:space="preserve">, 2021). </w:t>
      </w:r>
      <w:r w:rsidRPr="00C84821">
        <w:rPr>
          <w:rFonts w:ascii="Aptos" w:eastAsiaTheme="minorEastAsia" w:hAnsi="Aptos"/>
          <w:color w:val="000000" w:themeColor="text1"/>
        </w:rPr>
        <w:t xml:space="preserve"> </w:t>
      </w:r>
    </w:p>
    <w:p w14:paraId="755779C2" w14:textId="79F3F843"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These studies </w:t>
      </w:r>
      <w:r w:rsidRPr="00C84821">
        <w:rPr>
          <w:rFonts w:ascii="Aptos" w:eastAsiaTheme="minorEastAsia" w:hAnsi="Aptos"/>
        </w:rPr>
        <w:t xml:space="preserve">demonstrate a lack of awareness around how multilingualism can be utilised for therapeutic benefit. The monolingual therapists tended to see multilingualism as a potential </w:t>
      </w:r>
      <w:r w:rsidRPr="00C84821">
        <w:rPr>
          <w:rFonts w:ascii="Aptos" w:eastAsiaTheme="minorEastAsia" w:hAnsi="Aptos"/>
        </w:rPr>
        <w:lastRenderedPageBreak/>
        <w:t xml:space="preserve">barrier to therapy rather than something that could be used constructively (Costa and Dewaele, 2013; Calvo-Rodriguez, 2021; Bowker and Richards, 2004; Steven and Holland, 2008) and multilingual clients generally only used the default therapy language and did not consider that their native or other languages could be brought in (Rolland et al, 2021; Rolland et al, 2017; Dewaele and Costa, 2013). Perhaps most importantly, most clients and therapists reported that they did not talk about language use in therapy and had not considered doing so (Rolland et al, 2021; Rolland et al, 2017; Dewaele and Costa, 2013; Bager-Charleson </w:t>
      </w:r>
      <w:r w:rsidRPr="00C84821">
        <w:rPr>
          <w:rFonts w:ascii="Aptos" w:eastAsiaTheme="minorEastAsia" w:hAnsi="Aptos"/>
          <w:i/>
          <w:iCs/>
        </w:rPr>
        <w:t>et al</w:t>
      </w:r>
      <w:r w:rsidRPr="00C84821">
        <w:rPr>
          <w:rFonts w:ascii="Aptos" w:eastAsiaTheme="minorEastAsia" w:hAnsi="Aptos"/>
        </w:rPr>
        <w:t xml:space="preserve">, 2017). This shows that multilingualism in therapy needs to be researched further to better understand its impact and to raise awareness of the potential therapeutic benefits of multiple language use (Bager-Charleson </w:t>
      </w:r>
      <w:r w:rsidRPr="00C84821">
        <w:rPr>
          <w:rFonts w:ascii="Aptos" w:eastAsiaTheme="minorEastAsia" w:hAnsi="Aptos"/>
          <w:i/>
          <w:iCs/>
        </w:rPr>
        <w:t>et al</w:t>
      </w:r>
      <w:r w:rsidRPr="00C84821">
        <w:rPr>
          <w:rFonts w:ascii="Aptos" w:eastAsiaTheme="minorEastAsia" w:hAnsi="Aptos"/>
        </w:rPr>
        <w:t xml:space="preserve">, 2017; Costa and Dewaele, 2018; Cook and Dewaele, 2022). </w:t>
      </w:r>
      <w:r w:rsidRPr="00C84821">
        <w:rPr>
          <w:rFonts w:ascii="Aptos" w:eastAsiaTheme="minorEastAsia" w:hAnsi="Aptos"/>
          <w:color w:val="000000" w:themeColor="text1"/>
        </w:rPr>
        <w:t xml:space="preserve"> </w:t>
      </w:r>
    </w:p>
    <w:p w14:paraId="04C19DE3" w14:textId="19096733"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Additionally, much of the literature cites data collection methods that lack depth and nuance, thus </w:t>
      </w:r>
      <w:r w:rsidRPr="00C84821">
        <w:rPr>
          <w:rFonts w:ascii="Aptos" w:eastAsiaTheme="minorEastAsia" w:hAnsi="Aptos"/>
        </w:rPr>
        <w:t xml:space="preserve">demonstrating the need to research this phenomenon via semi-structured interviews to gain a deeper understanding of the lived experiences of those taking part in multilingual therapy (Braun and Clarke, 2013; Dewaele and Costa, 2013). To expand on this further, I propose a dual perspective study in which both positions of the therapeutic dyad are explored, to understand as fully as possible what multilingualism in psychotherapy means to each member of the relationship (Rabu and Moltu, 2020). </w:t>
      </w:r>
      <w:r w:rsidRPr="00C84821">
        <w:rPr>
          <w:rFonts w:ascii="Aptos" w:eastAsiaTheme="minorEastAsia" w:hAnsi="Aptos"/>
          <w:color w:val="000000" w:themeColor="text1"/>
        </w:rPr>
        <w:t xml:space="preserve"> </w:t>
      </w:r>
    </w:p>
    <w:p w14:paraId="2211EFF1" w14:textId="3A8C4BF2"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b/>
          <w:bCs/>
          <w:color w:val="000000" w:themeColor="text1"/>
          <w:u w:val="single"/>
        </w:rPr>
        <w:t>Methodology and methods</w:t>
      </w:r>
      <w:r w:rsidRPr="00C84821">
        <w:rPr>
          <w:rFonts w:ascii="Aptos" w:eastAsiaTheme="minorEastAsia" w:hAnsi="Aptos"/>
          <w:color w:val="000000" w:themeColor="text1"/>
          <w:u w:val="single"/>
        </w:rPr>
        <w:t xml:space="preserve"> </w:t>
      </w:r>
    </w:p>
    <w:p w14:paraId="4A067AEF" w14:textId="1D1306B3"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color w:val="000000" w:themeColor="text1"/>
          <w:u w:val="single"/>
        </w:rPr>
        <w:t xml:space="preserve">Methodology </w:t>
      </w:r>
    </w:p>
    <w:p w14:paraId="2CFD8971" w14:textId="7177DD25"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The proposed research will be qualitative, with a focus on phenomenology, founded in a constructivist paradigm (Finlay, 2015; Levitt </w:t>
      </w:r>
      <w:r w:rsidRPr="00C84821">
        <w:rPr>
          <w:rFonts w:ascii="Aptos" w:eastAsiaTheme="minorEastAsia" w:hAnsi="Aptos"/>
          <w:i/>
          <w:iCs/>
        </w:rPr>
        <w:t>et al</w:t>
      </w:r>
      <w:r w:rsidRPr="00C84821">
        <w:rPr>
          <w:rFonts w:ascii="Aptos" w:eastAsiaTheme="minorEastAsia" w:hAnsi="Aptos"/>
        </w:rPr>
        <w:t xml:space="preserve">, 2019). This methodology will allow for the subjective experiences of monolingual therapists and their multilingual clients to be explored in depth, acknowledging that each participant’s account represents one of many possible and equally valid realities (Hays and Wood, 2011; </w:t>
      </w:r>
      <w:proofErr w:type="spellStart"/>
      <w:r w:rsidRPr="00C84821">
        <w:rPr>
          <w:rFonts w:ascii="Aptos" w:eastAsiaTheme="minorEastAsia" w:hAnsi="Aptos"/>
        </w:rPr>
        <w:t>Timulak</w:t>
      </w:r>
      <w:proofErr w:type="spellEnd"/>
      <w:r w:rsidRPr="00C84821">
        <w:rPr>
          <w:rFonts w:ascii="Aptos" w:eastAsiaTheme="minorEastAsia" w:hAnsi="Aptos"/>
        </w:rPr>
        <w:t xml:space="preserve">, 2015; </w:t>
      </w:r>
      <w:proofErr w:type="spellStart"/>
      <w:r w:rsidRPr="00C84821">
        <w:rPr>
          <w:rFonts w:ascii="Aptos" w:eastAsiaTheme="minorEastAsia" w:hAnsi="Aptos"/>
        </w:rPr>
        <w:t>Ponterotto</w:t>
      </w:r>
      <w:proofErr w:type="spellEnd"/>
      <w:r w:rsidRPr="00C84821">
        <w:rPr>
          <w:rFonts w:ascii="Aptos" w:eastAsiaTheme="minorEastAsia" w:hAnsi="Aptos"/>
        </w:rPr>
        <w:t xml:space="preserve">, 2005). This </w:t>
      </w:r>
      <w:r w:rsidRPr="00C84821">
        <w:rPr>
          <w:rFonts w:ascii="Aptos" w:eastAsiaTheme="minorEastAsia" w:hAnsi="Aptos"/>
        </w:rPr>
        <w:lastRenderedPageBreak/>
        <w:t>phenomenological focus on the lived experiences of the participants enables us to “understand the phenomenon [of multilingualism in therapy] through the eyes of those who have direct, immediate experience with it” (Hays and Wood, 2011, p. 291). The decision to interview both members of therapeutic dyads is underpinned by the constructivist assumption that there is not one true account of the relationship, but many, and each account will provide valid and useful information about their subjective reality (</w:t>
      </w:r>
      <w:proofErr w:type="spellStart"/>
      <w:r w:rsidRPr="00C84821">
        <w:rPr>
          <w:rFonts w:ascii="Aptos" w:eastAsiaTheme="minorEastAsia" w:hAnsi="Aptos"/>
        </w:rPr>
        <w:t>Forbat</w:t>
      </w:r>
      <w:proofErr w:type="spellEnd"/>
      <w:r w:rsidRPr="00C84821">
        <w:rPr>
          <w:rFonts w:ascii="Aptos" w:eastAsiaTheme="minorEastAsia" w:hAnsi="Aptos"/>
        </w:rPr>
        <w:t xml:space="preserve"> and Henderson, 2003).</w:t>
      </w:r>
      <w:r w:rsidRPr="00C84821">
        <w:rPr>
          <w:rFonts w:ascii="Aptos" w:eastAsiaTheme="minorEastAsia" w:hAnsi="Aptos"/>
          <w:color w:val="000000" w:themeColor="text1"/>
        </w:rPr>
        <w:t xml:space="preserve"> </w:t>
      </w:r>
    </w:p>
    <w:p w14:paraId="71227508" w14:textId="2728F075"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color w:val="000000" w:themeColor="text1"/>
          <w:u w:val="single"/>
        </w:rPr>
        <w:t xml:space="preserve">Data collection </w:t>
      </w:r>
    </w:p>
    <w:p w14:paraId="3BA1C790" w14:textId="00FA0C82"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One to one semi-structured interviews will allow participants to describe their experiences freely, within a flexible framework (Braun and Clarke, 2013; </w:t>
      </w:r>
      <w:proofErr w:type="spellStart"/>
      <w:r w:rsidRPr="00C84821">
        <w:rPr>
          <w:rFonts w:ascii="Aptos" w:eastAsiaTheme="minorEastAsia" w:hAnsi="Aptos"/>
        </w:rPr>
        <w:t>Rabionet</w:t>
      </w:r>
      <w:proofErr w:type="spellEnd"/>
      <w:r w:rsidRPr="00C84821">
        <w:rPr>
          <w:rFonts w:ascii="Aptos" w:eastAsiaTheme="minorEastAsia" w:hAnsi="Aptos"/>
        </w:rPr>
        <w:t xml:space="preserve">, 2011; Kvale and Brinkmann, 2015). Two pre-determined interview guides (one tailored to the therapists, and one to clients) will contain several open-ended questions designed to elicit conversation, covering topics integral to the research question that allow participants to voice what is important to them (Braun and Clarke, 2013; </w:t>
      </w:r>
      <w:proofErr w:type="spellStart"/>
      <w:r w:rsidRPr="00C84821">
        <w:rPr>
          <w:rFonts w:ascii="Aptos" w:eastAsiaTheme="minorEastAsia" w:hAnsi="Aptos"/>
        </w:rPr>
        <w:t>Rabionet</w:t>
      </w:r>
      <w:proofErr w:type="spellEnd"/>
      <w:r w:rsidRPr="00C84821">
        <w:rPr>
          <w:rFonts w:ascii="Aptos" w:eastAsiaTheme="minorEastAsia" w:hAnsi="Aptos"/>
        </w:rPr>
        <w:t xml:space="preserve">, 2011; Rolland </w:t>
      </w:r>
      <w:r w:rsidRPr="00C84821">
        <w:rPr>
          <w:rFonts w:ascii="Aptos" w:eastAsiaTheme="minorEastAsia" w:hAnsi="Aptos"/>
          <w:i/>
          <w:iCs/>
        </w:rPr>
        <w:t>et al</w:t>
      </w:r>
      <w:r w:rsidRPr="00C84821">
        <w:rPr>
          <w:rFonts w:ascii="Aptos" w:eastAsiaTheme="minorEastAsia" w:hAnsi="Aptos"/>
        </w:rPr>
        <w:t xml:space="preserve">, 2019). Semi-structured interviews seem most appropriate as unstructured interviews may miss valuable information, and structured interviews would not allow for flexible exploration (Smith and Osborn, 2008). The interviews will be conducted online via video call for ease and accessibility, and to allow participants across the UK to be recruited. Although interview data cannot be generalised over a larger population, it will provide a rich in-depth picture of participants’ lived experiences of multilingualism in therapy (Braun and Clarke, 2013). </w:t>
      </w:r>
      <w:r w:rsidRPr="00C84821">
        <w:rPr>
          <w:rFonts w:ascii="Aptos" w:eastAsiaTheme="minorEastAsia" w:hAnsi="Aptos"/>
          <w:color w:val="000000" w:themeColor="text1"/>
        </w:rPr>
        <w:t xml:space="preserve"> </w:t>
      </w:r>
    </w:p>
    <w:p w14:paraId="1989D6D4" w14:textId="46F8B4C0"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color w:val="000000" w:themeColor="text1"/>
          <w:u w:val="single"/>
        </w:rPr>
        <w:t xml:space="preserve">Professional role </w:t>
      </w:r>
    </w:p>
    <w:p w14:paraId="6E3048FB" w14:textId="32FED146"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My role will be as researcher, completing this project as part of a </w:t>
      </w:r>
      <w:r w:rsidRPr="00C84821">
        <w:rPr>
          <w:rFonts w:ascii="Aptos" w:eastAsiaTheme="minorEastAsia" w:hAnsi="Aptos"/>
        </w:rPr>
        <w:t xml:space="preserve">master's degree. The participants will not be known to me. </w:t>
      </w:r>
      <w:r w:rsidRPr="00C84821">
        <w:rPr>
          <w:rFonts w:ascii="Aptos" w:eastAsiaTheme="minorEastAsia" w:hAnsi="Aptos"/>
          <w:color w:val="000000" w:themeColor="text1"/>
        </w:rPr>
        <w:t xml:space="preserve"> </w:t>
      </w:r>
    </w:p>
    <w:p w14:paraId="767B6C1E" w14:textId="13811E52"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color w:val="000000" w:themeColor="text1"/>
          <w:u w:val="single"/>
        </w:rPr>
        <w:t xml:space="preserve">Sample and sampling </w:t>
      </w:r>
      <w:proofErr w:type="gramStart"/>
      <w:r w:rsidRPr="00C84821">
        <w:rPr>
          <w:rFonts w:ascii="Aptos" w:eastAsiaTheme="minorEastAsia" w:hAnsi="Aptos"/>
          <w:color w:val="000000" w:themeColor="text1"/>
          <w:u w:val="single"/>
        </w:rPr>
        <w:t>strategy</w:t>
      </w:r>
      <w:proofErr w:type="gramEnd"/>
      <w:r w:rsidRPr="00C84821">
        <w:rPr>
          <w:rFonts w:ascii="Aptos" w:eastAsiaTheme="minorEastAsia" w:hAnsi="Aptos"/>
          <w:color w:val="000000" w:themeColor="text1"/>
          <w:u w:val="single"/>
        </w:rPr>
        <w:t xml:space="preserve">  </w:t>
      </w:r>
    </w:p>
    <w:p w14:paraId="05A9279A" w14:textId="5C72FFA2" w:rsidR="054EB83E" w:rsidRPr="00C84821" w:rsidRDefault="054EB83E" w:rsidP="00C84821">
      <w:pPr>
        <w:spacing w:before="240" w:line="480" w:lineRule="auto"/>
        <w:rPr>
          <w:rFonts w:ascii="Aptos" w:eastAsiaTheme="minorEastAsia" w:hAnsi="Aptos"/>
        </w:rPr>
      </w:pPr>
      <w:r w:rsidRPr="00C84821">
        <w:rPr>
          <w:rFonts w:ascii="Aptos" w:eastAsiaTheme="minorEastAsia" w:hAnsi="Aptos"/>
          <w:color w:val="000000" w:themeColor="text1"/>
        </w:rPr>
        <w:lastRenderedPageBreak/>
        <w:t xml:space="preserve">I will use purposive sampling (Robinson, 2014) to recruit monolingual therapists based in the UK, who are currently or have recently finished working with a multilingual client. Multilingual clients will be recruited through their therapists via invitation, following the example of </w:t>
      </w:r>
      <w:r w:rsidRPr="00C84821">
        <w:rPr>
          <w:rFonts w:ascii="Aptos" w:eastAsiaTheme="minorEastAsia" w:hAnsi="Aptos"/>
        </w:rPr>
        <w:t xml:space="preserve">previous dyadic studies (Rabu and </w:t>
      </w:r>
      <w:proofErr w:type="spellStart"/>
      <w:r w:rsidRPr="00C84821">
        <w:rPr>
          <w:rFonts w:ascii="Aptos" w:eastAsiaTheme="minorEastAsia" w:hAnsi="Aptos"/>
        </w:rPr>
        <w:t>Malto</w:t>
      </w:r>
      <w:proofErr w:type="spellEnd"/>
      <w:r w:rsidRPr="00C84821">
        <w:rPr>
          <w:rFonts w:ascii="Aptos" w:eastAsiaTheme="minorEastAsia" w:hAnsi="Aptos"/>
        </w:rPr>
        <w:t xml:space="preserve">, 2020; Gundel </w:t>
      </w:r>
      <w:r w:rsidRPr="00C84821">
        <w:rPr>
          <w:rFonts w:ascii="Aptos" w:eastAsiaTheme="minorEastAsia" w:hAnsi="Aptos"/>
          <w:i/>
          <w:iCs/>
        </w:rPr>
        <w:t>et al</w:t>
      </w:r>
      <w:r w:rsidRPr="00C84821">
        <w:rPr>
          <w:rFonts w:ascii="Aptos" w:eastAsiaTheme="minorEastAsia" w:hAnsi="Aptos"/>
        </w:rPr>
        <w:t xml:space="preserve">, 2020; Bernhardt </w:t>
      </w:r>
      <w:r w:rsidRPr="00C84821">
        <w:rPr>
          <w:rFonts w:ascii="Aptos" w:eastAsiaTheme="minorEastAsia" w:hAnsi="Aptos"/>
          <w:i/>
          <w:iCs/>
        </w:rPr>
        <w:t>et al</w:t>
      </w:r>
      <w:r w:rsidRPr="00C84821">
        <w:rPr>
          <w:rFonts w:ascii="Aptos" w:eastAsiaTheme="minorEastAsia" w:hAnsi="Aptos"/>
        </w:rPr>
        <w:t xml:space="preserve">, 2021). Clients will be given an information sheet and would need to contact me independently should they want to participate, to hopefully prevent them from feeling pressured or obligated by their therapists (Ummel and Achille, 2016; Gundel </w:t>
      </w:r>
      <w:r w:rsidRPr="00C84821">
        <w:rPr>
          <w:rFonts w:ascii="Aptos" w:eastAsiaTheme="minorEastAsia" w:hAnsi="Aptos"/>
          <w:i/>
          <w:iCs/>
        </w:rPr>
        <w:t>et al</w:t>
      </w:r>
      <w:r w:rsidRPr="00C84821">
        <w:rPr>
          <w:rFonts w:ascii="Aptos" w:eastAsiaTheme="minorEastAsia" w:hAnsi="Aptos"/>
        </w:rPr>
        <w:t xml:space="preserve">, 2020).  </w:t>
      </w:r>
    </w:p>
    <w:p w14:paraId="493B7C37" w14:textId="424584E7" w:rsidR="054EB83E" w:rsidRPr="00C84821" w:rsidRDefault="054EB83E" w:rsidP="00C84821">
      <w:pPr>
        <w:spacing w:before="240" w:line="480" w:lineRule="auto"/>
        <w:rPr>
          <w:rFonts w:ascii="Aptos" w:eastAsiaTheme="minorEastAsia" w:hAnsi="Aptos"/>
        </w:rPr>
      </w:pPr>
      <w:r w:rsidRPr="00C84821">
        <w:rPr>
          <w:rFonts w:ascii="Aptos" w:eastAsiaTheme="minorEastAsia" w:hAnsi="Aptos"/>
        </w:rPr>
        <w:t xml:space="preserve">I will aim to recruit 2 to 3 dyads, resulting in 4 to 6 interviews, to prioritise depth over breadth of data (Robinson, 2014; Smith and Osborn, 2008). A sample size range allows for flexibility during recruiting and data collection as it is likely to be more difficult to research pairs than individuals (Robison, 2014; Ummel and Achille, 2016). The study will be advertised on social media such as Facebook groups and forums for counsellors, as well as on the BACP research noticeboard.  </w:t>
      </w:r>
    </w:p>
    <w:p w14:paraId="538E3E7A" w14:textId="48910B32" w:rsidR="054EB83E" w:rsidRPr="00C84821" w:rsidRDefault="054EB83E" w:rsidP="00C84821">
      <w:pPr>
        <w:spacing w:before="240" w:line="480" w:lineRule="auto"/>
        <w:rPr>
          <w:rFonts w:ascii="Aptos" w:eastAsiaTheme="minorEastAsia" w:hAnsi="Aptos"/>
          <w:u w:val="single"/>
        </w:rPr>
      </w:pPr>
      <w:r w:rsidRPr="00C84821">
        <w:rPr>
          <w:rFonts w:ascii="Aptos" w:eastAsiaTheme="minorEastAsia" w:hAnsi="Aptos"/>
          <w:u w:val="single"/>
        </w:rPr>
        <w:t xml:space="preserve">Data analysis </w:t>
      </w:r>
    </w:p>
    <w:p w14:paraId="59E9C9BE" w14:textId="0E9F92F7" w:rsidR="054EB83E" w:rsidRPr="00C84821" w:rsidRDefault="054EB83E" w:rsidP="00C84821">
      <w:pPr>
        <w:spacing w:before="240" w:line="480" w:lineRule="auto"/>
        <w:rPr>
          <w:rFonts w:ascii="Aptos" w:eastAsiaTheme="minorEastAsia" w:hAnsi="Aptos"/>
        </w:rPr>
      </w:pPr>
      <w:r w:rsidRPr="00C84821">
        <w:rPr>
          <w:rFonts w:ascii="Aptos" w:eastAsiaTheme="minorEastAsia" w:hAnsi="Aptos"/>
        </w:rPr>
        <w:t xml:space="preserve">Data will be analysed using Interpretive Phenomenological Analysis (IPA) as this aligns with the research aims of exploring participants’ lived experiences (Smith </w:t>
      </w:r>
      <w:r w:rsidRPr="00C84821">
        <w:rPr>
          <w:rFonts w:ascii="Aptos" w:eastAsiaTheme="minorEastAsia" w:hAnsi="Aptos"/>
          <w:i/>
          <w:iCs/>
        </w:rPr>
        <w:t>et al</w:t>
      </w:r>
      <w:r w:rsidRPr="00C84821">
        <w:rPr>
          <w:rFonts w:ascii="Aptos" w:eastAsiaTheme="minorEastAsia" w:hAnsi="Aptos"/>
        </w:rPr>
        <w:t xml:space="preserve">, 2022; Smith and Osborn, 2008). Informed by phenomenology, IPA interprets data through a double hermeneutic by focusing on participants’ efforts to make </w:t>
      </w:r>
      <w:r w:rsidRPr="00C84821">
        <w:rPr>
          <w:rFonts w:ascii="Aptos" w:eastAsiaTheme="minorEastAsia" w:hAnsi="Aptos"/>
          <w:i/>
          <w:iCs/>
        </w:rPr>
        <w:t>meaning</w:t>
      </w:r>
      <w:r w:rsidRPr="00C84821">
        <w:rPr>
          <w:rFonts w:ascii="Aptos" w:eastAsiaTheme="minorEastAsia" w:hAnsi="Aptos"/>
        </w:rPr>
        <w:t xml:space="preserve">, facilitating flexible and comprehensive interpretation of how multilingualism is perceived and experienced in the therapeutic relationship (Smith and Osborn, 2008). IPA seems particularly appropriate for dyad studies as multiple perspectives will create a more complete, thorough, and multi-faceted account, highlighting convergences and divergences in the perceptions of each side of the relationship (Smith </w:t>
      </w:r>
      <w:r w:rsidRPr="00C84821">
        <w:rPr>
          <w:rFonts w:ascii="Aptos" w:eastAsiaTheme="minorEastAsia" w:hAnsi="Aptos"/>
          <w:i/>
          <w:iCs/>
        </w:rPr>
        <w:t>et al</w:t>
      </w:r>
      <w:r w:rsidRPr="00C84821">
        <w:rPr>
          <w:rFonts w:ascii="Aptos" w:eastAsiaTheme="minorEastAsia" w:hAnsi="Aptos"/>
        </w:rPr>
        <w:t xml:space="preserve">, 2022; Larkin </w:t>
      </w:r>
      <w:r w:rsidRPr="00C84821">
        <w:rPr>
          <w:rFonts w:ascii="Aptos" w:eastAsiaTheme="minorEastAsia" w:hAnsi="Aptos"/>
          <w:i/>
          <w:iCs/>
        </w:rPr>
        <w:t>et al</w:t>
      </w:r>
      <w:r w:rsidRPr="00C84821">
        <w:rPr>
          <w:rFonts w:ascii="Aptos" w:eastAsiaTheme="minorEastAsia" w:hAnsi="Aptos"/>
        </w:rPr>
        <w:t>, 2019). IPA is also a common choice for studies on multilingualism and language as a meaning making tool (Al-</w:t>
      </w:r>
      <w:proofErr w:type="spellStart"/>
      <w:r w:rsidRPr="00C84821">
        <w:rPr>
          <w:rFonts w:ascii="Aptos" w:eastAsiaTheme="minorEastAsia" w:hAnsi="Aptos"/>
        </w:rPr>
        <w:t>Mahroos</w:t>
      </w:r>
      <w:proofErr w:type="spellEnd"/>
      <w:r w:rsidRPr="00C84821">
        <w:rPr>
          <w:rFonts w:ascii="Aptos" w:eastAsiaTheme="minorEastAsia" w:hAnsi="Aptos"/>
        </w:rPr>
        <w:t xml:space="preserve"> and Braccio, 2022; </w:t>
      </w:r>
      <w:proofErr w:type="spellStart"/>
      <w:r w:rsidRPr="00C84821">
        <w:rPr>
          <w:rFonts w:ascii="Aptos" w:eastAsiaTheme="minorEastAsia" w:hAnsi="Aptos"/>
        </w:rPr>
        <w:t>Gulina</w:t>
      </w:r>
      <w:proofErr w:type="spellEnd"/>
      <w:r w:rsidRPr="00C84821">
        <w:rPr>
          <w:rFonts w:ascii="Aptos" w:eastAsiaTheme="minorEastAsia" w:hAnsi="Aptos"/>
        </w:rPr>
        <w:t xml:space="preserve"> and </w:t>
      </w:r>
      <w:proofErr w:type="spellStart"/>
      <w:r w:rsidRPr="00C84821">
        <w:rPr>
          <w:rFonts w:ascii="Aptos" w:eastAsiaTheme="minorEastAsia" w:hAnsi="Aptos"/>
        </w:rPr>
        <w:t>Dobrolioubova</w:t>
      </w:r>
      <w:proofErr w:type="spellEnd"/>
      <w:r w:rsidRPr="00C84821">
        <w:rPr>
          <w:rFonts w:ascii="Aptos" w:eastAsiaTheme="minorEastAsia" w:hAnsi="Aptos"/>
        </w:rPr>
        <w:t xml:space="preserve">, 2018; Nguyen, 2014; Cook and Dewaele, 2022). </w:t>
      </w:r>
    </w:p>
    <w:p w14:paraId="6F73C627" w14:textId="7BC80466" w:rsidR="054EB83E" w:rsidRPr="00C84821" w:rsidRDefault="054EB83E" w:rsidP="00C84821">
      <w:pPr>
        <w:spacing w:before="240" w:line="480" w:lineRule="auto"/>
        <w:rPr>
          <w:rFonts w:ascii="Aptos" w:eastAsiaTheme="minorEastAsia" w:hAnsi="Aptos"/>
          <w:color w:val="000000" w:themeColor="text1"/>
          <w:u w:val="single"/>
        </w:rPr>
      </w:pPr>
      <w:r w:rsidRPr="00C84821">
        <w:rPr>
          <w:rFonts w:ascii="Aptos" w:eastAsiaTheme="minorEastAsia" w:hAnsi="Aptos"/>
          <w:color w:val="000000" w:themeColor="text1"/>
          <w:u w:val="single"/>
        </w:rPr>
        <w:lastRenderedPageBreak/>
        <w:t xml:space="preserve">Trustworthiness  </w:t>
      </w:r>
    </w:p>
    <w:p w14:paraId="01BA0126" w14:textId="295AF6BC"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The study’s constructivist framework asserts that my values and perspectives will inevitably influence the findings (</w:t>
      </w:r>
      <w:proofErr w:type="spellStart"/>
      <w:r w:rsidRPr="00C84821">
        <w:rPr>
          <w:rFonts w:ascii="Aptos" w:eastAsiaTheme="minorEastAsia" w:hAnsi="Aptos"/>
        </w:rPr>
        <w:t>Ponterotto</w:t>
      </w:r>
      <w:proofErr w:type="spellEnd"/>
      <w:r w:rsidRPr="00C84821">
        <w:rPr>
          <w:rFonts w:ascii="Aptos" w:eastAsiaTheme="minorEastAsia" w:hAnsi="Aptos"/>
        </w:rPr>
        <w:t xml:space="preserve">, 2005). Continual reflexivity will be essential to maintain awareness of my biases and expectations, and to bracket them to the best of my ability to limit personal influence on the research (Levitt </w:t>
      </w:r>
      <w:r w:rsidRPr="00C84821">
        <w:rPr>
          <w:rFonts w:ascii="Aptos" w:eastAsiaTheme="minorEastAsia" w:hAnsi="Aptos"/>
          <w:i/>
          <w:iCs/>
        </w:rPr>
        <w:t>et al</w:t>
      </w:r>
      <w:r w:rsidRPr="00C84821">
        <w:rPr>
          <w:rFonts w:ascii="Aptos" w:eastAsiaTheme="minorEastAsia" w:hAnsi="Aptos"/>
        </w:rPr>
        <w:t xml:space="preserve">, 2019). I will do this by keeping a reflexive journal and attending personal therapy, as well as regular meetings with my research supervisor, to explore my responses to the work and stay open-minded (Levitt </w:t>
      </w:r>
      <w:r w:rsidRPr="00C84821">
        <w:rPr>
          <w:rFonts w:ascii="Aptos" w:eastAsiaTheme="minorEastAsia" w:hAnsi="Aptos"/>
          <w:i/>
          <w:iCs/>
        </w:rPr>
        <w:t>et al</w:t>
      </w:r>
      <w:r w:rsidRPr="00C84821">
        <w:rPr>
          <w:rFonts w:ascii="Aptos" w:eastAsiaTheme="minorEastAsia" w:hAnsi="Aptos"/>
        </w:rPr>
        <w:t xml:space="preserve">, 2019). </w:t>
      </w:r>
      <w:r w:rsidRPr="00C84821">
        <w:rPr>
          <w:rFonts w:ascii="Aptos" w:eastAsiaTheme="minorEastAsia" w:hAnsi="Aptos"/>
          <w:color w:val="000000" w:themeColor="text1"/>
        </w:rPr>
        <w:t xml:space="preserve"> </w:t>
      </w:r>
    </w:p>
    <w:p w14:paraId="6D11B78B" w14:textId="655434BB" w:rsidR="054EB83E" w:rsidRPr="00C84821" w:rsidRDefault="054EB83E" w:rsidP="00C84821">
      <w:pPr>
        <w:spacing w:before="240" w:line="480" w:lineRule="auto"/>
        <w:rPr>
          <w:rFonts w:ascii="Aptos" w:eastAsiaTheme="minorEastAsia" w:hAnsi="Aptos"/>
          <w:color w:val="000000" w:themeColor="text1"/>
        </w:rPr>
      </w:pPr>
      <w:r w:rsidRPr="00C84821">
        <w:rPr>
          <w:rFonts w:ascii="Aptos" w:eastAsiaTheme="minorEastAsia" w:hAnsi="Aptos"/>
          <w:color w:val="000000" w:themeColor="text1"/>
        </w:rPr>
        <w:t xml:space="preserve">The interview guide will help to </w:t>
      </w:r>
      <w:r w:rsidRPr="00C84821">
        <w:rPr>
          <w:rFonts w:ascii="Aptos" w:eastAsiaTheme="minorEastAsia" w:hAnsi="Aptos"/>
        </w:rPr>
        <w:t xml:space="preserve">maintain trustworthiness by ensuring that questions are relevant to the research aims and appropriate for the participants (Levitt </w:t>
      </w:r>
      <w:r w:rsidRPr="00C84821">
        <w:rPr>
          <w:rFonts w:ascii="Aptos" w:eastAsiaTheme="minorEastAsia" w:hAnsi="Aptos"/>
          <w:i/>
          <w:iCs/>
        </w:rPr>
        <w:t>et al</w:t>
      </w:r>
      <w:r w:rsidRPr="00C84821">
        <w:rPr>
          <w:rFonts w:ascii="Aptos" w:eastAsiaTheme="minorEastAsia" w:hAnsi="Aptos"/>
        </w:rPr>
        <w:t xml:space="preserve">, 2019). The interview guide and participant information sheets will be discussed with my research supervisor and piloted with colleagues to ensure coherence and appropriateness (Braun and Clarke, 2013). At the end of each interview there will be opportunities for participants to share feedback or to add anything important they felt was missed, to ensure that their voices are sufficiently heard (Levitt </w:t>
      </w:r>
      <w:r w:rsidRPr="00C84821">
        <w:rPr>
          <w:rFonts w:ascii="Aptos" w:eastAsiaTheme="minorEastAsia" w:hAnsi="Aptos"/>
          <w:i/>
          <w:iCs/>
        </w:rPr>
        <w:t>et al</w:t>
      </w:r>
      <w:r w:rsidRPr="00C84821">
        <w:rPr>
          <w:rFonts w:ascii="Aptos" w:eastAsiaTheme="minorEastAsia" w:hAnsi="Aptos"/>
        </w:rPr>
        <w:t xml:space="preserve">, 2019). During data analysis, transcripts will be thoroughly checked for accuracy and an audit trail will be kept demonstrating where convergences and divergences were found in the transcripts (Braun and Clarke, 2013).  </w:t>
      </w:r>
      <w:r w:rsidRPr="00C84821">
        <w:rPr>
          <w:rFonts w:ascii="Aptos" w:eastAsiaTheme="minorEastAsia" w:hAnsi="Aptos"/>
          <w:color w:val="000000" w:themeColor="text1"/>
        </w:rPr>
        <w:t xml:space="preserve"> </w:t>
      </w:r>
    </w:p>
    <w:p w14:paraId="193637F4" w14:textId="73D30A85" w:rsidR="054EB83E" w:rsidRPr="00C84821" w:rsidRDefault="054EB83E" w:rsidP="00C84821">
      <w:pPr>
        <w:spacing w:before="240" w:line="480" w:lineRule="auto"/>
        <w:rPr>
          <w:rFonts w:ascii="Aptos" w:eastAsiaTheme="minorEastAsia" w:hAnsi="Aptos"/>
          <w:b/>
          <w:bCs/>
          <w:color w:val="000000" w:themeColor="text1"/>
          <w:u w:val="single"/>
        </w:rPr>
      </w:pPr>
      <w:r w:rsidRPr="00C84821">
        <w:rPr>
          <w:rFonts w:ascii="Aptos" w:eastAsiaTheme="minorEastAsia" w:hAnsi="Aptos"/>
          <w:b/>
          <w:bCs/>
          <w:color w:val="000000" w:themeColor="text1"/>
          <w:u w:val="single"/>
        </w:rPr>
        <w:t>Ethical considerations</w:t>
      </w:r>
    </w:p>
    <w:p w14:paraId="40785CA7" w14:textId="1456229F" w:rsidR="054EB83E" w:rsidRPr="00C84821" w:rsidRDefault="054EB83E" w:rsidP="00C84821">
      <w:pPr>
        <w:spacing w:before="240" w:line="480" w:lineRule="auto"/>
        <w:rPr>
          <w:rFonts w:ascii="Aptos" w:eastAsiaTheme="minorEastAsia" w:hAnsi="Aptos"/>
        </w:rPr>
      </w:pPr>
      <w:r w:rsidRPr="00C84821">
        <w:rPr>
          <w:rFonts w:ascii="Aptos" w:eastAsiaTheme="minorEastAsia" w:hAnsi="Aptos"/>
          <w:color w:val="000000" w:themeColor="text1"/>
        </w:rPr>
        <w:t>This study has been designed with the BACP (2018; 2019) Ethical Framework and Ethical Guidelines for Research in mind and follows the USW (2021) Code of Research Good Practice.</w:t>
      </w:r>
      <w:r w:rsidRPr="00C84821">
        <w:rPr>
          <w:rFonts w:ascii="Aptos" w:eastAsiaTheme="minorEastAsia" w:hAnsi="Aptos"/>
        </w:rPr>
        <w:t xml:space="preserve"> The purpose and potential risks of the research will be communicated clearly, giving participants the opportunity to discuss any concerns and ensuring they are fully informed prior to consenting (USW, 2021; BACP, 2019). Withdrawal is possible up until the interview transcripts are finalised and analysis begins and will be communicated to participants before confirming their consent (BACP, 2019). Complaints can be raised directly with my research </w:t>
      </w:r>
      <w:r w:rsidRPr="00C84821">
        <w:rPr>
          <w:rFonts w:ascii="Aptos" w:eastAsiaTheme="minorEastAsia" w:hAnsi="Aptos"/>
        </w:rPr>
        <w:lastRenderedPageBreak/>
        <w:t xml:space="preserve">supervisor whose email address will be provided to participants (BACP, 2019). Data will be safely stored on a password protected computer and will be destroyed upon submission of the research assignment (GDPR, 2018; USW, 2021). </w:t>
      </w:r>
    </w:p>
    <w:p w14:paraId="5E7DE8C1" w14:textId="16CC8765" w:rsidR="054EB83E" w:rsidRPr="00C84821" w:rsidRDefault="054EB83E" w:rsidP="00C84821">
      <w:pPr>
        <w:spacing w:before="240" w:line="480" w:lineRule="auto"/>
        <w:rPr>
          <w:rFonts w:ascii="Aptos" w:eastAsiaTheme="minorEastAsia" w:hAnsi="Aptos"/>
        </w:rPr>
      </w:pPr>
      <w:r w:rsidRPr="00C84821">
        <w:rPr>
          <w:rFonts w:ascii="Aptos" w:eastAsiaTheme="minorEastAsia" w:hAnsi="Aptos"/>
          <w:color w:val="000000" w:themeColor="text1"/>
        </w:rPr>
        <w:t xml:space="preserve">Anonymisation measures will be taken to protect participants’ confidentiality as much as possible, and the limits of this will be clearly discussed (BACP, 2019). Participants will be largely unidentifiable to those outside the study, however internal confidentiality is harder to achieve in dual-perspective studies particularly when participants verbatim accounts are presented in the findings (Ummel and Achille, 2016; </w:t>
      </w:r>
      <w:proofErr w:type="spellStart"/>
      <w:r w:rsidRPr="00C84821">
        <w:rPr>
          <w:rFonts w:ascii="Aptos" w:eastAsiaTheme="minorEastAsia" w:hAnsi="Aptos"/>
        </w:rPr>
        <w:t>Forbat</w:t>
      </w:r>
      <w:proofErr w:type="spellEnd"/>
      <w:r w:rsidRPr="00C84821">
        <w:rPr>
          <w:rFonts w:ascii="Aptos" w:eastAsiaTheme="minorEastAsia" w:hAnsi="Aptos"/>
        </w:rPr>
        <w:t xml:space="preserve"> and Henderson, 2003). Participants will be warned of this prior to consenting as I feel that these limits to internal confidentiality are required to present findings with sufficient detail to demonstrate a dyadic perspective (Ummel and Achille, 2016).</w:t>
      </w:r>
    </w:p>
    <w:p w14:paraId="12770955" w14:textId="332127F2" w:rsidR="054EB83E" w:rsidRDefault="054EB83E" w:rsidP="00C84821">
      <w:pPr>
        <w:spacing w:line="480" w:lineRule="auto"/>
        <w:rPr>
          <w:rFonts w:ascii="Aptos" w:eastAsiaTheme="minorEastAsia" w:hAnsi="Aptos"/>
          <w:color w:val="000000" w:themeColor="text1"/>
        </w:rPr>
      </w:pPr>
    </w:p>
    <w:p w14:paraId="4372ABE1" w14:textId="77777777" w:rsidR="00C84821" w:rsidRDefault="00C84821" w:rsidP="00C84821">
      <w:pPr>
        <w:spacing w:line="480" w:lineRule="auto"/>
        <w:rPr>
          <w:rFonts w:ascii="Aptos" w:eastAsiaTheme="minorEastAsia" w:hAnsi="Aptos"/>
          <w:color w:val="000000" w:themeColor="text1"/>
        </w:rPr>
      </w:pPr>
    </w:p>
    <w:p w14:paraId="178A478D" w14:textId="77777777" w:rsidR="00C84821" w:rsidRDefault="00C84821" w:rsidP="00C84821">
      <w:pPr>
        <w:spacing w:line="480" w:lineRule="auto"/>
        <w:rPr>
          <w:rFonts w:ascii="Aptos" w:eastAsiaTheme="minorEastAsia" w:hAnsi="Aptos"/>
          <w:color w:val="000000" w:themeColor="text1"/>
        </w:rPr>
      </w:pPr>
    </w:p>
    <w:p w14:paraId="09676ADD" w14:textId="77777777" w:rsidR="00C84821" w:rsidRDefault="00C84821" w:rsidP="00C84821">
      <w:pPr>
        <w:spacing w:line="480" w:lineRule="auto"/>
        <w:rPr>
          <w:rFonts w:ascii="Aptos" w:eastAsiaTheme="minorEastAsia" w:hAnsi="Aptos"/>
          <w:color w:val="000000" w:themeColor="text1"/>
        </w:rPr>
      </w:pPr>
    </w:p>
    <w:p w14:paraId="197A0F51" w14:textId="77777777" w:rsidR="00C84821" w:rsidRDefault="00C84821" w:rsidP="00C84821">
      <w:pPr>
        <w:spacing w:line="480" w:lineRule="auto"/>
        <w:rPr>
          <w:rFonts w:ascii="Aptos" w:eastAsiaTheme="minorEastAsia" w:hAnsi="Aptos"/>
          <w:color w:val="000000" w:themeColor="text1"/>
        </w:rPr>
      </w:pPr>
    </w:p>
    <w:p w14:paraId="72D089DA" w14:textId="77777777" w:rsidR="00C84821" w:rsidRDefault="00C84821" w:rsidP="00C84821">
      <w:pPr>
        <w:spacing w:line="480" w:lineRule="auto"/>
        <w:rPr>
          <w:rFonts w:ascii="Aptos" w:eastAsiaTheme="minorEastAsia" w:hAnsi="Aptos"/>
          <w:color w:val="000000" w:themeColor="text1"/>
        </w:rPr>
      </w:pPr>
    </w:p>
    <w:p w14:paraId="146305E4" w14:textId="77777777" w:rsidR="00C84821" w:rsidRDefault="00C84821" w:rsidP="00C84821">
      <w:pPr>
        <w:spacing w:line="480" w:lineRule="auto"/>
        <w:rPr>
          <w:rFonts w:ascii="Aptos" w:eastAsiaTheme="minorEastAsia" w:hAnsi="Aptos"/>
          <w:color w:val="000000" w:themeColor="text1"/>
        </w:rPr>
      </w:pPr>
    </w:p>
    <w:p w14:paraId="48046F30" w14:textId="77777777" w:rsidR="00C84821" w:rsidRDefault="00C84821" w:rsidP="00C84821">
      <w:pPr>
        <w:spacing w:line="480" w:lineRule="auto"/>
        <w:rPr>
          <w:rFonts w:ascii="Aptos" w:eastAsiaTheme="minorEastAsia" w:hAnsi="Aptos"/>
          <w:color w:val="000000" w:themeColor="text1"/>
        </w:rPr>
      </w:pPr>
    </w:p>
    <w:p w14:paraId="0E52B140" w14:textId="77777777" w:rsidR="00C84821" w:rsidRDefault="00C84821" w:rsidP="00C84821">
      <w:pPr>
        <w:spacing w:line="480" w:lineRule="auto"/>
        <w:rPr>
          <w:rFonts w:ascii="Aptos" w:eastAsiaTheme="minorEastAsia" w:hAnsi="Aptos"/>
          <w:color w:val="000000" w:themeColor="text1"/>
        </w:rPr>
      </w:pPr>
    </w:p>
    <w:p w14:paraId="00EE568D" w14:textId="77777777" w:rsidR="00C84821" w:rsidRDefault="00C84821" w:rsidP="00C84821">
      <w:pPr>
        <w:spacing w:line="480" w:lineRule="auto"/>
        <w:rPr>
          <w:rFonts w:ascii="Aptos" w:eastAsiaTheme="minorEastAsia" w:hAnsi="Aptos"/>
          <w:color w:val="000000" w:themeColor="text1"/>
        </w:rPr>
      </w:pPr>
    </w:p>
    <w:p w14:paraId="563E7210" w14:textId="77777777" w:rsidR="00C84821" w:rsidRPr="00C84821" w:rsidRDefault="00C84821" w:rsidP="00C84821">
      <w:pPr>
        <w:spacing w:line="480" w:lineRule="auto"/>
        <w:rPr>
          <w:rFonts w:ascii="Aptos" w:eastAsiaTheme="minorEastAsia" w:hAnsi="Aptos"/>
          <w:color w:val="000000" w:themeColor="text1"/>
        </w:rPr>
      </w:pPr>
    </w:p>
    <w:p w14:paraId="4FDAEDAB" w14:textId="1A43DC85" w:rsidR="054EB83E" w:rsidRPr="00C84821" w:rsidRDefault="66364160" w:rsidP="00C84821">
      <w:pPr>
        <w:spacing w:line="480" w:lineRule="auto"/>
        <w:rPr>
          <w:rFonts w:ascii="Aptos" w:eastAsia="Calibri" w:hAnsi="Aptos" w:cs="Calibri"/>
          <w:color w:val="000000" w:themeColor="text1"/>
          <w:u w:val="single"/>
        </w:rPr>
      </w:pPr>
      <w:r w:rsidRPr="00C84821">
        <w:rPr>
          <w:rFonts w:ascii="Aptos" w:eastAsia="Calibri" w:hAnsi="Aptos" w:cs="Calibri"/>
          <w:color w:val="000000" w:themeColor="text1"/>
          <w:u w:val="single"/>
        </w:rPr>
        <w:lastRenderedPageBreak/>
        <w:t>References</w:t>
      </w:r>
    </w:p>
    <w:p w14:paraId="2F2C28F1" w14:textId="49B70A17"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Al-</w:t>
      </w:r>
      <w:proofErr w:type="spellStart"/>
      <w:r w:rsidRPr="00C84821">
        <w:rPr>
          <w:rFonts w:ascii="Aptos" w:eastAsia="Calibri" w:hAnsi="Aptos" w:cs="Calibri"/>
          <w:color w:val="000000" w:themeColor="text1"/>
        </w:rPr>
        <w:t>Mahroos</w:t>
      </w:r>
      <w:proofErr w:type="spellEnd"/>
      <w:r w:rsidRPr="00C84821">
        <w:rPr>
          <w:rFonts w:ascii="Aptos" w:eastAsia="Calibri" w:hAnsi="Aptos" w:cs="Calibri"/>
          <w:color w:val="000000" w:themeColor="text1"/>
        </w:rPr>
        <w:t>, Z. and Braccio, M. D. (2022) 'Language as power in the therapy room: A study of bilingual (Arabic-English) therapists' experiences', Counselling and Psychotherapy Research, 00, pp. 1-13.</w:t>
      </w:r>
    </w:p>
    <w:p w14:paraId="3E07493A" w14:textId="148E12CE"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BACP (2018)</w:t>
      </w:r>
      <w:r w:rsidRPr="00C84821">
        <w:rPr>
          <w:rFonts w:ascii="Aptos" w:eastAsia="Calibri" w:hAnsi="Aptos" w:cs="Calibri"/>
          <w:i/>
          <w:iCs/>
          <w:color w:val="000000" w:themeColor="text1"/>
        </w:rPr>
        <w:t xml:space="preserve"> Ethical Framework. </w:t>
      </w:r>
      <w:r w:rsidRPr="00C84821">
        <w:rPr>
          <w:rFonts w:ascii="Aptos" w:eastAsia="Calibri" w:hAnsi="Aptos" w:cs="Calibri"/>
          <w:color w:val="000000" w:themeColor="text1"/>
        </w:rPr>
        <w:t>Available at: </w:t>
      </w:r>
      <w:hyperlink r:id="rId5">
        <w:r w:rsidRPr="00C84821">
          <w:rPr>
            <w:rStyle w:val="Hyperlink"/>
            <w:rFonts w:ascii="Aptos" w:eastAsia="Calibri" w:hAnsi="Aptos" w:cs="Calibri"/>
          </w:rPr>
          <w:t>https://www.bacp.co.uk/events-and-resources/ethics-and-standards/ethical-framework-for-the-counselling-professions/</w:t>
        </w:r>
      </w:hyperlink>
      <w:r w:rsidRPr="00C84821">
        <w:rPr>
          <w:rFonts w:ascii="Aptos" w:eastAsia="Calibri" w:hAnsi="Aptos" w:cs="Calibri"/>
          <w:color w:val="000000" w:themeColor="text1"/>
        </w:rPr>
        <w:t> (Accessed: 20 February 2023). </w:t>
      </w:r>
    </w:p>
    <w:p w14:paraId="462E0F08" w14:textId="6CA0EE37"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BACP (2019) </w:t>
      </w:r>
      <w:r w:rsidRPr="00C84821">
        <w:rPr>
          <w:rFonts w:ascii="Aptos" w:eastAsia="Calibri" w:hAnsi="Aptos" w:cs="Calibri"/>
          <w:i/>
          <w:iCs/>
          <w:color w:val="000000" w:themeColor="text1"/>
        </w:rPr>
        <w:t xml:space="preserve">Ethical Guidelines for Research in the Counselling Professions. </w:t>
      </w:r>
      <w:r w:rsidRPr="00C84821">
        <w:rPr>
          <w:rFonts w:ascii="Aptos" w:eastAsia="Calibri" w:hAnsi="Aptos" w:cs="Calibri"/>
          <w:color w:val="000000" w:themeColor="text1"/>
        </w:rPr>
        <w:t xml:space="preserve">Available at: </w:t>
      </w:r>
      <w:hyperlink r:id="rId6">
        <w:r w:rsidRPr="00C84821">
          <w:rPr>
            <w:rStyle w:val="Hyperlink"/>
            <w:rFonts w:ascii="Aptos" w:eastAsia="Arial" w:hAnsi="Aptos" w:cs="Arial"/>
          </w:rPr>
          <w:t>https://www.bacp.co.uk/media/3908/bacp-ethical-guidelines-for-research-in-counselling-professions-feb19.pdf</w:t>
        </w:r>
      </w:hyperlink>
      <w:r w:rsidRPr="00C84821">
        <w:rPr>
          <w:rFonts w:ascii="Aptos" w:eastAsia="Calibri" w:hAnsi="Aptos" w:cs="Calibri"/>
          <w:color w:val="000000" w:themeColor="text1"/>
        </w:rPr>
        <w:t xml:space="preserve"> Accessed: 01 April 2023). </w:t>
      </w:r>
    </w:p>
    <w:p w14:paraId="30CF4427" w14:textId="0286B0BD"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Bager-Charleson, S., Dewaele, J., Costa, B. and Kasap, Z. (2017) 'A multilingual outlook: Can awareness-raising about multilingualism affects therapists' practice? A mixed-method evaluation', Language and Psychoanalysis, 6(2), pp. 1-21.</w:t>
      </w:r>
    </w:p>
    <w:p w14:paraId="73CF45CA" w14:textId="71565CA6"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Bernhardt, I. S., Nissen-Lie, H. A., and Rabu, M. (2021) ‚The embodied listener: a dyadic case study of how therapist and patient reflect on the significance of therapist’s personal presence for the therapeutic change process’, </w:t>
      </w:r>
      <w:r w:rsidRPr="00C84821">
        <w:rPr>
          <w:rFonts w:ascii="Aptos" w:eastAsia="Calibri" w:hAnsi="Aptos" w:cs="Calibri"/>
          <w:i/>
          <w:iCs/>
          <w:color w:val="000000" w:themeColor="text1"/>
        </w:rPr>
        <w:t xml:space="preserve">Psychotherapy Research, </w:t>
      </w:r>
      <w:r w:rsidRPr="00C84821">
        <w:rPr>
          <w:rFonts w:ascii="Aptos" w:eastAsia="Calibri" w:hAnsi="Aptos" w:cs="Calibri"/>
          <w:color w:val="000000" w:themeColor="text1"/>
        </w:rPr>
        <w:t>31(5), pp. 682-694.</w:t>
      </w:r>
    </w:p>
    <w:p w14:paraId="0292B3FC" w14:textId="524C45D0"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Bowker, P. and Richards, R. (2004) 'Speaking the same language? A qualitative study of therapists' experiences of working in English with proficient bilingual clients', Psychodynamic Practice, 10(4), pp. 459-478.</w:t>
      </w:r>
    </w:p>
    <w:p w14:paraId="3F1A261C" w14:textId="6F8DCFF6"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Braun, V. &amp; Clarke, V. (2013) </w:t>
      </w:r>
      <w:r w:rsidRPr="00C84821">
        <w:rPr>
          <w:rFonts w:ascii="Aptos" w:eastAsia="Calibri" w:hAnsi="Aptos" w:cs="Calibri"/>
          <w:i/>
          <w:iCs/>
          <w:color w:val="000000" w:themeColor="text1"/>
        </w:rPr>
        <w:t>Successful qualitative research: a practical guide for beginners.</w:t>
      </w:r>
      <w:r w:rsidRPr="00C84821">
        <w:rPr>
          <w:rFonts w:ascii="Aptos" w:eastAsia="Calibri" w:hAnsi="Aptos" w:cs="Calibri"/>
          <w:color w:val="000000" w:themeColor="text1"/>
        </w:rPr>
        <w:t xml:space="preserve"> London: Sage. </w:t>
      </w:r>
    </w:p>
    <w:p w14:paraId="32129244" w14:textId="32222469"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Calvo-Rodriguez, M. C. (2021) 'Monolingual therapists' views and experiences of working with multilingual clients: An exploratory study', Counselling and Psychotherapy Research, 21(3), pp. 739-750.</w:t>
      </w:r>
    </w:p>
    <w:p w14:paraId="5EA2948C" w14:textId="4A8AC224"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Clauss, C. S. (1998) 'Language: the unspoken variable in psychotherapy practice', Psychotherapy, 35(2), pp. 188-196.</w:t>
      </w:r>
    </w:p>
    <w:p w14:paraId="2BD589A7" w14:textId="04F34B44"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Cook, S. and Dewaele, J. (2022) '"The English language enables me to visit my pain": </w:t>
      </w:r>
      <w:proofErr w:type="spellStart"/>
      <w:r w:rsidRPr="00C84821">
        <w:rPr>
          <w:rFonts w:ascii="Aptos" w:eastAsia="Calibri" w:hAnsi="Aptos" w:cs="Calibri"/>
          <w:color w:val="000000" w:themeColor="text1"/>
        </w:rPr>
        <w:t>Explorinh</w:t>
      </w:r>
      <w:proofErr w:type="spellEnd"/>
      <w:r w:rsidRPr="00C84821">
        <w:rPr>
          <w:rFonts w:ascii="Aptos" w:eastAsia="Calibri" w:hAnsi="Aptos" w:cs="Calibri"/>
          <w:color w:val="000000" w:themeColor="text1"/>
        </w:rPr>
        <w:t xml:space="preserve"> experiences of using a later-learned language in the healing journey of survivors of sexuality persecution', International Journal of Bilingualism, 26(2), pp. 125-139.</w:t>
      </w:r>
    </w:p>
    <w:p w14:paraId="06F4832E" w14:textId="6BFBB896"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Costa, B. (2010) 'Mother tongue or non-native language? Learning from conversations with bilingual/multilingual therapists about working with clients who do not share their native language', Ethnicity and Inequalities in Health and Social Care, 3(1), pp. 15-24.</w:t>
      </w:r>
    </w:p>
    <w:p w14:paraId="6225888B" w14:textId="5581D91B"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Costa, B. (2020) Other Tongues: Psychological therapies in a multilingual world. Monmouth: PCCS Books.</w:t>
      </w:r>
    </w:p>
    <w:p w14:paraId="2CCAB1BB" w14:textId="5D1F5811"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lastRenderedPageBreak/>
        <w:t>Costa, B. and Dewaele, J. (2013) 'Psychotherapy across languages: beliefs, attitudes and practices of monolingual and multilingual therapists with their multilingual patients', Counselling and Psychotherapy Research, pp. 1-11.</w:t>
      </w:r>
    </w:p>
    <w:p w14:paraId="3A414674" w14:textId="35899E2E"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Costa, B. and Dewaele, J. (2018) 'The talking cure - building the core skills and the confidence of counsellors and psychotherapists to work effectively with multilingual patients through training and supervision', Counselling and Psychotherapy </w:t>
      </w:r>
      <w:proofErr w:type="spellStart"/>
      <w:r w:rsidRPr="00C84821">
        <w:rPr>
          <w:rFonts w:ascii="Aptos" w:eastAsia="Calibri" w:hAnsi="Aptos" w:cs="Calibri"/>
          <w:color w:val="000000" w:themeColor="text1"/>
        </w:rPr>
        <w:t>Reasearch</w:t>
      </w:r>
      <w:proofErr w:type="spellEnd"/>
      <w:r w:rsidRPr="00C84821">
        <w:rPr>
          <w:rFonts w:ascii="Aptos" w:eastAsia="Calibri" w:hAnsi="Aptos" w:cs="Calibri"/>
          <w:color w:val="000000" w:themeColor="text1"/>
        </w:rPr>
        <w:t>, 19(3), pp. 231-240.</w:t>
      </w:r>
    </w:p>
    <w:p w14:paraId="1A63DC1A" w14:textId="0002D5EB"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Dewaele, J. (2013) </w:t>
      </w:r>
      <w:r w:rsidRPr="00C84821">
        <w:rPr>
          <w:rFonts w:ascii="Aptos" w:eastAsia="Calibri" w:hAnsi="Aptos" w:cs="Calibri"/>
          <w:i/>
          <w:iCs/>
          <w:color w:val="000000" w:themeColor="text1"/>
        </w:rPr>
        <w:t>Emotions in Multiple Languages.</w:t>
      </w:r>
      <w:r w:rsidRPr="00C84821">
        <w:rPr>
          <w:rFonts w:ascii="Aptos" w:eastAsia="Calibri" w:hAnsi="Aptos" w:cs="Calibri"/>
          <w:color w:val="000000" w:themeColor="text1"/>
        </w:rPr>
        <w:t xml:space="preserve"> 2</w:t>
      </w:r>
      <w:r w:rsidRPr="00C84821">
        <w:rPr>
          <w:rFonts w:ascii="Aptos" w:eastAsia="Calibri" w:hAnsi="Aptos" w:cs="Calibri"/>
          <w:color w:val="000000" w:themeColor="text1"/>
          <w:vertAlign w:val="superscript"/>
        </w:rPr>
        <w:t>nd</w:t>
      </w:r>
      <w:r w:rsidRPr="00C84821">
        <w:rPr>
          <w:rFonts w:ascii="Aptos" w:eastAsia="Calibri" w:hAnsi="Aptos" w:cs="Calibri"/>
          <w:color w:val="000000" w:themeColor="text1"/>
        </w:rPr>
        <w:t xml:space="preserve"> edn. Basingstoke: Palgrave Macmillan.  </w:t>
      </w:r>
    </w:p>
    <w:p w14:paraId="2EFBCB21" w14:textId="2FB31D74"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Dewaele, J. and Costa, B. (2013) 'Multilingual clients' experience of psychotherapy', Language and Psychoanalysis, 2(2), pp. 31-50.</w:t>
      </w:r>
    </w:p>
    <w:p w14:paraId="3D6465DE" w14:textId="2D7978D1"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Dewaele, J. and Costa, B. (2014) 'A cross-disciplinary and multi-method approach of multilingualism in psychotherapy', in Bager-</w:t>
      </w:r>
      <w:proofErr w:type="spellStart"/>
      <w:r w:rsidRPr="00C84821">
        <w:rPr>
          <w:rFonts w:ascii="Aptos" w:eastAsia="Calibri" w:hAnsi="Aptos" w:cs="Calibri"/>
          <w:color w:val="000000" w:themeColor="text1"/>
        </w:rPr>
        <w:t>Chareson</w:t>
      </w:r>
      <w:proofErr w:type="spellEnd"/>
      <w:r w:rsidRPr="00C84821">
        <w:rPr>
          <w:rFonts w:ascii="Aptos" w:eastAsia="Calibri" w:hAnsi="Aptos" w:cs="Calibri"/>
          <w:color w:val="000000" w:themeColor="text1"/>
        </w:rPr>
        <w:t>, S. (ed.) Doing Practice-Based Research in Therapy: A Reflexive Approach. London: Sage Publications, pp. 28-37.</w:t>
      </w:r>
    </w:p>
    <w:p w14:paraId="2CF2BB38" w14:textId="66D9F264"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Dewaele, </w:t>
      </w:r>
      <w:proofErr w:type="gramStart"/>
      <w:r w:rsidRPr="00C84821">
        <w:rPr>
          <w:rFonts w:ascii="Aptos" w:eastAsia="Calibri" w:hAnsi="Aptos" w:cs="Calibri"/>
          <w:color w:val="000000" w:themeColor="text1"/>
        </w:rPr>
        <w:t>J. ,</w:t>
      </w:r>
      <w:proofErr w:type="gramEnd"/>
      <w:r w:rsidRPr="00C84821">
        <w:rPr>
          <w:rFonts w:ascii="Aptos" w:eastAsia="Calibri" w:hAnsi="Aptos" w:cs="Calibri"/>
          <w:color w:val="000000" w:themeColor="text1"/>
        </w:rPr>
        <w:t xml:space="preserve"> Costa, B., Rolland, L, and Cook, S. (2020) 'Interactions and mediation between multilingual clients and their psychotherapist', Babylonia Journal of Language Education, 3, pp. 64-68.</w:t>
      </w:r>
    </w:p>
    <w:p w14:paraId="11006025" w14:textId="47B3EB52"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Finlay, L. (2015) ‘Qualitative Methods’, in Vossler, A. and Moller, N. (eds.) The Counselling and Psychotherapy Research Handbook. London: SAGE Publications, pp. 164-182. </w:t>
      </w:r>
    </w:p>
    <w:p w14:paraId="67D2141B" w14:textId="37199AF1"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Forbat</w:t>
      </w:r>
      <w:proofErr w:type="spellEnd"/>
      <w:r w:rsidRPr="00C84821">
        <w:rPr>
          <w:rFonts w:ascii="Aptos" w:eastAsia="Calibri" w:hAnsi="Aptos" w:cs="Calibri"/>
          <w:color w:val="000000" w:themeColor="text1"/>
        </w:rPr>
        <w:t xml:space="preserve">, L. and Henderson, J. (2003) </w:t>
      </w:r>
      <w:proofErr w:type="gramStart"/>
      <w:r w:rsidRPr="00C84821">
        <w:rPr>
          <w:rFonts w:ascii="Aptos" w:eastAsia="Calibri" w:hAnsi="Aptos" w:cs="Calibri"/>
          <w:color w:val="000000" w:themeColor="text1"/>
        </w:rPr>
        <w:t>‘”Stuck</w:t>
      </w:r>
      <w:proofErr w:type="gramEnd"/>
      <w:r w:rsidRPr="00C84821">
        <w:rPr>
          <w:rFonts w:ascii="Aptos" w:eastAsia="Calibri" w:hAnsi="Aptos" w:cs="Calibri"/>
          <w:color w:val="000000" w:themeColor="text1"/>
        </w:rPr>
        <w:t xml:space="preserve"> in the middle with you”: The ethics and process of qualitative research with two people in an intimate relationship’, </w:t>
      </w:r>
      <w:r w:rsidRPr="00C84821">
        <w:rPr>
          <w:rFonts w:ascii="Aptos" w:eastAsia="Calibri" w:hAnsi="Aptos" w:cs="Calibri"/>
          <w:i/>
          <w:iCs/>
          <w:color w:val="000000" w:themeColor="text1"/>
        </w:rPr>
        <w:t xml:space="preserve">Qualitative Health Research, </w:t>
      </w:r>
      <w:r w:rsidRPr="00C84821">
        <w:rPr>
          <w:rFonts w:ascii="Aptos" w:eastAsia="Calibri" w:hAnsi="Aptos" w:cs="Calibri"/>
          <w:color w:val="000000" w:themeColor="text1"/>
        </w:rPr>
        <w:t xml:space="preserve">13(10), pp. 1453-1462. </w:t>
      </w:r>
    </w:p>
    <w:p w14:paraId="2D12C194" w14:textId="37B958D1"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i/>
          <w:iCs/>
          <w:color w:val="000000" w:themeColor="text1"/>
        </w:rPr>
        <w:t xml:space="preserve">General Data Protection Regulation 2018. </w:t>
      </w:r>
      <w:r w:rsidRPr="00C84821">
        <w:rPr>
          <w:rFonts w:ascii="Aptos" w:eastAsia="Calibri" w:hAnsi="Aptos" w:cs="Calibri"/>
          <w:color w:val="000000" w:themeColor="text1"/>
        </w:rPr>
        <w:t xml:space="preserve">Available at: </w:t>
      </w:r>
      <w:hyperlink r:id="rId7">
        <w:r w:rsidRPr="00C84821">
          <w:rPr>
            <w:rStyle w:val="Hyperlink"/>
            <w:rFonts w:ascii="Aptos" w:eastAsia="Calibri" w:hAnsi="Aptos" w:cs="Calibri"/>
          </w:rPr>
          <w:t>https://www.legislation.gov.uk/ukpga/2018/12/contents/enacted</w:t>
        </w:r>
      </w:hyperlink>
      <w:r w:rsidRPr="00C84821">
        <w:rPr>
          <w:rFonts w:ascii="Aptos" w:eastAsia="Calibri" w:hAnsi="Aptos" w:cs="Calibri"/>
          <w:color w:val="000000" w:themeColor="text1"/>
        </w:rPr>
        <w:t xml:space="preserve"> (Accessed 01 April 2023).  </w:t>
      </w:r>
    </w:p>
    <w:p w14:paraId="2B1BD833" w14:textId="6EEA2D68"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Gundel, B. E., Bartholomew, T. T., and Scheel, M. J. (2020) ‘Culture and care: An illustration of multicultural processes in a counselling dyad’, </w:t>
      </w:r>
      <w:r w:rsidRPr="00C84821">
        <w:rPr>
          <w:rFonts w:ascii="Aptos" w:eastAsia="Calibri" w:hAnsi="Aptos" w:cs="Calibri"/>
          <w:i/>
          <w:iCs/>
          <w:color w:val="000000" w:themeColor="text1"/>
        </w:rPr>
        <w:t xml:space="preserve">Practice Innovations, </w:t>
      </w:r>
      <w:r w:rsidRPr="00C84821">
        <w:rPr>
          <w:rFonts w:ascii="Aptos" w:eastAsia="Calibri" w:hAnsi="Aptos" w:cs="Calibri"/>
          <w:color w:val="000000" w:themeColor="text1"/>
        </w:rPr>
        <w:t xml:space="preserve">5(1), pp. 19-31. </w:t>
      </w:r>
    </w:p>
    <w:p w14:paraId="7861D135" w14:textId="0DB6D469"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Gulina</w:t>
      </w:r>
      <w:proofErr w:type="spellEnd"/>
      <w:r w:rsidRPr="00C84821">
        <w:rPr>
          <w:rFonts w:ascii="Aptos" w:eastAsia="Calibri" w:hAnsi="Aptos" w:cs="Calibri"/>
          <w:color w:val="000000" w:themeColor="text1"/>
        </w:rPr>
        <w:t xml:space="preserve">, M. and </w:t>
      </w:r>
      <w:proofErr w:type="spellStart"/>
      <w:r w:rsidRPr="00C84821">
        <w:rPr>
          <w:rFonts w:ascii="Aptos" w:eastAsia="Calibri" w:hAnsi="Aptos" w:cs="Calibri"/>
          <w:color w:val="000000" w:themeColor="text1"/>
        </w:rPr>
        <w:t>Dobrolioubova</w:t>
      </w:r>
      <w:proofErr w:type="spellEnd"/>
      <w:r w:rsidRPr="00C84821">
        <w:rPr>
          <w:rFonts w:ascii="Aptos" w:eastAsia="Calibri" w:hAnsi="Aptos" w:cs="Calibri"/>
          <w:color w:val="000000" w:themeColor="text1"/>
        </w:rPr>
        <w:t>, V. (2018) 'One language and two mother tongues in the consulting room: dilemmas of a bilingual psychotherapist', British Journal of Psychotherapy, 34(1), pp. 3-24.</w:t>
      </w:r>
    </w:p>
    <w:p w14:paraId="1FEB8C03" w14:textId="32C1831A"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Hays, D. G. and Wood, C. (2011) ‘Infusing qualitative traditions in counselling research designs’, </w:t>
      </w:r>
      <w:r w:rsidRPr="00C84821">
        <w:rPr>
          <w:rFonts w:ascii="Aptos" w:eastAsia="Calibri" w:hAnsi="Aptos" w:cs="Calibri"/>
          <w:i/>
          <w:iCs/>
          <w:color w:val="000000" w:themeColor="text1"/>
        </w:rPr>
        <w:t xml:space="preserve">Journal of </w:t>
      </w:r>
      <w:proofErr w:type="spellStart"/>
      <w:r w:rsidRPr="00C84821">
        <w:rPr>
          <w:rFonts w:ascii="Aptos" w:eastAsia="Calibri" w:hAnsi="Aptos" w:cs="Calibri"/>
          <w:i/>
          <w:iCs/>
          <w:color w:val="000000" w:themeColor="text1"/>
        </w:rPr>
        <w:t>Counseling</w:t>
      </w:r>
      <w:proofErr w:type="spellEnd"/>
      <w:r w:rsidRPr="00C84821">
        <w:rPr>
          <w:rFonts w:ascii="Aptos" w:eastAsia="Calibri" w:hAnsi="Aptos" w:cs="Calibri"/>
          <w:i/>
          <w:iCs/>
          <w:color w:val="000000" w:themeColor="text1"/>
        </w:rPr>
        <w:t xml:space="preserve"> and Development, </w:t>
      </w:r>
      <w:r w:rsidRPr="00C84821">
        <w:rPr>
          <w:rFonts w:ascii="Aptos" w:eastAsia="Calibri" w:hAnsi="Aptos" w:cs="Calibri"/>
          <w:color w:val="000000" w:themeColor="text1"/>
        </w:rPr>
        <w:t xml:space="preserve">89(3), pp. 288-295. </w:t>
      </w:r>
    </w:p>
    <w:p w14:paraId="7DA965CB" w14:textId="34E4072A"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Kokaliari</w:t>
      </w:r>
      <w:proofErr w:type="spellEnd"/>
      <w:r w:rsidRPr="00C84821">
        <w:rPr>
          <w:rFonts w:ascii="Aptos" w:eastAsia="Calibri" w:hAnsi="Aptos" w:cs="Calibri"/>
          <w:color w:val="000000" w:themeColor="text1"/>
        </w:rPr>
        <w:t xml:space="preserve">, E., Catanzarite, G. and </w:t>
      </w:r>
      <w:proofErr w:type="spellStart"/>
      <w:r w:rsidRPr="00C84821">
        <w:rPr>
          <w:rFonts w:ascii="Aptos" w:eastAsia="Calibri" w:hAnsi="Aptos" w:cs="Calibri"/>
          <w:color w:val="000000" w:themeColor="text1"/>
        </w:rPr>
        <w:t>Berzoff</w:t>
      </w:r>
      <w:proofErr w:type="spellEnd"/>
      <w:r w:rsidRPr="00C84821">
        <w:rPr>
          <w:rFonts w:ascii="Aptos" w:eastAsia="Calibri" w:hAnsi="Aptos" w:cs="Calibri"/>
          <w:color w:val="000000" w:themeColor="text1"/>
        </w:rPr>
        <w:t>, J. (2013) 'It is called a mother tongue for a reason: A qualitative study of therapists' perspectives on bilingual psychotherapy - treatment implications', Smith College Studies in Social Work, 83(1), pp. 97-118.</w:t>
      </w:r>
    </w:p>
    <w:p w14:paraId="5FE67BB2" w14:textId="033905E7"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Kvale, S. and Brinkmann, S. (2015) ‘Characterising qualitative research interviews’, in Kvale, S. and Brinkmann, S. (eds.) </w:t>
      </w:r>
      <w:proofErr w:type="spellStart"/>
      <w:r w:rsidRPr="00C84821">
        <w:rPr>
          <w:rFonts w:ascii="Aptos" w:eastAsia="Calibri" w:hAnsi="Aptos" w:cs="Calibri"/>
          <w:i/>
          <w:iCs/>
          <w:color w:val="000000" w:themeColor="text1"/>
        </w:rPr>
        <w:t>InterViews</w:t>
      </w:r>
      <w:proofErr w:type="spellEnd"/>
      <w:r w:rsidRPr="00C84821">
        <w:rPr>
          <w:rFonts w:ascii="Aptos" w:eastAsia="Calibri" w:hAnsi="Aptos" w:cs="Calibri"/>
          <w:i/>
          <w:iCs/>
          <w:color w:val="000000" w:themeColor="text1"/>
        </w:rPr>
        <w:t xml:space="preserve">: learning the craft of qualitative research interviewing. </w:t>
      </w:r>
      <w:r w:rsidRPr="00C84821">
        <w:rPr>
          <w:rFonts w:ascii="Aptos" w:eastAsia="Calibri" w:hAnsi="Aptos" w:cs="Calibri"/>
          <w:color w:val="000000" w:themeColor="text1"/>
        </w:rPr>
        <w:t>3</w:t>
      </w:r>
      <w:r w:rsidRPr="00C84821">
        <w:rPr>
          <w:rFonts w:ascii="Aptos" w:eastAsia="Calibri" w:hAnsi="Aptos" w:cs="Calibri"/>
          <w:color w:val="000000" w:themeColor="text1"/>
          <w:vertAlign w:val="superscript"/>
        </w:rPr>
        <w:t>rd</w:t>
      </w:r>
      <w:r w:rsidRPr="00C84821">
        <w:rPr>
          <w:rFonts w:ascii="Aptos" w:eastAsia="Calibri" w:hAnsi="Aptos" w:cs="Calibri"/>
          <w:color w:val="000000" w:themeColor="text1"/>
        </w:rPr>
        <w:t xml:space="preserve"> edn. London: SAGE Publications, pp. 27-54.</w:t>
      </w:r>
    </w:p>
    <w:p w14:paraId="423C4A0F" w14:textId="55728714"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lastRenderedPageBreak/>
        <w:t>Larkin, M., Shaw, R., and Flowers, P. ‘</w:t>
      </w:r>
      <w:proofErr w:type="spellStart"/>
      <w:r w:rsidRPr="00C84821">
        <w:rPr>
          <w:rFonts w:ascii="Aptos" w:eastAsia="Calibri" w:hAnsi="Aptos" w:cs="Calibri"/>
          <w:color w:val="000000" w:themeColor="text1"/>
        </w:rPr>
        <w:t>Multiperspectival</w:t>
      </w:r>
      <w:proofErr w:type="spellEnd"/>
      <w:r w:rsidRPr="00C84821">
        <w:rPr>
          <w:rFonts w:ascii="Aptos" w:eastAsia="Calibri" w:hAnsi="Aptos" w:cs="Calibri"/>
          <w:color w:val="000000" w:themeColor="text1"/>
        </w:rPr>
        <w:t xml:space="preserve"> designs and processes in interpretive phenomenological analysis research’, </w:t>
      </w:r>
      <w:r w:rsidRPr="00C84821">
        <w:rPr>
          <w:rFonts w:ascii="Aptos" w:eastAsia="Calibri" w:hAnsi="Aptos" w:cs="Calibri"/>
          <w:i/>
          <w:iCs/>
          <w:color w:val="000000" w:themeColor="text1"/>
        </w:rPr>
        <w:t xml:space="preserve">Qualitative Research in Psychology, </w:t>
      </w:r>
      <w:r w:rsidRPr="00C84821">
        <w:rPr>
          <w:rFonts w:ascii="Aptos" w:eastAsia="Calibri" w:hAnsi="Aptos" w:cs="Calibri"/>
          <w:color w:val="000000" w:themeColor="text1"/>
        </w:rPr>
        <w:t>16(2), pp. 182-198.</w:t>
      </w:r>
    </w:p>
    <w:p w14:paraId="6B928823" w14:textId="7D3B001C"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Levitt, H. M., Morrill, Z., and Collins, K. M. (2019) ‘Considering methodological integrity in counselling and psychotherapy research’, </w:t>
      </w:r>
      <w:r w:rsidRPr="00C84821">
        <w:rPr>
          <w:rFonts w:ascii="Aptos" w:eastAsia="Calibri" w:hAnsi="Aptos" w:cs="Calibri"/>
          <w:i/>
          <w:iCs/>
          <w:color w:val="000000" w:themeColor="text1"/>
        </w:rPr>
        <w:t xml:space="preserve">Counselling and Psychotherapy Research, </w:t>
      </w:r>
      <w:r w:rsidRPr="00C84821">
        <w:rPr>
          <w:rFonts w:ascii="Aptos" w:eastAsia="Calibri" w:hAnsi="Aptos" w:cs="Calibri"/>
          <w:color w:val="000000" w:themeColor="text1"/>
        </w:rPr>
        <w:t>20, pp. 422-428.</w:t>
      </w:r>
    </w:p>
    <w:p w14:paraId="1E3C0352" w14:textId="3AEB4046"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Nguyen, B. (2014) 'Identification: a qualitative study of the experiences of bilingual therapists with the monolinguals and </w:t>
      </w:r>
      <w:proofErr w:type="spellStart"/>
      <w:r w:rsidRPr="00C84821">
        <w:rPr>
          <w:rFonts w:ascii="Aptos" w:eastAsia="Calibri" w:hAnsi="Aptos" w:cs="Calibri"/>
          <w:color w:val="000000" w:themeColor="text1"/>
        </w:rPr>
        <w:t>bilignual</w:t>
      </w:r>
      <w:proofErr w:type="spellEnd"/>
      <w:r w:rsidRPr="00C84821">
        <w:rPr>
          <w:rFonts w:ascii="Aptos" w:eastAsia="Calibri" w:hAnsi="Aptos" w:cs="Calibri"/>
          <w:color w:val="000000" w:themeColor="text1"/>
        </w:rPr>
        <w:t xml:space="preserve"> clients', Psychodynamic Practice, 20(4), pp. 340-355.</w:t>
      </w:r>
    </w:p>
    <w:p w14:paraId="17B43CE2" w14:textId="033ECB2C"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Pavlenko, A. (2005) </w:t>
      </w:r>
      <w:r w:rsidRPr="00C84821">
        <w:rPr>
          <w:rFonts w:ascii="Aptos" w:eastAsia="Calibri" w:hAnsi="Aptos" w:cs="Calibri"/>
          <w:i/>
          <w:iCs/>
          <w:color w:val="000000" w:themeColor="text1"/>
        </w:rPr>
        <w:t>Emotions and multilingualism.</w:t>
      </w:r>
      <w:r w:rsidRPr="00C84821">
        <w:rPr>
          <w:rFonts w:ascii="Aptos" w:eastAsia="Calibri" w:hAnsi="Aptos" w:cs="Calibri"/>
          <w:color w:val="000000" w:themeColor="text1"/>
        </w:rPr>
        <w:t xml:space="preserve"> Cambridge University Press. </w:t>
      </w:r>
    </w:p>
    <w:p w14:paraId="218B32F1" w14:textId="1C80935A"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Ponterotto</w:t>
      </w:r>
      <w:proofErr w:type="spellEnd"/>
      <w:r w:rsidRPr="00C84821">
        <w:rPr>
          <w:rFonts w:ascii="Aptos" w:eastAsia="Calibri" w:hAnsi="Aptos" w:cs="Calibri"/>
          <w:color w:val="000000" w:themeColor="text1"/>
        </w:rPr>
        <w:t xml:space="preserve">, J. G. (2005) ‘Qualitative research in counselling psychology: A primer on research paradigms and philosophies of science’, </w:t>
      </w:r>
      <w:r w:rsidRPr="00C84821">
        <w:rPr>
          <w:rFonts w:ascii="Aptos" w:eastAsia="Calibri" w:hAnsi="Aptos" w:cs="Calibri"/>
          <w:i/>
          <w:iCs/>
          <w:color w:val="000000" w:themeColor="text1"/>
        </w:rPr>
        <w:t xml:space="preserve">Journal of </w:t>
      </w:r>
      <w:proofErr w:type="spellStart"/>
      <w:r w:rsidRPr="00C84821">
        <w:rPr>
          <w:rFonts w:ascii="Aptos" w:eastAsia="Calibri" w:hAnsi="Aptos" w:cs="Calibri"/>
          <w:i/>
          <w:iCs/>
          <w:color w:val="000000" w:themeColor="text1"/>
        </w:rPr>
        <w:t>Counseling</w:t>
      </w:r>
      <w:proofErr w:type="spellEnd"/>
      <w:r w:rsidRPr="00C84821">
        <w:rPr>
          <w:rFonts w:ascii="Aptos" w:eastAsia="Calibri" w:hAnsi="Aptos" w:cs="Calibri"/>
          <w:i/>
          <w:iCs/>
          <w:color w:val="000000" w:themeColor="text1"/>
        </w:rPr>
        <w:t xml:space="preserve"> Psychology, </w:t>
      </w:r>
      <w:r w:rsidRPr="00C84821">
        <w:rPr>
          <w:rFonts w:ascii="Aptos" w:eastAsia="Calibri" w:hAnsi="Aptos" w:cs="Calibri"/>
          <w:color w:val="000000" w:themeColor="text1"/>
        </w:rPr>
        <w:t xml:space="preserve">52, pp. 126-136. </w:t>
      </w:r>
    </w:p>
    <w:p w14:paraId="1FAB4A36" w14:textId="1838B0C0"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Rabionet</w:t>
      </w:r>
      <w:proofErr w:type="spellEnd"/>
      <w:r w:rsidRPr="00C84821">
        <w:rPr>
          <w:rFonts w:ascii="Aptos" w:eastAsia="Calibri" w:hAnsi="Aptos" w:cs="Calibri"/>
          <w:color w:val="000000" w:themeColor="text1"/>
        </w:rPr>
        <w:t xml:space="preserve">, S. E. (2011) ‘How I learned to design and conduct semi-structured interviews: An ongoing and continuous journey’, </w:t>
      </w:r>
      <w:r w:rsidRPr="00C84821">
        <w:rPr>
          <w:rFonts w:ascii="Aptos" w:eastAsia="Calibri" w:hAnsi="Aptos" w:cs="Calibri"/>
          <w:i/>
          <w:iCs/>
          <w:color w:val="000000" w:themeColor="text1"/>
        </w:rPr>
        <w:t xml:space="preserve">The Qualitative Report, </w:t>
      </w:r>
      <w:r w:rsidRPr="00C84821">
        <w:rPr>
          <w:rFonts w:ascii="Aptos" w:eastAsia="Calibri" w:hAnsi="Aptos" w:cs="Calibri"/>
          <w:color w:val="000000" w:themeColor="text1"/>
        </w:rPr>
        <w:t>16(2), pp. 563-566.</w:t>
      </w:r>
    </w:p>
    <w:p w14:paraId="4ADB9DBE" w14:textId="0E40989B"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Rabu, M. and Moltu, C. (2021) ‘People engaging each other: A dual-perspective study of interpersonal processes in useful therapy’, </w:t>
      </w:r>
      <w:r w:rsidRPr="00C84821">
        <w:rPr>
          <w:rFonts w:ascii="Aptos" w:eastAsia="Calibri" w:hAnsi="Aptos" w:cs="Calibri"/>
          <w:i/>
          <w:iCs/>
          <w:color w:val="000000" w:themeColor="text1"/>
        </w:rPr>
        <w:t xml:space="preserve">Journal of Contemporary Psychotherapy, </w:t>
      </w:r>
      <w:r w:rsidRPr="00C84821">
        <w:rPr>
          <w:rFonts w:ascii="Aptos" w:eastAsia="Calibri" w:hAnsi="Aptos" w:cs="Calibri"/>
          <w:color w:val="000000" w:themeColor="text1"/>
        </w:rPr>
        <w:t xml:space="preserve">51, pp. 67-75. </w:t>
      </w:r>
    </w:p>
    <w:p w14:paraId="377568EB" w14:textId="25283170"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Regulation (EU) 2016/679 of the European Parliament and of the Council of 27 April 2016 on the protection of natural persons </w:t>
      </w:r>
      <w:proofErr w:type="gramStart"/>
      <w:r w:rsidRPr="00C84821">
        <w:rPr>
          <w:rFonts w:ascii="Aptos" w:eastAsia="Calibri" w:hAnsi="Aptos" w:cs="Calibri"/>
          <w:color w:val="000000" w:themeColor="text1"/>
        </w:rPr>
        <w:t>with regard to</w:t>
      </w:r>
      <w:proofErr w:type="gramEnd"/>
      <w:r w:rsidRPr="00C84821">
        <w:rPr>
          <w:rFonts w:ascii="Aptos" w:eastAsia="Calibri" w:hAnsi="Aptos" w:cs="Calibri"/>
          <w:color w:val="000000" w:themeColor="text1"/>
        </w:rPr>
        <w:t xml:space="preserve"> the processing of personal data and on the free movement of such data, and repealing Directive 95/46/EC (General Data Protection Regulation).</w:t>
      </w:r>
    </w:p>
    <w:p w14:paraId="1558669E" w14:textId="0200978E"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Robinson, O. C. (2014) ‘Sampling in interview-based qualitative research: A theoretical and practical guide’, </w:t>
      </w:r>
      <w:r w:rsidRPr="00C84821">
        <w:rPr>
          <w:rFonts w:ascii="Aptos" w:eastAsia="Calibri" w:hAnsi="Aptos" w:cs="Calibri"/>
          <w:i/>
          <w:iCs/>
          <w:color w:val="000000" w:themeColor="text1"/>
        </w:rPr>
        <w:t xml:space="preserve">Qualitative Research in Psychology, </w:t>
      </w:r>
      <w:r w:rsidRPr="00C84821">
        <w:rPr>
          <w:rFonts w:ascii="Aptos" w:eastAsia="Calibri" w:hAnsi="Aptos" w:cs="Calibri"/>
          <w:color w:val="000000" w:themeColor="text1"/>
        </w:rPr>
        <w:t xml:space="preserve">11(1), pp. 25-41. </w:t>
      </w:r>
    </w:p>
    <w:p w14:paraId="351B29AD" w14:textId="35BC856F"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Rolland, L., Costa, B. and Dewaele, J. (2021) 'Negotiating the language(s) for psychotherapy talk: A mixed methods study from the perspective of multilingual clients', Counselling and Psychotherapy Research, 21(1), pp. 107-117.</w:t>
      </w:r>
    </w:p>
    <w:p w14:paraId="1C89B76E" w14:textId="6DD50067"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Rolland, L., Dewaele, J. and Costa, B. (2017) 'Multilingualism and psychotherapy: exploring multilingual clients' experiences of language practices in psychotherapy', International Journal of Multilingualism, 14(1), pp. 69-85.</w:t>
      </w:r>
    </w:p>
    <w:p w14:paraId="3CCCBA5C" w14:textId="437E695F"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Rolland, L., Dewaele, J., and Costa, B. (2019) 'Planning and conducting ethical interviews: power language and emotions', in McKinley, J. and Rose, H. (eds.) Routledge Handbook of Research Methods in Applied Linguistics. London: Routledge, pp. 279-289.</w:t>
      </w:r>
    </w:p>
    <w:p w14:paraId="7C09F4D0" w14:textId="7B94F352"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Santiago-Rivera, A., </w:t>
      </w:r>
      <w:proofErr w:type="spellStart"/>
      <w:r w:rsidRPr="00C84821">
        <w:rPr>
          <w:rFonts w:ascii="Aptos" w:eastAsia="Calibri" w:hAnsi="Aptos" w:cs="Calibri"/>
          <w:color w:val="000000" w:themeColor="text1"/>
        </w:rPr>
        <w:t>Altarriba</w:t>
      </w:r>
      <w:proofErr w:type="spellEnd"/>
      <w:r w:rsidRPr="00C84821">
        <w:rPr>
          <w:rFonts w:ascii="Aptos" w:eastAsia="Calibri" w:hAnsi="Aptos" w:cs="Calibri"/>
          <w:color w:val="000000" w:themeColor="text1"/>
        </w:rPr>
        <w:t>, J., Poll, N., Gonzalez-Miller, N. and Cragun, C. (2009) 'Therapists' views on working with bilingual Spanish-English speaking Clients: A Qualitative Investigation', Professional Psychology: Research and Practice, 40(5), pp. 436-443.</w:t>
      </w:r>
    </w:p>
    <w:p w14:paraId="303AEF3D" w14:textId="77F119C2"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lastRenderedPageBreak/>
        <w:t>Serrani, L. (2022) 'A journey through languages: A systemic literature review on the multilingual experience in counselling and psychotherapy with children and adolescents', British Association for Counselling and Psychotherapy, 23, pp. 6-19.</w:t>
      </w:r>
    </w:p>
    <w:p w14:paraId="02A2B63E" w14:textId="5745A0C1"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Smith, J. A. and Osborn, M. (2008) ‘Interpretive Phenomenological Analysis’, in Smith, J. A. (ed.) Qualitative Psychology: A Practical Guide to Research Methods, London: SAGE Publications, pp. 53-80.</w:t>
      </w:r>
    </w:p>
    <w:p w14:paraId="1D564CAB" w14:textId="3342D3EC"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Stevens, S. and Holland, P. (2008) 'Counselling across a language gap: The therapist's experience', Counselling Psychology Review, 23(3), pp. 15-24.</w:t>
      </w:r>
    </w:p>
    <w:p w14:paraId="6C13651E" w14:textId="342F6BEE"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Timulak</w:t>
      </w:r>
      <w:proofErr w:type="spellEnd"/>
      <w:r w:rsidRPr="00C84821">
        <w:rPr>
          <w:rFonts w:ascii="Aptos" w:eastAsia="Calibri" w:hAnsi="Aptos" w:cs="Calibri"/>
          <w:color w:val="000000" w:themeColor="text1"/>
        </w:rPr>
        <w:t>, L. (2015) ‘Introduction to research methodology’, in Vossler, A. and Moller, N. (eds.) The Counselling and Psychotherapy Research Handbook. London: SAGE Publications, pp. 74-87.</w:t>
      </w:r>
    </w:p>
    <w:p w14:paraId="19A53905" w14:textId="520E75D7"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Ummel, D. and Achille, M. (2016) ‘How not to let secrets out when conducting qualitative research with dyads’, </w:t>
      </w:r>
      <w:r w:rsidRPr="00C84821">
        <w:rPr>
          <w:rFonts w:ascii="Aptos" w:eastAsia="Calibri" w:hAnsi="Aptos" w:cs="Calibri"/>
          <w:i/>
          <w:iCs/>
          <w:color w:val="000000" w:themeColor="text1"/>
        </w:rPr>
        <w:t xml:space="preserve">Qualitative Health Research, </w:t>
      </w:r>
      <w:r w:rsidRPr="00C84821">
        <w:rPr>
          <w:rFonts w:ascii="Aptos" w:eastAsia="Calibri" w:hAnsi="Aptos" w:cs="Calibri"/>
          <w:color w:val="000000" w:themeColor="text1"/>
        </w:rPr>
        <w:t xml:space="preserve">26(6), pp. 807-815. </w:t>
      </w:r>
    </w:p>
    <w:p w14:paraId="784450C8" w14:textId="2346D62F"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University of South Wales (2021) </w:t>
      </w:r>
      <w:r w:rsidRPr="00C84821">
        <w:rPr>
          <w:rFonts w:ascii="Aptos" w:eastAsia="Calibri" w:hAnsi="Aptos" w:cs="Calibri"/>
          <w:i/>
          <w:iCs/>
          <w:color w:val="000000" w:themeColor="text1"/>
        </w:rPr>
        <w:t>Code of Research and Good Practice</w:t>
      </w:r>
      <w:r w:rsidRPr="00C84821">
        <w:rPr>
          <w:rFonts w:ascii="Aptos" w:eastAsia="Calibri" w:hAnsi="Aptos" w:cs="Calibri"/>
          <w:color w:val="000000" w:themeColor="text1"/>
        </w:rPr>
        <w:t xml:space="preserve">. Available at: (Accessed 01 April 2023). </w:t>
      </w:r>
    </w:p>
    <w:p w14:paraId="780D2EE7" w14:textId="425A3DE9" w:rsidR="054EB83E" w:rsidRPr="00C84821" w:rsidRDefault="66364160" w:rsidP="00C84821">
      <w:pPr>
        <w:spacing w:before="240" w:line="276" w:lineRule="auto"/>
        <w:rPr>
          <w:rFonts w:ascii="Aptos" w:eastAsia="Calibri" w:hAnsi="Aptos" w:cs="Calibri"/>
          <w:color w:val="000000" w:themeColor="text1"/>
        </w:rPr>
      </w:pPr>
      <w:proofErr w:type="spellStart"/>
      <w:r w:rsidRPr="00C84821">
        <w:rPr>
          <w:rFonts w:ascii="Aptos" w:eastAsia="Calibri" w:hAnsi="Aptos" w:cs="Calibri"/>
          <w:color w:val="000000" w:themeColor="text1"/>
        </w:rPr>
        <w:t>Verkerk</w:t>
      </w:r>
      <w:proofErr w:type="spellEnd"/>
      <w:r w:rsidRPr="00C84821">
        <w:rPr>
          <w:rFonts w:ascii="Aptos" w:eastAsia="Calibri" w:hAnsi="Aptos" w:cs="Calibri"/>
          <w:color w:val="000000" w:themeColor="text1"/>
        </w:rPr>
        <w:t>, L., Backus, A., Faro, L., Dewaele, J., and Das, E. (2021) 'Language choice in psychotherapy of multilingual clients: Perspectives from Multilingual Therapists', Language and Psychoanalysis, 10(2), pp. 1-22</w:t>
      </w:r>
    </w:p>
    <w:p w14:paraId="3A7375B7" w14:textId="34FFF5F6" w:rsidR="054EB83E" w:rsidRPr="00C84821" w:rsidRDefault="66364160" w:rsidP="00C84821">
      <w:pPr>
        <w:spacing w:before="240" w:line="276" w:lineRule="auto"/>
        <w:rPr>
          <w:rFonts w:ascii="Aptos" w:eastAsia="Calibri" w:hAnsi="Aptos" w:cs="Calibri"/>
          <w:color w:val="000000" w:themeColor="text1"/>
        </w:rPr>
      </w:pPr>
      <w:r w:rsidRPr="00C84821">
        <w:rPr>
          <w:rFonts w:ascii="Aptos" w:eastAsia="Calibri" w:hAnsi="Aptos" w:cs="Calibri"/>
          <w:color w:val="000000" w:themeColor="text1"/>
        </w:rPr>
        <w:t xml:space="preserve">Wierzbicka, A. (2004) ‘Preface: Bilingual lives, bilingual experience’, </w:t>
      </w:r>
      <w:r w:rsidRPr="00C84821">
        <w:rPr>
          <w:rFonts w:ascii="Aptos" w:eastAsia="Calibri" w:hAnsi="Aptos" w:cs="Calibri"/>
          <w:i/>
          <w:iCs/>
          <w:color w:val="000000" w:themeColor="text1"/>
        </w:rPr>
        <w:t xml:space="preserve">Journal of Multilingual and Multicultural Development, </w:t>
      </w:r>
      <w:r w:rsidRPr="00C84821">
        <w:rPr>
          <w:rFonts w:ascii="Aptos" w:eastAsia="Calibri" w:hAnsi="Aptos" w:cs="Calibri"/>
          <w:color w:val="000000" w:themeColor="text1"/>
        </w:rPr>
        <w:t xml:space="preserve">25, pp. 94-104. </w:t>
      </w:r>
    </w:p>
    <w:p w14:paraId="3C8B39B2" w14:textId="6990320B" w:rsidR="054EB83E" w:rsidRPr="00C84821" w:rsidRDefault="054EB83E" w:rsidP="00C84821">
      <w:pPr>
        <w:spacing w:before="240" w:line="276" w:lineRule="auto"/>
        <w:rPr>
          <w:rFonts w:ascii="Aptos" w:eastAsia="Calibri" w:hAnsi="Aptos" w:cs="Calibri"/>
          <w:color w:val="000000" w:themeColor="text1"/>
        </w:rPr>
      </w:pPr>
    </w:p>
    <w:p w14:paraId="1EDFDD04" w14:textId="1949B2CF" w:rsidR="054EB83E" w:rsidRPr="00C84821" w:rsidRDefault="054EB83E" w:rsidP="00C84821">
      <w:pPr>
        <w:spacing w:before="240" w:line="276" w:lineRule="auto"/>
        <w:rPr>
          <w:rFonts w:ascii="Aptos" w:eastAsia="Calibri" w:hAnsi="Aptos" w:cs="Calibri"/>
          <w:color w:val="000000" w:themeColor="text1"/>
        </w:rPr>
      </w:pPr>
    </w:p>
    <w:sectPr w:rsidR="054EB83E" w:rsidRPr="00C8482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58B86"/>
    <w:multiLevelType w:val="hybridMultilevel"/>
    <w:tmpl w:val="3FB4432A"/>
    <w:lvl w:ilvl="0" w:tplc="1842ECE4">
      <w:start w:val="1"/>
      <w:numFmt w:val="decimal"/>
      <w:lvlText w:val="%1."/>
      <w:lvlJc w:val="left"/>
      <w:pPr>
        <w:ind w:left="720" w:hanging="360"/>
      </w:pPr>
    </w:lvl>
    <w:lvl w:ilvl="1" w:tplc="84088766">
      <w:start w:val="1"/>
      <w:numFmt w:val="lowerLetter"/>
      <w:lvlText w:val="%2."/>
      <w:lvlJc w:val="left"/>
      <w:pPr>
        <w:ind w:left="1440" w:hanging="360"/>
      </w:pPr>
    </w:lvl>
    <w:lvl w:ilvl="2" w:tplc="BFCCAA36">
      <w:start w:val="1"/>
      <w:numFmt w:val="lowerRoman"/>
      <w:lvlText w:val="%3."/>
      <w:lvlJc w:val="right"/>
      <w:pPr>
        <w:ind w:left="2160" w:hanging="180"/>
      </w:pPr>
    </w:lvl>
    <w:lvl w:ilvl="3" w:tplc="6B8C5E00">
      <w:start w:val="1"/>
      <w:numFmt w:val="decimal"/>
      <w:lvlText w:val="%4."/>
      <w:lvlJc w:val="left"/>
      <w:pPr>
        <w:ind w:left="2880" w:hanging="360"/>
      </w:pPr>
    </w:lvl>
    <w:lvl w:ilvl="4" w:tplc="7982F1D0">
      <w:start w:val="1"/>
      <w:numFmt w:val="lowerLetter"/>
      <w:lvlText w:val="%5."/>
      <w:lvlJc w:val="left"/>
      <w:pPr>
        <w:ind w:left="3600" w:hanging="360"/>
      </w:pPr>
    </w:lvl>
    <w:lvl w:ilvl="5" w:tplc="7FEA92A8">
      <w:start w:val="1"/>
      <w:numFmt w:val="lowerRoman"/>
      <w:lvlText w:val="%6."/>
      <w:lvlJc w:val="right"/>
      <w:pPr>
        <w:ind w:left="4320" w:hanging="180"/>
      </w:pPr>
    </w:lvl>
    <w:lvl w:ilvl="6" w:tplc="D6484AC8">
      <w:start w:val="1"/>
      <w:numFmt w:val="decimal"/>
      <w:lvlText w:val="%7."/>
      <w:lvlJc w:val="left"/>
      <w:pPr>
        <w:ind w:left="5040" w:hanging="360"/>
      </w:pPr>
    </w:lvl>
    <w:lvl w:ilvl="7" w:tplc="2FE25BC4">
      <w:start w:val="1"/>
      <w:numFmt w:val="lowerLetter"/>
      <w:lvlText w:val="%8."/>
      <w:lvlJc w:val="left"/>
      <w:pPr>
        <w:ind w:left="5760" w:hanging="360"/>
      </w:pPr>
    </w:lvl>
    <w:lvl w:ilvl="8" w:tplc="E2D46856">
      <w:start w:val="1"/>
      <w:numFmt w:val="lowerRoman"/>
      <w:lvlText w:val="%9."/>
      <w:lvlJc w:val="right"/>
      <w:pPr>
        <w:ind w:left="6480" w:hanging="180"/>
      </w:pPr>
    </w:lvl>
  </w:abstractNum>
  <w:abstractNum w:abstractNumId="1" w15:restartNumberingAfterBreak="0">
    <w:nsid w:val="400D27FE"/>
    <w:multiLevelType w:val="hybridMultilevel"/>
    <w:tmpl w:val="CECAD852"/>
    <w:lvl w:ilvl="0" w:tplc="5A6EB5FC">
      <w:start w:val="1"/>
      <w:numFmt w:val="bullet"/>
      <w:lvlText w:val=""/>
      <w:lvlJc w:val="left"/>
      <w:pPr>
        <w:ind w:left="720" w:hanging="360"/>
      </w:pPr>
      <w:rPr>
        <w:rFonts w:ascii="Symbol" w:hAnsi="Symbol" w:hint="default"/>
      </w:rPr>
    </w:lvl>
    <w:lvl w:ilvl="1" w:tplc="30E4F0D6">
      <w:start w:val="1"/>
      <w:numFmt w:val="bullet"/>
      <w:lvlText w:val="o"/>
      <w:lvlJc w:val="left"/>
      <w:pPr>
        <w:ind w:left="1440" w:hanging="360"/>
      </w:pPr>
      <w:rPr>
        <w:rFonts w:ascii="Courier New" w:hAnsi="Courier New" w:hint="default"/>
      </w:rPr>
    </w:lvl>
    <w:lvl w:ilvl="2" w:tplc="044E7FE4">
      <w:start w:val="1"/>
      <w:numFmt w:val="bullet"/>
      <w:lvlText w:val=""/>
      <w:lvlJc w:val="left"/>
      <w:pPr>
        <w:ind w:left="2160" w:hanging="360"/>
      </w:pPr>
      <w:rPr>
        <w:rFonts w:ascii="Wingdings" w:hAnsi="Wingdings" w:hint="default"/>
      </w:rPr>
    </w:lvl>
    <w:lvl w:ilvl="3" w:tplc="BBA08D92">
      <w:start w:val="1"/>
      <w:numFmt w:val="bullet"/>
      <w:lvlText w:val=""/>
      <w:lvlJc w:val="left"/>
      <w:pPr>
        <w:ind w:left="2880" w:hanging="360"/>
      </w:pPr>
      <w:rPr>
        <w:rFonts w:ascii="Symbol" w:hAnsi="Symbol" w:hint="default"/>
      </w:rPr>
    </w:lvl>
    <w:lvl w:ilvl="4" w:tplc="87BE1C42">
      <w:start w:val="1"/>
      <w:numFmt w:val="bullet"/>
      <w:lvlText w:val="o"/>
      <w:lvlJc w:val="left"/>
      <w:pPr>
        <w:ind w:left="3600" w:hanging="360"/>
      </w:pPr>
      <w:rPr>
        <w:rFonts w:ascii="Courier New" w:hAnsi="Courier New" w:hint="default"/>
      </w:rPr>
    </w:lvl>
    <w:lvl w:ilvl="5" w:tplc="6C2C6298">
      <w:start w:val="1"/>
      <w:numFmt w:val="bullet"/>
      <w:lvlText w:val=""/>
      <w:lvlJc w:val="left"/>
      <w:pPr>
        <w:ind w:left="4320" w:hanging="360"/>
      </w:pPr>
      <w:rPr>
        <w:rFonts w:ascii="Wingdings" w:hAnsi="Wingdings" w:hint="default"/>
      </w:rPr>
    </w:lvl>
    <w:lvl w:ilvl="6" w:tplc="B76E9D6A">
      <w:start w:val="1"/>
      <w:numFmt w:val="bullet"/>
      <w:lvlText w:val=""/>
      <w:lvlJc w:val="left"/>
      <w:pPr>
        <w:ind w:left="5040" w:hanging="360"/>
      </w:pPr>
      <w:rPr>
        <w:rFonts w:ascii="Symbol" w:hAnsi="Symbol" w:hint="default"/>
      </w:rPr>
    </w:lvl>
    <w:lvl w:ilvl="7" w:tplc="5ABC5A86">
      <w:start w:val="1"/>
      <w:numFmt w:val="bullet"/>
      <w:lvlText w:val="o"/>
      <w:lvlJc w:val="left"/>
      <w:pPr>
        <w:ind w:left="5760" w:hanging="360"/>
      </w:pPr>
      <w:rPr>
        <w:rFonts w:ascii="Courier New" w:hAnsi="Courier New" w:hint="default"/>
      </w:rPr>
    </w:lvl>
    <w:lvl w:ilvl="8" w:tplc="3ABC9F5E">
      <w:start w:val="1"/>
      <w:numFmt w:val="bullet"/>
      <w:lvlText w:val=""/>
      <w:lvlJc w:val="left"/>
      <w:pPr>
        <w:ind w:left="6480" w:hanging="360"/>
      </w:pPr>
      <w:rPr>
        <w:rFonts w:ascii="Wingdings" w:hAnsi="Wingdings" w:hint="default"/>
      </w:rPr>
    </w:lvl>
  </w:abstractNum>
  <w:num w:numId="1" w16cid:durableId="1872691522">
    <w:abstractNumId w:val="1"/>
  </w:num>
  <w:num w:numId="2" w16cid:durableId="1662342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943688"/>
    <w:rsid w:val="00C84821"/>
    <w:rsid w:val="054EB83E"/>
    <w:rsid w:val="20943688"/>
    <w:rsid w:val="4EA3628D"/>
    <w:rsid w:val="66364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43688"/>
  <w15:chartTrackingRefBased/>
  <w15:docId w15:val="{39850861-BA7F-409B-BB60-81897681A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8/12/contents/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p.co.uk/media/3908/bacp-ethical-guidelines-for-research-in-counselling-professions-feb19.pdf" TargetMode="External"/><Relationship Id="rId5" Type="http://schemas.openxmlformats.org/officeDocument/2006/relationships/hyperlink" Target="https://www.bacp.co.uk/events-and-resources/ethics-and-standards/ethical-framework-for-the-counselling-professions/"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3658</Words>
  <Characters>20855</Characters>
  <Application>Microsoft Office Word</Application>
  <DocSecurity>0</DocSecurity>
  <Lines>173</Lines>
  <Paragraphs>48</Paragraphs>
  <ScaleCrop>false</ScaleCrop>
  <Company/>
  <LinksUpToDate>false</LinksUpToDate>
  <CharactersWithSpaces>24465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Jameson</dc:creator>
  <cp:keywords/>
  <dc:description/>
  <cp:lastModifiedBy>Emma Jameson</cp:lastModifiedBy>
  <cp:revision>5</cp:revision>
  <dcterms:created xsi:type="dcterms:W3CDTF">2023-04-01T10:45:00Z</dcterms:created>
  <dcterms:modified xsi:type="dcterms:W3CDTF">2024-03-13T12:06:00Z</dcterms:modified>
</cp:coreProperties>
</file>