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1E0D" w:rsidRPr="00A546BE" w:rsidRDefault="00251E0D" w:rsidP="00251E0D">
      <w:pPr>
        <w:pStyle w:val="Title"/>
        <w:rPr>
          <w:rFonts w:ascii="Times New Roman" w:hAnsi="Times New Roman" w:cs="Times New Roman"/>
          <w:sz w:val="24"/>
          <w:szCs w:val="24"/>
        </w:rPr>
      </w:pPr>
    </w:p>
    <w:p w:rsidR="00251E0D" w:rsidRPr="00A546BE" w:rsidRDefault="00251E0D" w:rsidP="00251E0D">
      <w:pPr>
        <w:pStyle w:val="Title"/>
        <w:rPr>
          <w:rFonts w:ascii="Times New Roman" w:hAnsi="Times New Roman" w:cs="Times New Roman"/>
          <w:sz w:val="24"/>
          <w:szCs w:val="24"/>
        </w:rPr>
      </w:pPr>
    </w:p>
    <w:p w:rsidR="00251E0D" w:rsidRPr="00A546BE" w:rsidRDefault="00251E0D" w:rsidP="00251E0D">
      <w:pPr>
        <w:pStyle w:val="Title"/>
        <w:rPr>
          <w:rFonts w:ascii="Times New Roman" w:hAnsi="Times New Roman" w:cs="Times New Roman"/>
          <w:sz w:val="24"/>
          <w:szCs w:val="24"/>
        </w:rPr>
      </w:pPr>
    </w:p>
    <w:p w:rsidR="001724F5" w:rsidRDefault="00251E0D" w:rsidP="00645873">
      <w:pPr>
        <w:pStyle w:val="Title"/>
      </w:pPr>
      <w:r w:rsidRPr="00A546BE">
        <w:t>FINANCIAL ANALYSIS OF HSBC</w:t>
      </w:r>
      <w:r w:rsidR="009C3A8D">
        <w:t xml:space="preserve"> BANK</w:t>
      </w:r>
    </w:p>
    <w:p w:rsidR="001724F5" w:rsidRPr="001724F5" w:rsidRDefault="001724F5" w:rsidP="001724F5">
      <w:pPr>
        <w:rPr>
          <w:sz w:val="96"/>
          <w:szCs w:val="96"/>
        </w:rPr>
      </w:pPr>
      <w:r w:rsidRPr="001724F5">
        <w:rPr>
          <w:sz w:val="96"/>
          <w:szCs w:val="96"/>
        </w:rPr>
        <w:t>FATIMA ELABGARI</w:t>
      </w:r>
    </w:p>
    <w:p w:rsidR="001724F5" w:rsidRPr="001724F5" w:rsidRDefault="001724F5" w:rsidP="001724F5">
      <w:pPr>
        <w:rPr>
          <w:sz w:val="96"/>
          <w:szCs w:val="96"/>
        </w:rPr>
      </w:pPr>
      <w:r w:rsidRPr="001724F5">
        <w:rPr>
          <w:sz w:val="96"/>
          <w:szCs w:val="96"/>
        </w:rPr>
        <w:t>ID NUMBER:1708382</w:t>
      </w:r>
    </w:p>
    <w:p w:rsidR="00251E0D" w:rsidRPr="00A546BE" w:rsidRDefault="00251E0D" w:rsidP="00645873">
      <w:pPr>
        <w:pStyle w:val="Title"/>
        <w:rPr>
          <w:b/>
          <w:bCs/>
          <w:color w:val="365F91" w:themeColor="accent1" w:themeShade="BF"/>
        </w:rPr>
      </w:pPr>
      <w:r w:rsidRPr="00A546BE">
        <w:br w:type="page"/>
      </w:r>
      <w:bookmarkStart w:id="0" w:name="_GoBack"/>
      <w:bookmarkEnd w:id="0"/>
    </w:p>
    <w:sdt>
      <w:sdtPr>
        <w:rPr>
          <w:rFonts w:ascii="Times New Roman" w:eastAsiaTheme="minorHAnsi" w:hAnsi="Times New Roman" w:cs="Times New Roman"/>
          <w:b w:val="0"/>
          <w:bCs w:val="0"/>
          <w:color w:val="auto"/>
          <w:sz w:val="24"/>
          <w:szCs w:val="24"/>
        </w:rPr>
        <w:id w:val="31257579"/>
        <w:docPartObj>
          <w:docPartGallery w:val="Table of Contents"/>
          <w:docPartUnique/>
        </w:docPartObj>
      </w:sdtPr>
      <w:sdtContent>
        <w:p w:rsidR="00251E0D" w:rsidRPr="00A546BE" w:rsidRDefault="00251E0D">
          <w:pPr>
            <w:pStyle w:val="TOCHeading"/>
            <w:rPr>
              <w:rFonts w:ascii="Times New Roman" w:hAnsi="Times New Roman" w:cs="Times New Roman"/>
              <w:sz w:val="24"/>
              <w:szCs w:val="24"/>
            </w:rPr>
          </w:pPr>
          <w:r w:rsidRPr="00645873">
            <w:rPr>
              <w:rStyle w:val="Heading1Char"/>
            </w:rPr>
            <w:t>Contents</w:t>
          </w:r>
        </w:p>
        <w:p w:rsidR="00302E52" w:rsidRPr="00302E52" w:rsidRDefault="00860B8F"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r w:rsidRPr="00302E52">
            <w:rPr>
              <w:rFonts w:ascii="Times New Roman" w:hAnsi="Times New Roman" w:cs="Times New Roman"/>
              <w:sz w:val="24"/>
              <w:szCs w:val="24"/>
            </w:rPr>
            <w:fldChar w:fldCharType="begin"/>
          </w:r>
          <w:r w:rsidR="00251E0D" w:rsidRPr="00302E52">
            <w:rPr>
              <w:rFonts w:ascii="Times New Roman" w:hAnsi="Times New Roman" w:cs="Times New Roman"/>
              <w:sz w:val="24"/>
              <w:szCs w:val="24"/>
            </w:rPr>
            <w:instrText xml:space="preserve"> TOC \o "1-3" \h \z \u </w:instrText>
          </w:r>
          <w:r w:rsidRPr="00302E52">
            <w:rPr>
              <w:rFonts w:ascii="Times New Roman" w:hAnsi="Times New Roman" w:cs="Times New Roman"/>
              <w:sz w:val="24"/>
              <w:szCs w:val="24"/>
            </w:rPr>
            <w:fldChar w:fldCharType="separate"/>
          </w:r>
          <w:hyperlink w:anchor="_Toc512791096" w:history="1">
            <w:r w:rsidR="00302E52" w:rsidRPr="00302E52">
              <w:rPr>
                <w:rStyle w:val="Hyperlink"/>
                <w:rFonts w:ascii="Times New Roman" w:hAnsi="Times New Roman" w:cs="Times New Roman"/>
                <w:noProof/>
                <w:sz w:val="24"/>
                <w:szCs w:val="24"/>
              </w:rPr>
              <w:t>Overview of HSBC</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_Toc512791096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3</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097" w:history="1">
            <w:r w:rsidR="00302E52" w:rsidRPr="00302E52">
              <w:rPr>
                <w:rStyle w:val="Hyperlink"/>
                <w:rFonts w:ascii="Times New Roman" w:hAnsi="Times New Roman" w:cs="Times New Roman"/>
                <w:noProof/>
                <w:sz w:val="24"/>
                <w:szCs w:val="24"/>
              </w:rPr>
              <w:t>Financial Performance of HSBC**</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_Toc512791097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4</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098" w:history="1">
            <w:r w:rsidR="00302E52" w:rsidRPr="00302E52">
              <w:rPr>
                <w:rStyle w:val="Hyperlink"/>
                <w:rFonts w:ascii="Times New Roman" w:hAnsi="Times New Roman" w:cs="Times New Roman"/>
                <w:noProof/>
                <w:sz w:val="24"/>
                <w:szCs w:val="24"/>
              </w:rPr>
              <w:t>Liquidity Ratio</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_Toc512791098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4</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099" w:history="1">
            <w:r w:rsidR="00302E52" w:rsidRPr="00302E52">
              <w:rPr>
                <w:rStyle w:val="Hyperlink"/>
                <w:rFonts w:ascii="Times New Roman" w:hAnsi="Times New Roman" w:cs="Times New Roman"/>
                <w:noProof/>
                <w:sz w:val="24"/>
                <w:szCs w:val="24"/>
              </w:rPr>
              <w:t>Asset Quality</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_Toc512791099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6</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00" w:history="1">
            <w:r w:rsidR="00302E52" w:rsidRPr="00302E52">
              <w:rPr>
                <w:rStyle w:val="Hyperlink"/>
                <w:rFonts w:ascii="Times New Roman" w:hAnsi="Times New Roman" w:cs="Times New Roman"/>
                <w:noProof/>
                <w:sz w:val="24"/>
                <w:szCs w:val="24"/>
              </w:rPr>
              <w:t>Capital Structure Ratio</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_Toc512791100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7</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01" w:history="1">
            <w:r w:rsidR="00302E52" w:rsidRPr="00302E52">
              <w:rPr>
                <w:rStyle w:val="Hyperlink"/>
                <w:rFonts w:ascii="Times New Roman" w:hAnsi="Times New Roman" w:cs="Times New Roman"/>
                <w:noProof/>
                <w:sz w:val="24"/>
                <w:szCs w:val="24"/>
              </w:rPr>
              <w:t>Profitability Ratios</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_Toc512791101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8</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2" w:history="1">
            <w:r w:rsidR="00302E52" w:rsidRPr="00302E52">
              <w:rPr>
                <w:rStyle w:val="Hyperlink"/>
                <w:rFonts w:ascii="Times New Roman" w:hAnsi="Times New Roman" w:cs="Times New Roman"/>
                <w:noProof/>
                <w:sz w:val="24"/>
                <w:szCs w:val="24"/>
              </w:rPr>
              <w:t>Barclays as a Competitor</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_Toc512791102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9</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3" w:history="1">
            <w:r w:rsidR="00302E52" w:rsidRPr="00302E52">
              <w:rPr>
                <w:rStyle w:val="Hyperlink"/>
                <w:rFonts w:ascii="Times New Roman" w:hAnsi="Times New Roman" w:cs="Times New Roman"/>
                <w:noProof/>
                <w:sz w:val="24"/>
                <w:szCs w:val="24"/>
              </w:rPr>
              <w:t>Comparison with Barclays</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_Toc512791103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10</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4" w:history="1">
            <w:r w:rsidR="00302E52" w:rsidRPr="00302E52">
              <w:rPr>
                <w:rStyle w:val="Hyperlink"/>
                <w:rFonts w:ascii="Times New Roman" w:hAnsi="Times New Roman" w:cs="Times New Roman"/>
                <w:noProof/>
                <w:sz w:val="24"/>
                <w:szCs w:val="24"/>
              </w:rPr>
              <w:t>Reviewing of Contemporary Issues in Banking Sector</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_Toc512791104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14</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5" w:history="1">
            <w:r w:rsidR="00302E52" w:rsidRPr="00302E52">
              <w:rPr>
                <w:rStyle w:val="Hyperlink"/>
                <w:rFonts w:ascii="Times New Roman" w:hAnsi="Times New Roman" w:cs="Times New Roman"/>
                <w:noProof/>
                <w:sz w:val="24"/>
                <w:szCs w:val="24"/>
              </w:rPr>
              <w:t>Pricing and Trading of Equity</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_Toc512791105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15</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6" w:history="1">
            <w:r w:rsidR="00302E52" w:rsidRPr="00302E52">
              <w:rPr>
                <w:rStyle w:val="Hyperlink"/>
                <w:rFonts w:ascii="Times New Roman" w:hAnsi="Times New Roman" w:cs="Times New Roman"/>
                <w:noProof/>
                <w:sz w:val="24"/>
                <w:szCs w:val="24"/>
              </w:rPr>
              <w:t>References</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_Toc512791106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20</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1"/>
            <w:tabs>
              <w:tab w:val="right" w:leader="dot" w:pos="9350"/>
            </w:tabs>
            <w:spacing w:before="240" w:after="240" w:line="480" w:lineRule="auto"/>
            <w:rPr>
              <w:rFonts w:ascii="Times New Roman" w:eastAsiaTheme="minorEastAsia" w:hAnsi="Times New Roman" w:cs="Times New Roman"/>
              <w:noProof/>
              <w:sz w:val="24"/>
              <w:szCs w:val="24"/>
            </w:rPr>
          </w:pPr>
          <w:hyperlink w:anchor="_Toc512791107" w:history="1">
            <w:r w:rsidR="00302E52" w:rsidRPr="00302E52">
              <w:rPr>
                <w:rStyle w:val="Hyperlink"/>
                <w:rFonts w:ascii="Times New Roman" w:hAnsi="Times New Roman" w:cs="Times New Roman"/>
                <w:noProof/>
                <w:sz w:val="24"/>
                <w:szCs w:val="24"/>
              </w:rPr>
              <w:t>Appendices</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_Toc512791107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24</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08" w:history="1">
            <w:r w:rsidR="00302E52" w:rsidRPr="00302E52">
              <w:rPr>
                <w:rStyle w:val="Hyperlink"/>
                <w:rFonts w:ascii="Times New Roman" w:hAnsi="Times New Roman" w:cs="Times New Roman"/>
                <w:noProof/>
                <w:sz w:val="24"/>
                <w:szCs w:val="24"/>
              </w:rPr>
              <w:t>Appendix 1</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_Toc512791108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24</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09" w:history="1">
            <w:r w:rsidR="00302E52" w:rsidRPr="00302E52">
              <w:rPr>
                <w:rStyle w:val="Hyperlink"/>
                <w:rFonts w:ascii="Times New Roman" w:hAnsi="Times New Roman" w:cs="Times New Roman"/>
                <w:noProof/>
                <w:sz w:val="24"/>
                <w:szCs w:val="24"/>
              </w:rPr>
              <w:t>Appendix 2</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_Toc512791109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29</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0" w:history="1">
            <w:r w:rsidR="00302E52" w:rsidRPr="00302E52">
              <w:rPr>
                <w:rStyle w:val="Hyperlink"/>
                <w:rFonts w:ascii="Times New Roman" w:hAnsi="Times New Roman" w:cs="Times New Roman"/>
                <w:noProof/>
                <w:sz w:val="24"/>
                <w:szCs w:val="24"/>
              </w:rPr>
              <w:t>Appendix 3</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_Toc512791110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32</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1" w:history="1">
            <w:r w:rsidR="00302E52" w:rsidRPr="00302E52">
              <w:rPr>
                <w:rStyle w:val="Hyperlink"/>
                <w:rFonts w:ascii="Times New Roman" w:hAnsi="Times New Roman" w:cs="Times New Roman"/>
                <w:noProof/>
                <w:sz w:val="24"/>
                <w:szCs w:val="24"/>
              </w:rPr>
              <w:t>Appendix 4</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_Toc512791111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35</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2" w:history="1">
            <w:r w:rsidR="00302E52" w:rsidRPr="00302E52">
              <w:rPr>
                <w:rStyle w:val="Hyperlink"/>
                <w:rFonts w:ascii="Times New Roman" w:hAnsi="Times New Roman" w:cs="Times New Roman"/>
                <w:noProof/>
                <w:sz w:val="24"/>
                <w:szCs w:val="24"/>
              </w:rPr>
              <w:t>Appendix 5</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_Toc512791112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38</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3" w:history="1">
            <w:r w:rsidR="00302E52" w:rsidRPr="00302E52">
              <w:rPr>
                <w:rStyle w:val="Hyperlink"/>
                <w:rFonts w:ascii="Times New Roman" w:hAnsi="Times New Roman" w:cs="Times New Roman"/>
                <w:noProof/>
                <w:sz w:val="24"/>
                <w:szCs w:val="24"/>
              </w:rPr>
              <w:t>Appendix 6</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_Toc512791113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41</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4" w:history="1">
            <w:r w:rsidR="00302E52" w:rsidRPr="00302E52">
              <w:rPr>
                <w:rStyle w:val="Hyperlink"/>
                <w:rFonts w:ascii="Times New Roman" w:hAnsi="Times New Roman" w:cs="Times New Roman"/>
                <w:noProof/>
                <w:sz w:val="24"/>
                <w:szCs w:val="24"/>
              </w:rPr>
              <w:t>Appendix 7</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_Toc512791114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46</w:t>
            </w:r>
            <w:r w:rsidR="00302E52" w:rsidRPr="00302E52">
              <w:rPr>
                <w:rFonts w:ascii="Times New Roman" w:hAnsi="Times New Roman" w:cs="Times New Roman"/>
                <w:noProof/>
                <w:webHidden/>
                <w:sz w:val="24"/>
                <w:szCs w:val="24"/>
              </w:rPr>
              <w:fldChar w:fldCharType="end"/>
            </w:r>
          </w:hyperlink>
        </w:p>
        <w:p w:rsidR="00302E52" w:rsidRPr="00302E52" w:rsidRDefault="009C55AD" w:rsidP="00302E52">
          <w:pPr>
            <w:pStyle w:val="TOC2"/>
            <w:tabs>
              <w:tab w:val="right" w:leader="dot" w:pos="9350"/>
            </w:tabs>
            <w:spacing w:before="240" w:after="240" w:line="480" w:lineRule="auto"/>
            <w:rPr>
              <w:rFonts w:ascii="Times New Roman" w:eastAsiaTheme="minorEastAsia" w:hAnsi="Times New Roman" w:cs="Times New Roman"/>
              <w:noProof/>
              <w:sz w:val="24"/>
              <w:szCs w:val="24"/>
            </w:rPr>
          </w:pPr>
          <w:hyperlink w:anchor="_Toc512791115" w:history="1">
            <w:r w:rsidR="00302E52" w:rsidRPr="00302E52">
              <w:rPr>
                <w:rStyle w:val="Hyperlink"/>
                <w:rFonts w:ascii="Times New Roman" w:hAnsi="Times New Roman" w:cs="Times New Roman"/>
                <w:noProof/>
                <w:sz w:val="24"/>
                <w:szCs w:val="24"/>
              </w:rPr>
              <w:t>Appendix 8</w:t>
            </w:r>
            <w:r w:rsidR="00302E52" w:rsidRPr="00302E52">
              <w:rPr>
                <w:rFonts w:ascii="Times New Roman" w:hAnsi="Times New Roman" w:cs="Times New Roman"/>
                <w:noProof/>
                <w:webHidden/>
                <w:sz w:val="24"/>
                <w:szCs w:val="24"/>
              </w:rPr>
              <w:tab/>
            </w:r>
            <w:r w:rsidR="00302E52" w:rsidRPr="00302E52">
              <w:rPr>
                <w:rFonts w:ascii="Times New Roman" w:hAnsi="Times New Roman" w:cs="Times New Roman"/>
                <w:noProof/>
                <w:webHidden/>
                <w:sz w:val="24"/>
                <w:szCs w:val="24"/>
              </w:rPr>
              <w:fldChar w:fldCharType="begin"/>
            </w:r>
            <w:r w:rsidR="00302E52" w:rsidRPr="00302E52">
              <w:rPr>
                <w:rFonts w:ascii="Times New Roman" w:hAnsi="Times New Roman" w:cs="Times New Roman"/>
                <w:noProof/>
                <w:webHidden/>
                <w:sz w:val="24"/>
                <w:szCs w:val="24"/>
              </w:rPr>
              <w:instrText xml:space="preserve"> PAGEREF _Toc512791115 \h </w:instrText>
            </w:r>
            <w:r w:rsidR="00302E52" w:rsidRPr="00302E52">
              <w:rPr>
                <w:rFonts w:ascii="Times New Roman" w:hAnsi="Times New Roman" w:cs="Times New Roman"/>
                <w:noProof/>
                <w:webHidden/>
                <w:sz w:val="24"/>
                <w:szCs w:val="24"/>
              </w:rPr>
            </w:r>
            <w:r w:rsidR="00302E52" w:rsidRPr="00302E52">
              <w:rPr>
                <w:rFonts w:ascii="Times New Roman" w:hAnsi="Times New Roman" w:cs="Times New Roman"/>
                <w:noProof/>
                <w:webHidden/>
                <w:sz w:val="24"/>
                <w:szCs w:val="24"/>
              </w:rPr>
              <w:fldChar w:fldCharType="separate"/>
            </w:r>
            <w:r w:rsidR="00302E52" w:rsidRPr="00302E52">
              <w:rPr>
                <w:rFonts w:ascii="Times New Roman" w:hAnsi="Times New Roman" w:cs="Times New Roman"/>
                <w:noProof/>
                <w:webHidden/>
                <w:sz w:val="24"/>
                <w:szCs w:val="24"/>
              </w:rPr>
              <w:t>47</w:t>
            </w:r>
            <w:r w:rsidR="00302E52" w:rsidRPr="00302E52">
              <w:rPr>
                <w:rFonts w:ascii="Times New Roman" w:hAnsi="Times New Roman" w:cs="Times New Roman"/>
                <w:noProof/>
                <w:webHidden/>
                <w:sz w:val="24"/>
                <w:szCs w:val="24"/>
              </w:rPr>
              <w:fldChar w:fldCharType="end"/>
            </w:r>
          </w:hyperlink>
        </w:p>
        <w:p w:rsidR="00251E0D" w:rsidRPr="00270322" w:rsidRDefault="00860B8F" w:rsidP="00302E52">
          <w:pPr>
            <w:spacing w:before="240" w:after="240" w:line="480" w:lineRule="auto"/>
            <w:rPr>
              <w:rFonts w:ascii="Times New Roman" w:hAnsi="Times New Roman" w:cs="Times New Roman"/>
              <w:sz w:val="24"/>
              <w:szCs w:val="24"/>
            </w:rPr>
          </w:pPr>
          <w:r w:rsidRPr="00302E52">
            <w:rPr>
              <w:rFonts w:ascii="Times New Roman" w:hAnsi="Times New Roman" w:cs="Times New Roman"/>
              <w:sz w:val="24"/>
              <w:szCs w:val="24"/>
            </w:rPr>
            <w:fldChar w:fldCharType="end"/>
          </w:r>
        </w:p>
      </w:sdtContent>
    </w:sdt>
    <w:p w:rsidR="00251E0D" w:rsidRPr="00A546BE" w:rsidRDefault="00251E0D">
      <w:pPr>
        <w:rPr>
          <w:rFonts w:ascii="Times New Roman" w:eastAsiaTheme="majorEastAsia" w:hAnsi="Times New Roman" w:cs="Times New Roman"/>
          <w:b/>
          <w:bCs/>
          <w:color w:val="365F91" w:themeColor="accent1" w:themeShade="BF"/>
          <w:sz w:val="24"/>
          <w:szCs w:val="24"/>
        </w:rPr>
      </w:pPr>
      <w:r w:rsidRPr="00A546BE">
        <w:rPr>
          <w:rFonts w:ascii="Times New Roman" w:hAnsi="Times New Roman" w:cs="Times New Roman"/>
          <w:sz w:val="24"/>
          <w:szCs w:val="24"/>
        </w:rPr>
        <w:br w:type="page"/>
      </w:r>
    </w:p>
    <w:p w:rsidR="00251E0D" w:rsidRPr="00A546BE" w:rsidRDefault="00251E0D" w:rsidP="00645873">
      <w:pPr>
        <w:pStyle w:val="Heading1"/>
      </w:pPr>
      <w:bookmarkStart w:id="1" w:name="_Toc512791096"/>
      <w:r w:rsidRPr="00A546BE">
        <w:lastRenderedPageBreak/>
        <w:t>Overview of HSBC</w:t>
      </w:r>
      <w:bookmarkEnd w:id="1"/>
    </w:p>
    <w:p w:rsidR="00251E0D" w:rsidRPr="00A546BE" w:rsidRDefault="00251E0D" w:rsidP="00251E0D">
      <w:pPr>
        <w:rPr>
          <w:rFonts w:ascii="Times New Roman" w:hAnsi="Times New Roman" w:cs="Times New Roman"/>
          <w:sz w:val="24"/>
          <w:szCs w:val="24"/>
        </w:rPr>
      </w:pPr>
    </w:p>
    <w:p w:rsidR="001E7815" w:rsidRDefault="00251E0D" w:rsidP="00251E0D">
      <w:pPr>
        <w:spacing w:line="360" w:lineRule="auto"/>
        <w:ind w:firstLine="720"/>
        <w:rPr>
          <w:rFonts w:ascii="Times New Roman" w:hAnsi="Times New Roman" w:cs="Times New Roman"/>
          <w:sz w:val="24"/>
          <w:szCs w:val="24"/>
          <w:shd w:val="clear" w:color="auto" w:fill="FFFFFF"/>
        </w:rPr>
      </w:pPr>
      <w:r w:rsidRPr="00A546BE">
        <w:rPr>
          <w:rFonts w:ascii="Times New Roman" w:hAnsi="Times New Roman" w:cs="Times New Roman"/>
          <w:sz w:val="24"/>
          <w:szCs w:val="24"/>
        </w:rPr>
        <w:t>HSBC is a multinational banking and financial company, wh</w:t>
      </w:r>
      <w:r w:rsidR="009444B0">
        <w:rPr>
          <w:rFonts w:ascii="Times New Roman" w:hAnsi="Times New Roman" w:cs="Times New Roman"/>
          <w:sz w:val="24"/>
          <w:szCs w:val="24"/>
        </w:rPr>
        <w:t>ich wa</w:t>
      </w:r>
      <w:r w:rsidRPr="00A546BE">
        <w:rPr>
          <w:rFonts w:ascii="Times New Roman" w:hAnsi="Times New Roman" w:cs="Times New Roman"/>
          <w:sz w:val="24"/>
          <w:szCs w:val="24"/>
        </w:rPr>
        <w:t xml:space="preserve">s founded in Hong Kong. </w:t>
      </w:r>
      <w:r w:rsidR="00EF098F">
        <w:rPr>
          <w:rFonts w:ascii="Times New Roman" w:hAnsi="Times New Roman" w:cs="Times New Roman"/>
          <w:sz w:val="24"/>
          <w:szCs w:val="24"/>
        </w:rPr>
        <w:t>I</w:t>
      </w:r>
      <w:r w:rsidRPr="00A546BE">
        <w:rPr>
          <w:rFonts w:ascii="Times New Roman" w:hAnsi="Times New Roman" w:cs="Times New Roman"/>
          <w:sz w:val="24"/>
          <w:szCs w:val="24"/>
        </w:rPr>
        <w:t xml:space="preserve">t is world’s </w:t>
      </w:r>
      <w:r w:rsidR="009444B0">
        <w:rPr>
          <w:rFonts w:ascii="Times New Roman" w:hAnsi="Times New Roman" w:cs="Times New Roman"/>
          <w:sz w:val="24"/>
          <w:szCs w:val="24"/>
        </w:rPr>
        <w:t>fif</w:t>
      </w:r>
      <w:r w:rsidRPr="00A546BE">
        <w:rPr>
          <w:rFonts w:ascii="Times New Roman" w:hAnsi="Times New Roman" w:cs="Times New Roman"/>
          <w:sz w:val="24"/>
          <w:szCs w:val="24"/>
        </w:rPr>
        <w:t>th largest bank</w:t>
      </w:r>
      <w:r w:rsidR="009444B0">
        <w:rPr>
          <w:rFonts w:ascii="Times New Roman" w:hAnsi="Times New Roman" w:cs="Times New Roman"/>
          <w:sz w:val="24"/>
          <w:szCs w:val="24"/>
        </w:rPr>
        <w:t xml:space="preserve"> </w:t>
      </w:r>
      <w:r w:rsidR="00EF098F">
        <w:rPr>
          <w:rFonts w:ascii="Times New Roman" w:hAnsi="Times New Roman" w:cs="Times New Roman"/>
          <w:sz w:val="24"/>
          <w:szCs w:val="24"/>
        </w:rPr>
        <w:t>b</w:t>
      </w:r>
      <w:r w:rsidR="00EF098F" w:rsidRPr="00A546BE">
        <w:rPr>
          <w:rFonts w:ascii="Times New Roman" w:hAnsi="Times New Roman" w:cs="Times New Roman"/>
          <w:sz w:val="24"/>
          <w:szCs w:val="24"/>
        </w:rPr>
        <w:t>y its number of assets</w:t>
      </w:r>
      <w:r w:rsidR="00EF098F">
        <w:rPr>
          <w:rFonts w:ascii="Times New Roman" w:hAnsi="Times New Roman" w:cs="Times New Roman"/>
          <w:sz w:val="24"/>
          <w:szCs w:val="24"/>
        </w:rPr>
        <w:t xml:space="preserve"> while i</w:t>
      </w:r>
      <w:r w:rsidRPr="00A546BE">
        <w:rPr>
          <w:rFonts w:ascii="Times New Roman" w:hAnsi="Times New Roman" w:cs="Times New Roman"/>
          <w:sz w:val="24"/>
          <w:szCs w:val="24"/>
        </w:rPr>
        <w:t>n Europe it is the largest bank, holding asset of around 2.374 trillion US$</w:t>
      </w:r>
      <w:r w:rsidR="00376E8B">
        <w:rPr>
          <w:rFonts w:ascii="Times New Roman" w:hAnsi="Times New Roman" w:cs="Times New Roman"/>
          <w:sz w:val="24"/>
          <w:szCs w:val="24"/>
        </w:rPr>
        <w:t xml:space="preserve"> </w:t>
      </w:r>
      <w:r w:rsidRPr="00A546BE">
        <w:rPr>
          <w:rFonts w:ascii="Times New Roman" w:hAnsi="Times New Roman" w:cs="Times New Roman"/>
          <w:sz w:val="24"/>
          <w:szCs w:val="24"/>
        </w:rPr>
        <w:t xml:space="preserve">(till December </w:t>
      </w:r>
      <w:r w:rsidRPr="00A546BE">
        <w:rPr>
          <w:rFonts w:ascii="Times New Roman" w:hAnsi="Times New Roman" w:cs="Times New Roman"/>
          <w:sz w:val="24"/>
          <w:szCs w:val="24"/>
          <w:shd w:val="clear" w:color="auto" w:fill="FFFFFF"/>
        </w:rPr>
        <w:t xml:space="preserve">2016). HSBC is </w:t>
      </w:r>
      <w:r w:rsidR="009C55AD">
        <w:rPr>
          <w:rFonts w:ascii="Times New Roman" w:hAnsi="Times New Roman" w:cs="Times New Roman"/>
          <w:sz w:val="24"/>
          <w:szCs w:val="24"/>
          <w:shd w:val="clear" w:color="auto" w:fill="FFFFFF"/>
        </w:rPr>
        <w:t xml:space="preserve">the </w:t>
      </w:r>
      <w:r w:rsidRPr="00A546BE">
        <w:rPr>
          <w:rFonts w:ascii="Times New Roman" w:hAnsi="Times New Roman" w:cs="Times New Roman"/>
          <w:sz w:val="24"/>
          <w:szCs w:val="24"/>
          <w:shd w:val="clear" w:color="auto" w:fill="FFFFFF"/>
        </w:rPr>
        <w:t>world’s sixth largest public company according to the report from Forbes in the year 2014. The company has 3900 offices in countries and territories all over Asia, Oceania, Europe, South America, Africa, and North America. HSBC has customer</w:t>
      </w:r>
      <w:r w:rsidR="001E7815">
        <w:rPr>
          <w:rFonts w:ascii="Times New Roman" w:hAnsi="Times New Roman" w:cs="Times New Roman"/>
          <w:sz w:val="24"/>
          <w:szCs w:val="24"/>
          <w:shd w:val="clear" w:color="auto" w:fill="FFFFFF"/>
        </w:rPr>
        <w:t xml:space="preserve"> count</w:t>
      </w:r>
      <w:r w:rsidRPr="00A546BE">
        <w:rPr>
          <w:rFonts w:ascii="Times New Roman" w:hAnsi="Times New Roman" w:cs="Times New Roman"/>
          <w:sz w:val="24"/>
          <w:szCs w:val="24"/>
          <w:shd w:val="clear" w:color="auto" w:fill="FFFFFF"/>
        </w:rPr>
        <w:t xml:space="preserve"> of around 38 million. The company has four major business groups for instance, commercial banking, global banking and markets, retail banking and wealth management and global private banking (HSBC.com, 2018). HSBC earns a revenue of about 1.445 billion US$ according to the </w:t>
      </w:r>
      <w:r w:rsidR="00606CA8">
        <w:rPr>
          <w:rFonts w:ascii="Times New Roman" w:hAnsi="Times New Roman" w:cs="Times New Roman"/>
          <w:sz w:val="24"/>
          <w:szCs w:val="24"/>
          <w:shd w:val="clear" w:color="auto" w:fill="FFFFFF"/>
        </w:rPr>
        <w:t xml:space="preserve">annual </w:t>
      </w:r>
      <w:r w:rsidRPr="00A546BE">
        <w:rPr>
          <w:rFonts w:ascii="Times New Roman" w:hAnsi="Times New Roman" w:cs="Times New Roman"/>
          <w:sz w:val="24"/>
          <w:szCs w:val="24"/>
          <w:shd w:val="clear" w:color="auto" w:fill="FFFFFF"/>
        </w:rPr>
        <w:t>reports of 2017</w:t>
      </w:r>
      <w:r w:rsidR="00382B2A">
        <w:rPr>
          <w:rFonts w:ascii="Times New Roman" w:hAnsi="Times New Roman" w:cs="Times New Roman"/>
          <w:sz w:val="24"/>
          <w:szCs w:val="24"/>
          <w:shd w:val="clear" w:color="auto" w:fill="FFFFFF"/>
        </w:rPr>
        <w:t xml:space="preserve"> (HSBC Bank Plc, </w:t>
      </w:r>
      <w:r w:rsidR="00382B2A" w:rsidRPr="00A546BE">
        <w:rPr>
          <w:rFonts w:ascii="Times New Roman" w:hAnsi="Times New Roman" w:cs="Times New Roman"/>
          <w:sz w:val="24"/>
          <w:szCs w:val="24"/>
          <w:shd w:val="clear" w:color="auto" w:fill="FFFFFF"/>
        </w:rPr>
        <w:t>2017)</w:t>
      </w:r>
      <w:r w:rsidRPr="00A546BE">
        <w:rPr>
          <w:rFonts w:ascii="Times New Roman" w:hAnsi="Times New Roman" w:cs="Times New Roman"/>
          <w:sz w:val="24"/>
          <w:szCs w:val="24"/>
          <w:shd w:val="clear" w:color="auto" w:fill="FFFFFF"/>
        </w:rPr>
        <w:t xml:space="preserve">. It has </w:t>
      </w:r>
      <w:r w:rsidR="0069770C" w:rsidRPr="00A546BE">
        <w:rPr>
          <w:rFonts w:ascii="Times New Roman" w:hAnsi="Times New Roman" w:cs="Times New Roman"/>
          <w:sz w:val="24"/>
          <w:szCs w:val="24"/>
          <w:shd w:val="clear" w:color="auto" w:fill="FFFFFF"/>
        </w:rPr>
        <w:t>an</w:t>
      </w:r>
      <w:r w:rsidRPr="00A546BE">
        <w:rPr>
          <w:rFonts w:ascii="Times New Roman" w:hAnsi="Times New Roman" w:cs="Times New Roman"/>
          <w:sz w:val="24"/>
          <w:szCs w:val="24"/>
          <w:shd w:val="clear" w:color="auto" w:fill="FFFFFF"/>
        </w:rPr>
        <w:t xml:space="preserve"> operating income of 14.292 billion US$ and net income of 11.879</w:t>
      </w:r>
      <w:r w:rsidR="0069770C">
        <w:rPr>
          <w:rFonts w:ascii="Times New Roman" w:hAnsi="Times New Roman" w:cs="Times New Roman"/>
          <w:sz w:val="24"/>
          <w:szCs w:val="24"/>
          <w:shd w:val="clear" w:color="auto" w:fill="FFFFFF"/>
        </w:rPr>
        <w:t xml:space="preserve"> </w:t>
      </w:r>
      <w:r w:rsidRPr="00A546BE">
        <w:rPr>
          <w:rFonts w:ascii="Times New Roman" w:hAnsi="Times New Roman" w:cs="Times New Roman"/>
          <w:sz w:val="24"/>
          <w:szCs w:val="24"/>
          <w:shd w:val="clear" w:color="auto" w:fill="FFFFFF"/>
        </w:rPr>
        <w:t xml:space="preserve">billion US$. The total asset held by HSBC as per the </w:t>
      </w:r>
      <w:r w:rsidR="00382B2A">
        <w:rPr>
          <w:rFonts w:ascii="Times New Roman" w:hAnsi="Times New Roman" w:cs="Times New Roman"/>
          <w:sz w:val="24"/>
          <w:szCs w:val="24"/>
          <w:shd w:val="clear" w:color="auto" w:fill="FFFFFF"/>
        </w:rPr>
        <w:t xml:space="preserve">annual </w:t>
      </w:r>
      <w:r w:rsidRPr="00A546BE">
        <w:rPr>
          <w:rFonts w:ascii="Times New Roman" w:hAnsi="Times New Roman" w:cs="Times New Roman"/>
          <w:sz w:val="24"/>
          <w:szCs w:val="24"/>
          <w:shd w:val="clear" w:color="auto" w:fill="FFFFFF"/>
        </w:rPr>
        <w:t>report of 2017 is 2.521 trillion US$ and total equity of 190.25 billion US$</w:t>
      </w:r>
      <w:r w:rsidR="00382B2A">
        <w:rPr>
          <w:rFonts w:ascii="Times New Roman" w:hAnsi="Times New Roman" w:cs="Times New Roman"/>
          <w:sz w:val="24"/>
          <w:szCs w:val="24"/>
          <w:shd w:val="clear" w:color="auto" w:fill="FFFFFF"/>
        </w:rPr>
        <w:t xml:space="preserve">.  As observed in (HSBC Bank Plc, </w:t>
      </w:r>
      <w:r w:rsidR="00382B2A" w:rsidRPr="00A546BE">
        <w:rPr>
          <w:rFonts w:ascii="Times New Roman" w:hAnsi="Times New Roman" w:cs="Times New Roman"/>
          <w:sz w:val="24"/>
          <w:szCs w:val="24"/>
          <w:shd w:val="clear" w:color="auto" w:fill="FFFFFF"/>
        </w:rPr>
        <w:t>2017)</w:t>
      </w:r>
      <w:r w:rsidRPr="00A546BE">
        <w:rPr>
          <w:rFonts w:ascii="Times New Roman" w:hAnsi="Times New Roman" w:cs="Times New Roman"/>
          <w:sz w:val="24"/>
          <w:szCs w:val="24"/>
          <w:shd w:val="clear" w:color="auto" w:fill="FFFFFF"/>
        </w:rPr>
        <w:t xml:space="preserve"> HSBC considers their main purpose to follow the growth and connect customers with different opportunities. HSBC focuses mainly on prospering growth</w:t>
      </w:r>
      <w:r w:rsidR="00606CA8">
        <w:rPr>
          <w:rFonts w:ascii="Times New Roman" w:hAnsi="Times New Roman" w:cs="Times New Roman"/>
          <w:sz w:val="24"/>
          <w:szCs w:val="24"/>
          <w:shd w:val="clear" w:color="auto" w:fill="FFFFFF"/>
        </w:rPr>
        <w:t xml:space="preserve"> and economy. HSBC follows well</w:t>
      </w:r>
      <w:r w:rsidR="00606CA8" w:rsidRPr="00A546BE">
        <w:rPr>
          <w:rFonts w:ascii="Times New Roman" w:hAnsi="Times New Roman" w:cs="Times New Roman"/>
          <w:sz w:val="24"/>
          <w:szCs w:val="24"/>
          <w:shd w:val="clear" w:color="auto" w:fill="FFFFFF"/>
        </w:rPr>
        <w:t>-built</w:t>
      </w:r>
      <w:r w:rsidRPr="00A546BE">
        <w:rPr>
          <w:rFonts w:ascii="Times New Roman" w:hAnsi="Times New Roman" w:cs="Times New Roman"/>
          <w:sz w:val="24"/>
          <w:szCs w:val="24"/>
          <w:shd w:val="clear" w:color="auto" w:fill="FFFFFF"/>
        </w:rPr>
        <w:t xml:space="preserve"> strateg</w:t>
      </w:r>
      <w:r w:rsidR="001E7815">
        <w:rPr>
          <w:rFonts w:ascii="Times New Roman" w:hAnsi="Times New Roman" w:cs="Times New Roman"/>
          <w:sz w:val="24"/>
          <w:szCs w:val="24"/>
          <w:shd w:val="clear" w:color="auto" w:fill="FFFFFF"/>
        </w:rPr>
        <w:t>ies</w:t>
      </w:r>
    </w:p>
    <w:p w:rsidR="009444B0" w:rsidRDefault="00251E0D" w:rsidP="00251E0D">
      <w:pPr>
        <w:spacing w:line="360" w:lineRule="auto"/>
        <w:ind w:firstLine="720"/>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 xml:space="preserve"> in order to gain value from international network. They focus mainly on developing their international network, so that their clients can grow their business and HSBC can expand more. In order to make social mobility globally HSBC, maintains its retail banking and wealth management markets strategically. HSBC works strategically in order to increase the global flow of trade which will increase the GDP in turn. </w:t>
      </w:r>
    </w:p>
    <w:p w:rsidR="00251E0D" w:rsidRPr="00A546BE" w:rsidRDefault="00251E0D" w:rsidP="0096397A">
      <w:pPr>
        <w:spacing w:line="360" w:lineRule="auto"/>
        <w:ind w:firstLine="720"/>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 xml:space="preserve">HSBC is trying to expand the market economies to a huge extent by 2050. </w:t>
      </w:r>
      <w:r w:rsidR="0096397A">
        <w:rPr>
          <w:rFonts w:ascii="Times New Roman" w:hAnsi="Times New Roman" w:cs="Times New Roman"/>
          <w:sz w:val="24"/>
          <w:szCs w:val="24"/>
          <w:shd w:val="clear" w:color="auto" w:fill="FFFFFF"/>
        </w:rPr>
        <w:t>In the recent times, in the context of medium or long term mortgages, this bank offers the fix for a term period of five years at 1.74% to 60% loan to value</w:t>
      </w:r>
      <w:r w:rsidR="00C12B9B">
        <w:rPr>
          <w:rStyle w:val="Strong"/>
          <w:rFonts w:ascii="Arial" w:hAnsi="Arial" w:cs="Arial"/>
          <w:color w:val="666666"/>
          <w:sz w:val="20"/>
          <w:szCs w:val="20"/>
          <w:shd w:val="clear" w:color="auto" w:fill="FFFFFF"/>
        </w:rPr>
        <w:t> </w:t>
      </w:r>
      <w:r w:rsidR="00C12B9B" w:rsidRPr="00C12B9B">
        <w:rPr>
          <w:rStyle w:val="selectable"/>
          <w:rFonts w:ascii="Times New Roman" w:hAnsi="Times New Roman" w:cs="Times New Roman"/>
          <w:sz w:val="24"/>
          <w:szCs w:val="24"/>
          <w:shd w:val="clear" w:color="auto" w:fill="FFFFFF"/>
        </w:rPr>
        <w:t>(Warwick-Chingfirs, 2018)</w:t>
      </w:r>
      <w:r w:rsidR="0096397A">
        <w:rPr>
          <w:rFonts w:ascii="Times New Roman" w:hAnsi="Times New Roman" w:cs="Times New Roman"/>
          <w:sz w:val="24"/>
          <w:szCs w:val="24"/>
          <w:shd w:val="clear" w:color="auto" w:fill="FFFFFF"/>
        </w:rPr>
        <w:t xml:space="preserve">. Along with this, a charge of </w:t>
      </w:r>
      <w:r w:rsidR="0096397A" w:rsidRPr="0096397A">
        <w:rPr>
          <w:rFonts w:ascii="Times New Roman" w:hAnsi="Times New Roman" w:cs="Times New Roman"/>
          <w:sz w:val="24"/>
          <w:szCs w:val="24"/>
          <w:shd w:val="clear" w:color="auto" w:fill="FFFFFF"/>
        </w:rPr>
        <w:t>£</w:t>
      </w:r>
      <w:r w:rsidR="0096397A">
        <w:rPr>
          <w:rFonts w:ascii="Times New Roman" w:hAnsi="Times New Roman" w:cs="Times New Roman"/>
          <w:sz w:val="24"/>
          <w:szCs w:val="24"/>
          <w:shd w:val="clear" w:color="auto" w:fill="FFFFFF"/>
        </w:rPr>
        <w:t>999, free valuation and basic legal work at free of cost for remortgages are also provided. However, t</w:t>
      </w:r>
      <w:r w:rsidRPr="00A546BE">
        <w:rPr>
          <w:rFonts w:ascii="Times New Roman" w:hAnsi="Times New Roman" w:cs="Times New Roman"/>
          <w:sz w:val="24"/>
          <w:szCs w:val="24"/>
          <w:shd w:val="clear" w:color="auto" w:fill="FFFFFF"/>
        </w:rPr>
        <w:t>here are certain risks that HSBC needs to manage</w:t>
      </w:r>
      <w:r w:rsidR="0096397A">
        <w:rPr>
          <w:rFonts w:ascii="Times New Roman" w:hAnsi="Times New Roman" w:cs="Times New Roman"/>
          <w:sz w:val="24"/>
          <w:szCs w:val="24"/>
          <w:shd w:val="clear" w:color="auto" w:fill="FFFFFF"/>
        </w:rPr>
        <w:t>,</w:t>
      </w:r>
      <w:r w:rsidRPr="00A546BE">
        <w:rPr>
          <w:rFonts w:ascii="Times New Roman" w:hAnsi="Times New Roman" w:cs="Times New Roman"/>
          <w:sz w:val="24"/>
          <w:szCs w:val="24"/>
          <w:shd w:val="clear" w:color="auto" w:fill="FFFFFF"/>
        </w:rPr>
        <w:t xml:space="preserve"> </w:t>
      </w:r>
      <w:r w:rsidR="009444B0">
        <w:rPr>
          <w:rFonts w:ascii="Times New Roman" w:hAnsi="Times New Roman" w:cs="Times New Roman"/>
          <w:sz w:val="24"/>
          <w:szCs w:val="24"/>
          <w:shd w:val="clear" w:color="auto" w:fill="FFFFFF"/>
        </w:rPr>
        <w:t>fo</w:t>
      </w:r>
      <w:r w:rsidRPr="00A546BE">
        <w:rPr>
          <w:rFonts w:ascii="Times New Roman" w:hAnsi="Times New Roman" w:cs="Times New Roman"/>
          <w:sz w:val="24"/>
          <w:szCs w:val="24"/>
          <w:shd w:val="clear" w:color="auto" w:fill="FFFFFF"/>
        </w:rPr>
        <w:t xml:space="preserve">r instance, </w:t>
      </w:r>
      <w:r w:rsidR="0096397A">
        <w:rPr>
          <w:rFonts w:ascii="Times New Roman" w:hAnsi="Times New Roman" w:cs="Times New Roman"/>
          <w:sz w:val="24"/>
          <w:szCs w:val="24"/>
          <w:shd w:val="clear" w:color="auto" w:fill="FFFFFF"/>
        </w:rPr>
        <w:t>financial c</w:t>
      </w:r>
      <w:r w:rsidRPr="00A546BE">
        <w:rPr>
          <w:rFonts w:ascii="Times New Roman" w:hAnsi="Times New Roman" w:cs="Times New Roman"/>
          <w:sz w:val="24"/>
          <w:szCs w:val="24"/>
          <w:shd w:val="clear" w:color="auto" w:fill="FFFFFF"/>
        </w:rPr>
        <w:t xml:space="preserve">rime risk, </w:t>
      </w:r>
      <w:r w:rsidR="0096397A">
        <w:rPr>
          <w:rFonts w:ascii="Times New Roman" w:hAnsi="Times New Roman" w:cs="Times New Roman"/>
          <w:sz w:val="24"/>
          <w:szCs w:val="24"/>
          <w:shd w:val="clear" w:color="auto" w:fill="FFFFFF"/>
        </w:rPr>
        <w:t>r</w:t>
      </w:r>
      <w:r w:rsidRPr="00A546BE">
        <w:rPr>
          <w:rFonts w:ascii="Times New Roman" w:hAnsi="Times New Roman" w:cs="Times New Roman"/>
          <w:sz w:val="24"/>
          <w:szCs w:val="24"/>
          <w:shd w:val="clear" w:color="auto" w:fill="FFFFFF"/>
        </w:rPr>
        <w:t>eputational risk, sustainability risk, operational risk</w:t>
      </w:r>
      <w:r w:rsidR="0096397A">
        <w:rPr>
          <w:rFonts w:ascii="Times New Roman" w:hAnsi="Times New Roman" w:cs="Times New Roman"/>
          <w:sz w:val="24"/>
          <w:szCs w:val="24"/>
          <w:shd w:val="clear" w:color="auto" w:fill="FFFFFF"/>
        </w:rPr>
        <w:t xml:space="preserve"> etc. in order to maintain sustainability</w:t>
      </w:r>
      <w:r w:rsidRPr="00A546BE">
        <w:rPr>
          <w:rFonts w:ascii="Times New Roman" w:hAnsi="Times New Roman" w:cs="Times New Roman"/>
          <w:sz w:val="24"/>
          <w:szCs w:val="24"/>
          <w:shd w:val="clear" w:color="auto" w:fill="FFFFFF"/>
        </w:rPr>
        <w:t xml:space="preserve">. Apart from these risks, the company also </w:t>
      </w:r>
      <w:r w:rsidR="0096397A">
        <w:rPr>
          <w:rFonts w:ascii="Times New Roman" w:hAnsi="Times New Roman" w:cs="Times New Roman"/>
          <w:sz w:val="24"/>
          <w:szCs w:val="24"/>
          <w:shd w:val="clear" w:color="auto" w:fill="FFFFFF"/>
        </w:rPr>
        <w:t>need to maintain</w:t>
      </w:r>
      <w:r w:rsidRPr="00A546BE">
        <w:rPr>
          <w:rFonts w:ascii="Times New Roman" w:hAnsi="Times New Roman" w:cs="Times New Roman"/>
          <w:sz w:val="24"/>
          <w:szCs w:val="24"/>
          <w:shd w:val="clear" w:color="auto" w:fill="FFFFFF"/>
        </w:rPr>
        <w:t xml:space="preserve"> the transparency of tax, health and environment in an efficient manner. According to Lee (2018) </w:t>
      </w:r>
      <w:r w:rsidR="0096397A">
        <w:rPr>
          <w:rFonts w:ascii="Times New Roman" w:hAnsi="Times New Roman" w:cs="Times New Roman"/>
          <w:sz w:val="24"/>
          <w:szCs w:val="24"/>
          <w:shd w:val="clear" w:color="auto" w:fill="FFFFFF"/>
        </w:rPr>
        <w:t xml:space="preserve">although </w:t>
      </w:r>
      <w:r w:rsidRPr="00A546BE">
        <w:rPr>
          <w:rFonts w:ascii="Times New Roman" w:hAnsi="Times New Roman" w:cs="Times New Roman"/>
          <w:sz w:val="24"/>
          <w:szCs w:val="24"/>
          <w:shd w:val="clear" w:color="auto" w:fill="FFFFFF"/>
        </w:rPr>
        <w:t>HSBC is largest in Europe by asset and its full year profit rose 10.9 percent before tax and a</w:t>
      </w:r>
      <w:r w:rsidR="0096397A">
        <w:rPr>
          <w:rFonts w:ascii="Times New Roman" w:hAnsi="Times New Roman" w:cs="Times New Roman"/>
          <w:sz w:val="24"/>
          <w:szCs w:val="24"/>
          <w:shd w:val="clear" w:color="auto" w:fill="FFFFFF"/>
        </w:rPr>
        <w:t xml:space="preserve">mounted to </w:t>
      </w:r>
      <w:r w:rsidR="0096397A">
        <w:rPr>
          <w:rFonts w:ascii="Times New Roman" w:hAnsi="Times New Roman" w:cs="Times New Roman"/>
          <w:sz w:val="24"/>
          <w:szCs w:val="24"/>
          <w:shd w:val="clear" w:color="auto" w:fill="FFFFFF"/>
        </w:rPr>
        <w:lastRenderedPageBreak/>
        <w:t>20.99 billion, yet</w:t>
      </w:r>
      <w:r w:rsidRPr="00A546BE">
        <w:rPr>
          <w:rFonts w:ascii="Times New Roman" w:hAnsi="Times New Roman" w:cs="Times New Roman"/>
          <w:sz w:val="24"/>
          <w:szCs w:val="24"/>
          <w:shd w:val="clear" w:color="auto" w:fill="FFFFFF"/>
        </w:rPr>
        <w:t xml:space="preserve"> Hong Kong listed share fell to 3.11 perce</w:t>
      </w:r>
      <w:r w:rsidR="00606CA8">
        <w:rPr>
          <w:rFonts w:ascii="Times New Roman" w:hAnsi="Times New Roman" w:cs="Times New Roman"/>
          <w:sz w:val="24"/>
          <w:szCs w:val="24"/>
          <w:shd w:val="clear" w:color="auto" w:fill="FFFFFF"/>
        </w:rPr>
        <w:t xml:space="preserve">nt. HSBC agreed to a settlement </w:t>
      </w:r>
      <w:r w:rsidRPr="00A546BE">
        <w:rPr>
          <w:rFonts w:ascii="Times New Roman" w:hAnsi="Times New Roman" w:cs="Times New Roman"/>
          <w:sz w:val="24"/>
          <w:szCs w:val="24"/>
          <w:shd w:val="clear" w:color="auto" w:fill="FFFFFF"/>
        </w:rPr>
        <w:t>o</w:t>
      </w:r>
      <w:r w:rsidR="00606CA8">
        <w:rPr>
          <w:rFonts w:ascii="Times New Roman" w:hAnsi="Times New Roman" w:cs="Times New Roman"/>
          <w:sz w:val="24"/>
          <w:szCs w:val="24"/>
          <w:shd w:val="clear" w:color="auto" w:fill="FFFFFF"/>
        </w:rPr>
        <w:t>n</w:t>
      </w:r>
      <w:r w:rsidRPr="00A546BE">
        <w:rPr>
          <w:rFonts w:ascii="Times New Roman" w:hAnsi="Times New Roman" w:cs="Times New Roman"/>
          <w:sz w:val="24"/>
          <w:szCs w:val="24"/>
          <w:shd w:val="clear" w:color="auto" w:fill="FFFFFF"/>
        </w:rPr>
        <w:t xml:space="preserve"> 1.6 billion, of a US class action lawsuit of longstanding as observed by (Arnold and McLannahan, 2016). By this settlement</w:t>
      </w:r>
      <w:r w:rsidR="00382B2A">
        <w:rPr>
          <w:rFonts w:ascii="Times New Roman" w:hAnsi="Times New Roman" w:cs="Times New Roman"/>
          <w:sz w:val="24"/>
          <w:szCs w:val="24"/>
          <w:shd w:val="clear" w:color="auto" w:fill="FFFFFF"/>
        </w:rPr>
        <w:t xml:space="preserve"> the bank</w:t>
      </w:r>
      <w:r w:rsidRPr="00A546BE">
        <w:rPr>
          <w:rFonts w:ascii="Times New Roman" w:hAnsi="Times New Roman" w:cs="Times New Roman"/>
          <w:sz w:val="24"/>
          <w:szCs w:val="24"/>
          <w:shd w:val="clear" w:color="auto" w:fill="FFFFFF"/>
        </w:rPr>
        <w:t xml:space="preserve"> removed one of the biggest litigation. HSBC has to face several penalties in several fields. </w:t>
      </w:r>
      <w:r w:rsidR="00382B2A">
        <w:rPr>
          <w:rFonts w:ascii="Times New Roman" w:hAnsi="Times New Roman" w:cs="Times New Roman"/>
          <w:sz w:val="24"/>
          <w:szCs w:val="24"/>
          <w:shd w:val="clear" w:color="auto" w:fill="FFFFFF"/>
        </w:rPr>
        <w:t>In fact, there</w:t>
      </w:r>
      <w:r w:rsidR="002714C0">
        <w:rPr>
          <w:rFonts w:ascii="Times New Roman" w:hAnsi="Times New Roman" w:cs="Times New Roman"/>
          <w:sz w:val="24"/>
          <w:szCs w:val="24"/>
          <w:shd w:val="clear" w:color="auto" w:fill="FFFFFF"/>
        </w:rPr>
        <w:t xml:space="preserve"> a</w:t>
      </w:r>
      <w:r w:rsidR="00382B2A">
        <w:rPr>
          <w:rFonts w:ascii="Times New Roman" w:hAnsi="Times New Roman" w:cs="Times New Roman"/>
          <w:sz w:val="24"/>
          <w:szCs w:val="24"/>
          <w:shd w:val="clear" w:color="auto" w:fill="FFFFFF"/>
        </w:rPr>
        <w:t>re t</w:t>
      </w:r>
      <w:r w:rsidRPr="00A546BE">
        <w:rPr>
          <w:rFonts w:ascii="Times New Roman" w:hAnsi="Times New Roman" w:cs="Times New Roman"/>
          <w:sz w:val="24"/>
          <w:szCs w:val="24"/>
          <w:shd w:val="clear" w:color="auto" w:fill="FFFFFF"/>
        </w:rPr>
        <w:t xml:space="preserve">en primary </w:t>
      </w:r>
      <w:r w:rsidR="002714C0">
        <w:rPr>
          <w:rFonts w:ascii="Times New Roman" w:hAnsi="Times New Roman" w:cs="Times New Roman"/>
          <w:sz w:val="24"/>
          <w:szCs w:val="24"/>
          <w:shd w:val="clear" w:color="auto" w:fill="FFFFFF"/>
        </w:rPr>
        <w:t>types of offen</w:t>
      </w:r>
      <w:r w:rsidR="001E7815">
        <w:rPr>
          <w:rFonts w:ascii="Times New Roman" w:hAnsi="Times New Roman" w:cs="Times New Roman"/>
          <w:sz w:val="24"/>
          <w:szCs w:val="24"/>
          <w:shd w:val="clear" w:color="auto" w:fill="FFFFFF"/>
        </w:rPr>
        <w:t>c</w:t>
      </w:r>
      <w:r w:rsidR="002714C0">
        <w:rPr>
          <w:rFonts w:ascii="Times New Roman" w:hAnsi="Times New Roman" w:cs="Times New Roman"/>
          <w:sz w:val="24"/>
          <w:szCs w:val="24"/>
          <w:shd w:val="clear" w:color="auto" w:fill="FFFFFF"/>
        </w:rPr>
        <w:t>es</w:t>
      </w:r>
      <w:r w:rsidRPr="00A546BE">
        <w:rPr>
          <w:rFonts w:ascii="Times New Roman" w:hAnsi="Times New Roman" w:cs="Times New Roman"/>
          <w:sz w:val="24"/>
          <w:szCs w:val="24"/>
          <w:shd w:val="clear" w:color="auto" w:fill="FFFFFF"/>
        </w:rPr>
        <w:t xml:space="preserve"> that </w:t>
      </w:r>
      <w:r w:rsidR="00382B2A">
        <w:rPr>
          <w:rFonts w:ascii="Times New Roman" w:hAnsi="Times New Roman" w:cs="Times New Roman"/>
          <w:sz w:val="24"/>
          <w:szCs w:val="24"/>
          <w:shd w:val="clear" w:color="auto" w:fill="FFFFFF"/>
        </w:rPr>
        <w:t xml:space="preserve">HSBC </w:t>
      </w:r>
      <w:r w:rsidR="002714C0">
        <w:rPr>
          <w:rFonts w:ascii="Times New Roman" w:hAnsi="Times New Roman" w:cs="Times New Roman"/>
          <w:sz w:val="24"/>
          <w:szCs w:val="24"/>
          <w:shd w:val="clear" w:color="auto" w:fill="FFFFFF"/>
        </w:rPr>
        <w:t xml:space="preserve">has </w:t>
      </w:r>
      <w:r w:rsidR="00382B2A">
        <w:rPr>
          <w:rFonts w:ascii="Times New Roman" w:hAnsi="Times New Roman" w:cs="Times New Roman"/>
          <w:sz w:val="24"/>
          <w:szCs w:val="24"/>
          <w:shd w:val="clear" w:color="auto" w:fill="FFFFFF"/>
        </w:rPr>
        <w:t>faced</w:t>
      </w:r>
      <w:r w:rsidR="002714C0">
        <w:rPr>
          <w:rFonts w:ascii="Times New Roman" w:hAnsi="Times New Roman" w:cs="Times New Roman"/>
          <w:sz w:val="24"/>
          <w:szCs w:val="24"/>
          <w:shd w:val="clear" w:color="auto" w:fill="FFFFFF"/>
        </w:rPr>
        <w:t>, f</w:t>
      </w:r>
      <w:r w:rsidR="00382B2A">
        <w:rPr>
          <w:rFonts w:ascii="Times New Roman" w:hAnsi="Times New Roman" w:cs="Times New Roman"/>
          <w:sz w:val="24"/>
          <w:szCs w:val="24"/>
          <w:shd w:val="clear" w:color="auto" w:fill="FFFFFF"/>
        </w:rPr>
        <w:t>or instance,</w:t>
      </w:r>
      <w:r w:rsidRPr="00A546BE">
        <w:rPr>
          <w:rFonts w:ascii="Times New Roman" w:hAnsi="Times New Roman" w:cs="Times New Roman"/>
          <w:sz w:val="24"/>
          <w:szCs w:val="24"/>
          <w:shd w:val="clear" w:color="auto" w:fill="FFFFFF"/>
        </w:rPr>
        <w:t xml:space="preserve"> </w:t>
      </w:r>
      <w:r w:rsidR="002714C0">
        <w:rPr>
          <w:rFonts w:ascii="Times New Roman" w:hAnsi="Times New Roman" w:cs="Times New Roman"/>
          <w:sz w:val="24"/>
          <w:szCs w:val="24"/>
          <w:shd w:val="clear" w:color="auto" w:fill="FFFFFF"/>
        </w:rPr>
        <w:t xml:space="preserve">financial laundering scam, fraud cases, </w:t>
      </w:r>
      <w:r w:rsidR="002714C0" w:rsidRPr="00A546BE">
        <w:rPr>
          <w:rFonts w:ascii="Times New Roman" w:hAnsi="Times New Roman" w:cs="Times New Roman"/>
          <w:sz w:val="24"/>
          <w:szCs w:val="24"/>
          <w:shd w:val="clear" w:color="auto" w:fill="FFFFFF"/>
        </w:rPr>
        <w:t>economic sanction violation</w:t>
      </w:r>
      <w:r w:rsidR="002714C0">
        <w:rPr>
          <w:rFonts w:ascii="Times New Roman" w:hAnsi="Times New Roman" w:cs="Times New Roman"/>
          <w:sz w:val="24"/>
          <w:szCs w:val="24"/>
          <w:shd w:val="clear" w:color="auto" w:fill="FFFFFF"/>
        </w:rPr>
        <w:t xml:space="preserve">, securities and mortgage abuses etc. Moreover, the bank also faced problems for </w:t>
      </w:r>
      <w:r w:rsidR="002714C0" w:rsidRPr="00A546BE">
        <w:rPr>
          <w:rFonts w:ascii="Times New Roman" w:hAnsi="Times New Roman" w:cs="Times New Roman"/>
          <w:sz w:val="24"/>
          <w:szCs w:val="24"/>
          <w:shd w:val="clear" w:color="auto" w:fill="FFFFFF"/>
        </w:rPr>
        <w:t>economic sanction violation, investor protection violation</w:t>
      </w:r>
      <w:r w:rsidR="002714C0">
        <w:rPr>
          <w:rFonts w:ascii="Times New Roman" w:hAnsi="Times New Roman" w:cs="Times New Roman"/>
          <w:sz w:val="24"/>
          <w:szCs w:val="24"/>
          <w:shd w:val="clear" w:color="auto" w:fill="FFFFFF"/>
        </w:rPr>
        <w:t>, trading issues etc. Additionally, in 2015, data leaked to the press that HSBC had aided clients</w:t>
      </w:r>
      <w:r w:rsidR="00D73983">
        <w:rPr>
          <w:rFonts w:ascii="Times New Roman" w:hAnsi="Times New Roman" w:cs="Times New Roman"/>
          <w:sz w:val="24"/>
          <w:szCs w:val="24"/>
          <w:shd w:val="clear" w:color="auto" w:fill="FFFFFF"/>
        </w:rPr>
        <w:t>,</w:t>
      </w:r>
      <w:r w:rsidR="002714C0">
        <w:rPr>
          <w:rFonts w:ascii="Times New Roman" w:hAnsi="Times New Roman" w:cs="Times New Roman"/>
          <w:sz w:val="24"/>
          <w:szCs w:val="24"/>
          <w:shd w:val="clear" w:color="auto" w:fill="FFFFFF"/>
        </w:rPr>
        <w:t xml:space="preserve"> spread over 200 countries </w:t>
      </w:r>
      <w:r w:rsidR="00D73983">
        <w:rPr>
          <w:rFonts w:ascii="Times New Roman" w:hAnsi="Times New Roman" w:cs="Times New Roman"/>
          <w:sz w:val="24"/>
          <w:szCs w:val="24"/>
          <w:shd w:val="clear" w:color="auto" w:fill="FFFFFF"/>
        </w:rPr>
        <w:t xml:space="preserve">who had </w:t>
      </w:r>
      <w:r w:rsidR="002714C0">
        <w:rPr>
          <w:rFonts w:ascii="Times New Roman" w:hAnsi="Times New Roman" w:cs="Times New Roman"/>
          <w:sz w:val="24"/>
          <w:szCs w:val="24"/>
          <w:shd w:val="clear" w:color="auto" w:fill="FFFFFF"/>
        </w:rPr>
        <w:t>evade taxes</w:t>
      </w:r>
      <w:r w:rsidR="00D73983">
        <w:rPr>
          <w:rFonts w:ascii="Times New Roman" w:hAnsi="Times New Roman" w:cs="Times New Roman"/>
          <w:sz w:val="24"/>
          <w:szCs w:val="24"/>
          <w:shd w:val="clear" w:color="auto" w:fill="FFFFFF"/>
        </w:rPr>
        <w:t xml:space="preserve"> on accounts worth approximately $119 billion</w:t>
      </w:r>
      <w:r w:rsidR="007B5DFF">
        <w:rPr>
          <w:rFonts w:ascii="Times New Roman" w:hAnsi="Times New Roman" w:cs="Times New Roman"/>
          <w:sz w:val="24"/>
          <w:szCs w:val="24"/>
          <w:shd w:val="clear" w:color="auto" w:fill="FFFFFF"/>
        </w:rPr>
        <w:t xml:space="preserve"> </w:t>
      </w:r>
      <w:r w:rsidR="007B5DFF" w:rsidRPr="007B5DFF">
        <w:rPr>
          <w:rStyle w:val="Strong"/>
          <w:rFonts w:ascii="Times New Roman" w:hAnsi="Times New Roman" w:cs="Times New Roman"/>
          <w:sz w:val="24"/>
          <w:szCs w:val="24"/>
          <w:shd w:val="clear" w:color="auto" w:fill="FFFFFF"/>
        </w:rPr>
        <w:t> </w:t>
      </w:r>
      <w:r w:rsidR="007B5DFF" w:rsidRPr="007B5DFF">
        <w:rPr>
          <w:rStyle w:val="selectable"/>
          <w:rFonts w:ascii="Times New Roman" w:hAnsi="Times New Roman" w:cs="Times New Roman"/>
          <w:sz w:val="24"/>
          <w:szCs w:val="24"/>
          <w:shd w:val="clear" w:color="auto" w:fill="FFFFFF"/>
        </w:rPr>
        <w:t>(ET Bureau, 2016)</w:t>
      </w:r>
      <w:r w:rsidR="00D73983">
        <w:rPr>
          <w:rFonts w:ascii="Times New Roman" w:hAnsi="Times New Roman" w:cs="Times New Roman"/>
          <w:sz w:val="24"/>
          <w:szCs w:val="24"/>
          <w:shd w:val="clear" w:color="auto" w:fill="FFFFFF"/>
        </w:rPr>
        <w:t xml:space="preserve">. </w:t>
      </w:r>
      <w:r w:rsidR="002714C0">
        <w:rPr>
          <w:rFonts w:ascii="Times New Roman" w:hAnsi="Times New Roman" w:cs="Times New Roman"/>
          <w:sz w:val="24"/>
          <w:szCs w:val="24"/>
          <w:shd w:val="clear" w:color="auto" w:fill="FFFFFF"/>
        </w:rPr>
        <w:t xml:space="preserve"> </w:t>
      </w:r>
      <w:r w:rsidR="00FE30A1">
        <w:rPr>
          <w:rFonts w:ascii="Times New Roman" w:hAnsi="Times New Roman" w:cs="Times New Roman"/>
          <w:sz w:val="24"/>
          <w:szCs w:val="24"/>
          <w:shd w:val="clear" w:color="auto" w:fill="FFFFFF"/>
        </w:rPr>
        <w:t xml:space="preserve">Also, from the report by </w:t>
      </w:r>
      <w:r w:rsidR="00FE30A1" w:rsidRPr="00FE30A1">
        <w:rPr>
          <w:rFonts w:ascii="Times New Roman" w:hAnsi="Times New Roman" w:cs="Times New Roman"/>
          <w:sz w:val="24"/>
          <w:szCs w:val="24"/>
          <w:shd w:val="clear" w:color="auto" w:fill="FFFFFF"/>
        </w:rPr>
        <w:t>(Arnold, 2018)</w:t>
      </w:r>
      <w:r w:rsidR="00D73983">
        <w:rPr>
          <w:rFonts w:ascii="Times New Roman" w:hAnsi="Times New Roman" w:cs="Times New Roman"/>
          <w:sz w:val="24"/>
          <w:szCs w:val="24"/>
          <w:shd w:val="clear" w:color="auto" w:fill="FFFFFF"/>
        </w:rPr>
        <w:t xml:space="preserve">, this </w:t>
      </w:r>
      <w:r w:rsidR="007B5DFF">
        <w:rPr>
          <w:rFonts w:ascii="Times New Roman" w:hAnsi="Times New Roman" w:cs="Times New Roman"/>
          <w:sz w:val="24"/>
          <w:szCs w:val="24"/>
          <w:shd w:val="clear" w:color="auto" w:fill="FFFFFF"/>
        </w:rPr>
        <w:t xml:space="preserve">bank </w:t>
      </w:r>
      <w:r w:rsidR="00D73983">
        <w:rPr>
          <w:rFonts w:ascii="Times New Roman" w:hAnsi="Times New Roman" w:cs="Times New Roman"/>
          <w:sz w:val="24"/>
          <w:szCs w:val="24"/>
          <w:shd w:val="clear" w:color="auto" w:fill="FFFFFF"/>
        </w:rPr>
        <w:t>so agreed to pay $101.5 mil</w:t>
      </w:r>
      <w:r w:rsidR="007B5DFF">
        <w:rPr>
          <w:rFonts w:ascii="Times New Roman" w:hAnsi="Times New Roman" w:cs="Times New Roman"/>
          <w:sz w:val="24"/>
          <w:szCs w:val="24"/>
          <w:shd w:val="clear" w:color="auto" w:fill="FFFFFF"/>
        </w:rPr>
        <w:t>l</w:t>
      </w:r>
      <w:r w:rsidR="00D73983">
        <w:rPr>
          <w:rFonts w:ascii="Times New Roman" w:hAnsi="Times New Roman" w:cs="Times New Roman"/>
          <w:sz w:val="24"/>
          <w:szCs w:val="24"/>
          <w:shd w:val="clear" w:color="auto" w:fill="FFFFFF"/>
        </w:rPr>
        <w:t xml:space="preserve">ion penalty for the settlement of </w:t>
      </w:r>
      <w:r w:rsidR="007B5DFF">
        <w:rPr>
          <w:rFonts w:ascii="Times New Roman" w:hAnsi="Times New Roman" w:cs="Times New Roman"/>
          <w:sz w:val="24"/>
          <w:szCs w:val="24"/>
          <w:shd w:val="clear" w:color="auto" w:fill="FFFFFF"/>
        </w:rPr>
        <w:t xml:space="preserve">a rigging case. </w:t>
      </w:r>
      <w:r w:rsidR="00D32102">
        <w:rPr>
          <w:rFonts w:ascii="Times New Roman" w:hAnsi="Times New Roman" w:cs="Times New Roman"/>
          <w:sz w:val="24"/>
          <w:szCs w:val="24"/>
          <w:shd w:val="clear" w:color="auto" w:fill="FFFFFF"/>
        </w:rPr>
        <w:t>Thus as a next step</w:t>
      </w:r>
      <w:r w:rsidR="00D73983">
        <w:rPr>
          <w:rFonts w:ascii="Times New Roman" w:hAnsi="Times New Roman" w:cs="Times New Roman"/>
          <w:sz w:val="24"/>
          <w:szCs w:val="24"/>
          <w:shd w:val="clear" w:color="auto" w:fill="FFFFFF"/>
        </w:rPr>
        <w:t>, it is important</w:t>
      </w:r>
      <w:r w:rsidR="00D32102">
        <w:rPr>
          <w:rFonts w:ascii="Times New Roman" w:hAnsi="Times New Roman" w:cs="Times New Roman"/>
          <w:sz w:val="24"/>
          <w:szCs w:val="24"/>
          <w:shd w:val="clear" w:color="auto" w:fill="FFFFFF"/>
        </w:rPr>
        <w:t xml:space="preserve"> to analyze and find out the current financial condition of HSBC, and compare it to that of Barclay’s </w:t>
      </w:r>
      <w:r w:rsidR="00D73983">
        <w:rPr>
          <w:rFonts w:ascii="Times New Roman" w:hAnsi="Times New Roman" w:cs="Times New Roman"/>
          <w:sz w:val="24"/>
          <w:szCs w:val="24"/>
          <w:shd w:val="clear" w:color="auto" w:fill="FFFFFF"/>
        </w:rPr>
        <w:t xml:space="preserve">present </w:t>
      </w:r>
      <w:r w:rsidR="00D32102">
        <w:rPr>
          <w:rFonts w:ascii="Times New Roman" w:hAnsi="Times New Roman" w:cs="Times New Roman"/>
          <w:sz w:val="24"/>
          <w:szCs w:val="24"/>
          <w:shd w:val="clear" w:color="auto" w:fill="FFFFFF"/>
        </w:rPr>
        <w:t xml:space="preserve">financial </w:t>
      </w:r>
      <w:r w:rsidR="00D73983">
        <w:rPr>
          <w:rFonts w:ascii="Times New Roman" w:hAnsi="Times New Roman" w:cs="Times New Roman"/>
          <w:sz w:val="24"/>
          <w:szCs w:val="24"/>
          <w:shd w:val="clear" w:color="auto" w:fill="FFFFFF"/>
        </w:rPr>
        <w:t>health</w:t>
      </w:r>
      <w:r w:rsidR="00D32102">
        <w:rPr>
          <w:rFonts w:ascii="Times New Roman" w:hAnsi="Times New Roman" w:cs="Times New Roman"/>
          <w:sz w:val="24"/>
          <w:szCs w:val="24"/>
          <w:shd w:val="clear" w:color="auto" w:fill="FFFFFF"/>
        </w:rPr>
        <w:t>. This would help in</w:t>
      </w:r>
      <w:r w:rsidR="00D73983">
        <w:rPr>
          <w:rFonts w:ascii="Times New Roman" w:hAnsi="Times New Roman" w:cs="Times New Roman"/>
          <w:sz w:val="24"/>
          <w:szCs w:val="24"/>
          <w:shd w:val="clear" w:color="auto" w:fill="FFFFFF"/>
        </w:rPr>
        <w:t xml:space="preserve"> throwing</w:t>
      </w:r>
      <w:r w:rsidR="00D32102">
        <w:rPr>
          <w:rFonts w:ascii="Times New Roman" w:hAnsi="Times New Roman" w:cs="Times New Roman"/>
          <w:sz w:val="24"/>
          <w:szCs w:val="24"/>
          <w:shd w:val="clear" w:color="auto" w:fill="FFFFFF"/>
        </w:rPr>
        <w:t xml:space="preserve"> light on the probable issues that might help both the organization to make their base stronger.</w:t>
      </w:r>
    </w:p>
    <w:p w:rsidR="008B4E2F" w:rsidRPr="00A546BE" w:rsidRDefault="00CA656E" w:rsidP="00645873">
      <w:pPr>
        <w:pStyle w:val="Heading1"/>
      </w:pPr>
      <w:bookmarkStart w:id="2" w:name="_Toc512791097"/>
      <w:r w:rsidRPr="00A546BE">
        <w:t>Financial Performance of HSBC</w:t>
      </w:r>
      <w:r w:rsidR="00F619E0">
        <w:t>**</w:t>
      </w:r>
      <w:bookmarkEnd w:id="2"/>
    </w:p>
    <w:p w:rsidR="001E7689" w:rsidRPr="00A546BE" w:rsidRDefault="001E7689" w:rsidP="001E7689">
      <w:pPr>
        <w:rPr>
          <w:rFonts w:ascii="Times New Roman" w:hAnsi="Times New Roman" w:cs="Times New Roman"/>
          <w:sz w:val="24"/>
          <w:szCs w:val="24"/>
        </w:rPr>
      </w:pPr>
    </w:p>
    <w:p w:rsidR="00645873" w:rsidRDefault="001E7689" w:rsidP="00645873">
      <w:pPr>
        <w:pStyle w:val="Heading2"/>
        <w:rPr>
          <w:rFonts w:ascii="Times New Roman" w:eastAsiaTheme="minorHAnsi" w:hAnsi="Times New Roman" w:cs="Times New Roman"/>
          <w:b w:val="0"/>
          <w:bCs w:val="0"/>
          <w:color w:val="auto"/>
          <w:sz w:val="24"/>
          <w:szCs w:val="24"/>
        </w:rPr>
      </w:pPr>
      <w:bookmarkStart w:id="3" w:name="_Toc512791098"/>
      <w:r w:rsidRPr="00645873">
        <w:rPr>
          <w:sz w:val="28"/>
          <w:szCs w:val="28"/>
        </w:rPr>
        <w:t>Liquidity Ratio</w:t>
      </w:r>
      <w:bookmarkEnd w:id="3"/>
    </w:p>
    <w:p w:rsidR="00CA656E" w:rsidRPr="00645873" w:rsidRDefault="001E7689" w:rsidP="00645873">
      <w:pPr>
        <w:pStyle w:val="Heading2"/>
        <w:rPr>
          <w:rFonts w:ascii="Times New Roman" w:eastAsiaTheme="minorHAnsi" w:hAnsi="Times New Roman" w:cs="Times New Roman"/>
          <w:b w:val="0"/>
          <w:bCs w:val="0"/>
          <w:color w:val="auto"/>
          <w:sz w:val="24"/>
          <w:szCs w:val="24"/>
        </w:rPr>
      </w:pPr>
      <w:r w:rsidRPr="00645873">
        <w:rPr>
          <w:rFonts w:ascii="Times New Roman" w:eastAsiaTheme="minorHAnsi" w:hAnsi="Times New Roman" w:cs="Times New Roman"/>
          <w:b w:val="0"/>
          <w:bCs w:val="0"/>
          <w:color w:val="auto"/>
          <w:sz w:val="24"/>
          <w:szCs w:val="24"/>
        </w:rPr>
        <w:t xml:space="preserve"> </w:t>
      </w:r>
    </w:p>
    <w:p w:rsidR="00D81DD2" w:rsidRDefault="00CA656E" w:rsidP="00CA656E">
      <w:pPr>
        <w:spacing w:line="360" w:lineRule="auto"/>
        <w:rPr>
          <w:rFonts w:ascii="Times New Roman" w:hAnsi="Times New Roman" w:cs="Times New Roman"/>
          <w:sz w:val="24"/>
          <w:szCs w:val="24"/>
        </w:rPr>
      </w:pPr>
      <w:r w:rsidRPr="00A546BE">
        <w:rPr>
          <w:rFonts w:ascii="Times New Roman" w:hAnsi="Times New Roman" w:cs="Times New Roman"/>
          <w:sz w:val="24"/>
          <w:szCs w:val="24"/>
        </w:rPr>
        <w:tab/>
        <w:t>To assess the liquidity of HSBC, the loan to deposit ratio has been calculated for the past 5 financial years.  As table 1</w:t>
      </w:r>
      <w:r w:rsidR="005B2A9E">
        <w:rPr>
          <w:rFonts w:ascii="Times New Roman" w:hAnsi="Times New Roman" w:cs="Times New Roman"/>
          <w:sz w:val="24"/>
          <w:szCs w:val="24"/>
        </w:rPr>
        <w:t>A</w:t>
      </w:r>
      <w:r w:rsidRPr="00A546BE">
        <w:rPr>
          <w:rFonts w:ascii="Times New Roman" w:hAnsi="Times New Roman" w:cs="Times New Roman"/>
          <w:sz w:val="24"/>
          <w:szCs w:val="24"/>
        </w:rPr>
        <w:t xml:space="preserve"> show</w:t>
      </w:r>
      <w:r w:rsidR="001E7815">
        <w:rPr>
          <w:rFonts w:ascii="Times New Roman" w:hAnsi="Times New Roman" w:cs="Times New Roman"/>
          <w:sz w:val="24"/>
          <w:szCs w:val="24"/>
        </w:rPr>
        <w:t>s</w:t>
      </w:r>
      <w:r w:rsidRPr="00A546BE">
        <w:rPr>
          <w:rFonts w:ascii="Times New Roman" w:hAnsi="Times New Roman" w:cs="Times New Roman"/>
          <w:sz w:val="24"/>
          <w:szCs w:val="24"/>
        </w:rPr>
        <w:t>, the amount of loans has reduced to a certain extent in 2015 as compared to 2013, but from 2016 onwards, it started increasing. At the same time, the total assets of the bank</w:t>
      </w:r>
      <w:r w:rsidR="00D75ADF" w:rsidRPr="00A546BE">
        <w:rPr>
          <w:rFonts w:ascii="Times New Roman" w:hAnsi="Times New Roman" w:cs="Times New Roman"/>
          <w:sz w:val="24"/>
          <w:szCs w:val="24"/>
        </w:rPr>
        <w:t xml:space="preserve"> also decreased till 2015 and then it started rising. On calculating the loans to deposit ratio, it can be found that </w:t>
      </w:r>
      <w:r w:rsidR="00A247E9" w:rsidRPr="00A546BE">
        <w:rPr>
          <w:rFonts w:ascii="Times New Roman" w:hAnsi="Times New Roman" w:cs="Times New Roman"/>
          <w:sz w:val="24"/>
          <w:szCs w:val="24"/>
        </w:rPr>
        <w:t xml:space="preserve">the percentage has almost remained the same, with a little bit of fluctuation in 2014 and 2015. However, it is evident from the low ratio that for the past five years the earning of the bank was not high, affecting the liquidity position of HSBC to a great extent. </w:t>
      </w:r>
      <w:r w:rsidR="008A687B">
        <w:rPr>
          <w:rFonts w:ascii="Times New Roman" w:hAnsi="Times New Roman" w:cs="Times New Roman"/>
          <w:sz w:val="24"/>
          <w:szCs w:val="24"/>
        </w:rPr>
        <w:t xml:space="preserve">The data for the </w:t>
      </w:r>
      <w:r w:rsidR="008A687B" w:rsidRPr="00A546BE">
        <w:rPr>
          <w:rFonts w:ascii="Times New Roman" w:hAnsi="Times New Roman" w:cs="Times New Roman"/>
          <w:sz w:val="24"/>
          <w:szCs w:val="24"/>
        </w:rPr>
        <w:t>table</w:t>
      </w:r>
      <w:r w:rsidR="008A687B">
        <w:rPr>
          <w:rFonts w:ascii="Times New Roman" w:hAnsi="Times New Roman" w:cs="Times New Roman"/>
          <w:sz w:val="24"/>
          <w:szCs w:val="24"/>
        </w:rPr>
        <w:t xml:space="preserve"> given below</w:t>
      </w:r>
      <w:r w:rsidR="008A687B" w:rsidRPr="00A546BE">
        <w:rPr>
          <w:rFonts w:ascii="Times New Roman" w:hAnsi="Times New Roman" w:cs="Times New Roman"/>
          <w:sz w:val="24"/>
          <w:szCs w:val="24"/>
        </w:rPr>
        <w:t xml:space="preserve"> is shown in figures 1 to 6 of appendix 1.</w:t>
      </w:r>
    </w:p>
    <w:p w:rsidR="00CA656E" w:rsidRPr="00D81DD2" w:rsidRDefault="00D81DD2" w:rsidP="00D81DD2">
      <w:r>
        <w:br w:type="page"/>
      </w:r>
    </w:p>
    <w:tbl>
      <w:tblPr>
        <w:tblStyle w:val="TableGrid"/>
        <w:tblW w:w="4248" w:type="dxa"/>
        <w:jc w:val="center"/>
        <w:tblLook w:val="04A0" w:firstRow="1" w:lastRow="0" w:firstColumn="1" w:lastColumn="0" w:noHBand="0" w:noVBand="1"/>
      </w:tblPr>
      <w:tblGrid>
        <w:gridCol w:w="696"/>
        <w:gridCol w:w="1155"/>
        <w:gridCol w:w="1260"/>
        <w:gridCol w:w="1170"/>
      </w:tblGrid>
      <w:tr w:rsidR="00526B46" w:rsidRPr="00A546BE" w:rsidTr="00526B46">
        <w:trPr>
          <w:trHeight w:val="405"/>
          <w:jc w:val="center"/>
        </w:trPr>
        <w:tc>
          <w:tcPr>
            <w:tcW w:w="4248" w:type="dxa"/>
            <w:gridSpan w:val="4"/>
            <w:noWrap/>
            <w:hideMark/>
          </w:tcPr>
          <w:p w:rsidR="00526B46" w:rsidRPr="00A546BE" w:rsidRDefault="00526B46" w:rsidP="00526B46">
            <w:pPr>
              <w:jc w:val="cente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lastRenderedPageBreak/>
              <w:t>Table 1</w:t>
            </w:r>
            <w:r w:rsidR="005B2A9E">
              <w:rPr>
                <w:rFonts w:ascii="Times New Roman" w:eastAsia="Times New Roman" w:hAnsi="Times New Roman" w:cs="Times New Roman"/>
                <w:color w:val="000000"/>
                <w:sz w:val="24"/>
                <w:szCs w:val="24"/>
              </w:rPr>
              <w:t>A</w:t>
            </w:r>
            <w:r w:rsidRPr="00A546BE">
              <w:rPr>
                <w:rFonts w:ascii="Times New Roman" w:eastAsia="Times New Roman" w:hAnsi="Times New Roman" w:cs="Times New Roman"/>
                <w:color w:val="000000"/>
                <w:sz w:val="24"/>
                <w:szCs w:val="24"/>
              </w:rPr>
              <w:t>: Loan to Deposit Ratio for FY 2013 - 2017</w:t>
            </w:r>
          </w:p>
        </w:tc>
      </w:tr>
      <w:tr w:rsidR="00526B46" w:rsidRPr="00A546BE" w:rsidTr="00526B46">
        <w:trPr>
          <w:trHeight w:val="975"/>
          <w:jc w:val="center"/>
        </w:trPr>
        <w:tc>
          <w:tcPr>
            <w:tcW w:w="663" w:type="dxa"/>
            <w:noWrap/>
            <w:hideMark/>
          </w:tcPr>
          <w:p w:rsidR="00526B46" w:rsidRPr="00A546BE" w:rsidRDefault="00526B46" w:rsidP="00526B46">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155" w:type="dxa"/>
            <w:noWrap/>
            <w:hideMark/>
          </w:tcPr>
          <w:p w:rsidR="00526B46" w:rsidRPr="00A546BE" w:rsidRDefault="00526B46" w:rsidP="00526B46">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Loans (£m)</w:t>
            </w:r>
          </w:p>
        </w:tc>
        <w:tc>
          <w:tcPr>
            <w:tcW w:w="1260" w:type="dxa"/>
            <w:noWrap/>
            <w:hideMark/>
          </w:tcPr>
          <w:p w:rsidR="00526B46" w:rsidRPr="00A546BE" w:rsidRDefault="00526B46" w:rsidP="00526B46">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Deposits (£m)</w:t>
            </w:r>
          </w:p>
        </w:tc>
        <w:tc>
          <w:tcPr>
            <w:tcW w:w="1170" w:type="dxa"/>
            <w:hideMark/>
          </w:tcPr>
          <w:p w:rsidR="00526B46" w:rsidRPr="00A546BE" w:rsidRDefault="00526B46" w:rsidP="00526B46">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Loans to Deposits Ratio </w:t>
            </w:r>
          </w:p>
        </w:tc>
      </w:tr>
      <w:tr w:rsidR="00526B46" w:rsidRPr="00A546BE" w:rsidTr="00526B46">
        <w:trPr>
          <w:trHeight w:val="300"/>
          <w:jc w:val="center"/>
        </w:trPr>
        <w:tc>
          <w:tcPr>
            <w:tcW w:w="663"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155"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219754</w:t>
            </w:r>
          </w:p>
        </w:tc>
        <w:tc>
          <w:tcPr>
            <w:tcW w:w="126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811695</w:t>
            </w:r>
          </w:p>
        </w:tc>
        <w:tc>
          <w:tcPr>
            <w:tcW w:w="117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27%</w:t>
            </w:r>
          </w:p>
        </w:tc>
      </w:tr>
      <w:tr w:rsidR="00526B46" w:rsidRPr="00A546BE" w:rsidTr="00526B46">
        <w:trPr>
          <w:trHeight w:val="300"/>
          <w:jc w:val="center"/>
        </w:trPr>
        <w:tc>
          <w:tcPr>
            <w:tcW w:w="663"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155"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203449</w:t>
            </w:r>
          </w:p>
        </w:tc>
        <w:tc>
          <w:tcPr>
            <w:tcW w:w="126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797289</w:t>
            </w:r>
          </w:p>
        </w:tc>
        <w:tc>
          <w:tcPr>
            <w:tcW w:w="117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26%</w:t>
            </w:r>
          </w:p>
        </w:tc>
      </w:tr>
      <w:tr w:rsidR="00526B46" w:rsidRPr="00A546BE" w:rsidTr="00526B46">
        <w:trPr>
          <w:trHeight w:val="300"/>
          <w:jc w:val="center"/>
        </w:trPr>
        <w:tc>
          <w:tcPr>
            <w:tcW w:w="663"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155"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207073</w:t>
            </w:r>
          </w:p>
        </w:tc>
        <w:tc>
          <w:tcPr>
            <w:tcW w:w="126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727941</w:t>
            </w:r>
          </w:p>
        </w:tc>
        <w:tc>
          <w:tcPr>
            <w:tcW w:w="117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28%</w:t>
            </w:r>
          </w:p>
        </w:tc>
      </w:tr>
      <w:tr w:rsidR="00526B46" w:rsidRPr="00A546BE" w:rsidTr="00526B46">
        <w:trPr>
          <w:trHeight w:val="300"/>
          <w:jc w:val="center"/>
        </w:trPr>
        <w:tc>
          <w:tcPr>
            <w:tcW w:w="663"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155"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216633</w:t>
            </w:r>
          </w:p>
        </w:tc>
        <w:tc>
          <w:tcPr>
            <w:tcW w:w="126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816829</w:t>
            </w:r>
          </w:p>
        </w:tc>
        <w:tc>
          <w:tcPr>
            <w:tcW w:w="117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27%</w:t>
            </w:r>
          </w:p>
        </w:tc>
      </w:tr>
      <w:tr w:rsidR="00526B46" w:rsidRPr="00A546BE" w:rsidTr="00526B46">
        <w:trPr>
          <w:trHeight w:val="300"/>
          <w:jc w:val="center"/>
        </w:trPr>
        <w:tc>
          <w:tcPr>
            <w:tcW w:w="663"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155"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222011</w:t>
            </w:r>
          </w:p>
        </w:tc>
        <w:tc>
          <w:tcPr>
            <w:tcW w:w="126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818868</w:t>
            </w:r>
          </w:p>
        </w:tc>
        <w:tc>
          <w:tcPr>
            <w:tcW w:w="1170" w:type="dxa"/>
            <w:noWrap/>
            <w:hideMark/>
          </w:tcPr>
          <w:p w:rsidR="00526B46" w:rsidRPr="00A546BE" w:rsidRDefault="00526B46" w:rsidP="00526B46">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27%</w:t>
            </w:r>
          </w:p>
        </w:tc>
      </w:tr>
    </w:tbl>
    <w:p w:rsidR="00526B46" w:rsidRPr="00A546BE" w:rsidRDefault="00526B46" w:rsidP="00526B46">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6B14BF" w:rsidRDefault="005B2A9E" w:rsidP="00526B46">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To measure the ability of HSBC in order to pay off the short term obligations with the current assets, current ratio has </w:t>
      </w:r>
      <w:r w:rsidR="00574545">
        <w:rPr>
          <w:rFonts w:ascii="Times New Roman" w:hAnsi="Times New Roman" w:cs="Times New Roman"/>
          <w:sz w:val="24"/>
          <w:szCs w:val="24"/>
        </w:rPr>
        <w:t xml:space="preserve">also </w:t>
      </w:r>
      <w:r>
        <w:rPr>
          <w:rFonts w:ascii="Times New Roman" w:hAnsi="Times New Roman" w:cs="Times New Roman"/>
          <w:sz w:val="24"/>
          <w:szCs w:val="24"/>
        </w:rPr>
        <w:t>been calculated in this study. It helps to provide an insight about whether there has enough cash to pay the immediate debts of the bank. As it can be revealed from table 1B (information</w:t>
      </w:r>
      <w:r w:rsidR="004F0ECA">
        <w:rPr>
          <w:rFonts w:ascii="Times New Roman" w:hAnsi="Times New Roman" w:cs="Times New Roman"/>
          <w:sz w:val="24"/>
          <w:szCs w:val="24"/>
        </w:rPr>
        <w:t xml:space="preserve"> provided in appendix 1), that the current assets, which include cash balances at the central banks, trading assets, and the items in the course of collection, has decreased at first, but gradually from 2016 onwards, the value of current assets has increased. </w:t>
      </w:r>
      <w:r w:rsidR="000A65D8">
        <w:rPr>
          <w:rFonts w:ascii="Times New Roman" w:hAnsi="Times New Roman" w:cs="Times New Roman"/>
          <w:sz w:val="24"/>
          <w:szCs w:val="24"/>
        </w:rPr>
        <w:t xml:space="preserve">Similarly, it can be also noticed that the current liabilities, which include trading liabilities, current tax liabilities, accruals, deferred income and the provisions, has increased to a great extent in 2017 as compared to 2013. </w:t>
      </w:r>
    </w:p>
    <w:tbl>
      <w:tblPr>
        <w:tblStyle w:val="TableGrid"/>
        <w:tblW w:w="4218" w:type="dxa"/>
        <w:jc w:val="center"/>
        <w:tblLook w:val="04A0" w:firstRow="1" w:lastRow="0" w:firstColumn="1" w:lastColumn="0" w:noHBand="0" w:noVBand="1"/>
      </w:tblPr>
      <w:tblGrid>
        <w:gridCol w:w="696"/>
        <w:gridCol w:w="1058"/>
        <w:gridCol w:w="1309"/>
        <w:gridCol w:w="1155"/>
      </w:tblGrid>
      <w:tr w:rsidR="006B14BF" w:rsidRPr="006B14BF" w:rsidTr="006B14BF">
        <w:trPr>
          <w:trHeight w:val="405"/>
          <w:jc w:val="center"/>
        </w:trPr>
        <w:tc>
          <w:tcPr>
            <w:tcW w:w="4218" w:type="dxa"/>
            <w:gridSpan w:val="4"/>
            <w:noWrap/>
            <w:hideMark/>
          </w:tcPr>
          <w:p w:rsidR="006B14BF" w:rsidRPr="006B14BF" w:rsidRDefault="006B14BF" w:rsidP="006B14BF">
            <w:pP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Table 1B: </w:t>
            </w:r>
            <w:r w:rsidRPr="006B14BF">
              <w:rPr>
                <w:rFonts w:ascii="Times New Roman" w:eastAsia="Times New Roman" w:hAnsi="Times New Roman" w:cs="Times New Roman"/>
                <w:color w:val="000000"/>
                <w:sz w:val="24"/>
                <w:szCs w:val="24"/>
              </w:rPr>
              <w:t>Current Ratio</w:t>
            </w:r>
            <w:r>
              <w:rPr>
                <w:rFonts w:ascii="Times New Roman" w:eastAsia="Times New Roman" w:hAnsi="Times New Roman" w:cs="Times New Roman"/>
                <w:color w:val="000000"/>
                <w:sz w:val="24"/>
                <w:szCs w:val="24"/>
              </w:rPr>
              <w:t xml:space="preserve"> for FY 2013-2017</w:t>
            </w:r>
          </w:p>
        </w:tc>
      </w:tr>
      <w:tr w:rsidR="006B14BF" w:rsidRPr="006B14BF" w:rsidTr="006B14BF">
        <w:trPr>
          <w:trHeight w:val="975"/>
          <w:jc w:val="center"/>
        </w:trPr>
        <w:tc>
          <w:tcPr>
            <w:tcW w:w="696" w:type="dxa"/>
            <w:noWrap/>
            <w:hideMark/>
          </w:tcPr>
          <w:p w:rsidR="006B14BF" w:rsidRPr="006B14BF" w:rsidRDefault="006B14BF" w:rsidP="006B14BF">
            <w:pPr>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 xml:space="preserve">Year </w:t>
            </w:r>
          </w:p>
        </w:tc>
        <w:tc>
          <w:tcPr>
            <w:tcW w:w="1058" w:type="dxa"/>
            <w:hideMark/>
          </w:tcPr>
          <w:p w:rsidR="006B14BF" w:rsidRPr="006B14BF" w:rsidRDefault="006B14BF" w:rsidP="006B14BF">
            <w:pPr>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Current Assets (£m)</w:t>
            </w:r>
          </w:p>
        </w:tc>
        <w:tc>
          <w:tcPr>
            <w:tcW w:w="1309" w:type="dxa"/>
            <w:hideMark/>
          </w:tcPr>
          <w:p w:rsidR="006B14BF" w:rsidRPr="006B14BF" w:rsidRDefault="006B14BF" w:rsidP="006B14BF">
            <w:pPr>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 xml:space="preserve">Current Liabilities (£m) </w:t>
            </w:r>
          </w:p>
        </w:tc>
        <w:tc>
          <w:tcPr>
            <w:tcW w:w="1155" w:type="dxa"/>
            <w:hideMark/>
          </w:tcPr>
          <w:p w:rsidR="006B14BF" w:rsidRPr="006B14BF" w:rsidRDefault="006B14BF" w:rsidP="006B14BF">
            <w:pPr>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 xml:space="preserve">Current Ratio </w:t>
            </w:r>
          </w:p>
        </w:tc>
      </w:tr>
      <w:tr w:rsidR="006B14BF" w:rsidRPr="006B14BF" w:rsidTr="006B14BF">
        <w:trPr>
          <w:trHeight w:val="300"/>
          <w:jc w:val="center"/>
        </w:trPr>
        <w:tc>
          <w:tcPr>
            <w:tcW w:w="696"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2013</w:t>
            </w:r>
          </w:p>
        </w:tc>
        <w:tc>
          <w:tcPr>
            <w:tcW w:w="1058"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164842</w:t>
            </w:r>
          </w:p>
        </w:tc>
        <w:tc>
          <w:tcPr>
            <w:tcW w:w="1309"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65551</w:t>
            </w:r>
          </w:p>
        </w:tc>
        <w:tc>
          <w:tcPr>
            <w:tcW w:w="1155"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2.514714</w:t>
            </w:r>
          </w:p>
        </w:tc>
      </w:tr>
      <w:tr w:rsidR="006B14BF" w:rsidRPr="006B14BF" w:rsidTr="006B14BF">
        <w:trPr>
          <w:trHeight w:val="300"/>
          <w:jc w:val="center"/>
        </w:trPr>
        <w:tc>
          <w:tcPr>
            <w:tcW w:w="696"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2014</w:t>
            </w:r>
          </w:p>
        </w:tc>
        <w:tc>
          <w:tcPr>
            <w:tcW w:w="1058"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152719</w:t>
            </w:r>
          </w:p>
        </w:tc>
        <w:tc>
          <w:tcPr>
            <w:tcW w:w="1309"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65833</w:t>
            </w:r>
          </w:p>
        </w:tc>
        <w:tc>
          <w:tcPr>
            <w:tcW w:w="1155"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2.319794</w:t>
            </w:r>
          </w:p>
        </w:tc>
      </w:tr>
      <w:tr w:rsidR="006B14BF" w:rsidRPr="006B14BF" w:rsidTr="006B14BF">
        <w:trPr>
          <w:trHeight w:val="300"/>
          <w:jc w:val="center"/>
        </w:trPr>
        <w:tc>
          <w:tcPr>
            <w:tcW w:w="696"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2015</w:t>
            </w:r>
          </w:p>
        </w:tc>
        <w:tc>
          <w:tcPr>
            <w:tcW w:w="1058"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139271</w:t>
            </w:r>
          </w:p>
        </w:tc>
        <w:tc>
          <w:tcPr>
            <w:tcW w:w="1309"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62840</w:t>
            </w:r>
          </w:p>
        </w:tc>
        <w:tc>
          <w:tcPr>
            <w:tcW w:w="1155"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2.216279</w:t>
            </w:r>
          </w:p>
        </w:tc>
      </w:tr>
      <w:tr w:rsidR="006B14BF" w:rsidRPr="006B14BF" w:rsidTr="006B14BF">
        <w:trPr>
          <w:trHeight w:val="300"/>
          <w:jc w:val="center"/>
        </w:trPr>
        <w:tc>
          <w:tcPr>
            <w:tcW w:w="696"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2016</w:t>
            </w:r>
          </w:p>
        </w:tc>
        <w:tc>
          <w:tcPr>
            <w:tcW w:w="1058"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179347</w:t>
            </w:r>
          </w:p>
        </w:tc>
        <w:tc>
          <w:tcPr>
            <w:tcW w:w="1309"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113658</w:t>
            </w:r>
          </w:p>
        </w:tc>
        <w:tc>
          <w:tcPr>
            <w:tcW w:w="1155"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1.577953</w:t>
            </w:r>
          </w:p>
        </w:tc>
      </w:tr>
      <w:tr w:rsidR="006B14BF" w:rsidRPr="006B14BF" w:rsidTr="006B14BF">
        <w:trPr>
          <w:trHeight w:val="300"/>
          <w:jc w:val="center"/>
        </w:trPr>
        <w:tc>
          <w:tcPr>
            <w:tcW w:w="696"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2017</w:t>
            </w:r>
          </w:p>
        </w:tc>
        <w:tc>
          <w:tcPr>
            <w:tcW w:w="1058"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243326</w:t>
            </w:r>
          </w:p>
        </w:tc>
        <w:tc>
          <w:tcPr>
            <w:tcW w:w="1309"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127529</w:t>
            </w:r>
          </w:p>
        </w:tc>
        <w:tc>
          <w:tcPr>
            <w:tcW w:w="1155" w:type="dxa"/>
            <w:noWrap/>
            <w:hideMark/>
          </w:tcPr>
          <w:p w:rsidR="006B14BF" w:rsidRPr="006B14BF" w:rsidRDefault="006B14BF" w:rsidP="006B14BF">
            <w:pPr>
              <w:jc w:val="right"/>
              <w:rPr>
                <w:rFonts w:ascii="Times New Roman" w:eastAsia="Times New Roman" w:hAnsi="Times New Roman" w:cs="Times New Roman"/>
                <w:color w:val="000000"/>
                <w:sz w:val="24"/>
                <w:szCs w:val="24"/>
              </w:rPr>
            </w:pPr>
            <w:r w:rsidRPr="006B14BF">
              <w:rPr>
                <w:rFonts w:ascii="Times New Roman" w:eastAsia="Times New Roman" w:hAnsi="Times New Roman" w:cs="Times New Roman"/>
                <w:color w:val="000000"/>
                <w:sz w:val="24"/>
                <w:szCs w:val="24"/>
              </w:rPr>
              <w:t>1.908005</w:t>
            </w:r>
          </w:p>
        </w:tc>
      </w:tr>
    </w:tbl>
    <w:p w:rsidR="006B14BF" w:rsidRDefault="006B14BF" w:rsidP="006B14BF">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8A687B" w:rsidRDefault="000A65D8" w:rsidP="006B14B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Calculating the current ratio, it can be seen that for the past five financial years the current ratio was above 1, with highest in the year 2013.  It is also to be noted that the value has decreased from 2013 and it was almost 1.90 in the last financial year. </w:t>
      </w:r>
      <w:r w:rsidR="00213D3F">
        <w:rPr>
          <w:rFonts w:ascii="Times New Roman" w:hAnsi="Times New Roman" w:cs="Times New Roman"/>
          <w:sz w:val="24"/>
          <w:szCs w:val="24"/>
        </w:rPr>
        <w:t xml:space="preserve">Therefore the current ratio depicts that HSBC is capable of paying the short term liabilities with cash. </w:t>
      </w:r>
      <w:r w:rsidR="00CC5E1D">
        <w:rPr>
          <w:rFonts w:ascii="Times New Roman" w:hAnsi="Times New Roman" w:cs="Times New Roman"/>
          <w:sz w:val="24"/>
          <w:szCs w:val="24"/>
        </w:rPr>
        <w:t xml:space="preserve">It is evident that due </w:t>
      </w:r>
      <w:r w:rsidR="00CC5E1D">
        <w:rPr>
          <w:rFonts w:ascii="Times New Roman" w:hAnsi="Times New Roman" w:cs="Times New Roman"/>
          <w:sz w:val="24"/>
          <w:szCs w:val="24"/>
        </w:rPr>
        <w:lastRenderedPageBreak/>
        <w:t xml:space="preserve">to challenging market conditions in 2017, the ratio had decreased. </w:t>
      </w:r>
      <w:r w:rsidR="00213D3F">
        <w:rPr>
          <w:rFonts w:ascii="Times New Roman" w:hAnsi="Times New Roman" w:cs="Times New Roman"/>
          <w:sz w:val="24"/>
          <w:szCs w:val="24"/>
        </w:rPr>
        <w:t xml:space="preserve">Hence it can be said that the financial health in this context is good, therefore it is possible for the bank to maintain sustainability in the long run. </w:t>
      </w:r>
    </w:p>
    <w:p w:rsidR="008A687B" w:rsidRPr="00EB5B25" w:rsidRDefault="002B54E4" w:rsidP="00EB5B25">
      <w:pPr>
        <w:pStyle w:val="Heading2"/>
        <w:spacing w:line="360" w:lineRule="auto"/>
        <w:rPr>
          <w:sz w:val="28"/>
          <w:szCs w:val="28"/>
        </w:rPr>
      </w:pPr>
      <w:bookmarkStart w:id="4" w:name="_Toc512791099"/>
      <w:r>
        <w:rPr>
          <w:sz w:val="28"/>
          <w:szCs w:val="28"/>
        </w:rPr>
        <w:t>Asset Quality</w:t>
      </w:r>
      <w:bookmarkEnd w:id="4"/>
      <w:r w:rsidR="008A687B" w:rsidRPr="00645873">
        <w:rPr>
          <w:sz w:val="28"/>
          <w:szCs w:val="28"/>
        </w:rPr>
        <w:t xml:space="preserve"> </w:t>
      </w:r>
    </w:p>
    <w:p w:rsidR="00DE71C5" w:rsidRPr="00A546BE" w:rsidRDefault="00526B46" w:rsidP="00526B46">
      <w:pPr>
        <w:spacing w:line="360" w:lineRule="auto"/>
        <w:rPr>
          <w:rFonts w:ascii="Times New Roman" w:hAnsi="Times New Roman" w:cs="Times New Roman"/>
          <w:sz w:val="24"/>
          <w:szCs w:val="24"/>
        </w:rPr>
      </w:pPr>
      <w:r w:rsidRPr="00A546BE">
        <w:rPr>
          <w:rFonts w:ascii="Times New Roman" w:hAnsi="Times New Roman" w:cs="Times New Roman"/>
          <w:sz w:val="24"/>
          <w:szCs w:val="24"/>
        </w:rPr>
        <w:tab/>
      </w:r>
      <w:r w:rsidR="002B54E4">
        <w:rPr>
          <w:rFonts w:ascii="Times New Roman" w:hAnsi="Times New Roman" w:cs="Times New Roman"/>
          <w:sz w:val="24"/>
          <w:szCs w:val="24"/>
        </w:rPr>
        <w:t>To measure the quality of the assets, a</w:t>
      </w:r>
      <w:r w:rsidR="00744014" w:rsidRPr="00A546BE">
        <w:rPr>
          <w:rFonts w:ascii="Times New Roman" w:hAnsi="Times New Roman" w:cs="Times New Roman"/>
          <w:sz w:val="24"/>
          <w:szCs w:val="24"/>
        </w:rPr>
        <w:t xml:space="preserve"> leverage ratio ca</w:t>
      </w:r>
      <w:r w:rsidR="002B54E4">
        <w:rPr>
          <w:rFonts w:ascii="Times New Roman" w:hAnsi="Times New Roman" w:cs="Times New Roman"/>
          <w:sz w:val="24"/>
          <w:szCs w:val="24"/>
        </w:rPr>
        <w:t>lled debt to equity ratio has</w:t>
      </w:r>
      <w:r w:rsidR="00744014" w:rsidRPr="00A546BE">
        <w:rPr>
          <w:rFonts w:ascii="Times New Roman" w:hAnsi="Times New Roman" w:cs="Times New Roman"/>
          <w:sz w:val="24"/>
          <w:szCs w:val="24"/>
        </w:rPr>
        <w:t xml:space="preserve"> been taken into consideration to compare the total liabilities of HSBC with that of total shareholder’s equity. As it can be observed from table 2, whose information is provided in appendix 3 and 4, that the shareholder’s equity has increase at an increasing rate, with a decrease in the total liabilities </w:t>
      </w:r>
      <w:r w:rsidR="00EA0C29" w:rsidRPr="00A546BE">
        <w:rPr>
          <w:rFonts w:ascii="Times New Roman" w:hAnsi="Times New Roman" w:cs="Times New Roman"/>
          <w:sz w:val="24"/>
          <w:szCs w:val="24"/>
        </w:rPr>
        <w:t xml:space="preserve">till 2015. As a result, the debt to equity ratio has also started decreasing from 2013 till the last financial year. The ratio reduced from 24.1 in 2013 to almost 17.8 in 2017, measuring the ability of HSBC to repay its short term and long term obligations is decreasing day by day. </w:t>
      </w:r>
    </w:p>
    <w:p w:rsidR="00DE71C5" w:rsidRPr="00A546BE" w:rsidRDefault="00DE71C5" w:rsidP="00251E0D">
      <w:pPr>
        <w:jc w:val="center"/>
        <w:rPr>
          <w:rFonts w:ascii="Times New Roman" w:hAnsi="Times New Roman" w:cs="Times New Roman"/>
          <w:sz w:val="24"/>
          <w:szCs w:val="24"/>
        </w:rPr>
      </w:pPr>
      <w:r w:rsidRPr="00A546BE">
        <w:rPr>
          <w:rFonts w:ascii="Times New Roman" w:eastAsia="Times New Roman" w:hAnsi="Times New Roman" w:cs="Times New Roman"/>
          <w:color w:val="000000"/>
          <w:sz w:val="24"/>
          <w:szCs w:val="24"/>
        </w:rPr>
        <w:t>Table 2: Leverage Ratios for FY 2013-2017</w:t>
      </w:r>
    </w:p>
    <w:tbl>
      <w:tblPr>
        <w:tblStyle w:val="TableGrid"/>
        <w:tblW w:w="7619" w:type="dxa"/>
        <w:jc w:val="center"/>
        <w:tblLook w:val="04A0" w:firstRow="1" w:lastRow="0" w:firstColumn="1" w:lastColumn="0" w:noHBand="0" w:noVBand="1"/>
      </w:tblPr>
      <w:tblGrid>
        <w:gridCol w:w="696"/>
        <w:gridCol w:w="1430"/>
        <w:gridCol w:w="1667"/>
        <w:gridCol w:w="1235"/>
        <w:gridCol w:w="1476"/>
        <w:gridCol w:w="1164"/>
      </w:tblGrid>
      <w:tr w:rsidR="00DE71C5" w:rsidRPr="00A546BE" w:rsidTr="00DE71C5">
        <w:trPr>
          <w:trHeight w:val="975"/>
          <w:jc w:val="center"/>
        </w:trPr>
        <w:tc>
          <w:tcPr>
            <w:tcW w:w="663" w:type="dxa"/>
            <w:noWrap/>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430" w:type="dxa"/>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Liabilities  (£m)</w:t>
            </w:r>
          </w:p>
        </w:tc>
        <w:tc>
          <w:tcPr>
            <w:tcW w:w="1667" w:type="dxa"/>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Shareholder's Equity  (£m)</w:t>
            </w:r>
          </w:p>
        </w:tc>
        <w:tc>
          <w:tcPr>
            <w:tcW w:w="1235" w:type="dxa"/>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Assets (£m)</w:t>
            </w:r>
          </w:p>
        </w:tc>
        <w:tc>
          <w:tcPr>
            <w:tcW w:w="1460" w:type="dxa"/>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Debt to Equity Ratio </w:t>
            </w:r>
          </w:p>
        </w:tc>
        <w:tc>
          <w:tcPr>
            <w:tcW w:w="1164" w:type="dxa"/>
            <w:hideMark/>
          </w:tcPr>
          <w:p w:rsidR="00DE71C5" w:rsidRPr="00A546BE" w:rsidRDefault="00DE71C5" w:rsidP="00DE71C5">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Debt to Assets Ratio</w:t>
            </w:r>
          </w:p>
        </w:tc>
      </w:tr>
      <w:tr w:rsidR="00DE71C5" w:rsidRPr="00A546BE" w:rsidTr="00477DEF">
        <w:trPr>
          <w:trHeight w:val="300"/>
          <w:jc w:val="center"/>
        </w:trPr>
        <w:tc>
          <w:tcPr>
            <w:tcW w:w="663"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43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778776</w:t>
            </w:r>
          </w:p>
        </w:tc>
        <w:tc>
          <w:tcPr>
            <w:tcW w:w="1667"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32370</w:t>
            </w:r>
          </w:p>
        </w:tc>
        <w:tc>
          <w:tcPr>
            <w:tcW w:w="1235"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811695</w:t>
            </w:r>
          </w:p>
        </w:tc>
        <w:tc>
          <w:tcPr>
            <w:tcW w:w="146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24.05857275</w:t>
            </w:r>
          </w:p>
        </w:tc>
        <w:tc>
          <w:tcPr>
            <w:tcW w:w="1164" w:type="dxa"/>
            <w:noWrap/>
            <w:vAlign w:val="bottom"/>
            <w:hideMark/>
          </w:tcPr>
          <w:p w:rsidR="00DE71C5" w:rsidRPr="00A546BE" w:rsidRDefault="00DE71C5">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96%</w:t>
            </w:r>
          </w:p>
        </w:tc>
      </w:tr>
      <w:tr w:rsidR="00DE71C5" w:rsidRPr="00A546BE" w:rsidTr="00477DEF">
        <w:trPr>
          <w:trHeight w:val="300"/>
          <w:jc w:val="center"/>
        </w:trPr>
        <w:tc>
          <w:tcPr>
            <w:tcW w:w="663"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43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760591</w:t>
            </w:r>
          </w:p>
        </w:tc>
        <w:tc>
          <w:tcPr>
            <w:tcW w:w="1667"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36078</w:t>
            </w:r>
          </w:p>
        </w:tc>
        <w:tc>
          <w:tcPr>
            <w:tcW w:w="1235"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797289</w:t>
            </w:r>
          </w:p>
        </w:tc>
        <w:tc>
          <w:tcPr>
            <w:tcW w:w="146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21.08185044</w:t>
            </w:r>
          </w:p>
        </w:tc>
        <w:tc>
          <w:tcPr>
            <w:tcW w:w="1164" w:type="dxa"/>
            <w:noWrap/>
            <w:vAlign w:val="bottom"/>
            <w:hideMark/>
          </w:tcPr>
          <w:p w:rsidR="00DE71C5" w:rsidRPr="00A546BE" w:rsidRDefault="00DE71C5">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95%</w:t>
            </w:r>
          </w:p>
        </w:tc>
      </w:tr>
      <w:tr w:rsidR="00DE71C5" w:rsidRPr="00A546BE" w:rsidTr="00477DEF">
        <w:trPr>
          <w:trHeight w:val="300"/>
          <w:jc w:val="center"/>
        </w:trPr>
        <w:tc>
          <w:tcPr>
            <w:tcW w:w="663"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43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689816</w:t>
            </w:r>
          </w:p>
        </w:tc>
        <w:tc>
          <w:tcPr>
            <w:tcW w:w="1667"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37497</w:t>
            </w:r>
          </w:p>
        </w:tc>
        <w:tc>
          <w:tcPr>
            <w:tcW w:w="1235"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727941</w:t>
            </w:r>
          </w:p>
        </w:tc>
        <w:tc>
          <w:tcPr>
            <w:tcW w:w="146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18.39656506</w:t>
            </w:r>
          </w:p>
        </w:tc>
        <w:tc>
          <w:tcPr>
            <w:tcW w:w="1164" w:type="dxa"/>
            <w:noWrap/>
            <w:vAlign w:val="bottom"/>
            <w:hideMark/>
          </w:tcPr>
          <w:p w:rsidR="00DE71C5" w:rsidRPr="00A546BE" w:rsidRDefault="00DE71C5">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95%</w:t>
            </w:r>
          </w:p>
        </w:tc>
      </w:tr>
      <w:tr w:rsidR="00DE71C5" w:rsidRPr="00A546BE" w:rsidTr="00477DEF">
        <w:trPr>
          <w:trHeight w:val="300"/>
          <w:jc w:val="center"/>
        </w:trPr>
        <w:tc>
          <w:tcPr>
            <w:tcW w:w="663"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43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776204</w:t>
            </w:r>
          </w:p>
        </w:tc>
        <w:tc>
          <w:tcPr>
            <w:tcW w:w="1667"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39930</w:t>
            </w:r>
          </w:p>
        </w:tc>
        <w:tc>
          <w:tcPr>
            <w:tcW w:w="1235"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816829</w:t>
            </w:r>
          </w:p>
        </w:tc>
        <w:tc>
          <w:tcPr>
            <w:tcW w:w="146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19.43911846</w:t>
            </w:r>
          </w:p>
        </w:tc>
        <w:tc>
          <w:tcPr>
            <w:tcW w:w="1164" w:type="dxa"/>
            <w:noWrap/>
            <w:vAlign w:val="bottom"/>
            <w:hideMark/>
          </w:tcPr>
          <w:p w:rsidR="00DE71C5" w:rsidRPr="00A546BE" w:rsidRDefault="00DE71C5">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95%</w:t>
            </w:r>
          </w:p>
        </w:tc>
      </w:tr>
      <w:tr w:rsidR="00DE71C5" w:rsidRPr="00A546BE" w:rsidTr="00477DEF">
        <w:trPr>
          <w:trHeight w:val="300"/>
          <w:jc w:val="center"/>
        </w:trPr>
        <w:tc>
          <w:tcPr>
            <w:tcW w:w="663"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43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774819</w:t>
            </w:r>
          </w:p>
        </w:tc>
        <w:tc>
          <w:tcPr>
            <w:tcW w:w="1667"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43462</w:t>
            </w:r>
          </w:p>
        </w:tc>
        <w:tc>
          <w:tcPr>
            <w:tcW w:w="1235"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818868</w:t>
            </w:r>
          </w:p>
        </w:tc>
        <w:tc>
          <w:tcPr>
            <w:tcW w:w="1460" w:type="dxa"/>
            <w:noWrap/>
            <w:hideMark/>
          </w:tcPr>
          <w:p w:rsidR="00DE71C5" w:rsidRPr="00A546BE" w:rsidRDefault="00DE71C5" w:rsidP="00DE71C5">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17.82750449</w:t>
            </w:r>
          </w:p>
        </w:tc>
        <w:tc>
          <w:tcPr>
            <w:tcW w:w="1164" w:type="dxa"/>
            <w:noWrap/>
            <w:vAlign w:val="bottom"/>
            <w:hideMark/>
          </w:tcPr>
          <w:p w:rsidR="00DE71C5" w:rsidRPr="00A546BE" w:rsidRDefault="00DE71C5">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95%</w:t>
            </w:r>
          </w:p>
        </w:tc>
      </w:tr>
    </w:tbl>
    <w:p w:rsidR="00DE71C5" w:rsidRPr="00A546BE" w:rsidRDefault="00DE71C5" w:rsidP="00DE71C5">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9C22B3" w:rsidRDefault="00EA0C29" w:rsidP="00D20964">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Though the ratio is decreasing, </w:t>
      </w:r>
    </w:p>
    <w:p w:rsidR="00D20964" w:rsidRPr="00D20964" w:rsidRDefault="00EA0C29" w:rsidP="00D20964">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it is very</w:t>
      </w:r>
      <w:r w:rsidR="00574545">
        <w:rPr>
          <w:rFonts w:ascii="Times New Roman" w:hAnsi="Times New Roman" w:cs="Times New Roman"/>
          <w:sz w:val="24"/>
          <w:szCs w:val="24"/>
        </w:rPr>
        <w:t xml:space="preserve"> high</w:t>
      </w:r>
      <w:r w:rsidRPr="00A546BE">
        <w:rPr>
          <w:rFonts w:ascii="Times New Roman" w:hAnsi="Times New Roman" w:cs="Times New Roman"/>
          <w:sz w:val="24"/>
          <w:szCs w:val="24"/>
        </w:rPr>
        <w:t xml:space="preserve"> as compared to the ideal rate. It shows that the bank was mostly being financed by its creditors, </w:t>
      </w:r>
      <w:r w:rsidR="00AC714F" w:rsidRPr="00A546BE">
        <w:rPr>
          <w:rFonts w:ascii="Times New Roman" w:hAnsi="Times New Roman" w:cs="Times New Roman"/>
          <w:sz w:val="24"/>
          <w:szCs w:val="24"/>
        </w:rPr>
        <w:t xml:space="preserve">instead of its own financial sources. </w:t>
      </w:r>
      <w:r w:rsidR="00AE7FB8" w:rsidRPr="00A546BE">
        <w:rPr>
          <w:rFonts w:ascii="Times New Roman" w:hAnsi="Times New Roman" w:cs="Times New Roman"/>
          <w:sz w:val="24"/>
          <w:szCs w:val="24"/>
        </w:rPr>
        <w:t xml:space="preserve">It also means that HSBC has been aggressive in financing its growth by increasing its debt level, generating volatile earnings. </w:t>
      </w:r>
      <w:r w:rsidR="00DE71C5" w:rsidRPr="00A546BE">
        <w:rPr>
          <w:rFonts w:ascii="Times New Roman" w:hAnsi="Times New Roman" w:cs="Times New Roman"/>
          <w:sz w:val="24"/>
          <w:szCs w:val="24"/>
        </w:rPr>
        <w:t>Table 2 also reveals that the debt to assets ratio</w:t>
      </w:r>
      <w:r w:rsidR="002B54E4">
        <w:rPr>
          <w:rFonts w:ascii="Times New Roman" w:hAnsi="Times New Roman" w:cs="Times New Roman"/>
          <w:sz w:val="24"/>
          <w:szCs w:val="24"/>
        </w:rPr>
        <w:t xml:space="preserve"> (or the loan ratio)</w:t>
      </w:r>
      <w:r w:rsidR="00DE71C5" w:rsidRPr="00A546BE">
        <w:rPr>
          <w:rFonts w:ascii="Times New Roman" w:hAnsi="Times New Roman" w:cs="Times New Roman"/>
          <w:sz w:val="24"/>
          <w:szCs w:val="24"/>
        </w:rPr>
        <w:t xml:space="preserve"> has also been tremendously high stating poor financial health of the bank.  This also proves that the bank has faced trouble inn borrowing finance for its growth, moreover, moreover, this also indicates that HSBC has borrowed fun</w:t>
      </w:r>
      <w:r w:rsidR="00262A90" w:rsidRPr="00A546BE">
        <w:rPr>
          <w:rFonts w:ascii="Times New Roman" w:hAnsi="Times New Roman" w:cs="Times New Roman"/>
          <w:sz w:val="24"/>
          <w:szCs w:val="24"/>
        </w:rPr>
        <w:t xml:space="preserve">d at a very high interest rate, thus resulting in a low rate of profitability. </w:t>
      </w:r>
      <w:r w:rsidR="00CC5E1D">
        <w:rPr>
          <w:rFonts w:ascii="Times New Roman" w:hAnsi="Times New Roman" w:cs="Times New Roman"/>
          <w:sz w:val="24"/>
          <w:szCs w:val="24"/>
        </w:rPr>
        <w:t xml:space="preserve">Moreover, the net profits fell 82 percent in 2016 as result of the effect of Brexit, damaging the profit margin to a great extent. </w:t>
      </w:r>
      <w:r w:rsidR="00C12B9B">
        <w:rPr>
          <w:rFonts w:ascii="Times New Roman" w:hAnsi="Times New Roman" w:cs="Times New Roman"/>
          <w:sz w:val="24"/>
          <w:szCs w:val="24"/>
        </w:rPr>
        <w:t>This is in accordance to the expectation of HSBC</w:t>
      </w:r>
      <w:r w:rsidR="00D20964">
        <w:rPr>
          <w:rStyle w:val="Heading1Char"/>
          <w:rFonts w:ascii="Arial" w:hAnsi="Arial" w:cs="Arial"/>
          <w:color w:val="666666"/>
          <w:sz w:val="20"/>
          <w:szCs w:val="20"/>
          <w:shd w:val="clear" w:color="auto" w:fill="FFFFFF"/>
        </w:rPr>
        <w:t xml:space="preserve"> </w:t>
      </w:r>
      <w:r w:rsidR="00D20964" w:rsidRPr="00D20964">
        <w:rPr>
          <w:rStyle w:val="Heading1Char"/>
          <w:rFonts w:ascii="Times New Roman" w:hAnsi="Times New Roman" w:cs="Times New Roman"/>
          <w:b w:val="0"/>
          <w:bCs w:val="0"/>
          <w:color w:val="auto"/>
          <w:sz w:val="24"/>
          <w:szCs w:val="24"/>
          <w:shd w:val="clear" w:color="auto" w:fill="FFFFFF"/>
        </w:rPr>
        <w:t xml:space="preserve">as per the report of </w:t>
      </w:r>
      <w:r w:rsidR="00D20964" w:rsidRPr="00D20964">
        <w:rPr>
          <w:rStyle w:val="selectable"/>
          <w:rFonts w:ascii="Times New Roman" w:hAnsi="Times New Roman" w:cs="Times New Roman"/>
          <w:sz w:val="24"/>
          <w:szCs w:val="24"/>
          <w:shd w:val="clear" w:color="auto" w:fill="FFFFFF"/>
        </w:rPr>
        <w:t xml:space="preserve">(The </w:t>
      </w:r>
      <w:r w:rsidR="00D20964" w:rsidRPr="00D20964">
        <w:rPr>
          <w:rStyle w:val="selectable"/>
          <w:rFonts w:ascii="Times New Roman" w:hAnsi="Times New Roman" w:cs="Times New Roman"/>
          <w:sz w:val="24"/>
          <w:szCs w:val="24"/>
          <w:shd w:val="clear" w:color="auto" w:fill="FFFFFF"/>
        </w:rPr>
        <w:lastRenderedPageBreak/>
        <w:t>Economist, 2016)</w:t>
      </w:r>
      <w:r w:rsidR="00044B3C">
        <w:rPr>
          <w:rFonts w:ascii="Times New Roman" w:hAnsi="Times New Roman" w:cs="Times New Roman"/>
          <w:sz w:val="24"/>
          <w:szCs w:val="24"/>
        </w:rPr>
        <w:t>,</w:t>
      </w:r>
      <w:r w:rsidR="00C12B9B">
        <w:rPr>
          <w:rFonts w:ascii="Times New Roman" w:hAnsi="Times New Roman" w:cs="Times New Roman"/>
          <w:sz w:val="24"/>
          <w:szCs w:val="24"/>
        </w:rPr>
        <w:t xml:space="preserve"> </w:t>
      </w:r>
      <w:r w:rsidR="00044B3C">
        <w:rPr>
          <w:rFonts w:ascii="Times New Roman" w:hAnsi="Times New Roman" w:cs="Times New Roman"/>
          <w:sz w:val="24"/>
          <w:szCs w:val="24"/>
        </w:rPr>
        <w:t>hence the higher authorities</w:t>
      </w:r>
      <w:r w:rsidR="00C12B9B">
        <w:rPr>
          <w:rFonts w:ascii="Times New Roman" w:hAnsi="Times New Roman" w:cs="Times New Roman"/>
          <w:sz w:val="24"/>
          <w:szCs w:val="24"/>
        </w:rPr>
        <w:t xml:space="preserve"> thought to transfer 1000 of its staff members f</w:t>
      </w:r>
      <w:r w:rsidR="00044B3C">
        <w:rPr>
          <w:rFonts w:ascii="Times New Roman" w:hAnsi="Times New Roman" w:cs="Times New Roman"/>
          <w:sz w:val="24"/>
          <w:szCs w:val="24"/>
        </w:rPr>
        <w:t>rom</w:t>
      </w:r>
      <w:r w:rsidR="00C12B9B">
        <w:rPr>
          <w:rFonts w:ascii="Times New Roman" w:hAnsi="Times New Roman" w:cs="Times New Roman"/>
          <w:sz w:val="24"/>
          <w:szCs w:val="24"/>
        </w:rPr>
        <w:t xml:space="preserve"> London to Paris</w:t>
      </w:r>
      <w:r w:rsidR="00044B3C">
        <w:rPr>
          <w:rFonts w:ascii="Times New Roman" w:hAnsi="Times New Roman" w:cs="Times New Roman"/>
          <w:sz w:val="24"/>
          <w:szCs w:val="24"/>
        </w:rPr>
        <w:t xml:space="preserve"> before the vote</w:t>
      </w:r>
      <w:r w:rsidR="00C12B9B">
        <w:rPr>
          <w:rFonts w:ascii="Times New Roman" w:hAnsi="Times New Roman" w:cs="Times New Roman"/>
          <w:sz w:val="24"/>
          <w:szCs w:val="24"/>
        </w:rPr>
        <w:t>, in order to mitigate the business cycle f</w:t>
      </w:r>
      <w:r w:rsidR="00044B3C">
        <w:rPr>
          <w:rFonts w:ascii="Times New Roman" w:hAnsi="Times New Roman" w:cs="Times New Roman"/>
          <w:sz w:val="24"/>
          <w:szCs w:val="24"/>
        </w:rPr>
        <w:t>luctuation to a certain extent</w:t>
      </w:r>
      <w:r w:rsidR="00C12B9B">
        <w:rPr>
          <w:rFonts w:ascii="Times New Roman" w:hAnsi="Times New Roman" w:cs="Times New Roman"/>
          <w:sz w:val="24"/>
          <w:szCs w:val="24"/>
        </w:rPr>
        <w:t xml:space="preserve">. </w:t>
      </w:r>
    </w:p>
    <w:p w:rsidR="001E7689" w:rsidRDefault="001E7689" w:rsidP="00645873">
      <w:pPr>
        <w:pStyle w:val="Heading2"/>
        <w:rPr>
          <w:sz w:val="28"/>
          <w:szCs w:val="28"/>
        </w:rPr>
      </w:pPr>
      <w:bookmarkStart w:id="5" w:name="_Toc512791100"/>
      <w:r w:rsidRPr="00645873">
        <w:rPr>
          <w:sz w:val="28"/>
          <w:szCs w:val="28"/>
        </w:rPr>
        <w:t>Capital Structure Ratio</w:t>
      </w:r>
      <w:bookmarkEnd w:id="5"/>
    </w:p>
    <w:p w:rsidR="00645873" w:rsidRPr="00645873" w:rsidRDefault="00645873" w:rsidP="00645873"/>
    <w:p w:rsidR="001E7689" w:rsidRPr="00A546BE" w:rsidRDefault="001E7689" w:rsidP="001E7689">
      <w:pPr>
        <w:spacing w:line="360" w:lineRule="auto"/>
        <w:ind w:firstLine="720"/>
        <w:jc w:val="center"/>
        <w:rPr>
          <w:rFonts w:ascii="Times New Roman" w:hAnsi="Times New Roman" w:cs="Times New Roman"/>
          <w:sz w:val="24"/>
          <w:szCs w:val="24"/>
        </w:rPr>
      </w:pPr>
      <w:r w:rsidRPr="00A546BE">
        <w:rPr>
          <w:rFonts w:ascii="Times New Roman" w:hAnsi="Times New Roman" w:cs="Times New Roman"/>
          <w:sz w:val="24"/>
          <w:szCs w:val="24"/>
        </w:rPr>
        <w:t>Table 5: Capital Adequacy Ratio for FY 2013-2017</w:t>
      </w:r>
    </w:p>
    <w:tbl>
      <w:tblPr>
        <w:tblStyle w:val="TableGrid"/>
        <w:tblW w:w="5440" w:type="dxa"/>
        <w:jc w:val="center"/>
        <w:tblLook w:val="04A0" w:firstRow="1" w:lastRow="0" w:firstColumn="1" w:lastColumn="0" w:noHBand="0" w:noVBand="1"/>
      </w:tblPr>
      <w:tblGrid>
        <w:gridCol w:w="1380"/>
        <w:gridCol w:w="1360"/>
        <w:gridCol w:w="1240"/>
        <w:gridCol w:w="1476"/>
      </w:tblGrid>
      <w:tr w:rsidR="001E7689" w:rsidRPr="00A546BE" w:rsidTr="00173039">
        <w:trPr>
          <w:trHeight w:val="360"/>
          <w:jc w:val="center"/>
        </w:trPr>
        <w:tc>
          <w:tcPr>
            <w:tcW w:w="1380" w:type="dxa"/>
            <w:noWrap/>
            <w:hideMark/>
          </w:tcPr>
          <w:p w:rsidR="001E7689" w:rsidRPr="00A546BE" w:rsidRDefault="001E7689" w:rsidP="00173039">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360" w:type="dxa"/>
            <w:hideMark/>
          </w:tcPr>
          <w:p w:rsidR="001E7689" w:rsidRPr="00A546BE" w:rsidRDefault="001E7689" w:rsidP="00173039">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Capital (Tier 1 + Tier 2) (£m)</w:t>
            </w:r>
          </w:p>
        </w:tc>
        <w:tc>
          <w:tcPr>
            <w:tcW w:w="1240" w:type="dxa"/>
            <w:hideMark/>
          </w:tcPr>
          <w:p w:rsidR="001E7689" w:rsidRPr="00A546BE" w:rsidRDefault="001E7689" w:rsidP="00173039">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Risk Weighted Assets (£m)</w:t>
            </w:r>
          </w:p>
        </w:tc>
        <w:tc>
          <w:tcPr>
            <w:tcW w:w="1460" w:type="dxa"/>
            <w:hideMark/>
          </w:tcPr>
          <w:p w:rsidR="001E7689" w:rsidRPr="00A546BE" w:rsidRDefault="001E7689" w:rsidP="00173039">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Capital Adequacy ratio</w:t>
            </w:r>
          </w:p>
        </w:tc>
      </w:tr>
      <w:tr w:rsidR="001E7689" w:rsidRPr="00A546BE" w:rsidTr="00173039">
        <w:trPr>
          <w:trHeight w:val="300"/>
          <w:jc w:val="center"/>
        </w:trPr>
        <w:tc>
          <w:tcPr>
            <w:tcW w:w="138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3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33543</w:t>
            </w:r>
          </w:p>
        </w:tc>
        <w:tc>
          <w:tcPr>
            <w:tcW w:w="124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185879</w:t>
            </w:r>
          </w:p>
        </w:tc>
        <w:tc>
          <w:tcPr>
            <w:tcW w:w="14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0.180456103</w:t>
            </w:r>
          </w:p>
        </w:tc>
      </w:tr>
      <w:tr w:rsidR="001E7689" w:rsidRPr="00A546BE" w:rsidTr="00173039">
        <w:trPr>
          <w:trHeight w:val="315"/>
          <w:jc w:val="center"/>
        </w:trPr>
        <w:tc>
          <w:tcPr>
            <w:tcW w:w="138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3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33556</w:t>
            </w:r>
          </w:p>
        </w:tc>
        <w:tc>
          <w:tcPr>
            <w:tcW w:w="124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243652</w:t>
            </w:r>
          </w:p>
        </w:tc>
        <w:tc>
          <w:tcPr>
            <w:tcW w:w="14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0.137721012</w:t>
            </w:r>
          </w:p>
        </w:tc>
      </w:tr>
      <w:tr w:rsidR="001E7689" w:rsidRPr="00A546BE" w:rsidTr="00173039">
        <w:trPr>
          <w:trHeight w:val="300"/>
          <w:jc w:val="center"/>
        </w:trPr>
        <w:tc>
          <w:tcPr>
            <w:tcW w:w="138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3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35603</w:t>
            </w:r>
          </w:p>
        </w:tc>
        <w:tc>
          <w:tcPr>
            <w:tcW w:w="124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229382</w:t>
            </w:r>
          </w:p>
        </w:tc>
        <w:tc>
          <w:tcPr>
            <w:tcW w:w="14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0.155212702</w:t>
            </w:r>
          </w:p>
        </w:tc>
      </w:tr>
      <w:tr w:rsidR="001E7689" w:rsidRPr="00A546BE" w:rsidTr="00173039">
        <w:trPr>
          <w:trHeight w:val="600"/>
          <w:jc w:val="center"/>
        </w:trPr>
        <w:tc>
          <w:tcPr>
            <w:tcW w:w="138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3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38522</w:t>
            </w:r>
          </w:p>
        </w:tc>
        <w:tc>
          <w:tcPr>
            <w:tcW w:w="124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245237</w:t>
            </w:r>
          </w:p>
        </w:tc>
        <w:tc>
          <w:tcPr>
            <w:tcW w:w="14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0.157080702</w:t>
            </w:r>
          </w:p>
        </w:tc>
      </w:tr>
      <w:tr w:rsidR="001E7689" w:rsidRPr="00A546BE" w:rsidTr="00173039">
        <w:trPr>
          <w:trHeight w:val="300"/>
          <w:jc w:val="center"/>
        </w:trPr>
        <w:tc>
          <w:tcPr>
            <w:tcW w:w="138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3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39288</w:t>
            </w:r>
          </w:p>
        </w:tc>
        <w:tc>
          <w:tcPr>
            <w:tcW w:w="124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233073</w:t>
            </w:r>
          </w:p>
        </w:tc>
        <w:tc>
          <w:tcPr>
            <w:tcW w:w="1460" w:type="dxa"/>
            <w:noWrap/>
            <w:hideMark/>
          </w:tcPr>
          <w:p w:rsidR="001E7689" w:rsidRPr="00A546BE" w:rsidRDefault="001E7689" w:rsidP="00173039">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0.168565213</w:t>
            </w:r>
          </w:p>
        </w:tc>
      </w:tr>
    </w:tbl>
    <w:p w:rsidR="001E7689" w:rsidRPr="00A546BE" w:rsidRDefault="001E7689" w:rsidP="001E7689">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1E7689" w:rsidRPr="00A546BE" w:rsidRDefault="001E7689" w:rsidP="001E7689">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The above table measures the capital adequacy ratio measuring the amount of the capital HSBC retains as compared to its risk. This ratio is important to the shareholders as it shows the financial soundness of the bank.  The information of the above table has been shown in appendix 8. </w:t>
      </w:r>
      <w:r w:rsidR="00DE2EE2">
        <w:rPr>
          <w:rFonts w:ascii="Times New Roman" w:hAnsi="Times New Roman" w:cs="Times New Roman"/>
          <w:sz w:val="24"/>
          <w:szCs w:val="24"/>
        </w:rPr>
        <w:t xml:space="preserve">The tier 1 capital absorb a significant amount of loss without ceasing the trading of the bank, and the tier 2 capital holds the ability to sustain loss in the context of liquidation. However, it provides less protection </w:t>
      </w:r>
      <w:r w:rsidR="001279E8">
        <w:rPr>
          <w:rFonts w:ascii="Times New Roman" w:hAnsi="Times New Roman" w:cs="Times New Roman"/>
          <w:sz w:val="24"/>
          <w:szCs w:val="24"/>
        </w:rPr>
        <w:t xml:space="preserve">to </w:t>
      </w:r>
      <w:r w:rsidR="00DE2EE2">
        <w:rPr>
          <w:rFonts w:ascii="Times New Roman" w:hAnsi="Times New Roman" w:cs="Times New Roman"/>
          <w:sz w:val="24"/>
          <w:szCs w:val="24"/>
        </w:rPr>
        <w:t xml:space="preserve">the depositors of the bank as compared to tier 1 capital. In this case, as it can be observed from the above table that HSBC is highly leveraged, hence it has been difficult for the bank to borrow funds to finance it operations and to mitigate its debt obligations.  </w:t>
      </w:r>
      <w:r w:rsidR="003715CC">
        <w:rPr>
          <w:rFonts w:ascii="Times New Roman" w:hAnsi="Times New Roman" w:cs="Times New Roman"/>
          <w:sz w:val="24"/>
          <w:szCs w:val="24"/>
        </w:rPr>
        <w:t xml:space="preserve">The liabilities of this bank is much greater as compared to its capital, hence the financial risk is very much high for HSBC. </w:t>
      </w:r>
      <w:r w:rsidR="00451050">
        <w:rPr>
          <w:rFonts w:ascii="Times New Roman" w:hAnsi="Times New Roman" w:cs="Times New Roman"/>
          <w:sz w:val="24"/>
          <w:szCs w:val="24"/>
        </w:rPr>
        <w:t>For the past five financial years the bank has faced difficulty in maintaining the level of reserves, along with other regulations and shareholders’ equity. Therefore, there is decreased fund base through which the bank</w:t>
      </w:r>
      <w:r w:rsidR="0051706E">
        <w:rPr>
          <w:rFonts w:ascii="Times New Roman" w:hAnsi="Times New Roman" w:cs="Times New Roman"/>
          <w:sz w:val="24"/>
          <w:szCs w:val="24"/>
        </w:rPr>
        <w:t xml:space="preserve"> cannot offer loans, thus the bank need to enhance its profitability rate by taking care of the capital adequacy ratio. </w:t>
      </w:r>
    </w:p>
    <w:p w:rsidR="000B5E78" w:rsidRPr="00FA6FC0" w:rsidRDefault="00FA6FC0" w:rsidP="00FA6FC0">
      <w:pPr>
        <w:spacing w:line="360" w:lineRule="auto"/>
        <w:rPr>
          <w:rFonts w:ascii="Times New Roman" w:eastAsiaTheme="majorEastAsia" w:hAnsi="Times New Roman" w:cs="Times New Roman"/>
          <w:b/>
          <w:bCs/>
          <w:color w:val="4F81BD" w:themeColor="accent1"/>
          <w:sz w:val="24"/>
          <w:szCs w:val="24"/>
        </w:rPr>
      </w:pPr>
      <w:r w:rsidRPr="00FA6FC0">
        <w:rPr>
          <w:rFonts w:ascii="Times New Roman" w:hAnsi="Times New Roman" w:cs="Times New Roman"/>
          <w:sz w:val="24"/>
          <w:szCs w:val="24"/>
        </w:rPr>
        <w:lastRenderedPageBreak/>
        <w:t xml:space="preserve">Moreover, the liquidity coverage </w:t>
      </w:r>
      <w:r>
        <w:rPr>
          <w:rFonts w:ascii="Times New Roman" w:hAnsi="Times New Roman" w:cs="Times New Roman"/>
          <w:sz w:val="24"/>
          <w:szCs w:val="24"/>
        </w:rPr>
        <w:t xml:space="preserve">ratio has also been taken into account to get detailed information about the highly liquid assets held by HSBC </w:t>
      </w:r>
      <w:r w:rsidR="00300321">
        <w:rPr>
          <w:rFonts w:ascii="Times New Roman" w:hAnsi="Times New Roman" w:cs="Times New Roman"/>
          <w:sz w:val="24"/>
          <w:szCs w:val="24"/>
        </w:rPr>
        <w:t xml:space="preserve">in order to meet the short term obligations. Mainly it wants to anticipate market-wide shocks in the economy. As revealed from </w:t>
      </w:r>
      <w:r w:rsidR="00300321" w:rsidRPr="00C84096">
        <w:rPr>
          <w:rFonts w:ascii="Times New Roman" w:hAnsi="Times New Roman" w:cs="Times New Roman"/>
          <w:sz w:val="24"/>
          <w:szCs w:val="24"/>
        </w:rPr>
        <w:t xml:space="preserve">the </w:t>
      </w:r>
      <w:r w:rsidR="001279E8">
        <w:rPr>
          <w:rFonts w:ascii="Times New Roman" w:hAnsi="Times New Roman" w:cs="Times New Roman"/>
          <w:sz w:val="24"/>
          <w:szCs w:val="24"/>
        </w:rPr>
        <w:t xml:space="preserve">annual </w:t>
      </w:r>
      <w:r w:rsidR="00C84096" w:rsidRPr="00C84096">
        <w:rPr>
          <w:rStyle w:val="apple-converted-space"/>
          <w:rFonts w:ascii="Times New Roman" w:hAnsi="Times New Roman" w:cs="Times New Roman"/>
          <w:bCs/>
          <w:sz w:val="24"/>
          <w:szCs w:val="24"/>
          <w:shd w:val="clear" w:color="auto" w:fill="FFFFFF"/>
        </w:rPr>
        <w:t>report of</w:t>
      </w:r>
      <w:r w:rsidR="00C84096" w:rsidRPr="00C84096">
        <w:rPr>
          <w:rStyle w:val="apple-converted-space"/>
          <w:rFonts w:ascii="Times New Roman" w:hAnsi="Times New Roman" w:cs="Times New Roman"/>
          <w:bCs/>
          <w:color w:val="666666"/>
          <w:sz w:val="24"/>
          <w:szCs w:val="24"/>
          <w:shd w:val="clear" w:color="auto" w:fill="FFFFFF"/>
        </w:rPr>
        <w:t xml:space="preserve"> </w:t>
      </w:r>
      <w:r w:rsidR="009F2E0A" w:rsidRPr="009F2E0A">
        <w:rPr>
          <w:rStyle w:val="selectable"/>
          <w:rFonts w:ascii="Times New Roman" w:hAnsi="Times New Roman" w:cs="Times New Roman"/>
          <w:sz w:val="24"/>
          <w:szCs w:val="24"/>
          <w:shd w:val="clear" w:color="auto" w:fill="FFFFFF"/>
        </w:rPr>
        <w:t>(HSBC Holdings PLC, 2017)</w:t>
      </w:r>
      <w:r w:rsidR="009F2E0A">
        <w:rPr>
          <w:rFonts w:ascii="Times New Roman" w:hAnsi="Times New Roman" w:cs="Times New Roman"/>
          <w:sz w:val="24"/>
          <w:szCs w:val="24"/>
        </w:rPr>
        <w:t>,</w:t>
      </w:r>
      <w:r w:rsidR="00300321">
        <w:rPr>
          <w:rFonts w:ascii="Times New Roman" w:hAnsi="Times New Roman" w:cs="Times New Roman"/>
          <w:sz w:val="24"/>
          <w:szCs w:val="24"/>
        </w:rPr>
        <w:t xml:space="preserve"> the first quarter of the last financial year was 148.8 percent, while it decreased in second quarter and reached to approximately 140 percent. Though it increased in the third quarter of 2017 to a certain level, yet in the last quarter the percentage value decreased to 137.4 percent. Thus on an average, </w:t>
      </w:r>
      <w:r w:rsidR="00DB4CF1">
        <w:rPr>
          <w:rFonts w:ascii="Times New Roman" w:hAnsi="Times New Roman" w:cs="Times New Roman"/>
          <w:sz w:val="24"/>
          <w:szCs w:val="24"/>
        </w:rPr>
        <w:t xml:space="preserve">the liquidity coverage ratio was almost 141.95 percent, which reveals the total value of liquid assets needs to be held by HSBC in order to pay off its short term debt. </w:t>
      </w:r>
    </w:p>
    <w:p w:rsidR="001E7689" w:rsidRDefault="001E7689" w:rsidP="00645873">
      <w:pPr>
        <w:pStyle w:val="Heading2"/>
        <w:rPr>
          <w:sz w:val="28"/>
          <w:szCs w:val="28"/>
        </w:rPr>
      </w:pPr>
      <w:bookmarkStart w:id="6" w:name="_Toc512791101"/>
      <w:r w:rsidRPr="00645873">
        <w:rPr>
          <w:sz w:val="28"/>
          <w:szCs w:val="28"/>
        </w:rPr>
        <w:t>Profitability Ratios</w:t>
      </w:r>
      <w:bookmarkEnd w:id="6"/>
      <w:r w:rsidRPr="00645873">
        <w:rPr>
          <w:sz w:val="28"/>
          <w:szCs w:val="28"/>
        </w:rPr>
        <w:t xml:space="preserve"> </w:t>
      </w:r>
    </w:p>
    <w:p w:rsidR="00645873" w:rsidRPr="00645873" w:rsidRDefault="00645873" w:rsidP="00645873"/>
    <w:tbl>
      <w:tblPr>
        <w:tblStyle w:val="TableGrid"/>
        <w:tblW w:w="6111" w:type="dxa"/>
        <w:jc w:val="center"/>
        <w:tblLook w:val="04A0" w:firstRow="1" w:lastRow="0" w:firstColumn="1" w:lastColumn="0" w:noHBand="0" w:noVBand="1"/>
      </w:tblPr>
      <w:tblGrid>
        <w:gridCol w:w="696"/>
        <w:gridCol w:w="1911"/>
        <w:gridCol w:w="1949"/>
        <w:gridCol w:w="1588"/>
      </w:tblGrid>
      <w:tr w:rsidR="00262A90" w:rsidRPr="00A546BE" w:rsidTr="00262A90">
        <w:trPr>
          <w:trHeight w:val="300"/>
          <w:jc w:val="center"/>
        </w:trPr>
        <w:tc>
          <w:tcPr>
            <w:tcW w:w="6111" w:type="dxa"/>
            <w:gridSpan w:val="4"/>
            <w:noWrap/>
            <w:hideMark/>
          </w:tcPr>
          <w:p w:rsidR="00262A90" w:rsidRPr="00A546BE" w:rsidRDefault="00262A90" w:rsidP="00262A90">
            <w:pPr>
              <w:jc w:val="cente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Table 3:  Profitability Ratios for FY 2013-2017</w:t>
            </w:r>
          </w:p>
        </w:tc>
      </w:tr>
      <w:tr w:rsidR="00262A90" w:rsidRPr="00A546BE" w:rsidTr="00262A90">
        <w:trPr>
          <w:trHeight w:val="600"/>
          <w:jc w:val="center"/>
        </w:trPr>
        <w:tc>
          <w:tcPr>
            <w:tcW w:w="663" w:type="dxa"/>
            <w:noWrap/>
            <w:hideMark/>
          </w:tcPr>
          <w:p w:rsidR="00262A90" w:rsidRPr="00A546BE" w:rsidRDefault="00262A90" w:rsidP="00262A90">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911" w:type="dxa"/>
            <w:noWrap/>
            <w:hideMark/>
          </w:tcPr>
          <w:p w:rsidR="00262A90" w:rsidRPr="00A546BE" w:rsidRDefault="00262A90" w:rsidP="00262A90">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Net Income (£m)</w:t>
            </w:r>
          </w:p>
        </w:tc>
        <w:tc>
          <w:tcPr>
            <w:tcW w:w="1949" w:type="dxa"/>
            <w:noWrap/>
            <w:hideMark/>
          </w:tcPr>
          <w:p w:rsidR="00262A90" w:rsidRPr="00A546BE" w:rsidRDefault="00262A90" w:rsidP="00262A90">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Assets (£m)</w:t>
            </w:r>
          </w:p>
        </w:tc>
        <w:tc>
          <w:tcPr>
            <w:tcW w:w="1588" w:type="dxa"/>
            <w:hideMark/>
          </w:tcPr>
          <w:p w:rsidR="00262A90" w:rsidRPr="00A546BE" w:rsidRDefault="00262A90" w:rsidP="00262A90">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Return on Assets</w:t>
            </w:r>
          </w:p>
        </w:tc>
      </w:tr>
      <w:tr w:rsidR="00262A90" w:rsidRPr="00A546BE" w:rsidTr="00262A90">
        <w:trPr>
          <w:trHeight w:val="300"/>
          <w:jc w:val="center"/>
        </w:trPr>
        <w:tc>
          <w:tcPr>
            <w:tcW w:w="663"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911"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2540</w:t>
            </w:r>
          </w:p>
        </w:tc>
        <w:tc>
          <w:tcPr>
            <w:tcW w:w="1949"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811695</w:t>
            </w:r>
          </w:p>
        </w:tc>
        <w:tc>
          <w:tcPr>
            <w:tcW w:w="1588"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0.003129254</w:t>
            </w:r>
          </w:p>
        </w:tc>
      </w:tr>
      <w:tr w:rsidR="00262A90" w:rsidRPr="00A546BE" w:rsidTr="00262A90">
        <w:trPr>
          <w:trHeight w:val="315"/>
          <w:jc w:val="center"/>
        </w:trPr>
        <w:tc>
          <w:tcPr>
            <w:tcW w:w="663"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911"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1389</w:t>
            </w:r>
          </w:p>
        </w:tc>
        <w:tc>
          <w:tcPr>
            <w:tcW w:w="1949"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797289</w:t>
            </w:r>
          </w:p>
        </w:tc>
        <w:tc>
          <w:tcPr>
            <w:tcW w:w="1588"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0.001742154</w:t>
            </w:r>
          </w:p>
        </w:tc>
      </w:tr>
      <w:tr w:rsidR="00262A90" w:rsidRPr="00A546BE" w:rsidTr="00262A90">
        <w:trPr>
          <w:trHeight w:val="300"/>
          <w:jc w:val="center"/>
        </w:trPr>
        <w:tc>
          <w:tcPr>
            <w:tcW w:w="663"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911"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1974</w:t>
            </w:r>
          </w:p>
        </w:tc>
        <w:tc>
          <w:tcPr>
            <w:tcW w:w="1949"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727941</w:t>
            </w:r>
          </w:p>
        </w:tc>
        <w:tc>
          <w:tcPr>
            <w:tcW w:w="1588"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0.002711758</w:t>
            </w:r>
          </w:p>
        </w:tc>
      </w:tr>
      <w:tr w:rsidR="00262A90" w:rsidRPr="00A546BE" w:rsidTr="00262A90">
        <w:trPr>
          <w:trHeight w:val="300"/>
          <w:jc w:val="center"/>
        </w:trPr>
        <w:tc>
          <w:tcPr>
            <w:tcW w:w="663"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911"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179</w:t>
            </w:r>
          </w:p>
        </w:tc>
        <w:tc>
          <w:tcPr>
            <w:tcW w:w="1949"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816829</w:t>
            </w:r>
          </w:p>
        </w:tc>
        <w:tc>
          <w:tcPr>
            <w:tcW w:w="1588"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0.00021914</w:t>
            </w:r>
          </w:p>
        </w:tc>
      </w:tr>
      <w:tr w:rsidR="00262A90" w:rsidRPr="00A546BE" w:rsidTr="00262A90">
        <w:trPr>
          <w:trHeight w:val="900"/>
          <w:jc w:val="center"/>
        </w:trPr>
        <w:tc>
          <w:tcPr>
            <w:tcW w:w="663"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911"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1842</w:t>
            </w:r>
          </w:p>
        </w:tc>
        <w:tc>
          <w:tcPr>
            <w:tcW w:w="1949"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818868</w:t>
            </w:r>
          </w:p>
        </w:tc>
        <w:tc>
          <w:tcPr>
            <w:tcW w:w="1588" w:type="dxa"/>
            <w:noWrap/>
            <w:hideMark/>
          </w:tcPr>
          <w:p w:rsidR="00262A90" w:rsidRPr="00A546BE" w:rsidRDefault="00262A90" w:rsidP="00262A90">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0.002249447</w:t>
            </w:r>
          </w:p>
        </w:tc>
      </w:tr>
    </w:tbl>
    <w:p w:rsidR="00262A90" w:rsidRPr="00A546BE" w:rsidRDefault="00262A90" w:rsidP="00262A90">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3E0E16" w:rsidRDefault="00262A90" w:rsidP="00DE71C5">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Table 3 and table 4 </w:t>
      </w:r>
      <w:r w:rsidR="00FA5D04" w:rsidRPr="00A546BE">
        <w:rPr>
          <w:rFonts w:ascii="Times New Roman" w:hAnsi="Times New Roman" w:cs="Times New Roman"/>
          <w:sz w:val="24"/>
          <w:szCs w:val="24"/>
        </w:rPr>
        <w:t>show</w:t>
      </w:r>
      <w:r w:rsidR="00FA5D04">
        <w:rPr>
          <w:rFonts w:ascii="Times New Roman" w:hAnsi="Times New Roman" w:cs="Times New Roman"/>
          <w:sz w:val="24"/>
          <w:szCs w:val="24"/>
        </w:rPr>
        <w:t xml:space="preserve"> the</w:t>
      </w:r>
      <w:r w:rsidR="007130DC" w:rsidRPr="00A546BE">
        <w:rPr>
          <w:rFonts w:ascii="Times New Roman" w:hAnsi="Times New Roman" w:cs="Times New Roman"/>
          <w:sz w:val="24"/>
          <w:szCs w:val="24"/>
        </w:rPr>
        <w:t xml:space="preserve"> </w:t>
      </w:r>
      <w:r w:rsidR="00A43E37" w:rsidRPr="00A546BE">
        <w:rPr>
          <w:rFonts w:ascii="Times New Roman" w:hAnsi="Times New Roman" w:cs="Times New Roman"/>
          <w:sz w:val="24"/>
          <w:szCs w:val="24"/>
        </w:rPr>
        <w:t xml:space="preserve">return on assets </w:t>
      </w:r>
      <w:r w:rsidR="00FA5D04">
        <w:rPr>
          <w:rFonts w:ascii="Times New Roman" w:hAnsi="Times New Roman" w:cs="Times New Roman"/>
          <w:sz w:val="24"/>
          <w:szCs w:val="24"/>
        </w:rPr>
        <w:t xml:space="preserve">and the return on equity, which </w:t>
      </w:r>
      <w:r w:rsidR="00A43E37" w:rsidRPr="00A546BE">
        <w:rPr>
          <w:rFonts w:ascii="Times New Roman" w:hAnsi="Times New Roman" w:cs="Times New Roman"/>
          <w:sz w:val="24"/>
          <w:szCs w:val="24"/>
        </w:rPr>
        <w:t>reveal</w:t>
      </w:r>
      <w:r w:rsidR="00FA5D04">
        <w:rPr>
          <w:rFonts w:ascii="Times New Roman" w:hAnsi="Times New Roman" w:cs="Times New Roman"/>
          <w:sz w:val="24"/>
          <w:szCs w:val="24"/>
        </w:rPr>
        <w:t xml:space="preserve">s the amount of earnings that will be generated from the invested capital or the assets of HSBC. </w:t>
      </w:r>
      <w:r w:rsidR="0098541F">
        <w:rPr>
          <w:rFonts w:ascii="Times New Roman" w:hAnsi="Times New Roman" w:cs="Times New Roman"/>
          <w:sz w:val="24"/>
          <w:szCs w:val="24"/>
        </w:rPr>
        <w:t xml:space="preserve">This table provides with an idea about the quality of the assets of this bank. </w:t>
      </w:r>
      <w:r w:rsidR="00A9725A">
        <w:rPr>
          <w:rFonts w:ascii="Times New Roman" w:hAnsi="Times New Roman" w:cs="Times New Roman"/>
          <w:sz w:val="24"/>
          <w:szCs w:val="24"/>
        </w:rPr>
        <w:t>The assets are comprised of both debt as well as equity. As it can be</w:t>
      </w:r>
      <w:r w:rsidR="00460A2E">
        <w:rPr>
          <w:rFonts w:ascii="Times New Roman" w:hAnsi="Times New Roman" w:cs="Times New Roman"/>
          <w:sz w:val="24"/>
          <w:szCs w:val="24"/>
        </w:rPr>
        <w:t xml:space="preserve"> observed</w:t>
      </w:r>
      <w:r w:rsidR="00A9725A">
        <w:rPr>
          <w:rFonts w:ascii="Times New Roman" w:hAnsi="Times New Roman" w:cs="Times New Roman"/>
          <w:sz w:val="24"/>
          <w:szCs w:val="24"/>
        </w:rPr>
        <w:t xml:space="preserve"> from table 3</w:t>
      </w:r>
      <w:r w:rsidR="00460A2E">
        <w:rPr>
          <w:rFonts w:ascii="Times New Roman" w:hAnsi="Times New Roman" w:cs="Times New Roman"/>
          <w:sz w:val="24"/>
          <w:szCs w:val="24"/>
        </w:rPr>
        <w:t xml:space="preserve">, the total assets of this bank have firstly decreased till 2015 and then it has increased. </w:t>
      </w:r>
      <w:r w:rsidR="00736A0E">
        <w:rPr>
          <w:rFonts w:ascii="Times New Roman" w:hAnsi="Times New Roman" w:cs="Times New Roman"/>
          <w:sz w:val="24"/>
          <w:szCs w:val="24"/>
        </w:rPr>
        <w:t>Moreover,</w:t>
      </w:r>
      <w:r w:rsidR="00460A2E">
        <w:rPr>
          <w:rFonts w:ascii="Times New Roman" w:hAnsi="Times New Roman" w:cs="Times New Roman"/>
          <w:sz w:val="24"/>
          <w:szCs w:val="24"/>
        </w:rPr>
        <w:t xml:space="preserve"> the net income </w:t>
      </w:r>
      <w:r w:rsidR="003B0AF2">
        <w:rPr>
          <w:rFonts w:ascii="Times New Roman" w:hAnsi="Times New Roman" w:cs="Times New Roman"/>
          <w:sz w:val="24"/>
          <w:szCs w:val="24"/>
        </w:rPr>
        <w:t xml:space="preserve">has also decreased to a certain extent, as a result the table shows </w:t>
      </w:r>
      <w:r w:rsidR="003E0E16">
        <w:rPr>
          <w:rFonts w:ascii="Times New Roman" w:hAnsi="Times New Roman" w:cs="Times New Roman"/>
          <w:sz w:val="24"/>
          <w:szCs w:val="24"/>
        </w:rPr>
        <w:t xml:space="preserve">that the return on assets </w:t>
      </w:r>
      <w:r w:rsidR="00010F5F">
        <w:rPr>
          <w:rFonts w:ascii="Times New Roman" w:hAnsi="Times New Roman" w:cs="Times New Roman"/>
          <w:sz w:val="24"/>
          <w:szCs w:val="24"/>
        </w:rPr>
        <w:t xml:space="preserve">for the past five financial years seems to be not good. Therefore, it can be said that the operations of the bank are not maintained properly due to the lack of sufficient funds. </w:t>
      </w:r>
      <w:r w:rsidR="00CA647B">
        <w:rPr>
          <w:rFonts w:ascii="Times New Roman" w:hAnsi="Times New Roman" w:cs="Times New Roman"/>
          <w:sz w:val="24"/>
          <w:szCs w:val="24"/>
        </w:rPr>
        <w:t xml:space="preserve">HSBC can create high margins or move assets so as to improve the return value. </w:t>
      </w:r>
      <w:r w:rsidR="00CC5E1D">
        <w:rPr>
          <w:rFonts w:ascii="Times New Roman" w:hAnsi="Times New Roman" w:cs="Times New Roman"/>
          <w:sz w:val="24"/>
          <w:szCs w:val="24"/>
        </w:rPr>
        <w:t>However, as aforementioned, due to the effect of Brexit, the profit levels fell to almost US$ 248 billion in 2017 from US$ 1352 billion in 2016.</w:t>
      </w:r>
      <w:r w:rsidR="00D20964">
        <w:rPr>
          <w:rFonts w:ascii="Times New Roman" w:hAnsi="Times New Roman" w:cs="Times New Roman"/>
          <w:sz w:val="24"/>
          <w:szCs w:val="24"/>
        </w:rPr>
        <w:t xml:space="preserve"> </w:t>
      </w:r>
      <w:r w:rsidR="00D20964">
        <w:rPr>
          <w:rFonts w:ascii="Times New Roman" w:hAnsi="Times New Roman" w:cs="Times New Roman"/>
          <w:sz w:val="24"/>
          <w:szCs w:val="24"/>
        </w:rPr>
        <w:lastRenderedPageBreak/>
        <w:t>This is because jobs were relocated on the basis of the assumption that Britain will leave the European Union, and hence economy got hampered financially</w:t>
      </w:r>
      <w:r w:rsidR="00270322" w:rsidRPr="00270322">
        <w:rPr>
          <w:rFonts w:ascii="Arial" w:hAnsi="Arial" w:cs="Arial"/>
          <w:color w:val="666666"/>
          <w:sz w:val="20"/>
          <w:szCs w:val="20"/>
          <w:shd w:val="clear" w:color="auto" w:fill="FFFFFF"/>
        </w:rPr>
        <w:t xml:space="preserve"> </w:t>
      </w:r>
      <w:r w:rsidR="00270322" w:rsidRPr="00270322">
        <w:rPr>
          <w:rFonts w:ascii="Times New Roman" w:hAnsi="Times New Roman" w:cs="Times New Roman"/>
          <w:sz w:val="24"/>
          <w:szCs w:val="24"/>
          <w:shd w:val="clear" w:color="auto" w:fill="FFFFFF"/>
        </w:rPr>
        <w:t>(The Economist, 2017)</w:t>
      </w:r>
      <w:r w:rsidR="00D20964">
        <w:rPr>
          <w:rFonts w:ascii="Times New Roman" w:hAnsi="Times New Roman" w:cs="Times New Roman"/>
          <w:sz w:val="24"/>
          <w:szCs w:val="24"/>
        </w:rPr>
        <w:t xml:space="preserve">. </w:t>
      </w:r>
    </w:p>
    <w:p w:rsidR="00A43E37" w:rsidRPr="00A546BE" w:rsidRDefault="009F09B5" w:rsidP="00DE71C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a similar way, the return on equity on table 4 </w:t>
      </w:r>
      <w:r w:rsidR="0042414B">
        <w:rPr>
          <w:rFonts w:ascii="Times New Roman" w:hAnsi="Times New Roman" w:cs="Times New Roman"/>
          <w:sz w:val="24"/>
          <w:szCs w:val="24"/>
        </w:rPr>
        <w:t xml:space="preserve">that compared to the profit available to the shareholders of HSBC, the capital provided by the shareholders is high. This results in a low return, which depicts the fact that </w:t>
      </w:r>
      <w:r w:rsidR="00A43E37" w:rsidRPr="00A546BE">
        <w:rPr>
          <w:rFonts w:ascii="Times New Roman" w:hAnsi="Times New Roman" w:cs="Times New Roman"/>
          <w:sz w:val="24"/>
          <w:szCs w:val="24"/>
        </w:rPr>
        <w:t xml:space="preserve">the management of HSBC has not </w:t>
      </w:r>
      <w:r w:rsidR="0042414B">
        <w:rPr>
          <w:rFonts w:ascii="Times New Roman" w:hAnsi="Times New Roman" w:cs="Times New Roman"/>
          <w:sz w:val="24"/>
          <w:szCs w:val="24"/>
        </w:rPr>
        <w:t>efficiently managed and used</w:t>
      </w:r>
      <w:r w:rsidR="00A43E37" w:rsidRPr="00A546BE">
        <w:rPr>
          <w:rFonts w:ascii="Times New Roman" w:hAnsi="Times New Roman" w:cs="Times New Roman"/>
          <w:sz w:val="24"/>
          <w:szCs w:val="24"/>
        </w:rPr>
        <w:t xml:space="preserve"> the assets to generate earnings. </w:t>
      </w:r>
      <w:r w:rsidR="0042414B">
        <w:rPr>
          <w:rFonts w:ascii="Times New Roman" w:hAnsi="Times New Roman" w:cs="Times New Roman"/>
          <w:sz w:val="24"/>
          <w:szCs w:val="24"/>
        </w:rPr>
        <w:t xml:space="preserve">It also indicates that the profitability of the equity was also quite low in the previous years. </w:t>
      </w:r>
      <w:r w:rsidR="00F03D0D">
        <w:rPr>
          <w:rFonts w:ascii="Times New Roman" w:hAnsi="Times New Roman" w:cs="Times New Roman"/>
          <w:sz w:val="24"/>
          <w:szCs w:val="24"/>
        </w:rPr>
        <w:t xml:space="preserve">Hence the ability of the bank in generating profits from the investments made by the shareholders is very less. That is to say, the bank has not been efficient in using money to generate net income. So the growth of the company was very less in the previous financial years. To tackle the situation HSBC needs to manage the fund operations effectively so as to increase the profitability rate. </w:t>
      </w:r>
    </w:p>
    <w:p w:rsidR="00262A90" w:rsidRPr="00A546BE" w:rsidRDefault="00A43E37" w:rsidP="00251E0D">
      <w:pPr>
        <w:jc w:val="center"/>
        <w:rPr>
          <w:rFonts w:ascii="Times New Roman" w:hAnsi="Times New Roman" w:cs="Times New Roman"/>
          <w:sz w:val="24"/>
          <w:szCs w:val="24"/>
        </w:rPr>
      </w:pPr>
      <w:r w:rsidRPr="00A546BE">
        <w:rPr>
          <w:rFonts w:ascii="Times New Roman" w:eastAsia="Times New Roman" w:hAnsi="Times New Roman" w:cs="Times New Roman"/>
          <w:color w:val="000000"/>
          <w:sz w:val="24"/>
          <w:szCs w:val="24"/>
        </w:rPr>
        <w:t>Table 4:  Profitability Ratios for FY 2013-2017</w:t>
      </w:r>
    </w:p>
    <w:tbl>
      <w:tblPr>
        <w:tblStyle w:val="TableGrid"/>
        <w:tblW w:w="6040" w:type="dxa"/>
        <w:jc w:val="center"/>
        <w:tblLook w:val="04A0" w:firstRow="1" w:lastRow="0" w:firstColumn="1" w:lastColumn="0" w:noHBand="0" w:noVBand="1"/>
      </w:tblPr>
      <w:tblGrid>
        <w:gridCol w:w="960"/>
        <w:gridCol w:w="1780"/>
        <w:gridCol w:w="1940"/>
        <w:gridCol w:w="1360"/>
      </w:tblGrid>
      <w:tr w:rsidR="00A43E37" w:rsidRPr="00A546BE" w:rsidTr="00A43E37">
        <w:trPr>
          <w:trHeight w:val="600"/>
          <w:jc w:val="center"/>
        </w:trPr>
        <w:tc>
          <w:tcPr>
            <w:tcW w:w="960" w:type="dxa"/>
            <w:noWrap/>
            <w:hideMark/>
          </w:tcPr>
          <w:p w:rsidR="00A43E37" w:rsidRPr="00A546BE" w:rsidRDefault="00A43E37" w:rsidP="00A43E3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780" w:type="dxa"/>
            <w:noWrap/>
            <w:hideMark/>
          </w:tcPr>
          <w:p w:rsidR="00A43E37" w:rsidRPr="00A546BE" w:rsidRDefault="00A43E37" w:rsidP="00A43E3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Net Income (£m)</w:t>
            </w:r>
          </w:p>
        </w:tc>
        <w:tc>
          <w:tcPr>
            <w:tcW w:w="1940" w:type="dxa"/>
            <w:hideMark/>
          </w:tcPr>
          <w:p w:rsidR="00A43E37" w:rsidRPr="00A546BE" w:rsidRDefault="00A43E37" w:rsidP="00A43E3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Shareholder's Equity  (£m)</w:t>
            </w:r>
          </w:p>
        </w:tc>
        <w:tc>
          <w:tcPr>
            <w:tcW w:w="1360" w:type="dxa"/>
            <w:hideMark/>
          </w:tcPr>
          <w:p w:rsidR="00A43E37" w:rsidRPr="00A546BE" w:rsidRDefault="00A43E37" w:rsidP="00A43E3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Return on Equity</w:t>
            </w:r>
          </w:p>
        </w:tc>
      </w:tr>
      <w:tr w:rsidR="00A43E37" w:rsidRPr="00A546BE" w:rsidTr="00A43E37">
        <w:trPr>
          <w:trHeight w:val="300"/>
          <w:jc w:val="center"/>
        </w:trPr>
        <w:tc>
          <w:tcPr>
            <w:tcW w:w="9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78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900</w:t>
            </w:r>
          </w:p>
        </w:tc>
        <w:tc>
          <w:tcPr>
            <w:tcW w:w="194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32370</w:t>
            </w:r>
          </w:p>
        </w:tc>
        <w:tc>
          <w:tcPr>
            <w:tcW w:w="13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w:t>
            </w:r>
          </w:p>
        </w:tc>
      </w:tr>
      <w:tr w:rsidR="00A43E37" w:rsidRPr="00A546BE" w:rsidTr="00A43E37">
        <w:trPr>
          <w:trHeight w:val="315"/>
          <w:jc w:val="center"/>
        </w:trPr>
        <w:tc>
          <w:tcPr>
            <w:tcW w:w="9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78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371</w:t>
            </w:r>
          </w:p>
        </w:tc>
        <w:tc>
          <w:tcPr>
            <w:tcW w:w="194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36078</w:t>
            </w:r>
          </w:p>
        </w:tc>
        <w:tc>
          <w:tcPr>
            <w:tcW w:w="13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w:t>
            </w:r>
          </w:p>
        </w:tc>
      </w:tr>
      <w:tr w:rsidR="00A43E37" w:rsidRPr="00A546BE" w:rsidTr="00A43E37">
        <w:trPr>
          <w:trHeight w:val="300"/>
          <w:jc w:val="center"/>
        </w:trPr>
        <w:tc>
          <w:tcPr>
            <w:tcW w:w="9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78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376</w:t>
            </w:r>
          </w:p>
        </w:tc>
        <w:tc>
          <w:tcPr>
            <w:tcW w:w="194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37497</w:t>
            </w:r>
          </w:p>
        </w:tc>
        <w:tc>
          <w:tcPr>
            <w:tcW w:w="13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w:t>
            </w:r>
          </w:p>
        </w:tc>
      </w:tr>
      <w:tr w:rsidR="00A43E37" w:rsidRPr="00A546BE" w:rsidTr="00A43E37">
        <w:trPr>
          <w:trHeight w:val="300"/>
          <w:jc w:val="center"/>
        </w:trPr>
        <w:tc>
          <w:tcPr>
            <w:tcW w:w="9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78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1047</w:t>
            </w:r>
          </w:p>
        </w:tc>
        <w:tc>
          <w:tcPr>
            <w:tcW w:w="194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39930</w:t>
            </w:r>
          </w:p>
        </w:tc>
        <w:tc>
          <w:tcPr>
            <w:tcW w:w="13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w:t>
            </w:r>
          </w:p>
        </w:tc>
      </w:tr>
      <w:tr w:rsidR="00A43E37" w:rsidRPr="00A546BE" w:rsidTr="00A43E37">
        <w:trPr>
          <w:trHeight w:val="300"/>
          <w:jc w:val="center"/>
        </w:trPr>
        <w:tc>
          <w:tcPr>
            <w:tcW w:w="9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78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1122</w:t>
            </w:r>
          </w:p>
        </w:tc>
        <w:tc>
          <w:tcPr>
            <w:tcW w:w="194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43462</w:t>
            </w:r>
          </w:p>
        </w:tc>
        <w:tc>
          <w:tcPr>
            <w:tcW w:w="1360" w:type="dxa"/>
            <w:noWrap/>
            <w:hideMark/>
          </w:tcPr>
          <w:p w:rsidR="00A43E37" w:rsidRPr="00A546BE" w:rsidRDefault="00A43E37" w:rsidP="00A43E3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w:t>
            </w:r>
          </w:p>
        </w:tc>
      </w:tr>
    </w:tbl>
    <w:p w:rsidR="00A43E37" w:rsidRPr="00A546BE" w:rsidRDefault="00A43E37" w:rsidP="00A43E37">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A43E37" w:rsidRPr="00A546BE" w:rsidRDefault="00A43E37" w:rsidP="00DE71C5">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The information for the above table</w:t>
      </w:r>
      <w:r w:rsidR="00A9725A">
        <w:rPr>
          <w:rFonts w:ascii="Times New Roman" w:hAnsi="Times New Roman" w:cs="Times New Roman"/>
          <w:sz w:val="24"/>
          <w:szCs w:val="24"/>
        </w:rPr>
        <w:t>s</w:t>
      </w:r>
      <w:r w:rsidRPr="00A546BE">
        <w:rPr>
          <w:rFonts w:ascii="Times New Roman" w:hAnsi="Times New Roman" w:cs="Times New Roman"/>
          <w:sz w:val="24"/>
          <w:szCs w:val="24"/>
        </w:rPr>
        <w:t xml:space="preserve"> is shown in appendix 2 and 3. Table 4 reflects the fact that the bank has been suffering a loss during the past five financial years. This means that the bank has not b</w:t>
      </w:r>
      <w:r w:rsidR="00B44D7D" w:rsidRPr="00A546BE">
        <w:rPr>
          <w:rFonts w:ascii="Times New Roman" w:hAnsi="Times New Roman" w:cs="Times New Roman"/>
          <w:sz w:val="24"/>
          <w:szCs w:val="24"/>
        </w:rPr>
        <w:t>e</w:t>
      </w:r>
      <w:r w:rsidRPr="00A546BE">
        <w:rPr>
          <w:rFonts w:ascii="Times New Roman" w:hAnsi="Times New Roman" w:cs="Times New Roman"/>
          <w:sz w:val="24"/>
          <w:szCs w:val="24"/>
        </w:rPr>
        <w:t xml:space="preserve">en capable of generating cash internally. </w:t>
      </w:r>
      <w:r w:rsidR="00B44D7D" w:rsidRPr="00A546BE">
        <w:rPr>
          <w:rFonts w:ascii="Times New Roman" w:hAnsi="Times New Roman" w:cs="Times New Roman"/>
          <w:sz w:val="24"/>
          <w:szCs w:val="24"/>
        </w:rPr>
        <w:t xml:space="preserve">Hence </w:t>
      </w:r>
      <w:r w:rsidR="006329DA">
        <w:rPr>
          <w:rFonts w:ascii="Times New Roman" w:hAnsi="Times New Roman" w:cs="Times New Roman"/>
          <w:sz w:val="24"/>
          <w:szCs w:val="24"/>
        </w:rPr>
        <w:t xml:space="preserve">it </w:t>
      </w:r>
      <w:r w:rsidR="00B44D7D" w:rsidRPr="00A546BE">
        <w:rPr>
          <w:rFonts w:ascii="Times New Roman" w:hAnsi="Times New Roman" w:cs="Times New Roman"/>
          <w:sz w:val="24"/>
          <w:szCs w:val="24"/>
        </w:rPr>
        <w:t xml:space="preserve">needs to increase the level of profitability to sustain in this competitive world. </w:t>
      </w:r>
    </w:p>
    <w:p w:rsidR="00E70C45" w:rsidRPr="00A546BE" w:rsidRDefault="00E70C45" w:rsidP="00645873">
      <w:pPr>
        <w:pStyle w:val="Heading1"/>
      </w:pPr>
      <w:bookmarkStart w:id="7" w:name="_Toc512791102"/>
      <w:r w:rsidRPr="00A546BE">
        <w:t>Barclays as a Competitor</w:t>
      </w:r>
      <w:bookmarkEnd w:id="7"/>
      <w:r w:rsidRPr="00A546BE">
        <w:t xml:space="preserve"> </w:t>
      </w:r>
    </w:p>
    <w:p w:rsidR="00E363ED" w:rsidRPr="00A546BE" w:rsidRDefault="00E363ED" w:rsidP="0014767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This is a global financial service company which has extended its activities from </w:t>
      </w:r>
      <w:r w:rsidR="00147675">
        <w:rPr>
          <w:rFonts w:ascii="Times New Roman" w:hAnsi="Times New Roman" w:cs="Times New Roman"/>
          <w:sz w:val="24"/>
          <w:szCs w:val="24"/>
        </w:rPr>
        <w:t>wholesale banking</w:t>
      </w:r>
      <w:r w:rsidR="00282267">
        <w:rPr>
          <w:rFonts w:ascii="Times New Roman" w:hAnsi="Times New Roman" w:cs="Times New Roman"/>
          <w:sz w:val="24"/>
          <w:szCs w:val="24"/>
        </w:rPr>
        <w:t xml:space="preserve"> and</w:t>
      </w:r>
      <w:r w:rsidR="00147675">
        <w:rPr>
          <w:rFonts w:ascii="Times New Roman" w:hAnsi="Times New Roman" w:cs="Times New Roman"/>
          <w:sz w:val="24"/>
          <w:szCs w:val="24"/>
        </w:rPr>
        <w:t xml:space="preserve"> investment banking </w:t>
      </w:r>
      <w:r w:rsidR="00282267">
        <w:rPr>
          <w:rFonts w:ascii="Times New Roman" w:hAnsi="Times New Roman" w:cs="Times New Roman"/>
          <w:sz w:val="24"/>
          <w:szCs w:val="24"/>
        </w:rPr>
        <w:t xml:space="preserve">to wealth management services. </w:t>
      </w:r>
      <w:r w:rsidR="008549CF">
        <w:rPr>
          <w:rFonts w:ascii="Times New Roman" w:hAnsi="Times New Roman" w:cs="Times New Roman"/>
          <w:sz w:val="24"/>
          <w:szCs w:val="24"/>
        </w:rPr>
        <w:t>The bank has more than 325 years of experience, and in spite of many odds, financial crises, international conflicts and technological revolutions, the bank still manages to achieve the organizational goals</w:t>
      </w:r>
      <w:r w:rsidR="00E1071A">
        <w:rPr>
          <w:rFonts w:ascii="Times New Roman" w:hAnsi="Times New Roman" w:cs="Times New Roman"/>
          <w:sz w:val="24"/>
          <w:szCs w:val="24"/>
        </w:rPr>
        <w:t xml:space="preserve"> </w:t>
      </w:r>
      <w:r w:rsidR="00E1071A" w:rsidRPr="00E1071A">
        <w:rPr>
          <w:rFonts w:ascii="Times New Roman" w:hAnsi="Times New Roman" w:cs="Times New Roman"/>
          <w:sz w:val="24"/>
          <w:szCs w:val="24"/>
          <w:shd w:val="clear" w:color="auto" w:fill="FFFFFF"/>
        </w:rPr>
        <w:t>(Barclays, 2018)</w:t>
      </w:r>
      <w:r w:rsidR="008549CF">
        <w:rPr>
          <w:rFonts w:ascii="Times New Roman" w:hAnsi="Times New Roman" w:cs="Times New Roman"/>
          <w:sz w:val="24"/>
          <w:szCs w:val="24"/>
        </w:rPr>
        <w:t xml:space="preserve">. </w:t>
      </w:r>
      <w:r w:rsidR="007018D3">
        <w:rPr>
          <w:rFonts w:ascii="Times New Roman" w:hAnsi="Times New Roman" w:cs="Times New Roman"/>
          <w:sz w:val="24"/>
          <w:szCs w:val="24"/>
        </w:rPr>
        <w:t xml:space="preserve">Being headquartered in London, presently it is operating in almost over 40 </w:t>
      </w:r>
      <w:r w:rsidR="001279E8">
        <w:rPr>
          <w:rFonts w:ascii="Times New Roman" w:hAnsi="Times New Roman" w:cs="Times New Roman"/>
          <w:sz w:val="24"/>
          <w:szCs w:val="24"/>
        </w:rPr>
        <w:lastRenderedPageBreak/>
        <w:t xml:space="preserve">countries. </w:t>
      </w:r>
      <w:r w:rsidR="00A17F35">
        <w:rPr>
          <w:rFonts w:ascii="Times New Roman" w:hAnsi="Times New Roman" w:cs="Times New Roman"/>
          <w:sz w:val="24"/>
          <w:szCs w:val="24"/>
        </w:rPr>
        <w:t>With the purpose to assist people in accomplishing their ambitions, Barclays, the bank has a global presence all a</w:t>
      </w:r>
      <w:r w:rsidR="00B94AD5">
        <w:rPr>
          <w:rFonts w:ascii="Times New Roman" w:hAnsi="Times New Roman" w:cs="Times New Roman"/>
          <w:sz w:val="24"/>
          <w:szCs w:val="24"/>
        </w:rPr>
        <w:t xml:space="preserve">round the world thereby gaining strong and sustainable returns. </w:t>
      </w:r>
      <w:r w:rsidR="000C445C">
        <w:rPr>
          <w:rFonts w:ascii="Times New Roman" w:hAnsi="Times New Roman" w:cs="Times New Roman"/>
          <w:sz w:val="24"/>
          <w:szCs w:val="24"/>
        </w:rPr>
        <w:t>In the recent times, the earnings of Barclays have been seen to be more as compared to that of HSBC</w:t>
      </w:r>
      <w:r w:rsidR="00E1071A" w:rsidRPr="00E1071A">
        <w:rPr>
          <w:rFonts w:ascii="Arial" w:hAnsi="Arial" w:cs="Arial"/>
          <w:color w:val="666666"/>
          <w:sz w:val="20"/>
          <w:szCs w:val="20"/>
          <w:shd w:val="clear" w:color="auto" w:fill="FFFFFF"/>
        </w:rPr>
        <w:t xml:space="preserve"> </w:t>
      </w:r>
      <w:r w:rsidR="00E1071A" w:rsidRPr="00E1071A">
        <w:rPr>
          <w:rFonts w:ascii="Times New Roman" w:hAnsi="Times New Roman" w:cs="Times New Roman"/>
          <w:sz w:val="24"/>
          <w:szCs w:val="24"/>
          <w:shd w:val="clear" w:color="auto" w:fill="FFFFFF"/>
        </w:rPr>
        <w:t>(Barclays, 2018)</w:t>
      </w:r>
      <w:r w:rsidR="000C445C">
        <w:rPr>
          <w:rFonts w:ascii="Times New Roman" w:hAnsi="Times New Roman" w:cs="Times New Roman"/>
          <w:sz w:val="24"/>
          <w:szCs w:val="24"/>
        </w:rPr>
        <w:t xml:space="preserve">. Moreover, the salary structure in this bank is more arranged with an appealing look of allowances.  </w:t>
      </w:r>
      <w:r w:rsidR="000F0593">
        <w:rPr>
          <w:rFonts w:ascii="Times New Roman" w:hAnsi="Times New Roman" w:cs="Times New Roman"/>
          <w:sz w:val="24"/>
          <w:szCs w:val="24"/>
        </w:rPr>
        <w:t>It is important to financially analyze B</w:t>
      </w:r>
      <w:r w:rsidR="00EA6897">
        <w:rPr>
          <w:rFonts w:ascii="Times New Roman" w:hAnsi="Times New Roman" w:cs="Times New Roman"/>
          <w:sz w:val="24"/>
          <w:szCs w:val="24"/>
        </w:rPr>
        <w:t xml:space="preserve">arclays as a competitor of HSBC, in order to find the strategies that are needed to be adopted by it, so that the bank can acquire competitive advantage in the modern world. </w:t>
      </w:r>
      <w:r w:rsidR="000F0593">
        <w:rPr>
          <w:rFonts w:ascii="Times New Roman" w:hAnsi="Times New Roman" w:cs="Times New Roman"/>
          <w:sz w:val="24"/>
          <w:szCs w:val="24"/>
        </w:rPr>
        <w:t xml:space="preserve"> </w:t>
      </w:r>
    </w:p>
    <w:p w:rsidR="00032424" w:rsidRPr="00A546BE" w:rsidRDefault="00032424" w:rsidP="00BE65A2">
      <w:pPr>
        <w:pStyle w:val="Heading1"/>
        <w:spacing w:line="360" w:lineRule="auto"/>
      </w:pPr>
      <w:bookmarkStart w:id="8" w:name="_Toc512791103"/>
      <w:r w:rsidRPr="00A546BE">
        <w:t xml:space="preserve">Comparison with </w:t>
      </w:r>
      <w:r w:rsidR="00702621" w:rsidRPr="00A546BE">
        <w:t>Barclays</w:t>
      </w:r>
      <w:bookmarkEnd w:id="8"/>
      <w:r w:rsidR="00702621" w:rsidRPr="00A546BE">
        <w:t xml:space="preserve"> </w:t>
      </w:r>
    </w:p>
    <w:p w:rsidR="00702621" w:rsidRPr="00A546BE" w:rsidRDefault="00702621" w:rsidP="000347E7">
      <w:pPr>
        <w:spacing w:line="360" w:lineRule="auto"/>
        <w:rPr>
          <w:rFonts w:ascii="Times New Roman" w:hAnsi="Times New Roman" w:cs="Times New Roman"/>
          <w:sz w:val="24"/>
          <w:szCs w:val="24"/>
        </w:rPr>
      </w:pPr>
      <w:r w:rsidRPr="00A546BE">
        <w:rPr>
          <w:rFonts w:ascii="Times New Roman" w:hAnsi="Times New Roman" w:cs="Times New Roman"/>
          <w:sz w:val="24"/>
          <w:szCs w:val="24"/>
        </w:rPr>
        <w:tab/>
      </w:r>
      <w:r w:rsidR="000347E7" w:rsidRPr="00A546BE">
        <w:rPr>
          <w:rFonts w:ascii="Times New Roman" w:hAnsi="Times New Roman" w:cs="Times New Roman"/>
          <w:sz w:val="24"/>
          <w:szCs w:val="24"/>
        </w:rPr>
        <w:t xml:space="preserve">An analysis has been conducted in this study to compare the financial health of HSBC to that of Barclays.  As it can be seen from table 6 (information provided in appendix 6), the loans to deposits ratio in case of Barclays was much higher in the past five years as compared to HSBC. </w:t>
      </w:r>
      <w:r w:rsidR="00125F56" w:rsidRPr="00A546BE">
        <w:rPr>
          <w:rFonts w:ascii="Times New Roman" w:hAnsi="Times New Roman" w:cs="Times New Roman"/>
          <w:sz w:val="24"/>
          <w:szCs w:val="24"/>
        </w:rPr>
        <w:t xml:space="preserve">This indicates that the ability of the </w:t>
      </w:r>
      <w:r w:rsidR="00EC7498" w:rsidRPr="00A546BE">
        <w:rPr>
          <w:rFonts w:ascii="Times New Roman" w:hAnsi="Times New Roman" w:cs="Times New Roman"/>
          <w:sz w:val="24"/>
          <w:szCs w:val="24"/>
        </w:rPr>
        <w:t>former</w:t>
      </w:r>
      <w:r w:rsidR="00125F56" w:rsidRPr="00A546BE">
        <w:rPr>
          <w:rFonts w:ascii="Times New Roman" w:hAnsi="Times New Roman" w:cs="Times New Roman"/>
          <w:sz w:val="24"/>
          <w:szCs w:val="24"/>
        </w:rPr>
        <w:t xml:space="preserve"> bank to cover withdrawals made by the customers </w:t>
      </w:r>
      <w:r w:rsidR="000602DC" w:rsidRPr="00A546BE">
        <w:rPr>
          <w:rFonts w:ascii="Times New Roman" w:hAnsi="Times New Roman" w:cs="Times New Roman"/>
          <w:sz w:val="24"/>
          <w:szCs w:val="24"/>
        </w:rPr>
        <w:t xml:space="preserve">is higher than that of the </w:t>
      </w:r>
      <w:r w:rsidR="00EC7498" w:rsidRPr="00A546BE">
        <w:rPr>
          <w:rFonts w:ascii="Times New Roman" w:hAnsi="Times New Roman" w:cs="Times New Roman"/>
          <w:sz w:val="24"/>
          <w:szCs w:val="24"/>
        </w:rPr>
        <w:t>latter</w:t>
      </w:r>
      <w:r w:rsidR="00E621CA" w:rsidRPr="00A546BE">
        <w:rPr>
          <w:rFonts w:ascii="Times New Roman" w:hAnsi="Times New Roman" w:cs="Times New Roman"/>
          <w:sz w:val="24"/>
          <w:szCs w:val="24"/>
        </w:rPr>
        <w:t xml:space="preserve"> </w:t>
      </w:r>
      <w:r w:rsidR="000602DC" w:rsidRPr="00A546BE">
        <w:rPr>
          <w:rFonts w:ascii="Times New Roman" w:hAnsi="Times New Roman" w:cs="Times New Roman"/>
          <w:sz w:val="24"/>
          <w:szCs w:val="24"/>
        </w:rPr>
        <w:t xml:space="preserve">bank. To maintain its normal daily operations, these lending institutions need to maintain </w:t>
      </w:r>
      <w:r w:rsidR="00E621CA" w:rsidRPr="00A546BE">
        <w:rPr>
          <w:rFonts w:ascii="Times New Roman" w:hAnsi="Times New Roman" w:cs="Times New Roman"/>
          <w:sz w:val="24"/>
          <w:szCs w:val="24"/>
        </w:rPr>
        <w:t>a certain measure of liquidity. However,</w:t>
      </w:r>
      <w:r w:rsidR="00D8278D" w:rsidRPr="00A546BE">
        <w:rPr>
          <w:rFonts w:ascii="Times New Roman" w:hAnsi="Times New Roman" w:cs="Times New Roman"/>
          <w:sz w:val="24"/>
          <w:szCs w:val="24"/>
        </w:rPr>
        <w:t xml:space="preserve"> </w:t>
      </w:r>
      <w:r w:rsidR="00717CBB" w:rsidRPr="00A546BE">
        <w:rPr>
          <w:rFonts w:ascii="Times New Roman" w:hAnsi="Times New Roman" w:cs="Times New Roman"/>
          <w:sz w:val="24"/>
          <w:szCs w:val="24"/>
        </w:rPr>
        <w:t>though</w:t>
      </w:r>
      <w:r w:rsidR="00E621CA" w:rsidRPr="00A546BE">
        <w:rPr>
          <w:rFonts w:ascii="Times New Roman" w:hAnsi="Times New Roman" w:cs="Times New Roman"/>
          <w:sz w:val="24"/>
          <w:szCs w:val="24"/>
        </w:rPr>
        <w:t xml:space="preserve"> HSBC</w:t>
      </w:r>
      <w:r w:rsidR="00D8278D" w:rsidRPr="00A546BE">
        <w:rPr>
          <w:rFonts w:ascii="Times New Roman" w:hAnsi="Times New Roman" w:cs="Times New Roman"/>
          <w:sz w:val="24"/>
          <w:szCs w:val="24"/>
        </w:rPr>
        <w:t xml:space="preserve"> has</w:t>
      </w:r>
      <w:r w:rsidR="00E621CA" w:rsidRPr="00A546BE">
        <w:rPr>
          <w:rFonts w:ascii="Times New Roman" w:hAnsi="Times New Roman" w:cs="Times New Roman"/>
          <w:sz w:val="24"/>
          <w:szCs w:val="24"/>
        </w:rPr>
        <w:t xml:space="preserve"> </w:t>
      </w:r>
      <w:r w:rsidR="00D8278D" w:rsidRPr="00A546BE">
        <w:rPr>
          <w:rFonts w:ascii="Times New Roman" w:hAnsi="Times New Roman" w:cs="Times New Roman"/>
          <w:sz w:val="24"/>
          <w:szCs w:val="24"/>
        </w:rPr>
        <w:t>succeeded in</w:t>
      </w:r>
      <w:r w:rsidR="00E621CA" w:rsidRPr="00A546BE">
        <w:rPr>
          <w:rFonts w:ascii="Times New Roman" w:hAnsi="Times New Roman" w:cs="Times New Roman"/>
          <w:sz w:val="24"/>
          <w:szCs w:val="24"/>
        </w:rPr>
        <w:t xml:space="preserve"> maintain</w:t>
      </w:r>
      <w:r w:rsidR="00D8278D" w:rsidRPr="00A546BE">
        <w:rPr>
          <w:rFonts w:ascii="Times New Roman" w:hAnsi="Times New Roman" w:cs="Times New Roman"/>
          <w:sz w:val="24"/>
          <w:szCs w:val="24"/>
        </w:rPr>
        <w:t>ing</w:t>
      </w:r>
      <w:r w:rsidR="00E621CA" w:rsidRPr="00A546BE">
        <w:rPr>
          <w:rFonts w:ascii="Times New Roman" w:hAnsi="Times New Roman" w:cs="Times New Roman"/>
          <w:sz w:val="24"/>
          <w:szCs w:val="24"/>
        </w:rPr>
        <w:t xml:space="preserve"> the limit</w:t>
      </w:r>
      <w:r w:rsidR="00717CBB" w:rsidRPr="00A546BE">
        <w:rPr>
          <w:rFonts w:ascii="Times New Roman" w:hAnsi="Times New Roman" w:cs="Times New Roman"/>
          <w:sz w:val="24"/>
          <w:szCs w:val="24"/>
        </w:rPr>
        <w:t xml:space="preserve"> of mandatory reserves, yet to sustain in this competitive world, it is important to ensure the viability of HSBC. In other words, money needs to be immediately available as per the needs and wants of the customers.  </w:t>
      </w:r>
    </w:p>
    <w:p w:rsidR="00125F56" w:rsidRPr="00A546BE" w:rsidRDefault="00125F56" w:rsidP="00125F56">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                        </w:t>
      </w:r>
      <w:r w:rsidR="00477DEF" w:rsidRPr="00A546BE">
        <w:rPr>
          <w:rFonts w:ascii="Times New Roman" w:hAnsi="Times New Roman" w:cs="Times New Roman"/>
          <w:sz w:val="24"/>
          <w:szCs w:val="24"/>
        </w:rPr>
        <w:t>Table 6</w:t>
      </w:r>
      <w:r w:rsidRPr="00A546BE">
        <w:rPr>
          <w:rFonts w:ascii="Times New Roman" w:hAnsi="Times New Roman" w:cs="Times New Roman"/>
          <w:sz w:val="24"/>
          <w:szCs w:val="24"/>
        </w:rPr>
        <w:t>: Loans to Deposits Ratio of Barclays for FY 2013-2017</w:t>
      </w:r>
    </w:p>
    <w:tbl>
      <w:tblPr>
        <w:tblStyle w:val="TableGrid"/>
        <w:tblW w:w="4840" w:type="dxa"/>
        <w:jc w:val="center"/>
        <w:tblLook w:val="04A0" w:firstRow="1" w:lastRow="0" w:firstColumn="1" w:lastColumn="0" w:noHBand="0" w:noVBand="1"/>
      </w:tblPr>
      <w:tblGrid>
        <w:gridCol w:w="696"/>
        <w:gridCol w:w="1391"/>
        <w:gridCol w:w="1651"/>
        <w:gridCol w:w="1128"/>
      </w:tblGrid>
      <w:tr w:rsidR="000347E7" w:rsidRPr="00A546BE" w:rsidTr="00125F56">
        <w:trPr>
          <w:trHeight w:val="300"/>
          <w:jc w:val="center"/>
        </w:trPr>
        <w:tc>
          <w:tcPr>
            <w:tcW w:w="4840" w:type="dxa"/>
            <w:gridSpan w:val="4"/>
            <w:noWrap/>
            <w:hideMark/>
          </w:tcPr>
          <w:p w:rsidR="000347E7" w:rsidRPr="00A546BE" w:rsidRDefault="000347E7" w:rsidP="000347E7">
            <w:pPr>
              <w:jc w:val="cente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Loan to Deposit Ratio </w:t>
            </w:r>
          </w:p>
        </w:tc>
      </w:tr>
      <w:tr w:rsidR="000347E7" w:rsidRPr="00A546BE" w:rsidTr="00125F56">
        <w:trPr>
          <w:trHeight w:val="900"/>
          <w:jc w:val="center"/>
        </w:trPr>
        <w:tc>
          <w:tcPr>
            <w:tcW w:w="670" w:type="dxa"/>
            <w:noWrap/>
            <w:hideMark/>
          </w:tcPr>
          <w:p w:rsidR="000347E7" w:rsidRPr="00A546BE" w:rsidRDefault="000347E7" w:rsidP="000347E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Year </w:t>
            </w:r>
          </w:p>
        </w:tc>
        <w:tc>
          <w:tcPr>
            <w:tcW w:w="1391" w:type="dxa"/>
            <w:hideMark/>
          </w:tcPr>
          <w:p w:rsidR="000347E7" w:rsidRPr="00A546BE" w:rsidRDefault="000347E7" w:rsidP="000347E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Loans (£m)</w:t>
            </w:r>
          </w:p>
        </w:tc>
        <w:tc>
          <w:tcPr>
            <w:tcW w:w="1651" w:type="dxa"/>
            <w:hideMark/>
          </w:tcPr>
          <w:p w:rsidR="000347E7" w:rsidRPr="00A546BE" w:rsidRDefault="000347E7" w:rsidP="000347E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Total Assets (£m)</w:t>
            </w:r>
          </w:p>
        </w:tc>
        <w:tc>
          <w:tcPr>
            <w:tcW w:w="1128" w:type="dxa"/>
            <w:hideMark/>
          </w:tcPr>
          <w:p w:rsidR="000347E7" w:rsidRPr="00A546BE" w:rsidRDefault="000347E7" w:rsidP="000347E7">
            <w:pPr>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 xml:space="preserve">Loans to Asset Ratio </w:t>
            </w:r>
          </w:p>
        </w:tc>
      </w:tr>
      <w:tr w:rsidR="000347E7" w:rsidRPr="00A546BE" w:rsidTr="00125F56">
        <w:trPr>
          <w:trHeight w:val="300"/>
          <w:jc w:val="center"/>
        </w:trPr>
        <w:tc>
          <w:tcPr>
            <w:tcW w:w="670"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2013</w:t>
            </w:r>
          </w:p>
        </w:tc>
        <w:tc>
          <w:tcPr>
            <w:tcW w:w="139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434237</w:t>
            </w:r>
          </w:p>
        </w:tc>
        <w:tc>
          <w:tcPr>
            <w:tcW w:w="165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1343628</w:t>
            </w:r>
          </w:p>
        </w:tc>
        <w:tc>
          <w:tcPr>
            <w:tcW w:w="1128"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w:t>
            </w:r>
          </w:p>
        </w:tc>
      </w:tr>
      <w:tr w:rsidR="000347E7" w:rsidRPr="00A546BE" w:rsidTr="00125F56">
        <w:trPr>
          <w:trHeight w:val="300"/>
          <w:jc w:val="center"/>
        </w:trPr>
        <w:tc>
          <w:tcPr>
            <w:tcW w:w="670"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2014</w:t>
            </w:r>
          </w:p>
        </w:tc>
        <w:tc>
          <w:tcPr>
            <w:tcW w:w="139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427767</w:t>
            </w:r>
          </w:p>
        </w:tc>
        <w:tc>
          <w:tcPr>
            <w:tcW w:w="165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1357906</w:t>
            </w:r>
          </w:p>
        </w:tc>
        <w:tc>
          <w:tcPr>
            <w:tcW w:w="1128"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w:t>
            </w:r>
          </w:p>
        </w:tc>
      </w:tr>
      <w:tr w:rsidR="000347E7" w:rsidRPr="00A546BE" w:rsidTr="00125F56">
        <w:trPr>
          <w:trHeight w:val="300"/>
          <w:jc w:val="center"/>
        </w:trPr>
        <w:tc>
          <w:tcPr>
            <w:tcW w:w="670"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2015</w:t>
            </w:r>
          </w:p>
        </w:tc>
        <w:tc>
          <w:tcPr>
            <w:tcW w:w="139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399217</w:t>
            </w:r>
          </w:p>
        </w:tc>
        <w:tc>
          <w:tcPr>
            <w:tcW w:w="165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1120012</w:t>
            </w:r>
          </w:p>
        </w:tc>
        <w:tc>
          <w:tcPr>
            <w:tcW w:w="1128"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36%</w:t>
            </w:r>
          </w:p>
        </w:tc>
      </w:tr>
      <w:tr w:rsidR="000347E7" w:rsidRPr="00A546BE" w:rsidTr="00125F56">
        <w:trPr>
          <w:trHeight w:val="300"/>
          <w:jc w:val="center"/>
        </w:trPr>
        <w:tc>
          <w:tcPr>
            <w:tcW w:w="670"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2016</w:t>
            </w:r>
          </w:p>
        </w:tc>
        <w:tc>
          <w:tcPr>
            <w:tcW w:w="139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392784</w:t>
            </w:r>
          </w:p>
        </w:tc>
        <w:tc>
          <w:tcPr>
            <w:tcW w:w="165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1213126</w:t>
            </w:r>
          </w:p>
        </w:tc>
        <w:tc>
          <w:tcPr>
            <w:tcW w:w="1128"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w:t>
            </w:r>
          </w:p>
        </w:tc>
      </w:tr>
      <w:tr w:rsidR="000347E7" w:rsidRPr="00A546BE" w:rsidTr="00125F56">
        <w:trPr>
          <w:trHeight w:val="300"/>
          <w:jc w:val="center"/>
        </w:trPr>
        <w:tc>
          <w:tcPr>
            <w:tcW w:w="670"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2017</w:t>
            </w:r>
          </w:p>
        </w:tc>
        <w:tc>
          <w:tcPr>
            <w:tcW w:w="139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365552</w:t>
            </w:r>
          </w:p>
        </w:tc>
        <w:tc>
          <w:tcPr>
            <w:tcW w:w="1651"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1133248</w:t>
            </w:r>
          </w:p>
        </w:tc>
        <w:tc>
          <w:tcPr>
            <w:tcW w:w="1128" w:type="dxa"/>
            <w:noWrap/>
            <w:hideMark/>
          </w:tcPr>
          <w:p w:rsidR="000347E7" w:rsidRPr="00A546BE" w:rsidRDefault="000347E7" w:rsidP="000347E7">
            <w:pPr>
              <w:jc w:val="right"/>
              <w:rPr>
                <w:rFonts w:ascii="Times New Roman" w:eastAsia="Times New Roman" w:hAnsi="Times New Roman" w:cs="Times New Roman"/>
                <w:color w:val="000000"/>
                <w:sz w:val="24"/>
                <w:szCs w:val="24"/>
              </w:rPr>
            </w:pPr>
            <w:r w:rsidRPr="00A546BE">
              <w:rPr>
                <w:rFonts w:ascii="Times New Roman" w:eastAsia="Times New Roman" w:hAnsi="Times New Roman" w:cs="Times New Roman"/>
                <w:color w:val="000000"/>
                <w:sz w:val="24"/>
                <w:szCs w:val="24"/>
              </w:rPr>
              <w:t>32%</w:t>
            </w:r>
          </w:p>
        </w:tc>
      </w:tr>
    </w:tbl>
    <w:p w:rsidR="00125F56" w:rsidRPr="00A546BE" w:rsidRDefault="00125F56" w:rsidP="00125F56">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EC7498" w:rsidRPr="00A546BE" w:rsidRDefault="00477DEF" w:rsidP="00477DEF">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The figure given below compares the loans to deposit ratios for both the banks. As the ratio is low in case of HSBC, it depicts that the earnings of the bank is low as compared to its deposits. Though for both the banks the percentage almost remained the same after 2015, </w:t>
      </w:r>
      <w:r w:rsidR="006464CC" w:rsidRPr="00A546BE">
        <w:rPr>
          <w:rFonts w:ascii="Times New Roman" w:hAnsi="Times New Roman" w:cs="Times New Roman"/>
          <w:sz w:val="24"/>
          <w:szCs w:val="24"/>
        </w:rPr>
        <w:t xml:space="preserve">but the </w:t>
      </w:r>
      <w:r w:rsidR="006464CC" w:rsidRPr="00A546BE">
        <w:rPr>
          <w:rFonts w:ascii="Times New Roman" w:hAnsi="Times New Roman" w:cs="Times New Roman"/>
          <w:sz w:val="24"/>
          <w:szCs w:val="24"/>
        </w:rPr>
        <w:lastRenderedPageBreak/>
        <w:t xml:space="preserve">value needs to increase, that is the loan growth should increase as compared to that of the deposit growth. </w:t>
      </w:r>
    </w:p>
    <w:p w:rsidR="006464CC" w:rsidRPr="00A546BE" w:rsidRDefault="006464CC" w:rsidP="00477DEF">
      <w:pPr>
        <w:spacing w:line="360" w:lineRule="auto"/>
        <w:ind w:firstLine="720"/>
        <w:rPr>
          <w:rFonts w:ascii="Times New Roman" w:hAnsi="Times New Roman" w:cs="Times New Roman"/>
          <w:sz w:val="24"/>
          <w:szCs w:val="24"/>
        </w:rPr>
      </w:pPr>
    </w:p>
    <w:p w:rsidR="000347E7" w:rsidRPr="00A546BE" w:rsidRDefault="00EC7498" w:rsidP="00EC7498">
      <w:pPr>
        <w:spacing w:line="360" w:lineRule="auto"/>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32424" w:rsidRPr="00A546BE" w:rsidRDefault="006464CC" w:rsidP="006464CC">
      <w:pPr>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3F574C" w:rsidRPr="00A546BE" w:rsidRDefault="006464CC" w:rsidP="006464CC">
      <w:pPr>
        <w:spacing w:line="360" w:lineRule="auto"/>
        <w:rPr>
          <w:rFonts w:ascii="Times New Roman" w:hAnsi="Times New Roman" w:cs="Times New Roman"/>
          <w:sz w:val="24"/>
          <w:szCs w:val="24"/>
        </w:rPr>
      </w:pPr>
      <w:r w:rsidRPr="00A546BE">
        <w:rPr>
          <w:rFonts w:ascii="Times New Roman" w:hAnsi="Times New Roman" w:cs="Times New Roman"/>
          <w:sz w:val="24"/>
          <w:szCs w:val="24"/>
        </w:rPr>
        <w:tab/>
        <w:t xml:space="preserve">The table given below measures the total amount of assets which are financed by the creditors of Barclays instead of the investors. That is to </w:t>
      </w:r>
      <w:r w:rsidR="003B203C" w:rsidRPr="00A546BE">
        <w:rPr>
          <w:rFonts w:ascii="Times New Roman" w:hAnsi="Times New Roman" w:cs="Times New Roman"/>
          <w:sz w:val="24"/>
          <w:szCs w:val="24"/>
        </w:rPr>
        <w:t>say, similar</w:t>
      </w:r>
      <w:r w:rsidRPr="00A546BE">
        <w:rPr>
          <w:rFonts w:ascii="Times New Roman" w:hAnsi="Times New Roman" w:cs="Times New Roman"/>
          <w:sz w:val="24"/>
          <w:szCs w:val="24"/>
        </w:rPr>
        <w:t xml:space="preserve"> to HSBC, percentage of assets that </w:t>
      </w:r>
      <w:r w:rsidR="003B203C" w:rsidRPr="00A546BE">
        <w:rPr>
          <w:rFonts w:ascii="Times New Roman" w:hAnsi="Times New Roman" w:cs="Times New Roman"/>
          <w:sz w:val="24"/>
          <w:szCs w:val="24"/>
        </w:rPr>
        <w:t>is</w:t>
      </w:r>
      <w:r w:rsidRPr="00A546BE">
        <w:rPr>
          <w:rFonts w:ascii="Times New Roman" w:hAnsi="Times New Roman" w:cs="Times New Roman"/>
          <w:sz w:val="24"/>
          <w:szCs w:val="24"/>
        </w:rPr>
        <w:t xml:space="preserve"> </w:t>
      </w:r>
      <w:r w:rsidR="003B203C" w:rsidRPr="00A546BE">
        <w:rPr>
          <w:rFonts w:ascii="Times New Roman" w:hAnsi="Times New Roman" w:cs="Times New Roman"/>
          <w:sz w:val="24"/>
          <w:szCs w:val="24"/>
        </w:rPr>
        <w:t>financed</w:t>
      </w:r>
      <w:r w:rsidRPr="00A546BE">
        <w:rPr>
          <w:rFonts w:ascii="Times New Roman" w:hAnsi="Times New Roman" w:cs="Times New Roman"/>
          <w:sz w:val="24"/>
          <w:szCs w:val="24"/>
        </w:rPr>
        <w:t xml:space="preserve"> by borrowing </w:t>
      </w:r>
      <w:r w:rsidR="003B203C" w:rsidRPr="00A546BE">
        <w:rPr>
          <w:rFonts w:ascii="Times New Roman" w:hAnsi="Times New Roman" w:cs="Times New Roman"/>
          <w:sz w:val="24"/>
          <w:szCs w:val="24"/>
        </w:rPr>
        <w:t>is more as compared to the percentage of assets that are funded by the investors. This also indicates that as both the bank has higher debt to assets ratio, hence the financial health of both HSBC and Barclays is poor,</w:t>
      </w:r>
      <w:r w:rsidR="009920E6" w:rsidRPr="00A546BE">
        <w:rPr>
          <w:rFonts w:ascii="Times New Roman" w:hAnsi="Times New Roman" w:cs="Times New Roman"/>
          <w:sz w:val="24"/>
          <w:szCs w:val="24"/>
        </w:rPr>
        <w:t xml:space="preserve"> involving a high risk </w:t>
      </w:r>
      <w:r w:rsidR="003F574C" w:rsidRPr="00A546BE">
        <w:rPr>
          <w:rFonts w:ascii="Times New Roman" w:hAnsi="Times New Roman" w:cs="Times New Roman"/>
          <w:sz w:val="24"/>
          <w:szCs w:val="24"/>
        </w:rPr>
        <w:t>to meet</w:t>
      </w:r>
      <w:r w:rsidR="009920E6" w:rsidRPr="00A546BE">
        <w:rPr>
          <w:rFonts w:ascii="Times New Roman" w:hAnsi="Times New Roman" w:cs="Times New Roman"/>
          <w:sz w:val="24"/>
          <w:szCs w:val="24"/>
        </w:rPr>
        <w:t xml:space="preserve"> the debt obligations. </w:t>
      </w:r>
      <w:r w:rsidR="00773FA0" w:rsidRPr="00A546BE">
        <w:rPr>
          <w:rFonts w:ascii="Times New Roman" w:hAnsi="Times New Roman" w:cs="Times New Roman"/>
          <w:sz w:val="24"/>
          <w:szCs w:val="24"/>
        </w:rPr>
        <w:t xml:space="preserve">The data for table 8 is provided in appendix 7. </w:t>
      </w:r>
    </w:p>
    <w:p w:rsidR="003F574C" w:rsidRPr="00A546BE" w:rsidRDefault="003F574C" w:rsidP="003F574C">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                   Table 8: Debt to Assets Ratio of Barclays for FY 2013-2017</w:t>
      </w:r>
    </w:p>
    <w:tbl>
      <w:tblPr>
        <w:tblStyle w:val="TableGrid"/>
        <w:tblW w:w="4280" w:type="dxa"/>
        <w:jc w:val="center"/>
        <w:tblLook w:val="04A0" w:firstRow="1" w:lastRow="0" w:firstColumn="1" w:lastColumn="0" w:noHBand="0" w:noVBand="1"/>
      </w:tblPr>
      <w:tblGrid>
        <w:gridCol w:w="696"/>
        <w:gridCol w:w="1324"/>
        <w:gridCol w:w="1419"/>
        <w:gridCol w:w="914"/>
      </w:tblGrid>
      <w:tr w:rsidR="003F574C" w:rsidRPr="003F574C" w:rsidTr="003F574C">
        <w:trPr>
          <w:trHeight w:val="300"/>
          <w:jc w:val="center"/>
        </w:trPr>
        <w:tc>
          <w:tcPr>
            <w:tcW w:w="4280" w:type="dxa"/>
            <w:gridSpan w:val="4"/>
            <w:noWrap/>
            <w:hideMark/>
          </w:tcPr>
          <w:p w:rsidR="003F574C" w:rsidRPr="003F574C" w:rsidRDefault="003F574C" w:rsidP="003F574C">
            <w:pPr>
              <w:jc w:val="center"/>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Leverage Ratios</w:t>
            </w:r>
          </w:p>
        </w:tc>
      </w:tr>
      <w:tr w:rsidR="003F574C" w:rsidRPr="003F574C" w:rsidTr="003F574C">
        <w:trPr>
          <w:trHeight w:val="900"/>
          <w:jc w:val="center"/>
        </w:trPr>
        <w:tc>
          <w:tcPr>
            <w:tcW w:w="623" w:type="dxa"/>
            <w:noWrap/>
            <w:hideMark/>
          </w:tcPr>
          <w:p w:rsidR="003F574C" w:rsidRPr="003F574C" w:rsidRDefault="003F574C" w:rsidP="003F574C">
            <w:pPr>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 xml:space="preserve">Year </w:t>
            </w:r>
          </w:p>
        </w:tc>
        <w:tc>
          <w:tcPr>
            <w:tcW w:w="1324" w:type="dxa"/>
            <w:hideMark/>
          </w:tcPr>
          <w:p w:rsidR="003F574C" w:rsidRPr="003F574C" w:rsidRDefault="003F574C" w:rsidP="003F574C">
            <w:pPr>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Total Liabilities  (£m)</w:t>
            </w:r>
          </w:p>
        </w:tc>
        <w:tc>
          <w:tcPr>
            <w:tcW w:w="1419" w:type="dxa"/>
            <w:hideMark/>
          </w:tcPr>
          <w:p w:rsidR="003F574C" w:rsidRPr="003F574C" w:rsidRDefault="003F574C" w:rsidP="003F574C">
            <w:pPr>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Total Assets (£m)</w:t>
            </w:r>
          </w:p>
        </w:tc>
        <w:tc>
          <w:tcPr>
            <w:tcW w:w="914" w:type="dxa"/>
            <w:hideMark/>
          </w:tcPr>
          <w:p w:rsidR="003F574C" w:rsidRPr="003F574C" w:rsidRDefault="003F574C" w:rsidP="003F574C">
            <w:pPr>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 xml:space="preserve">Debt to Assets Ratio </w:t>
            </w:r>
          </w:p>
        </w:tc>
      </w:tr>
      <w:tr w:rsidR="003F574C" w:rsidRPr="003F574C" w:rsidTr="003F574C">
        <w:trPr>
          <w:trHeight w:val="300"/>
          <w:jc w:val="center"/>
        </w:trPr>
        <w:tc>
          <w:tcPr>
            <w:tcW w:w="623"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2013</w:t>
            </w:r>
          </w:p>
        </w:tc>
        <w:tc>
          <w:tcPr>
            <w:tcW w:w="132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1279679</w:t>
            </w:r>
          </w:p>
        </w:tc>
        <w:tc>
          <w:tcPr>
            <w:tcW w:w="1419"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1343628</w:t>
            </w:r>
          </w:p>
        </w:tc>
        <w:tc>
          <w:tcPr>
            <w:tcW w:w="91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95%</w:t>
            </w:r>
          </w:p>
        </w:tc>
      </w:tr>
      <w:tr w:rsidR="003F574C" w:rsidRPr="003F574C" w:rsidTr="003F574C">
        <w:trPr>
          <w:trHeight w:val="300"/>
          <w:jc w:val="center"/>
        </w:trPr>
        <w:tc>
          <w:tcPr>
            <w:tcW w:w="623"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2014</w:t>
            </w:r>
          </w:p>
        </w:tc>
        <w:tc>
          <w:tcPr>
            <w:tcW w:w="132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1291948</w:t>
            </w:r>
          </w:p>
        </w:tc>
        <w:tc>
          <w:tcPr>
            <w:tcW w:w="1419"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1357906</w:t>
            </w:r>
          </w:p>
        </w:tc>
        <w:tc>
          <w:tcPr>
            <w:tcW w:w="91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95%</w:t>
            </w:r>
          </w:p>
        </w:tc>
      </w:tr>
      <w:tr w:rsidR="003F574C" w:rsidRPr="003F574C" w:rsidTr="003F574C">
        <w:trPr>
          <w:trHeight w:val="300"/>
          <w:jc w:val="center"/>
        </w:trPr>
        <w:tc>
          <w:tcPr>
            <w:tcW w:w="623"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2015</w:t>
            </w:r>
          </w:p>
        </w:tc>
        <w:tc>
          <w:tcPr>
            <w:tcW w:w="132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1054148</w:t>
            </w:r>
          </w:p>
        </w:tc>
        <w:tc>
          <w:tcPr>
            <w:tcW w:w="1419"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1120012</w:t>
            </w:r>
          </w:p>
        </w:tc>
        <w:tc>
          <w:tcPr>
            <w:tcW w:w="91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94%</w:t>
            </w:r>
          </w:p>
        </w:tc>
      </w:tr>
      <w:tr w:rsidR="003F574C" w:rsidRPr="003F574C" w:rsidTr="003F574C">
        <w:trPr>
          <w:trHeight w:val="300"/>
          <w:jc w:val="center"/>
        </w:trPr>
        <w:tc>
          <w:tcPr>
            <w:tcW w:w="623"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2016</w:t>
            </w:r>
          </w:p>
        </w:tc>
        <w:tc>
          <w:tcPr>
            <w:tcW w:w="132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1141761</w:t>
            </w:r>
          </w:p>
        </w:tc>
        <w:tc>
          <w:tcPr>
            <w:tcW w:w="1419"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1213126</w:t>
            </w:r>
          </w:p>
        </w:tc>
        <w:tc>
          <w:tcPr>
            <w:tcW w:w="91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94%</w:t>
            </w:r>
          </w:p>
        </w:tc>
      </w:tr>
      <w:tr w:rsidR="003F574C" w:rsidRPr="003F574C" w:rsidTr="003F574C">
        <w:trPr>
          <w:trHeight w:val="300"/>
          <w:jc w:val="center"/>
        </w:trPr>
        <w:tc>
          <w:tcPr>
            <w:tcW w:w="623"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lastRenderedPageBreak/>
              <w:t>2017</w:t>
            </w:r>
          </w:p>
        </w:tc>
        <w:tc>
          <w:tcPr>
            <w:tcW w:w="132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1067232</w:t>
            </w:r>
          </w:p>
        </w:tc>
        <w:tc>
          <w:tcPr>
            <w:tcW w:w="1419"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1133248</w:t>
            </w:r>
          </w:p>
        </w:tc>
        <w:tc>
          <w:tcPr>
            <w:tcW w:w="914" w:type="dxa"/>
            <w:noWrap/>
            <w:hideMark/>
          </w:tcPr>
          <w:p w:rsidR="003F574C" w:rsidRPr="003F574C" w:rsidRDefault="003F574C" w:rsidP="003F574C">
            <w:pPr>
              <w:jc w:val="right"/>
              <w:rPr>
                <w:rFonts w:ascii="Times New Roman" w:eastAsia="Times New Roman" w:hAnsi="Times New Roman" w:cs="Times New Roman"/>
                <w:color w:val="000000"/>
                <w:sz w:val="24"/>
                <w:szCs w:val="24"/>
              </w:rPr>
            </w:pPr>
            <w:r w:rsidRPr="003F574C">
              <w:rPr>
                <w:rFonts w:ascii="Times New Roman" w:eastAsia="Times New Roman" w:hAnsi="Times New Roman" w:cs="Times New Roman"/>
                <w:color w:val="000000"/>
                <w:sz w:val="24"/>
                <w:szCs w:val="24"/>
              </w:rPr>
              <w:t>94%</w:t>
            </w:r>
          </w:p>
        </w:tc>
      </w:tr>
    </w:tbl>
    <w:p w:rsidR="003F574C" w:rsidRPr="00A546BE" w:rsidRDefault="003B203C" w:rsidP="003F574C">
      <w:pPr>
        <w:jc w:val="center"/>
        <w:rPr>
          <w:rFonts w:ascii="Times New Roman" w:hAnsi="Times New Roman" w:cs="Times New Roman"/>
          <w:sz w:val="24"/>
          <w:szCs w:val="24"/>
        </w:rPr>
      </w:pPr>
      <w:r w:rsidRPr="00A546BE">
        <w:rPr>
          <w:rFonts w:ascii="Times New Roman" w:hAnsi="Times New Roman" w:cs="Times New Roman"/>
          <w:sz w:val="24"/>
          <w:szCs w:val="24"/>
        </w:rPr>
        <w:t xml:space="preserve"> </w:t>
      </w:r>
      <w:r w:rsidR="003F574C" w:rsidRPr="00A546BE">
        <w:rPr>
          <w:rFonts w:ascii="Times New Roman" w:hAnsi="Times New Roman" w:cs="Times New Roman"/>
          <w:sz w:val="24"/>
          <w:szCs w:val="24"/>
        </w:rPr>
        <w:t>Source: Author’s Calculation</w:t>
      </w:r>
    </w:p>
    <w:p w:rsidR="00AE34F7" w:rsidRPr="00A546BE" w:rsidRDefault="00773FA0" w:rsidP="00773FA0">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A comparative analysis of both these banks is shown in the following figure. It depicts that </w:t>
      </w:r>
      <w:r w:rsidR="00A431A1" w:rsidRPr="00A546BE">
        <w:rPr>
          <w:rFonts w:ascii="Times New Roman" w:hAnsi="Times New Roman" w:cs="Times New Roman"/>
          <w:sz w:val="24"/>
          <w:szCs w:val="24"/>
        </w:rPr>
        <w:t>though the ratios are</w:t>
      </w:r>
      <w:r w:rsidR="007C3A18" w:rsidRPr="00A546BE">
        <w:rPr>
          <w:rFonts w:ascii="Times New Roman" w:hAnsi="Times New Roman" w:cs="Times New Roman"/>
          <w:sz w:val="24"/>
          <w:szCs w:val="24"/>
        </w:rPr>
        <w:t xml:space="preserve"> high in both the cases yet HSBC bank has higher amount of loans as compared to Barclays. In other words, the degree of debt financing is higher in case of the former bank. This may lead to bankruptcy and as a result the banks might be forced to sell off its assets to meet the short term and long term obligations. </w:t>
      </w:r>
    </w:p>
    <w:p w:rsidR="00AE34F7" w:rsidRPr="00A546BE" w:rsidRDefault="00AE34F7" w:rsidP="00773FA0">
      <w:pPr>
        <w:spacing w:line="360" w:lineRule="auto"/>
        <w:ind w:firstLine="720"/>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4572000" cy="2743200"/>
            <wp:effectExtent l="19050" t="0" r="1905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E34F7" w:rsidRPr="00A546BE" w:rsidRDefault="00AE34F7" w:rsidP="00AE34F7">
      <w:pPr>
        <w:jc w:val="center"/>
        <w:rPr>
          <w:rFonts w:ascii="Times New Roman" w:hAnsi="Times New Roman" w:cs="Times New Roman"/>
          <w:sz w:val="24"/>
          <w:szCs w:val="24"/>
        </w:rPr>
      </w:pPr>
      <w:r w:rsidRPr="00A546BE">
        <w:rPr>
          <w:rFonts w:ascii="Times New Roman" w:hAnsi="Times New Roman" w:cs="Times New Roman"/>
          <w:sz w:val="24"/>
          <w:szCs w:val="24"/>
        </w:rPr>
        <w:t>Source: Author’s Calculation</w:t>
      </w:r>
    </w:p>
    <w:p w:rsidR="00BC725C" w:rsidRPr="00A546BE" w:rsidRDefault="00AE34F7" w:rsidP="00773FA0">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As both these banks are over leveraged, it is difficult for them to borrow money from other lenders. Other factors such as credit worthiness, payment history, and other professional relationships also matter from the perspectives of lender. However, if the cash flow dries up and the level of debt becomes high in the course of credit financing, then the entire operation might have to be compromised. </w:t>
      </w:r>
    </w:p>
    <w:p w:rsidR="001279E8" w:rsidRDefault="00E70C45" w:rsidP="00E70C45">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             </w:t>
      </w:r>
    </w:p>
    <w:p w:rsidR="001279E8" w:rsidRDefault="001279E8" w:rsidP="001279E8">
      <w:r>
        <w:br w:type="page"/>
      </w:r>
    </w:p>
    <w:p w:rsidR="00E70C45" w:rsidRPr="00A546BE" w:rsidRDefault="001279E8" w:rsidP="00E70C45">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70C45" w:rsidRPr="00A546BE">
        <w:rPr>
          <w:rFonts w:ascii="Times New Roman" w:hAnsi="Times New Roman" w:cs="Times New Roman"/>
          <w:sz w:val="24"/>
          <w:szCs w:val="24"/>
        </w:rPr>
        <w:t xml:space="preserve">   Table 10: Capital Adequacy Ratio of Barclays for FY 2013-2017</w:t>
      </w:r>
    </w:p>
    <w:tbl>
      <w:tblPr>
        <w:tblStyle w:val="TableGrid"/>
        <w:tblW w:w="5174" w:type="dxa"/>
        <w:jc w:val="center"/>
        <w:tblLook w:val="04A0" w:firstRow="1" w:lastRow="0" w:firstColumn="1" w:lastColumn="0" w:noHBand="0" w:noVBand="1"/>
      </w:tblPr>
      <w:tblGrid>
        <w:gridCol w:w="1020"/>
        <w:gridCol w:w="960"/>
        <w:gridCol w:w="960"/>
        <w:gridCol w:w="1160"/>
        <w:gridCol w:w="1189"/>
      </w:tblGrid>
      <w:tr w:rsidR="00E70C45" w:rsidRPr="00E70C45" w:rsidTr="00A658C1">
        <w:trPr>
          <w:trHeight w:val="1200"/>
          <w:jc w:val="center"/>
        </w:trPr>
        <w:tc>
          <w:tcPr>
            <w:tcW w:w="1020" w:type="dxa"/>
            <w:noWrap/>
            <w:hideMark/>
          </w:tcPr>
          <w:p w:rsidR="00E70C45" w:rsidRPr="00E70C45" w:rsidRDefault="00E70C45" w:rsidP="00E70C45">
            <w:pPr>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 xml:space="preserve">Year </w:t>
            </w:r>
          </w:p>
        </w:tc>
        <w:tc>
          <w:tcPr>
            <w:tcW w:w="960" w:type="dxa"/>
            <w:hideMark/>
          </w:tcPr>
          <w:p w:rsidR="00E70C45" w:rsidRPr="00E70C45" w:rsidRDefault="00E70C45" w:rsidP="00E70C45">
            <w:pPr>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 xml:space="preserve">Tier 1 capital (£m) </w:t>
            </w:r>
          </w:p>
        </w:tc>
        <w:tc>
          <w:tcPr>
            <w:tcW w:w="960" w:type="dxa"/>
            <w:hideMark/>
          </w:tcPr>
          <w:p w:rsidR="00E70C45" w:rsidRPr="00E70C45" w:rsidRDefault="00E70C45" w:rsidP="00E70C45">
            <w:pPr>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Tier 2 capital (£m)</w:t>
            </w:r>
          </w:p>
        </w:tc>
        <w:tc>
          <w:tcPr>
            <w:tcW w:w="1160" w:type="dxa"/>
            <w:hideMark/>
          </w:tcPr>
          <w:p w:rsidR="00E70C45" w:rsidRPr="00E70C45" w:rsidRDefault="00E70C45" w:rsidP="00E70C45">
            <w:pPr>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Risk Weighted Assets (£m)</w:t>
            </w:r>
          </w:p>
        </w:tc>
        <w:tc>
          <w:tcPr>
            <w:tcW w:w="1074" w:type="dxa"/>
            <w:hideMark/>
          </w:tcPr>
          <w:p w:rsidR="00E70C45" w:rsidRPr="00E70C45" w:rsidRDefault="00E70C45" w:rsidP="00E70C45">
            <w:pPr>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Capital Adequacy ratio</w:t>
            </w:r>
          </w:p>
        </w:tc>
      </w:tr>
      <w:tr w:rsidR="00A658C1" w:rsidRPr="00E70C45" w:rsidTr="00A658C1">
        <w:trPr>
          <w:trHeight w:val="300"/>
          <w:jc w:val="center"/>
        </w:trPr>
        <w:tc>
          <w:tcPr>
            <w:tcW w:w="102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2013</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50147</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66447</w:t>
            </w:r>
          </w:p>
        </w:tc>
        <w:tc>
          <w:tcPr>
            <w:tcW w:w="11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442471</w:t>
            </w:r>
          </w:p>
        </w:tc>
        <w:tc>
          <w:tcPr>
            <w:tcW w:w="1074" w:type="dxa"/>
            <w:noWrap/>
            <w:vAlign w:val="bottom"/>
            <w:hideMark/>
          </w:tcPr>
          <w:p w:rsidR="00A658C1" w:rsidRPr="00A546BE" w:rsidRDefault="00A658C1">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26%</w:t>
            </w:r>
          </w:p>
        </w:tc>
      </w:tr>
      <w:tr w:rsidR="00A658C1" w:rsidRPr="00E70C45" w:rsidTr="00A658C1">
        <w:trPr>
          <w:trHeight w:val="300"/>
          <w:jc w:val="center"/>
        </w:trPr>
        <w:tc>
          <w:tcPr>
            <w:tcW w:w="102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2014</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52062</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66343</w:t>
            </w:r>
          </w:p>
        </w:tc>
        <w:tc>
          <w:tcPr>
            <w:tcW w:w="11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401900</w:t>
            </w:r>
          </w:p>
        </w:tc>
        <w:tc>
          <w:tcPr>
            <w:tcW w:w="1074" w:type="dxa"/>
            <w:noWrap/>
            <w:vAlign w:val="bottom"/>
            <w:hideMark/>
          </w:tcPr>
          <w:p w:rsidR="00A658C1" w:rsidRPr="00A546BE" w:rsidRDefault="00A658C1">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29%</w:t>
            </w:r>
          </w:p>
        </w:tc>
      </w:tr>
      <w:tr w:rsidR="00A658C1" w:rsidRPr="00E70C45" w:rsidTr="00A658C1">
        <w:trPr>
          <w:trHeight w:val="300"/>
          <w:jc w:val="center"/>
        </w:trPr>
        <w:tc>
          <w:tcPr>
            <w:tcW w:w="102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2015</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52634</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66527</w:t>
            </w:r>
          </w:p>
        </w:tc>
        <w:tc>
          <w:tcPr>
            <w:tcW w:w="11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358376</w:t>
            </w:r>
          </w:p>
        </w:tc>
        <w:tc>
          <w:tcPr>
            <w:tcW w:w="1074" w:type="dxa"/>
            <w:noWrap/>
            <w:vAlign w:val="bottom"/>
            <w:hideMark/>
          </w:tcPr>
          <w:p w:rsidR="00A658C1" w:rsidRPr="00A546BE" w:rsidRDefault="00A658C1">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33%</w:t>
            </w:r>
          </w:p>
        </w:tc>
      </w:tr>
      <w:tr w:rsidR="00A658C1" w:rsidRPr="00E70C45" w:rsidTr="00A658C1">
        <w:trPr>
          <w:trHeight w:val="300"/>
          <w:jc w:val="center"/>
        </w:trPr>
        <w:tc>
          <w:tcPr>
            <w:tcW w:w="102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2016</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56968</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71846</w:t>
            </w:r>
          </w:p>
        </w:tc>
        <w:tc>
          <w:tcPr>
            <w:tcW w:w="11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365649</w:t>
            </w:r>
          </w:p>
        </w:tc>
        <w:tc>
          <w:tcPr>
            <w:tcW w:w="1074" w:type="dxa"/>
            <w:noWrap/>
            <w:vAlign w:val="bottom"/>
            <w:hideMark/>
          </w:tcPr>
          <w:p w:rsidR="00A658C1" w:rsidRPr="00A546BE" w:rsidRDefault="00A658C1">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35%</w:t>
            </w:r>
          </w:p>
        </w:tc>
      </w:tr>
      <w:tr w:rsidR="00A658C1" w:rsidRPr="00E70C45" w:rsidTr="00A658C1">
        <w:trPr>
          <w:trHeight w:val="300"/>
          <w:jc w:val="center"/>
        </w:trPr>
        <w:tc>
          <w:tcPr>
            <w:tcW w:w="102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2017</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53914</w:t>
            </w:r>
          </w:p>
        </w:tc>
        <w:tc>
          <w:tcPr>
            <w:tcW w:w="9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67175</w:t>
            </w:r>
          </w:p>
        </w:tc>
        <w:tc>
          <w:tcPr>
            <w:tcW w:w="1160" w:type="dxa"/>
            <w:noWrap/>
            <w:hideMark/>
          </w:tcPr>
          <w:p w:rsidR="00A658C1" w:rsidRPr="00E70C45" w:rsidRDefault="00A658C1" w:rsidP="00E70C45">
            <w:pPr>
              <w:jc w:val="right"/>
              <w:rPr>
                <w:rFonts w:ascii="Times New Roman" w:eastAsia="Times New Roman" w:hAnsi="Times New Roman" w:cs="Times New Roman"/>
                <w:color w:val="000000"/>
                <w:sz w:val="24"/>
                <w:szCs w:val="24"/>
              </w:rPr>
            </w:pPr>
            <w:r w:rsidRPr="00E70C45">
              <w:rPr>
                <w:rFonts w:ascii="Times New Roman" w:eastAsia="Times New Roman" w:hAnsi="Times New Roman" w:cs="Times New Roman"/>
                <w:color w:val="000000"/>
                <w:sz w:val="24"/>
                <w:szCs w:val="24"/>
              </w:rPr>
              <w:t>313033</w:t>
            </w:r>
          </w:p>
        </w:tc>
        <w:tc>
          <w:tcPr>
            <w:tcW w:w="1074" w:type="dxa"/>
            <w:noWrap/>
            <w:vAlign w:val="bottom"/>
            <w:hideMark/>
          </w:tcPr>
          <w:p w:rsidR="00A658C1" w:rsidRPr="00A546BE" w:rsidRDefault="00A658C1">
            <w:pPr>
              <w:jc w:val="right"/>
              <w:rPr>
                <w:rFonts w:ascii="Times New Roman" w:hAnsi="Times New Roman" w:cs="Times New Roman"/>
                <w:color w:val="000000"/>
                <w:sz w:val="24"/>
                <w:szCs w:val="24"/>
              </w:rPr>
            </w:pPr>
            <w:r w:rsidRPr="00A546BE">
              <w:rPr>
                <w:rFonts w:ascii="Times New Roman" w:hAnsi="Times New Roman" w:cs="Times New Roman"/>
                <w:color w:val="000000"/>
                <w:sz w:val="24"/>
                <w:szCs w:val="24"/>
              </w:rPr>
              <w:t>39%</w:t>
            </w:r>
          </w:p>
        </w:tc>
      </w:tr>
    </w:tbl>
    <w:p w:rsidR="00E70C45" w:rsidRPr="00A546BE" w:rsidRDefault="00E70C45" w:rsidP="00773FA0">
      <w:pPr>
        <w:spacing w:line="360" w:lineRule="auto"/>
        <w:ind w:firstLine="720"/>
        <w:rPr>
          <w:rFonts w:ascii="Times New Roman" w:hAnsi="Times New Roman" w:cs="Times New Roman"/>
          <w:sz w:val="24"/>
          <w:szCs w:val="24"/>
        </w:rPr>
      </w:pPr>
    </w:p>
    <w:p w:rsidR="00AE34F7" w:rsidRPr="00A546BE" w:rsidRDefault="00E70C45" w:rsidP="00E70C45">
      <w:pPr>
        <w:spacing w:line="360" w:lineRule="auto"/>
        <w:rPr>
          <w:rFonts w:ascii="Times New Roman" w:hAnsi="Times New Roman" w:cs="Times New Roman"/>
          <w:sz w:val="24"/>
          <w:szCs w:val="24"/>
        </w:rPr>
      </w:pPr>
      <w:r w:rsidRPr="00A546BE">
        <w:rPr>
          <w:rFonts w:ascii="Times New Roman" w:hAnsi="Times New Roman" w:cs="Times New Roman"/>
          <w:sz w:val="24"/>
          <w:szCs w:val="24"/>
        </w:rPr>
        <w:t xml:space="preserve">It is necessary for any financial institution to maintain adequate capital in the vaults in order to sustain in this competitive world. These deposits are important to cover up the losses </w:t>
      </w:r>
      <w:r w:rsidR="00A658C1" w:rsidRPr="00A546BE">
        <w:rPr>
          <w:rFonts w:ascii="Times New Roman" w:hAnsi="Times New Roman" w:cs="Times New Roman"/>
          <w:sz w:val="24"/>
          <w:szCs w:val="24"/>
        </w:rPr>
        <w:t xml:space="preserve">in case of a bad loan. The capital adequacy ratio plays a significant role in maintain the rate of inflation in an economy. As seen from table 10, whose information is provided in appendix 8, the percentage ratio has increased for the past five financial years. On the other hand, in case of HSBC it has decreased in the previous years.  </w:t>
      </w:r>
      <w:r w:rsidR="002D3173" w:rsidRPr="00A546BE">
        <w:rPr>
          <w:rFonts w:ascii="Times New Roman" w:hAnsi="Times New Roman" w:cs="Times New Roman"/>
          <w:sz w:val="24"/>
          <w:szCs w:val="24"/>
        </w:rPr>
        <w:t xml:space="preserve">This means that the ability to meet the financial obligations of Barclays is far higher than the </w:t>
      </w:r>
      <w:r w:rsidR="00CD2A6B" w:rsidRPr="00A546BE">
        <w:rPr>
          <w:rFonts w:ascii="Times New Roman" w:hAnsi="Times New Roman" w:cs="Times New Roman"/>
          <w:sz w:val="24"/>
          <w:szCs w:val="24"/>
        </w:rPr>
        <w:t>HSBC; hence this means that the former is safer than the latter one. That is, Barclays is less likely to become insolvent in case of occurrence of any unantic</w:t>
      </w:r>
      <w:r w:rsidR="00A546BE" w:rsidRPr="00A546BE">
        <w:rPr>
          <w:rFonts w:ascii="Times New Roman" w:hAnsi="Times New Roman" w:cs="Times New Roman"/>
          <w:sz w:val="24"/>
          <w:szCs w:val="24"/>
        </w:rPr>
        <w:t xml:space="preserve">ipated losses as compared to HSBC. </w:t>
      </w:r>
    </w:p>
    <w:p w:rsidR="0028346F" w:rsidRDefault="00A546BE" w:rsidP="0028346F">
      <w:pPr>
        <w:spacing w:line="360" w:lineRule="auto"/>
        <w:jc w:val="center"/>
        <w:rPr>
          <w:rFonts w:ascii="Times New Roman" w:hAnsi="Times New Roman" w:cs="Times New Roman"/>
          <w:b/>
          <w:sz w:val="24"/>
          <w:szCs w:val="24"/>
        </w:rPr>
      </w:pPr>
      <w:r w:rsidRPr="00A546BE">
        <w:rPr>
          <w:rFonts w:ascii="Times New Roman" w:hAnsi="Times New Roman" w:cs="Times New Roman"/>
          <w:noProof/>
          <w:sz w:val="24"/>
          <w:szCs w:val="24"/>
        </w:rPr>
        <w:drawing>
          <wp:inline distT="0" distB="0" distL="0" distR="0">
            <wp:extent cx="4572000" cy="2743200"/>
            <wp:effectExtent l="19050" t="0" r="19050"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546BE" w:rsidRDefault="00A546BE" w:rsidP="0028346F">
      <w:pPr>
        <w:spacing w:line="360" w:lineRule="auto"/>
        <w:ind w:firstLine="720"/>
        <w:rPr>
          <w:rFonts w:ascii="Times New Roman" w:hAnsi="Times New Roman" w:cs="Times New Roman"/>
          <w:sz w:val="24"/>
          <w:szCs w:val="24"/>
        </w:rPr>
      </w:pPr>
      <w:r w:rsidRPr="0028346F">
        <w:rPr>
          <w:rFonts w:ascii="Times New Roman" w:hAnsi="Times New Roman" w:cs="Times New Roman"/>
          <w:sz w:val="24"/>
          <w:szCs w:val="24"/>
        </w:rPr>
        <w:lastRenderedPageBreak/>
        <w:t xml:space="preserve">It is important to have a high capital adequacy ratio to ensure that the particular bank can absorb the unexpected losses and save the depositors fund. As revealed from the above figure, the ratio is low in case of HSBC so this depicts that its financial system is not much efficient and stable as compared to Barclays. The depositors fund must be given a high priority </w:t>
      </w:r>
      <w:r w:rsidR="00945DF2" w:rsidRPr="0028346F">
        <w:rPr>
          <w:rFonts w:ascii="Times New Roman" w:hAnsi="Times New Roman" w:cs="Times New Roman"/>
          <w:sz w:val="24"/>
          <w:szCs w:val="24"/>
        </w:rPr>
        <w:t>than the</w:t>
      </w:r>
      <w:r w:rsidRPr="0028346F">
        <w:rPr>
          <w:rFonts w:ascii="Times New Roman" w:hAnsi="Times New Roman" w:cs="Times New Roman"/>
          <w:sz w:val="24"/>
          <w:szCs w:val="24"/>
        </w:rPr>
        <w:t xml:space="preserve"> capital of the </w:t>
      </w:r>
      <w:r w:rsidR="00645873" w:rsidRPr="0028346F">
        <w:rPr>
          <w:rFonts w:ascii="Times New Roman" w:hAnsi="Times New Roman" w:cs="Times New Roman"/>
          <w:sz w:val="24"/>
          <w:szCs w:val="24"/>
        </w:rPr>
        <w:t>bank;</w:t>
      </w:r>
      <w:r w:rsidR="00945DF2" w:rsidRPr="0028346F">
        <w:rPr>
          <w:rFonts w:ascii="Times New Roman" w:hAnsi="Times New Roman" w:cs="Times New Roman"/>
          <w:sz w:val="24"/>
          <w:szCs w:val="24"/>
        </w:rPr>
        <w:t xml:space="preserve"> otherwise</w:t>
      </w:r>
      <w:r w:rsidR="00645873" w:rsidRPr="0028346F">
        <w:rPr>
          <w:rFonts w:ascii="Times New Roman" w:hAnsi="Times New Roman" w:cs="Times New Roman"/>
          <w:sz w:val="24"/>
          <w:szCs w:val="24"/>
        </w:rPr>
        <w:t xml:space="preserve"> they </w:t>
      </w:r>
      <w:r w:rsidR="00945DF2" w:rsidRPr="0028346F">
        <w:rPr>
          <w:rFonts w:ascii="Times New Roman" w:hAnsi="Times New Roman" w:cs="Times New Roman"/>
          <w:sz w:val="24"/>
          <w:szCs w:val="24"/>
        </w:rPr>
        <w:t>might lose</w:t>
      </w:r>
      <w:r w:rsidRPr="0028346F">
        <w:rPr>
          <w:rFonts w:ascii="Times New Roman" w:hAnsi="Times New Roman" w:cs="Times New Roman"/>
          <w:sz w:val="24"/>
          <w:szCs w:val="24"/>
        </w:rPr>
        <w:t xml:space="preserve"> their entire savings. </w:t>
      </w:r>
    </w:p>
    <w:p w:rsidR="0028346F" w:rsidRPr="0028346F" w:rsidRDefault="0028346F" w:rsidP="0028346F">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 nutshell, from the above analysis it can be seen that the financial health of Barclays is b</w:t>
      </w:r>
      <w:r w:rsidR="00E67B3A">
        <w:rPr>
          <w:rFonts w:ascii="Times New Roman" w:hAnsi="Times New Roman" w:cs="Times New Roman"/>
          <w:sz w:val="24"/>
          <w:szCs w:val="24"/>
        </w:rPr>
        <w:t>etter than that of HSBC due to</w:t>
      </w:r>
      <w:r>
        <w:rPr>
          <w:rFonts w:ascii="Times New Roman" w:hAnsi="Times New Roman" w:cs="Times New Roman"/>
          <w:sz w:val="24"/>
          <w:szCs w:val="24"/>
        </w:rPr>
        <w:t xml:space="preserve"> better economic performance. Though HSBC has </w:t>
      </w:r>
      <w:r w:rsidR="00E67B3A">
        <w:rPr>
          <w:rFonts w:ascii="Times New Roman" w:hAnsi="Times New Roman" w:cs="Times New Roman"/>
          <w:sz w:val="24"/>
          <w:szCs w:val="24"/>
        </w:rPr>
        <w:t xml:space="preserve">financially improved its situation in the recent times, yet its past five financial year’s performance was not up to the mark. </w:t>
      </w:r>
      <w:r w:rsidR="005105CB">
        <w:rPr>
          <w:rFonts w:ascii="Times New Roman" w:hAnsi="Times New Roman" w:cs="Times New Roman"/>
          <w:sz w:val="24"/>
          <w:szCs w:val="24"/>
        </w:rPr>
        <w:t xml:space="preserve">Hence the bank authorities need to focus on the issues so as to increase its profitability rate and gain competitive advantage. </w:t>
      </w:r>
    </w:p>
    <w:p w:rsidR="00BC725C" w:rsidRPr="00A546BE" w:rsidRDefault="00BC725C" w:rsidP="00965BC5">
      <w:pPr>
        <w:pStyle w:val="Heading1"/>
      </w:pPr>
      <w:bookmarkStart w:id="9" w:name="_Toc512791104"/>
      <w:r w:rsidRPr="00A546BE">
        <w:t>Reviewing of Contemporary Issues in Banking Sector</w:t>
      </w:r>
      <w:bookmarkEnd w:id="9"/>
    </w:p>
    <w:p w:rsidR="00BC725C" w:rsidRPr="00A546BE" w:rsidRDefault="00BC725C" w:rsidP="00251E0D">
      <w:pPr>
        <w:spacing w:line="360" w:lineRule="auto"/>
        <w:rPr>
          <w:rFonts w:ascii="Times New Roman" w:hAnsi="Times New Roman" w:cs="Times New Roman"/>
          <w:sz w:val="24"/>
          <w:szCs w:val="24"/>
        </w:rPr>
      </w:pPr>
    </w:p>
    <w:p w:rsidR="00BC725C" w:rsidRPr="00A546BE" w:rsidRDefault="00BC725C" w:rsidP="00251E0D">
      <w:pPr>
        <w:spacing w:line="360" w:lineRule="auto"/>
        <w:ind w:firstLine="720"/>
        <w:rPr>
          <w:rFonts w:ascii="Times New Roman" w:hAnsi="Times New Roman" w:cs="Times New Roman"/>
          <w:sz w:val="24"/>
          <w:szCs w:val="24"/>
          <w:shd w:val="clear" w:color="auto" w:fill="FFFFFF"/>
        </w:rPr>
      </w:pPr>
      <w:r w:rsidRPr="00A546BE">
        <w:rPr>
          <w:rFonts w:ascii="Times New Roman" w:hAnsi="Times New Roman" w:cs="Times New Roman"/>
          <w:sz w:val="24"/>
          <w:szCs w:val="24"/>
        </w:rPr>
        <w:t xml:space="preserve">Banks, all over the globe, play a crucial role of financial intermediation by performing the job of transformation of risk and maturity. Other than this, they also offer servicers related to payment and settlement. It becomes highly essential on the part of the banks to maintain high levels of efficiency and productivity in their operations for the purpose of performing the above stated function in an effective manner </w:t>
      </w:r>
      <w:r w:rsidRPr="00A546BE">
        <w:rPr>
          <w:rFonts w:ascii="Times New Roman" w:hAnsi="Times New Roman" w:cs="Times New Roman"/>
          <w:sz w:val="24"/>
          <w:szCs w:val="24"/>
          <w:shd w:val="clear" w:color="auto" w:fill="FFFFFF"/>
        </w:rPr>
        <w:t>(Chakrabarty, 2012)</w:t>
      </w:r>
      <w:r w:rsidRPr="00A546BE">
        <w:rPr>
          <w:rFonts w:ascii="Times New Roman" w:hAnsi="Times New Roman" w:cs="Times New Roman"/>
          <w:sz w:val="24"/>
          <w:szCs w:val="24"/>
        </w:rPr>
        <w:t xml:space="preserve">. In every nation, banks serve as the financial intermediaries in the profit earning business </w:t>
      </w:r>
      <w:r w:rsidRPr="00A546BE">
        <w:rPr>
          <w:rFonts w:ascii="Times New Roman" w:hAnsi="Times New Roman" w:cs="Times New Roman"/>
          <w:sz w:val="24"/>
          <w:szCs w:val="24"/>
          <w:shd w:val="clear" w:color="auto" w:fill="FFFFFF"/>
        </w:rPr>
        <w:t>(Mishkin, 2016)</w:t>
      </w:r>
      <w:r w:rsidRPr="00A546BE">
        <w:rPr>
          <w:rFonts w:ascii="Times New Roman" w:hAnsi="Times New Roman" w:cs="Times New Roman"/>
          <w:sz w:val="24"/>
          <w:szCs w:val="24"/>
        </w:rPr>
        <w:t xml:space="preserve">. The banks play the role of a catalyst in order to activate and sustain economic growth of a nation </w:t>
      </w:r>
      <w:r w:rsidRPr="00A546BE">
        <w:rPr>
          <w:rFonts w:ascii="Times New Roman" w:hAnsi="Times New Roman" w:cs="Times New Roman"/>
          <w:sz w:val="24"/>
          <w:szCs w:val="24"/>
          <w:shd w:val="clear" w:color="auto" w:fill="FFFFFF"/>
        </w:rPr>
        <w:t>(Dalmia, 2016)</w:t>
      </w:r>
      <w:r w:rsidRPr="00A546BE">
        <w:rPr>
          <w:rFonts w:ascii="Times New Roman" w:hAnsi="Times New Roman" w:cs="Times New Roman"/>
          <w:sz w:val="24"/>
          <w:szCs w:val="24"/>
        </w:rPr>
        <w:t xml:space="preserve">. Being a major financial institution, the banking sector experiences some major issues in the contemporary world. Some of the major issues that are faced by the banking industry are that of non- performing assets leading to reduced profits, issue related to monetary transmission, corruption, crisis in management, etc. Some of the banks are incapable of making enough money which acts as another contemporary issue while the increasing competition from the companies related to financial technology pose as a great challenge to the banking sector. Moreover, the regulatory pressure acts as another issue in this context </w:t>
      </w:r>
      <w:r w:rsidRPr="00A546BE">
        <w:rPr>
          <w:rFonts w:ascii="Times New Roman" w:hAnsi="Times New Roman" w:cs="Times New Roman"/>
          <w:sz w:val="24"/>
          <w:szCs w:val="24"/>
          <w:shd w:val="clear" w:color="auto" w:fill="FFFFFF"/>
        </w:rPr>
        <w:t>(Schubert, 2015).</w:t>
      </w:r>
    </w:p>
    <w:p w:rsidR="00BC725C" w:rsidRPr="001279E8" w:rsidRDefault="00BC725C" w:rsidP="001279E8">
      <w:pPr>
        <w:spacing w:line="360" w:lineRule="auto"/>
        <w:ind w:firstLine="720"/>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 xml:space="preserve">HSBC has been facing several risks for a long period of time, which includes financial crime risk, sustainability risk, reputational risk, operational risk, health and safety (HSBC, 2017). Any act of lapse can lead to a potential reputational risk, which might lead to poor performance </w:t>
      </w:r>
      <w:r w:rsidRPr="00A546BE">
        <w:rPr>
          <w:rFonts w:ascii="Times New Roman" w:hAnsi="Times New Roman" w:cs="Times New Roman"/>
          <w:sz w:val="24"/>
          <w:szCs w:val="24"/>
          <w:shd w:val="clear" w:color="auto" w:fill="FFFFFF"/>
        </w:rPr>
        <w:lastRenderedPageBreak/>
        <w:t xml:space="preserve">of the bank and trust issues from the part of the consumers. Sustainability risk is another one since the financial services provided by HSBC, must not put a negative impact on the people or the environment. As observed by Arnold (2014), a 20 per cent fall in pre-tax profits has been encountered by HSBC, which has thus lead to a challenging marketing situation in its activities of investment banking. It has been also said by HSBC that their profit declined due to no gains because of their debts, foreign exchange movements. These factors can easily affect the future performance of HSBC, since the higher non-performing assets are leading </w:t>
      </w:r>
      <w:r w:rsidR="001279E8">
        <w:rPr>
          <w:rFonts w:ascii="Times New Roman" w:hAnsi="Times New Roman" w:cs="Times New Roman"/>
          <w:sz w:val="24"/>
          <w:szCs w:val="24"/>
          <w:shd w:val="clear" w:color="auto" w:fill="FFFFFF"/>
        </w:rPr>
        <w:t>to reduced profits.</w:t>
      </w:r>
      <w:r w:rsidRPr="00A546BE">
        <w:rPr>
          <w:rFonts w:ascii="Times New Roman" w:hAnsi="Times New Roman" w:cs="Times New Roman"/>
          <w:sz w:val="24"/>
          <w:szCs w:val="24"/>
          <w:shd w:val="clear" w:color="auto" w:fill="FFFFFF"/>
        </w:rPr>
        <w:t xml:space="preserve"> Arnold (2014) </w:t>
      </w:r>
      <w:r w:rsidR="001279E8">
        <w:rPr>
          <w:rFonts w:ascii="Times New Roman" w:hAnsi="Times New Roman" w:cs="Times New Roman"/>
          <w:sz w:val="24"/>
          <w:szCs w:val="24"/>
          <w:shd w:val="clear" w:color="auto" w:fill="FFFFFF"/>
        </w:rPr>
        <w:t xml:space="preserve">revealed that </w:t>
      </w:r>
      <w:r w:rsidRPr="00A546BE">
        <w:rPr>
          <w:rFonts w:ascii="Times New Roman" w:hAnsi="Times New Roman" w:cs="Times New Roman"/>
          <w:sz w:val="24"/>
          <w:szCs w:val="24"/>
          <w:shd w:val="clear" w:color="auto" w:fill="FFFFFF"/>
        </w:rPr>
        <w:t xml:space="preserve">the overall revenue fell by 14percent to 15.9 billion </w:t>
      </w:r>
      <w:r w:rsidR="00F84F4A" w:rsidRPr="00A546BE">
        <w:rPr>
          <w:rFonts w:ascii="Times New Roman" w:hAnsi="Times New Roman" w:cs="Times New Roman"/>
          <w:sz w:val="24"/>
          <w:szCs w:val="24"/>
          <w:shd w:val="clear" w:color="auto" w:fill="FFFFFF"/>
        </w:rPr>
        <w:t>dollars</w:t>
      </w:r>
      <w:r w:rsidRPr="00A546BE">
        <w:rPr>
          <w:rFonts w:ascii="Times New Roman" w:hAnsi="Times New Roman" w:cs="Times New Roman"/>
          <w:sz w:val="24"/>
          <w:szCs w:val="24"/>
          <w:shd w:val="clear" w:color="auto" w:fill="FFFFFF"/>
        </w:rPr>
        <w:t xml:space="preserve"> and the pretax profits went down from 8.43 billion dollar to 6.79 billion dollar. These factors are bound to affect the performance of HSBC in the </w:t>
      </w:r>
      <w:r w:rsidR="005034E6" w:rsidRPr="00A546BE">
        <w:rPr>
          <w:rFonts w:ascii="Times New Roman" w:hAnsi="Times New Roman" w:cs="Times New Roman"/>
          <w:sz w:val="24"/>
          <w:szCs w:val="24"/>
          <w:shd w:val="clear" w:color="auto" w:fill="FFFFFF"/>
        </w:rPr>
        <w:t>future. According</w:t>
      </w:r>
      <w:r w:rsidRPr="00A546BE">
        <w:rPr>
          <w:rFonts w:ascii="Times New Roman" w:hAnsi="Times New Roman" w:cs="Times New Roman"/>
          <w:sz w:val="24"/>
          <w:szCs w:val="24"/>
          <w:shd w:val="clear" w:color="auto" w:fill="FFFFFF"/>
        </w:rPr>
        <w:t xml:space="preserve"> to </w:t>
      </w:r>
      <w:r w:rsidRPr="00A546BE">
        <w:rPr>
          <w:rStyle w:val="selectable"/>
          <w:rFonts w:ascii="Times New Roman" w:hAnsi="Times New Roman" w:cs="Times New Roman"/>
          <w:sz w:val="24"/>
          <w:szCs w:val="24"/>
          <w:shd w:val="clear" w:color="auto" w:fill="FFFFFF"/>
        </w:rPr>
        <w:t>Arnold and Weinland (2017)</w:t>
      </w:r>
      <w:r w:rsidRPr="00A546BE">
        <w:rPr>
          <w:rFonts w:ascii="Times New Roman" w:hAnsi="Times New Roman" w:cs="Times New Roman"/>
          <w:sz w:val="24"/>
          <w:szCs w:val="24"/>
          <w:shd w:val="clear" w:color="auto" w:fill="FFFFFF"/>
        </w:rPr>
        <w:t xml:space="preserve"> it has also been noticed that almost 10 billion pound has been removed from the value of HSBC, and the annual net profit dropped by 82 percent.</w:t>
      </w:r>
      <w:r w:rsidR="001279E8">
        <w:rPr>
          <w:rFonts w:ascii="Times New Roman" w:hAnsi="Times New Roman" w:cs="Times New Roman"/>
          <w:sz w:val="24"/>
          <w:szCs w:val="24"/>
          <w:shd w:val="clear" w:color="auto" w:fill="FFFFFF"/>
        </w:rPr>
        <w:t xml:space="preserve"> Moreover, </w:t>
      </w:r>
      <w:r w:rsidRPr="00A546BE">
        <w:rPr>
          <w:rFonts w:ascii="Times New Roman" w:hAnsi="Times New Roman" w:cs="Times New Roman"/>
          <w:sz w:val="24"/>
          <w:szCs w:val="24"/>
          <w:shd w:val="clear" w:color="auto" w:fill="FFFFFF"/>
        </w:rPr>
        <w:t xml:space="preserve">Dannewitz (2013) </w:t>
      </w:r>
      <w:r w:rsidR="001279E8">
        <w:rPr>
          <w:rFonts w:ascii="Times New Roman" w:hAnsi="Times New Roman" w:cs="Times New Roman"/>
          <w:sz w:val="24"/>
          <w:szCs w:val="24"/>
          <w:shd w:val="clear" w:color="auto" w:fill="FFFFFF"/>
        </w:rPr>
        <w:t xml:space="preserve">supported that </w:t>
      </w:r>
      <w:r w:rsidRPr="00A546BE">
        <w:rPr>
          <w:rFonts w:ascii="Times New Roman" w:hAnsi="Times New Roman" w:cs="Times New Roman"/>
          <w:sz w:val="24"/>
          <w:szCs w:val="24"/>
          <w:shd w:val="clear" w:color="auto" w:fill="FFFFFF"/>
        </w:rPr>
        <w:t>HSBC was found guilty of ignoring some specific measures made by US to prevent transactio</w:t>
      </w:r>
      <w:r w:rsidR="001279E8">
        <w:rPr>
          <w:rFonts w:ascii="Times New Roman" w:hAnsi="Times New Roman" w:cs="Times New Roman"/>
          <w:sz w:val="24"/>
          <w:szCs w:val="24"/>
          <w:shd w:val="clear" w:color="auto" w:fill="FFFFFF"/>
        </w:rPr>
        <w:t xml:space="preserve">ns by terrorists or drug lord. </w:t>
      </w:r>
      <w:r w:rsidRPr="00A546BE">
        <w:rPr>
          <w:rFonts w:ascii="Times New Roman" w:hAnsi="Times New Roman" w:cs="Times New Roman"/>
          <w:sz w:val="24"/>
          <w:szCs w:val="24"/>
          <w:shd w:val="clear" w:color="auto" w:fill="FFFFFF"/>
        </w:rPr>
        <w:t xml:space="preserve">Thus HSBC was charged with criminal wrong doing in US as well as in India. These factors had </w:t>
      </w:r>
      <w:r w:rsidR="001279E8" w:rsidRPr="00A546BE">
        <w:rPr>
          <w:rFonts w:ascii="Times New Roman" w:hAnsi="Times New Roman" w:cs="Times New Roman"/>
          <w:sz w:val="24"/>
          <w:szCs w:val="24"/>
          <w:shd w:val="clear" w:color="auto" w:fill="FFFFFF"/>
        </w:rPr>
        <w:t>led</w:t>
      </w:r>
      <w:r w:rsidRPr="00A546BE">
        <w:rPr>
          <w:rFonts w:ascii="Times New Roman" w:hAnsi="Times New Roman" w:cs="Times New Roman"/>
          <w:sz w:val="24"/>
          <w:szCs w:val="24"/>
          <w:shd w:val="clear" w:color="auto" w:fill="FFFFFF"/>
        </w:rPr>
        <w:t xml:space="preserve"> to bring down the reputation of HSBC. This is still affecting the company and seems to affect its future performance.</w:t>
      </w:r>
    </w:p>
    <w:p w:rsidR="00BC725C" w:rsidRPr="00A546BE" w:rsidRDefault="00BC725C" w:rsidP="0096257A">
      <w:pPr>
        <w:pStyle w:val="Heading1"/>
        <w:spacing w:line="360" w:lineRule="auto"/>
      </w:pPr>
      <w:bookmarkStart w:id="10" w:name="_Toc512791105"/>
      <w:r w:rsidRPr="00A546BE">
        <w:t>Pricing and Trading of Equity</w:t>
      </w:r>
      <w:bookmarkEnd w:id="10"/>
    </w:p>
    <w:p w:rsidR="00BC725C" w:rsidRDefault="00BC725C" w:rsidP="00251E0D">
      <w:pPr>
        <w:spacing w:line="360" w:lineRule="auto"/>
        <w:rPr>
          <w:rFonts w:ascii="Times New Roman" w:hAnsi="Times New Roman" w:cs="Times New Roman"/>
          <w:sz w:val="24"/>
          <w:szCs w:val="24"/>
        </w:rPr>
      </w:pPr>
    </w:p>
    <w:p w:rsidR="00330273" w:rsidRPr="00A546BE" w:rsidRDefault="00330273" w:rsidP="00251E0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Financial instruments are the assets or the packages of capital of a company that can be traded. These instruments help to provide an efficient flow of capital worldwide. These also act as an evidence of an individual’s ownership over an entity. The financial instruments can be real as well as virtual documents that represent any legal agreement incorporating a monetary value. </w:t>
      </w:r>
      <w:r w:rsidR="00FE497B">
        <w:rPr>
          <w:rFonts w:ascii="Times New Roman" w:hAnsi="Times New Roman" w:cs="Times New Roman"/>
          <w:sz w:val="24"/>
          <w:szCs w:val="24"/>
        </w:rPr>
        <w:t>These agreements can be divided into two categories: Cash instruments and Derivative instruments. The cas</w:t>
      </w:r>
      <w:r w:rsidR="00120B8F">
        <w:rPr>
          <w:rFonts w:ascii="Times New Roman" w:hAnsi="Times New Roman" w:cs="Times New Roman"/>
          <w:sz w:val="24"/>
          <w:szCs w:val="24"/>
        </w:rPr>
        <w:t xml:space="preserve">h instruments are directly affected and determined by the markets and they can be easily transferred in the form of deposits and loans. On the other hand the derivative instruments are the components that derive their value from the features of other entities such as assets, interest rates and exchange-traded derivatives.  </w:t>
      </w:r>
      <w:r w:rsidR="00D25341">
        <w:rPr>
          <w:rFonts w:ascii="Times New Roman" w:hAnsi="Times New Roman" w:cs="Times New Roman"/>
          <w:sz w:val="24"/>
          <w:szCs w:val="24"/>
        </w:rPr>
        <w:t>Alternatively, f</w:t>
      </w:r>
      <w:r w:rsidR="00173039">
        <w:rPr>
          <w:rFonts w:ascii="Times New Roman" w:hAnsi="Times New Roman" w:cs="Times New Roman"/>
          <w:sz w:val="24"/>
          <w:szCs w:val="24"/>
        </w:rPr>
        <w:t xml:space="preserve">inancial instruments </w:t>
      </w:r>
      <w:r w:rsidR="00D25341">
        <w:rPr>
          <w:rFonts w:ascii="Times New Roman" w:hAnsi="Times New Roman" w:cs="Times New Roman"/>
          <w:sz w:val="24"/>
          <w:szCs w:val="24"/>
        </w:rPr>
        <w:t xml:space="preserve">can also be categorized under asset class on the basis of whether they are </w:t>
      </w:r>
      <w:r w:rsidR="00FE497B">
        <w:rPr>
          <w:rFonts w:ascii="Times New Roman" w:hAnsi="Times New Roman" w:cs="Times New Roman"/>
          <w:sz w:val="24"/>
          <w:szCs w:val="24"/>
        </w:rPr>
        <w:t>equity-based or debt-based</w:t>
      </w:r>
      <w:r w:rsidR="00173039">
        <w:rPr>
          <w:rFonts w:ascii="Times New Roman" w:hAnsi="Times New Roman" w:cs="Times New Roman"/>
          <w:sz w:val="24"/>
          <w:szCs w:val="24"/>
        </w:rPr>
        <w:t xml:space="preserve">, where the former one represents the ownership of the assets and the latter one represent the </w:t>
      </w:r>
      <w:r w:rsidR="00173039">
        <w:rPr>
          <w:rFonts w:ascii="Times New Roman" w:hAnsi="Times New Roman" w:cs="Times New Roman"/>
          <w:sz w:val="24"/>
          <w:szCs w:val="24"/>
        </w:rPr>
        <w:lastRenderedPageBreak/>
        <w:t>investor’s lo</w:t>
      </w:r>
      <w:r w:rsidR="00FE497B">
        <w:rPr>
          <w:rFonts w:ascii="Times New Roman" w:hAnsi="Times New Roman" w:cs="Times New Roman"/>
          <w:sz w:val="24"/>
          <w:szCs w:val="24"/>
        </w:rPr>
        <w:t>an to the owner of the asset. O</w:t>
      </w:r>
      <w:r w:rsidR="00173039">
        <w:rPr>
          <w:rFonts w:ascii="Times New Roman" w:hAnsi="Times New Roman" w:cs="Times New Roman"/>
          <w:sz w:val="24"/>
          <w:szCs w:val="24"/>
        </w:rPr>
        <w:t>ther type</w:t>
      </w:r>
      <w:r w:rsidR="00923600">
        <w:rPr>
          <w:rFonts w:ascii="Times New Roman" w:hAnsi="Times New Roman" w:cs="Times New Roman"/>
          <w:sz w:val="24"/>
          <w:szCs w:val="24"/>
        </w:rPr>
        <w:t>s</w:t>
      </w:r>
      <w:r w:rsidR="00173039">
        <w:rPr>
          <w:rFonts w:ascii="Times New Roman" w:hAnsi="Times New Roman" w:cs="Times New Roman"/>
          <w:sz w:val="24"/>
          <w:szCs w:val="24"/>
        </w:rPr>
        <w:t xml:space="preserve"> of financial instru</w:t>
      </w:r>
      <w:r w:rsidR="00923600">
        <w:rPr>
          <w:rFonts w:ascii="Times New Roman" w:hAnsi="Times New Roman" w:cs="Times New Roman"/>
          <w:sz w:val="24"/>
          <w:szCs w:val="24"/>
        </w:rPr>
        <w:t xml:space="preserve">ments are foreign exchange, preferred share equity, common share equity etc. In other words, these tools can be defined as a type of contract which gives rise to the financial asset of one organization while it turn into a financial liability for another organization. </w:t>
      </w:r>
      <w:r w:rsidR="00FE497B">
        <w:rPr>
          <w:rFonts w:ascii="Times New Roman" w:hAnsi="Times New Roman" w:cs="Times New Roman"/>
          <w:sz w:val="24"/>
          <w:szCs w:val="24"/>
        </w:rPr>
        <w:t xml:space="preserve">These monetary contracts can be created, traded, modified as well as settled. </w:t>
      </w:r>
    </w:p>
    <w:p w:rsidR="00391472" w:rsidRPr="00A546BE" w:rsidRDefault="00BC725C" w:rsidP="00391472">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 In this study the financial instrument that has been chosen is equity. According to </w:t>
      </w:r>
      <w:r w:rsidRPr="00A546BE">
        <w:rPr>
          <w:rFonts w:ascii="Times New Roman" w:hAnsi="Times New Roman" w:cs="Times New Roman"/>
          <w:sz w:val="24"/>
          <w:szCs w:val="24"/>
          <w:shd w:val="clear" w:color="auto" w:fill="FFFFFF"/>
        </w:rPr>
        <w:t>(HSBC, 2013)</w:t>
      </w:r>
      <w:r w:rsidRPr="00A546BE">
        <w:rPr>
          <w:rFonts w:ascii="Times New Roman" w:hAnsi="Times New Roman" w:cs="Times New Roman"/>
          <w:sz w:val="24"/>
          <w:szCs w:val="24"/>
        </w:rPr>
        <w:t xml:space="preserve"> the ownership in a company is represented by equities. Equities are types of securities for an organization or banks. In the stock markets equities are bought and sold, that is they are traded. They can also be purchased alternatively by the Initial Public Offering (IPO) which means that they can be purchased directly from the company. It is a good option to invest on equities, </w:t>
      </w:r>
      <w:r w:rsidR="00434474">
        <w:rPr>
          <w:rFonts w:ascii="Times New Roman" w:hAnsi="Times New Roman" w:cs="Times New Roman"/>
          <w:sz w:val="24"/>
          <w:szCs w:val="24"/>
        </w:rPr>
        <w:t>and</w:t>
      </w:r>
      <w:r w:rsidR="00A871E7">
        <w:rPr>
          <w:rFonts w:ascii="Times New Roman" w:hAnsi="Times New Roman" w:cs="Times New Roman"/>
          <w:sz w:val="24"/>
          <w:szCs w:val="24"/>
        </w:rPr>
        <w:t xml:space="preserve"> it is </w:t>
      </w:r>
      <w:r w:rsidRPr="00A546BE">
        <w:rPr>
          <w:rFonts w:ascii="Times New Roman" w:hAnsi="Times New Roman" w:cs="Times New Roman"/>
          <w:sz w:val="24"/>
          <w:szCs w:val="24"/>
        </w:rPr>
        <w:t>generally a long term investment, since the return on equities over a long period of time is generally much higher than other investment process or path. However it must be kept in mind that the probabilities of greater risk are there with the possibility of greater returns.</w:t>
      </w:r>
      <w:r w:rsidR="00434474">
        <w:rPr>
          <w:rFonts w:ascii="Times New Roman" w:hAnsi="Times New Roman" w:cs="Times New Roman"/>
          <w:sz w:val="24"/>
          <w:szCs w:val="24"/>
        </w:rPr>
        <w:t xml:space="preserve"> In spite of the risks, it is evident that the equity based mutual funds are one of the vehicles through which an organization can accomplish the long term financial goals. </w:t>
      </w:r>
      <w:r w:rsidR="00C7495C">
        <w:rPr>
          <w:rFonts w:ascii="Times New Roman" w:hAnsi="Times New Roman" w:cs="Times New Roman"/>
          <w:sz w:val="24"/>
          <w:szCs w:val="24"/>
        </w:rPr>
        <w:t xml:space="preserve">As the ultimate source of profits is the overall growth of the economy, </w:t>
      </w:r>
      <w:r w:rsidR="00391472">
        <w:rPr>
          <w:rFonts w:ascii="Times New Roman" w:hAnsi="Times New Roman" w:cs="Times New Roman"/>
          <w:sz w:val="24"/>
          <w:szCs w:val="24"/>
        </w:rPr>
        <w:t xml:space="preserve">so the stocks need to grow at a rate that would be at least equivalent to the entire growth rate of the economy. As an investor the main task is to select the stocks that are better than the average in order to beat the general rate of the economic growth by a greater margin. For a long term capital growth, these equity based mutual fund are ideal as they can be managed efficiently with a varying risk and return scheme. </w:t>
      </w:r>
    </w:p>
    <w:p w:rsidR="00BC725C" w:rsidRPr="00A546BE" w:rsidRDefault="00BC725C" w:rsidP="00251E0D">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t xml:space="preserve">There is a general belief that the discounted present values of all the cash flows are generally exactly equal to the value of any asset and security, which can be on the other hand derived from it in the future periods. One can easily value securities like debt using this principle since there is a finite existence. The valuation of equity is not at all simple and it represents a partnership in the business. </w:t>
      </w:r>
      <w:r w:rsidRPr="00A546BE">
        <w:rPr>
          <w:rFonts w:ascii="Times New Roman" w:hAnsi="Times New Roman" w:cs="Times New Roman"/>
          <w:sz w:val="24"/>
          <w:szCs w:val="24"/>
          <w:shd w:val="clear" w:color="auto" w:fill="FFFFFF"/>
        </w:rPr>
        <w:t>Juneja (2014)</w:t>
      </w:r>
      <w:r w:rsidRPr="00A546BE">
        <w:rPr>
          <w:rFonts w:ascii="Times New Roman" w:hAnsi="Times New Roman" w:cs="Times New Roman"/>
          <w:sz w:val="24"/>
          <w:szCs w:val="24"/>
        </w:rPr>
        <w:t xml:space="preserve"> observes that the valuation of equity is very important since the entire system of stock markets depends on it. The backbone of the modern financial system is the valuation of equity. Amongst various market participants, the allocation of the scare capital resources thus becomes easier in the modern economic system. </w:t>
      </w:r>
      <w:r w:rsidR="000078B6">
        <w:rPr>
          <w:rFonts w:ascii="Times New Roman" w:hAnsi="Times New Roman" w:cs="Times New Roman"/>
          <w:sz w:val="24"/>
          <w:szCs w:val="24"/>
        </w:rPr>
        <w:t xml:space="preserve">In case of equities, the meeting point for the buyers and sellers is the stock market or the equity market. The securities that are traded in this market can either be publicly or privately traded stocks. </w:t>
      </w:r>
    </w:p>
    <w:p w:rsidR="00BC725C" w:rsidRPr="00A546BE" w:rsidRDefault="00BC725C" w:rsidP="00251E0D">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rPr>
        <w:lastRenderedPageBreak/>
        <w:t xml:space="preserve">Equity valuation is followed in various methods by various individuals as per </w:t>
      </w:r>
      <w:r w:rsidRPr="00A546BE">
        <w:rPr>
          <w:rFonts w:ascii="Times New Roman" w:hAnsi="Times New Roman" w:cs="Times New Roman"/>
          <w:sz w:val="24"/>
          <w:szCs w:val="24"/>
          <w:shd w:val="clear" w:color="auto" w:fill="FFFFFF"/>
        </w:rPr>
        <w:t>Juneja (2014)</w:t>
      </w:r>
      <w:r w:rsidRPr="00A546BE">
        <w:rPr>
          <w:rFonts w:ascii="Times New Roman" w:hAnsi="Times New Roman" w:cs="Times New Roman"/>
          <w:sz w:val="24"/>
          <w:szCs w:val="24"/>
        </w:rPr>
        <w:t>. There are no such pre-defined techniques for valuation of equity. However there are certain parameters that one has to follow while conducting equity valuation. One needs to understand the macroeconomic factors and the bank. No bank works in vacuum and every bank is influenced by the performance of the economy. According to</w:t>
      </w:r>
      <w:r w:rsidRPr="00A546BE">
        <w:rPr>
          <w:rFonts w:ascii="Times New Roman" w:hAnsi="Times New Roman" w:cs="Times New Roman"/>
          <w:sz w:val="24"/>
          <w:szCs w:val="24"/>
          <w:shd w:val="clear" w:color="auto" w:fill="FFFFFF"/>
        </w:rPr>
        <w:t xml:space="preserve"> Juneja</w:t>
      </w:r>
      <w:r w:rsidR="000078B6">
        <w:rPr>
          <w:rFonts w:ascii="Times New Roman" w:hAnsi="Times New Roman" w:cs="Times New Roman"/>
          <w:sz w:val="24"/>
          <w:szCs w:val="24"/>
          <w:shd w:val="clear" w:color="auto" w:fill="FFFFFF"/>
        </w:rPr>
        <w:t xml:space="preserve"> </w:t>
      </w:r>
      <w:r w:rsidRPr="00A546BE">
        <w:rPr>
          <w:rFonts w:ascii="Times New Roman" w:hAnsi="Times New Roman" w:cs="Times New Roman"/>
          <w:sz w:val="24"/>
          <w:szCs w:val="24"/>
          <w:shd w:val="clear" w:color="auto" w:fill="FFFFFF"/>
        </w:rPr>
        <w:t>(2014)</w:t>
      </w:r>
      <w:r w:rsidRPr="00A546BE">
        <w:rPr>
          <w:rFonts w:ascii="Times New Roman" w:hAnsi="Times New Roman" w:cs="Times New Roman"/>
          <w:sz w:val="24"/>
          <w:szCs w:val="24"/>
        </w:rPr>
        <w:t xml:space="preserve"> when a more or less accurate prediction is made regarding these parameters, it increases the possibility of an accurate valuation. A reasonable forecast of the bank’s forecast is essential, since it provides the scale of the bank’s monetary transmissions in the near future. Thus the analyst must have an intricate forecast of the bank’s transaction in order to conduct equity valuation. </w:t>
      </w:r>
      <w:r w:rsidR="008E0020">
        <w:rPr>
          <w:rFonts w:ascii="Times New Roman" w:hAnsi="Times New Roman" w:cs="Times New Roman"/>
          <w:sz w:val="24"/>
          <w:szCs w:val="24"/>
        </w:rPr>
        <w:t>There are two comparable approaches for the equity valuation. The first one looks at the market competitors of the company to get a better indication about its economic position as compared to its competitor, moreover, it also provides an idea regarding the profit margin in the current market. The common market multiples include price to earnings ratio, price to cash flow ratio, value to sales ratio etc. Another comparables approach looks at the transactions within the market to get anticipation about the value of the equity. Hence for pricing of equity, it is important to create to a range of valuation. For example, if the equity trades toward the lower end of the determined range, it is a good value. The opposite also holds true, that is to say, at the higher end of the range, if the equity is traded then a shorting opportunity might arise.</w:t>
      </w:r>
    </w:p>
    <w:p w:rsidR="00972A3D" w:rsidRDefault="000078B6" w:rsidP="00972A3D">
      <w:pPr>
        <w:spacing w:line="360" w:lineRule="auto"/>
        <w:ind w:firstLine="720"/>
        <w:rPr>
          <w:rFonts w:ascii="Times New Roman" w:hAnsi="Times New Roman" w:cs="Times New Roman"/>
          <w:sz w:val="24"/>
          <w:szCs w:val="24"/>
        </w:rPr>
      </w:pPr>
      <w:r w:rsidRPr="00A546BE">
        <w:rPr>
          <w:rFonts w:ascii="Times New Roman" w:hAnsi="Times New Roman" w:cs="Times New Roman"/>
          <w:sz w:val="24"/>
          <w:szCs w:val="24"/>
          <w:shd w:val="clear" w:color="auto" w:fill="FFFFFF"/>
        </w:rPr>
        <w:t>Juneja (2014)</w:t>
      </w:r>
      <w:r>
        <w:rPr>
          <w:rFonts w:ascii="Times New Roman" w:hAnsi="Times New Roman" w:cs="Times New Roman"/>
          <w:sz w:val="24"/>
          <w:szCs w:val="24"/>
          <w:shd w:val="clear" w:color="auto" w:fill="FFFFFF"/>
        </w:rPr>
        <w:t xml:space="preserve"> suggested that since a</w:t>
      </w:r>
      <w:r w:rsidR="00BC725C" w:rsidRPr="00A546BE">
        <w:rPr>
          <w:rFonts w:ascii="Times New Roman" w:hAnsi="Times New Roman" w:cs="Times New Roman"/>
          <w:sz w:val="24"/>
          <w:szCs w:val="24"/>
        </w:rPr>
        <w:t xml:space="preserve">n appropriate </w:t>
      </w:r>
      <w:r>
        <w:rPr>
          <w:rFonts w:ascii="Times New Roman" w:hAnsi="Times New Roman" w:cs="Times New Roman"/>
          <w:sz w:val="24"/>
          <w:szCs w:val="24"/>
        </w:rPr>
        <w:t xml:space="preserve">valuation model is required, </w:t>
      </w:r>
      <w:r w:rsidR="00BC725C" w:rsidRPr="00A546BE">
        <w:rPr>
          <w:rFonts w:ascii="Times New Roman" w:hAnsi="Times New Roman" w:cs="Times New Roman"/>
          <w:sz w:val="24"/>
          <w:szCs w:val="24"/>
        </w:rPr>
        <w:t>the model</w:t>
      </w:r>
      <w:r>
        <w:rPr>
          <w:rFonts w:ascii="Times New Roman" w:hAnsi="Times New Roman" w:cs="Times New Roman"/>
          <w:sz w:val="24"/>
          <w:szCs w:val="24"/>
        </w:rPr>
        <w:t xml:space="preserve"> needs to</w:t>
      </w:r>
      <w:r w:rsidR="00BC725C" w:rsidRPr="00A546BE">
        <w:rPr>
          <w:rFonts w:ascii="Times New Roman" w:hAnsi="Times New Roman" w:cs="Times New Roman"/>
          <w:sz w:val="24"/>
          <w:szCs w:val="24"/>
        </w:rPr>
        <w:t xml:space="preserve"> be chosen on the basis of the quality and type of available data</w:t>
      </w:r>
      <w:r w:rsidR="00BC725C" w:rsidRPr="00A546BE">
        <w:rPr>
          <w:rFonts w:ascii="Times New Roman" w:hAnsi="Times New Roman" w:cs="Times New Roman"/>
          <w:sz w:val="24"/>
          <w:szCs w:val="24"/>
          <w:shd w:val="clear" w:color="auto" w:fill="FFFFFF"/>
        </w:rPr>
        <w:t>.</w:t>
      </w:r>
      <w:r w:rsidR="00BC725C" w:rsidRPr="00A546BE">
        <w:rPr>
          <w:rFonts w:ascii="Times New Roman" w:hAnsi="Times New Roman" w:cs="Times New Roman"/>
          <w:sz w:val="24"/>
          <w:szCs w:val="24"/>
        </w:rPr>
        <w:t xml:space="preserve"> In order to determine the worth of the bank the analyst must reach </w:t>
      </w:r>
      <w:r>
        <w:rPr>
          <w:rFonts w:ascii="Times New Roman" w:hAnsi="Times New Roman" w:cs="Times New Roman"/>
          <w:sz w:val="24"/>
          <w:szCs w:val="24"/>
        </w:rPr>
        <w:t>a</w:t>
      </w:r>
      <w:r w:rsidR="00BC725C" w:rsidRPr="00A546BE">
        <w:rPr>
          <w:rFonts w:ascii="Times New Roman" w:hAnsi="Times New Roman" w:cs="Times New Roman"/>
          <w:sz w:val="24"/>
          <w:szCs w:val="24"/>
        </w:rPr>
        <w:t>n exact numerical value. However when it comes to the investors they prefers a range of amount rather than a single estimated amount. The range helps the investors to understand the lower and upper bounds. Finally a final action is required on the basis of the arrived valuation. Investors bids for the stock in the equity market by offering a certain price and the seller asks for a specific price. When both the price</w:t>
      </w:r>
      <w:r w:rsidR="00972A3D">
        <w:rPr>
          <w:rFonts w:ascii="Times New Roman" w:hAnsi="Times New Roman" w:cs="Times New Roman"/>
          <w:sz w:val="24"/>
          <w:szCs w:val="24"/>
        </w:rPr>
        <w:t xml:space="preserve"> matches the trade takes place, and the b</w:t>
      </w:r>
      <w:r w:rsidR="00BC725C" w:rsidRPr="00A546BE">
        <w:rPr>
          <w:rFonts w:ascii="Times New Roman" w:hAnsi="Times New Roman" w:cs="Times New Roman"/>
          <w:sz w:val="24"/>
          <w:szCs w:val="24"/>
        </w:rPr>
        <w:t xml:space="preserve">anks as well as </w:t>
      </w:r>
      <w:r>
        <w:rPr>
          <w:rFonts w:ascii="Times New Roman" w:hAnsi="Times New Roman" w:cs="Times New Roman"/>
          <w:sz w:val="24"/>
          <w:szCs w:val="24"/>
        </w:rPr>
        <w:t xml:space="preserve">other organizations </w:t>
      </w:r>
      <w:r w:rsidR="00BC725C" w:rsidRPr="00A546BE">
        <w:rPr>
          <w:rFonts w:ascii="Times New Roman" w:hAnsi="Times New Roman" w:cs="Times New Roman"/>
          <w:sz w:val="24"/>
          <w:szCs w:val="24"/>
        </w:rPr>
        <w:t>sells stock in order to grow their business.</w:t>
      </w:r>
      <w:r w:rsidR="00972A3D">
        <w:rPr>
          <w:rFonts w:ascii="Times New Roman" w:hAnsi="Times New Roman" w:cs="Times New Roman"/>
          <w:sz w:val="24"/>
          <w:szCs w:val="24"/>
        </w:rPr>
        <w:t xml:space="preserve"> In a nutshell, the price of an equity or the stock price of any company or organization is calculated when the company goes to an event called initial public offering. This is where the company deals with an investment bank</w:t>
      </w:r>
      <w:r w:rsidR="000C7B7F">
        <w:rPr>
          <w:rFonts w:ascii="Times New Roman" w:hAnsi="Times New Roman" w:cs="Times New Roman"/>
          <w:sz w:val="24"/>
          <w:szCs w:val="24"/>
        </w:rPr>
        <w:t xml:space="preserve"> to use valuation techniques in order to derive the value of the company and to determine the price of the number of shares offered to the public. As the company or any other organization goes public and begins trading, the price is determined on the </w:t>
      </w:r>
      <w:r w:rsidR="000C7B7F">
        <w:rPr>
          <w:rFonts w:ascii="Times New Roman" w:hAnsi="Times New Roman" w:cs="Times New Roman"/>
          <w:sz w:val="24"/>
          <w:szCs w:val="24"/>
        </w:rPr>
        <w:lastRenderedPageBreak/>
        <w:t>basis of the demand and supply of</w:t>
      </w:r>
      <w:r w:rsidR="00972A3D">
        <w:rPr>
          <w:rFonts w:ascii="Times New Roman" w:hAnsi="Times New Roman" w:cs="Times New Roman"/>
          <w:sz w:val="24"/>
          <w:szCs w:val="24"/>
        </w:rPr>
        <w:t xml:space="preserve"> </w:t>
      </w:r>
      <w:r w:rsidR="000C7B7F">
        <w:rPr>
          <w:rFonts w:ascii="Times New Roman" w:hAnsi="Times New Roman" w:cs="Times New Roman"/>
          <w:sz w:val="24"/>
          <w:szCs w:val="24"/>
        </w:rPr>
        <w:t xml:space="preserve">its shares within the market. </w:t>
      </w:r>
      <w:r w:rsidR="002B715B">
        <w:rPr>
          <w:rFonts w:ascii="Times New Roman" w:hAnsi="Times New Roman" w:cs="Times New Roman"/>
          <w:sz w:val="24"/>
          <w:szCs w:val="24"/>
        </w:rPr>
        <w:t xml:space="preserve"> On the other hand, if the future growth of the company is anticipated to be poor, then the sellers of the stock could reduce down the share prices. In the equity market, often it happens that the investors bid for the same equities. In such a case, the first </w:t>
      </w:r>
      <w:r w:rsidR="003408DA">
        <w:rPr>
          <w:rFonts w:ascii="Times New Roman" w:hAnsi="Times New Roman" w:cs="Times New Roman"/>
          <w:sz w:val="24"/>
          <w:szCs w:val="24"/>
        </w:rPr>
        <w:t xml:space="preserve">investor who places the bid becomes the first one to get the stock. An individual, who wants to buy the stock, will buy it at market value, in a similar way; a person who wants to sell the stock will follow the same market value. </w:t>
      </w:r>
    </w:p>
    <w:p w:rsidR="00376E8B" w:rsidRDefault="003408DA" w:rsidP="00EE57A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companies or the organizations that sell stocks for an expansion of the business, it goes for a public trading, such that each piece stock represents ownership of that stock. </w:t>
      </w:r>
      <w:r w:rsidR="00FE1EE0">
        <w:rPr>
          <w:rFonts w:ascii="Times New Roman" w:hAnsi="Times New Roman" w:cs="Times New Roman"/>
          <w:sz w:val="24"/>
          <w:szCs w:val="24"/>
        </w:rPr>
        <w:t xml:space="preserve">If the financial performance of the company is good, its investors get rewarded as the value of their stocks increase. However, financial risks also occur within the prices if the performance of the company is not good and as a result its stock value might fall. </w:t>
      </w:r>
      <w:r w:rsidR="00051A2B">
        <w:rPr>
          <w:rFonts w:ascii="Times New Roman" w:hAnsi="Times New Roman" w:cs="Times New Roman"/>
          <w:sz w:val="24"/>
          <w:szCs w:val="24"/>
        </w:rPr>
        <w:t>There are many other activities and factors surrounding the stock which can impact its value. For instance, if there is a high demand of the investors to invest in the company, the stock price tends to increase, while at the same time when the investors want to sell the stocks of the company, the value reduces down.</w:t>
      </w:r>
      <w:r w:rsidR="00181231">
        <w:rPr>
          <w:rFonts w:ascii="Times New Roman" w:hAnsi="Times New Roman" w:cs="Times New Roman"/>
          <w:sz w:val="24"/>
          <w:szCs w:val="24"/>
        </w:rPr>
        <w:t xml:space="preserve"> Moreover, the international transactions, balance of payments between nations, business cycle fluctuations also plays a major role in stock market. The equities or stocks fluctuate for both short run as well as long run, thus creating trends of the market. In other words, trends are created on the basis of four major factors i.e. government policies, international transactions, anticipation and demand-supply. Government influences the market through monetary and fis</w:t>
      </w:r>
      <w:r w:rsidR="009A4117">
        <w:rPr>
          <w:rFonts w:ascii="Times New Roman" w:hAnsi="Times New Roman" w:cs="Times New Roman"/>
          <w:sz w:val="24"/>
          <w:szCs w:val="24"/>
        </w:rPr>
        <w:t xml:space="preserve">cal policies, in turn, affecting the international transactions and the economic strength.  The speculation and the anticipation </w:t>
      </w:r>
      <w:r w:rsidR="00B467E3">
        <w:rPr>
          <w:rFonts w:ascii="Times New Roman" w:hAnsi="Times New Roman" w:cs="Times New Roman"/>
          <w:sz w:val="24"/>
          <w:szCs w:val="24"/>
        </w:rPr>
        <w:t xml:space="preserve">thereby help in driving down the prices on the basis of future price expectation. Additionally, </w:t>
      </w:r>
      <w:r w:rsidR="00E8573D">
        <w:rPr>
          <w:rFonts w:ascii="Times New Roman" w:hAnsi="Times New Roman" w:cs="Times New Roman"/>
          <w:sz w:val="24"/>
          <w:szCs w:val="24"/>
        </w:rPr>
        <w:t>a change in supply or demand also helps</w:t>
      </w:r>
      <w:r w:rsidR="00B467E3">
        <w:rPr>
          <w:rFonts w:ascii="Times New Roman" w:hAnsi="Times New Roman" w:cs="Times New Roman"/>
          <w:sz w:val="24"/>
          <w:szCs w:val="24"/>
        </w:rPr>
        <w:t xml:space="preserve"> in creating a market trend as the participants </w:t>
      </w:r>
      <w:r w:rsidR="00E8573D">
        <w:rPr>
          <w:rFonts w:ascii="Times New Roman" w:hAnsi="Times New Roman" w:cs="Times New Roman"/>
          <w:sz w:val="24"/>
          <w:szCs w:val="24"/>
        </w:rPr>
        <w:t>fight for the best stock price in the market. Thus t</w:t>
      </w:r>
      <w:r w:rsidR="00181231">
        <w:rPr>
          <w:rFonts w:ascii="Times New Roman" w:hAnsi="Times New Roman" w:cs="Times New Roman"/>
          <w:sz w:val="24"/>
          <w:szCs w:val="24"/>
        </w:rPr>
        <w:t>hese areas are interlinked with each other and helps in shaping the stock prices, thereby assist in taking the current decisions in the equity market.</w:t>
      </w:r>
      <w:r w:rsidR="008E0020">
        <w:rPr>
          <w:rFonts w:ascii="Times New Roman" w:hAnsi="Times New Roman" w:cs="Times New Roman"/>
          <w:sz w:val="24"/>
          <w:szCs w:val="24"/>
        </w:rPr>
        <w:t xml:space="preserve"> </w:t>
      </w:r>
      <w:r w:rsidR="00BC725C" w:rsidRPr="00A546BE">
        <w:rPr>
          <w:rFonts w:ascii="Times New Roman" w:hAnsi="Times New Roman" w:cs="Times New Roman"/>
          <w:sz w:val="24"/>
          <w:szCs w:val="24"/>
        </w:rPr>
        <w:t>According to</w:t>
      </w:r>
      <w:r w:rsidR="00BC725C" w:rsidRPr="00A546BE">
        <w:rPr>
          <w:rFonts w:ascii="Times New Roman" w:hAnsi="Times New Roman" w:cs="Times New Roman"/>
          <w:sz w:val="24"/>
          <w:szCs w:val="24"/>
          <w:shd w:val="clear" w:color="auto" w:fill="FFFFFF"/>
        </w:rPr>
        <w:t xml:space="preserve"> (Times of India, 2017)</w:t>
      </w:r>
      <w:r w:rsidR="00BC725C" w:rsidRPr="00A546BE">
        <w:rPr>
          <w:rFonts w:ascii="Times New Roman" w:hAnsi="Times New Roman" w:cs="Times New Roman"/>
          <w:sz w:val="24"/>
          <w:szCs w:val="24"/>
        </w:rPr>
        <w:t xml:space="preserve"> the main motive behind selling of stocks is raising the capital for the growth of the business. Stock exchange is the place where the stocks in the equity market are traded. Stock exchange can be a physical place as well as virtual gathering spots. An example of virtual trading </w:t>
      </w:r>
      <w:r w:rsidR="00181231">
        <w:rPr>
          <w:rFonts w:ascii="Times New Roman" w:hAnsi="Times New Roman" w:cs="Times New Roman"/>
          <w:sz w:val="24"/>
          <w:szCs w:val="24"/>
        </w:rPr>
        <w:t>spot</w:t>
      </w:r>
      <w:r w:rsidR="00BC725C" w:rsidRPr="00A546BE">
        <w:rPr>
          <w:rFonts w:ascii="Times New Roman" w:hAnsi="Times New Roman" w:cs="Times New Roman"/>
          <w:sz w:val="24"/>
          <w:szCs w:val="24"/>
        </w:rPr>
        <w:t xml:space="preserve"> as per </w:t>
      </w:r>
      <w:r w:rsidR="00BC725C" w:rsidRPr="00A546BE">
        <w:rPr>
          <w:rFonts w:ascii="Times New Roman" w:hAnsi="Times New Roman" w:cs="Times New Roman"/>
          <w:sz w:val="24"/>
          <w:szCs w:val="24"/>
          <w:shd w:val="clear" w:color="auto" w:fill="FFFFFF"/>
        </w:rPr>
        <w:t>(Times of India, 2017)</w:t>
      </w:r>
      <w:r w:rsidR="00BC725C" w:rsidRPr="00A546BE">
        <w:rPr>
          <w:rFonts w:ascii="Times New Roman" w:hAnsi="Times New Roman" w:cs="Times New Roman"/>
          <w:sz w:val="24"/>
          <w:szCs w:val="24"/>
        </w:rPr>
        <w:t xml:space="preserve"> is NASDAQ and that of a physical stock exchange is The New York Stock Exchange on Wall Street. </w:t>
      </w:r>
      <w:r w:rsidR="00F97E34">
        <w:rPr>
          <w:rFonts w:ascii="Times New Roman" w:hAnsi="Times New Roman" w:cs="Times New Roman"/>
          <w:sz w:val="24"/>
          <w:szCs w:val="24"/>
        </w:rPr>
        <w:t xml:space="preserve"> </w:t>
      </w:r>
    </w:p>
    <w:p w:rsidR="00BC725C" w:rsidRPr="00A546BE" w:rsidRDefault="008E0020" w:rsidP="008E0020">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 a nutshell, equity market plays an important role in </w:t>
      </w:r>
      <w:r w:rsidR="00EE57A2">
        <w:rPr>
          <w:rFonts w:ascii="Times New Roman" w:hAnsi="Times New Roman" w:cs="Times New Roman"/>
          <w:sz w:val="24"/>
          <w:szCs w:val="24"/>
        </w:rPr>
        <w:t xml:space="preserve">perceiving performance of a company and </w:t>
      </w:r>
      <w:r>
        <w:rPr>
          <w:rFonts w:ascii="Times New Roman" w:hAnsi="Times New Roman" w:cs="Times New Roman"/>
          <w:sz w:val="24"/>
          <w:szCs w:val="24"/>
        </w:rPr>
        <w:t xml:space="preserve">maintaining sustainability of an economy. Whenever a bank or any other company wants to raise funds for the growth of the business or opening a new venture, it becomes important to take a loan or issue shares through the equity market. It provides a common platform for both the buyers as well as the sellers for exchanging stocks. By investing in the stocks, the traders of the equity market raise the fund for the businesses. The brokers also act as a middleman in this context to close the deal effectively. </w:t>
      </w:r>
      <w:r w:rsidRPr="00A546BE">
        <w:rPr>
          <w:rFonts w:ascii="Times New Roman" w:hAnsi="Times New Roman" w:cs="Times New Roman"/>
          <w:sz w:val="24"/>
          <w:szCs w:val="24"/>
        </w:rPr>
        <w:t xml:space="preserve">Thus it reflects how equity and valuation of equity is important for any organization. </w:t>
      </w:r>
      <w:r>
        <w:rPr>
          <w:rFonts w:ascii="Times New Roman" w:hAnsi="Times New Roman" w:cs="Times New Roman"/>
          <w:sz w:val="24"/>
          <w:szCs w:val="24"/>
        </w:rPr>
        <w:t xml:space="preserve">Therefore it can be said that the equity market not only provides funds for boosting a company or a firm, but also provides a common market for stock trading. It makes possible to buy and sell </w:t>
      </w:r>
      <w:r w:rsidR="00D3447C">
        <w:rPr>
          <w:rFonts w:ascii="Times New Roman" w:hAnsi="Times New Roman" w:cs="Times New Roman"/>
          <w:sz w:val="24"/>
          <w:szCs w:val="24"/>
        </w:rPr>
        <w:t xml:space="preserve">the stocks at any point of time, making the stocks much more liquid, in turn attracting the investors to invest in the equity market. </w:t>
      </w:r>
    </w:p>
    <w:p w:rsidR="00BC725C" w:rsidRPr="00A546BE" w:rsidRDefault="00BC725C" w:rsidP="00BC725C">
      <w:pPr>
        <w:spacing w:line="480" w:lineRule="auto"/>
        <w:rPr>
          <w:rFonts w:ascii="Times New Roman" w:hAnsi="Times New Roman" w:cs="Times New Roman"/>
          <w:sz w:val="24"/>
          <w:szCs w:val="24"/>
        </w:rPr>
      </w:pPr>
    </w:p>
    <w:p w:rsidR="00BC725C" w:rsidRPr="00A546BE" w:rsidRDefault="00BC725C" w:rsidP="00DE71C5">
      <w:pPr>
        <w:spacing w:line="360" w:lineRule="auto"/>
        <w:ind w:firstLine="720"/>
        <w:rPr>
          <w:rFonts w:ascii="Times New Roman" w:hAnsi="Times New Roman" w:cs="Times New Roman"/>
          <w:sz w:val="24"/>
          <w:szCs w:val="24"/>
        </w:rPr>
      </w:pPr>
    </w:p>
    <w:p w:rsidR="001C0939" w:rsidRPr="00A546BE" w:rsidRDefault="001C0939" w:rsidP="001C0939">
      <w:pPr>
        <w:spacing w:line="360" w:lineRule="auto"/>
        <w:rPr>
          <w:rFonts w:ascii="Times New Roman" w:hAnsi="Times New Roman" w:cs="Times New Roman"/>
          <w:sz w:val="24"/>
          <w:szCs w:val="24"/>
        </w:rPr>
      </w:pPr>
      <w:r w:rsidRPr="00A546BE">
        <w:rPr>
          <w:rFonts w:ascii="Times New Roman" w:hAnsi="Times New Roman" w:cs="Times New Roman"/>
          <w:sz w:val="24"/>
          <w:szCs w:val="24"/>
        </w:rPr>
        <w:tab/>
      </w:r>
    </w:p>
    <w:p w:rsidR="00A252CD" w:rsidRDefault="00A252CD">
      <w:pPr>
        <w:rPr>
          <w:rFonts w:asciiTheme="majorHAnsi" w:eastAsiaTheme="majorEastAsia" w:hAnsiTheme="majorHAnsi" w:cstheme="majorBidi"/>
          <w:b/>
          <w:bCs/>
          <w:color w:val="365F91" w:themeColor="accent1" w:themeShade="BF"/>
          <w:sz w:val="28"/>
          <w:szCs w:val="28"/>
        </w:rPr>
      </w:pPr>
      <w:r>
        <w:br w:type="page"/>
      </w:r>
    </w:p>
    <w:p w:rsidR="00270322" w:rsidRPr="00270322" w:rsidRDefault="00BC725C" w:rsidP="00270322">
      <w:pPr>
        <w:pStyle w:val="Heading1"/>
        <w:spacing w:line="360" w:lineRule="auto"/>
        <w:rPr>
          <w:rFonts w:ascii="Times New Roman" w:hAnsi="Times New Roman" w:cs="Times New Roman"/>
          <w:sz w:val="24"/>
          <w:szCs w:val="24"/>
        </w:rPr>
      </w:pPr>
      <w:bookmarkStart w:id="11" w:name="_Toc512791106"/>
      <w:r w:rsidRPr="00A546BE">
        <w:lastRenderedPageBreak/>
        <w:t>References</w:t>
      </w:r>
      <w:bookmarkEnd w:id="11"/>
    </w:p>
    <w:p w:rsidR="00270322" w:rsidRPr="00A546BE" w:rsidRDefault="00270322" w:rsidP="00270322">
      <w:pPr>
        <w:spacing w:before="240" w:line="480" w:lineRule="auto"/>
        <w:rPr>
          <w:rFonts w:ascii="Times New Roman" w:eastAsiaTheme="majorEastAsia" w:hAnsi="Times New Roman" w:cs="Times New Roman"/>
          <w:b/>
          <w:bCs/>
          <w:color w:val="365F91" w:themeColor="accent1" w:themeShade="BF"/>
          <w:sz w:val="24"/>
          <w:szCs w:val="24"/>
        </w:rPr>
      </w:pPr>
      <w:r w:rsidRPr="00A546BE">
        <w:rPr>
          <w:rFonts w:ascii="Times New Roman" w:hAnsi="Times New Roman" w:cs="Times New Roman"/>
          <w:sz w:val="24"/>
          <w:szCs w:val="24"/>
          <w:shd w:val="clear" w:color="auto" w:fill="FFFFFF"/>
        </w:rPr>
        <w:t>Arnold, M. (2014). </w:t>
      </w:r>
      <w:r w:rsidRPr="00A546BE">
        <w:rPr>
          <w:rFonts w:ascii="Times New Roman" w:hAnsi="Times New Roman" w:cs="Times New Roman"/>
          <w:i/>
          <w:iCs/>
          <w:sz w:val="24"/>
          <w:szCs w:val="24"/>
          <w:shd w:val="clear" w:color="auto" w:fill="FFFFFF"/>
        </w:rPr>
        <w:t>HSBC suffers 20% fall in profits</w:t>
      </w:r>
      <w:r w:rsidRPr="00A546BE">
        <w:rPr>
          <w:rFonts w:ascii="Times New Roman" w:hAnsi="Times New Roman" w:cs="Times New Roman"/>
          <w:sz w:val="24"/>
          <w:szCs w:val="24"/>
          <w:shd w:val="clear" w:color="auto" w:fill="FFFFFF"/>
        </w:rPr>
        <w:t>. The Financial Times Ltd.</w:t>
      </w:r>
    </w:p>
    <w:p w:rsidR="00270322" w:rsidRPr="00FE30A1" w:rsidRDefault="00270322" w:rsidP="00270322">
      <w:pPr>
        <w:shd w:val="clear" w:color="auto" w:fill="FFFFFF"/>
        <w:spacing w:before="240" w:after="0" w:line="480" w:lineRule="auto"/>
        <w:ind w:hanging="120"/>
        <w:rPr>
          <w:rFonts w:ascii="Times New Roman" w:eastAsia="Times New Roman" w:hAnsi="Times New Roman" w:cs="Times New Roman"/>
          <w:sz w:val="24"/>
          <w:szCs w:val="24"/>
          <w:lang w:bidi="bn-IN"/>
        </w:rPr>
      </w:pPr>
      <w:r w:rsidRPr="00FE30A1">
        <w:rPr>
          <w:rFonts w:ascii="Arial" w:eastAsia="Times New Roman" w:hAnsi="Arial" w:cs="Arial"/>
          <w:b/>
          <w:bCs/>
          <w:color w:val="666666"/>
          <w:sz w:val="20"/>
          <w:szCs w:val="20"/>
          <w:lang w:bidi="bn-IN"/>
        </w:rPr>
        <w:t> </w:t>
      </w:r>
      <w:r w:rsidRPr="00FE30A1">
        <w:rPr>
          <w:rFonts w:ascii="Times New Roman" w:eastAsia="Times New Roman" w:hAnsi="Times New Roman" w:cs="Times New Roman"/>
          <w:sz w:val="24"/>
          <w:szCs w:val="24"/>
          <w:lang w:bidi="bn-IN"/>
        </w:rPr>
        <w:t>Arnold, M. (2018). </w:t>
      </w:r>
      <w:r w:rsidRPr="00FE30A1">
        <w:rPr>
          <w:rFonts w:ascii="Times New Roman" w:eastAsia="Times New Roman" w:hAnsi="Times New Roman" w:cs="Times New Roman"/>
          <w:i/>
          <w:iCs/>
          <w:sz w:val="24"/>
          <w:szCs w:val="24"/>
          <w:lang w:bidi="bn-IN"/>
        </w:rPr>
        <w:t>HSBC agrees to $101.5m penalty in settlement of FX rigging case</w:t>
      </w:r>
      <w:r w:rsidRPr="00FE30A1">
        <w:rPr>
          <w:rFonts w:ascii="Times New Roman" w:eastAsia="Times New Roman" w:hAnsi="Times New Roman" w:cs="Times New Roman"/>
          <w:sz w:val="24"/>
          <w:szCs w:val="24"/>
          <w:lang w:bidi="bn-IN"/>
        </w:rPr>
        <w:t>. [online] Financial Times. Available at: https://www.ft.com/content/225ceee8-fca0-11e7-a492-2c9be7f3120a [Accessed 28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Arnold, M. and McLannahan, B. (2016). </w:t>
      </w:r>
      <w:r w:rsidRPr="00A546BE">
        <w:rPr>
          <w:rFonts w:ascii="Times New Roman" w:hAnsi="Times New Roman" w:cs="Times New Roman"/>
          <w:i/>
          <w:iCs/>
          <w:sz w:val="24"/>
          <w:szCs w:val="24"/>
          <w:shd w:val="clear" w:color="auto" w:fill="FFFFFF"/>
        </w:rPr>
        <w:t>HSBC settles one of a long list of legal issues</w:t>
      </w:r>
      <w:r w:rsidRPr="00A546BE">
        <w:rPr>
          <w:rFonts w:ascii="Times New Roman" w:hAnsi="Times New Roman" w:cs="Times New Roman"/>
          <w:sz w:val="24"/>
          <w:szCs w:val="24"/>
          <w:shd w:val="clear" w:color="auto" w:fill="FFFFFF"/>
        </w:rPr>
        <w:t>. The Financial Times ltd.</w:t>
      </w:r>
    </w:p>
    <w:p w:rsidR="00270322"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Arnold, M. and Weinland, D. (2017). </w:t>
      </w:r>
      <w:r w:rsidRPr="00A546BE">
        <w:rPr>
          <w:rFonts w:ascii="Times New Roman" w:hAnsi="Times New Roman" w:cs="Times New Roman"/>
          <w:i/>
          <w:iCs/>
          <w:sz w:val="24"/>
          <w:szCs w:val="24"/>
          <w:shd w:val="clear" w:color="auto" w:fill="FFFFFF"/>
        </w:rPr>
        <w:t>HSBC profits tumble on writedowns and one-off costs</w:t>
      </w:r>
      <w:r w:rsidRPr="00A546BE">
        <w:rPr>
          <w:rFonts w:ascii="Times New Roman" w:hAnsi="Times New Roman" w:cs="Times New Roman"/>
          <w:sz w:val="24"/>
          <w:szCs w:val="24"/>
          <w:shd w:val="clear" w:color="auto" w:fill="FFFFFF"/>
        </w:rPr>
        <w:t>. The Financial Times Ltd.</w:t>
      </w:r>
    </w:p>
    <w:p w:rsidR="00270322" w:rsidRPr="000D3308" w:rsidRDefault="00270322" w:rsidP="00270322">
      <w:pPr>
        <w:pStyle w:val="NormalWeb"/>
        <w:shd w:val="clear" w:color="auto" w:fill="FFFFFF"/>
        <w:spacing w:before="240" w:beforeAutospacing="0" w:after="0" w:afterAutospacing="0" w:line="480" w:lineRule="auto"/>
        <w:ind w:hanging="120"/>
      </w:pPr>
      <w:r>
        <w:rPr>
          <w:rStyle w:val="selectable"/>
        </w:rPr>
        <w:t xml:space="preserve">  </w:t>
      </w:r>
      <w:r w:rsidRPr="0058035F">
        <w:rPr>
          <w:rStyle w:val="selectable"/>
        </w:rPr>
        <w:t>Barclays (2018). [online] www.home.barclays. Available at: https://www.home.barclays/about-barclays.html [Accessed 23 Apr. 2018].</w:t>
      </w:r>
    </w:p>
    <w:p w:rsidR="00270322" w:rsidRPr="00A546BE" w:rsidRDefault="00270322" w:rsidP="00270322">
      <w:pPr>
        <w:pStyle w:val="NormalWeb"/>
        <w:shd w:val="clear" w:color="auto" w:fill="FFFFFF"/>
        <w:spacing w:before="240" w:beforeAutospacing="0" w:after="0" w:afterAutospacing="0" w:line="480" w:lineRule="auto"/>
      </w:pPr>
      <w:r w:rsidRPr="00A546BE">
        <w:rPr>
          <w:rStyle w:val="selectable"/>
        </w:rPr>
        <w:t>Barclays PLC (2014).</w:t>
      </w:r>
      <w:r w:rsidRPr="00A546BE">
        <w:rPr>
          <w:rStyle w:val="apple-converted-space"/>
          <w:rFonts w:eastAsiaTheme="majorEastAsia"/>
        </w:rPr>
        <w:t> </w:t>
      </w:r>
      <w:r w:rsidRPr="00A546BE">
        <w:rPr>
          <w:rStyle w:val="selectable"/>
          <w:i/>
          <w:iCs/>
        </w:rPr>
        <w:t>Barclays PLC Annual Report 2014</w:t>
      </w:r>
      <w:r w:rsidRPr="00A546BE">
        <w:rPr>
          <w:rStyle w:val="selectable"/>
        </w:rPr>
        <w:t>. [online] www.home.barclays. Available at: https://www.home.barclays/content/dam/barclayspublic/docs/InvestorRelations/AnnualReports/AR2014/Barclays_PLC_Annual_Report_%202014.pdf [Accessed 20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Barclays PLC (2016).</w:t>
      </w:r>
      <w:r w:rsidRPr="00A546BE">
        <w:rPr>
          <w:rStyle w:val="apple-converted-space"/>
          <w:rFonts w:ascii="Times New Roman" w:hAnsi="Times New Roman" w:cs="Times New Roman"/>
          <w:sz w:val="24"/>
          <w:szCs w:val="24"/>
          <w:shd w:val="clear" w:color="auto" w:fill="FFFFFF"/>
        </w:rPr>
        <w:t> </w:t>
      </w:r>
      <w:r w:rsidRPr="00A546BE">
        <w:rPr>
          <w:rFonts w:ascii="Times New Roman" w:hAnsi="Times New Roman" w:cs="Times New Roman"/>
          <w:i/>
          <w:iCs/>
          <w:sz w:val="24"/>
          <w:szCs w:val="24"/>
          <w:shd w:val="clear" w:color="auto" w:fill="FFFFFF"/>
        </w:rPr>
        <w:t>Barclays PLC Annual Report 2016</w:t>
      </w:r>
      <w:r w:rsidRPr="00A546BE">
        <w:rPr>
          <w:rFonts w:ascii="Times New Roman" w:hAnsi="Times New Roman" w:cs="Times New Roman"/>
          <w:sz w:val="24"/>
          <w:szCs w:val="24"/>
          <w:shd w:val="clear" w:color="auto" w:fill="FFFFFF"/>
        </w:rPr>
        <w:t>. [online] www.home.barclays. Available at: https://www.home.barclays/content/dam/barclayspublic/docs/InvestorRelations/AnnualReports/AR2016/Barclays%20PLC%20Annual%20Report%202016.pdf [Accessed 20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lastRenderedPageBreak/>
        <w:t>Barclays PLC (2017).</w:t>
      </w:r>
      <w:r w:rsidRPr="00A546BE">
        <w:rPr>
          <w:rStyle w:val="apple-converted-space"/>
          <w:rFonts w:ascii="Times New Roman" w:hAnsi="Times New Roman" w:cs="Times New Roman"/>
          <w:sz w:val="24"/>
          <w:szCs w:val="24"/>
          <w:shd w:val="clear" w:color="auto" w:fill="FFFFFF"/>
        </w:rPr>
        <w:t> </w:t>
      </w:r>
      <w:r w:rsidRPr="00A546BE">
        <w:rPr>
          <w:rFonts w:ascii="Times New Roman" w:hAnsi="Times New Roman" w:cs="Times New Roman"/>
          <w:i/>
          <w:iCs/>
          <w:sz w:val="24"/>
          <w:szCs w:val="24"/>
          <w:shd w:val="clear" w:color="auto" w:fill="FFFFFF"/>
        </w:rPr>
        <w:t>Barclays PLC Annual Report 2017</w:t>
      </w:r>
      <w:r w:rsidRPr="00A546BE">
        <w:rPr>
          <w:rFonts w:ascii="Times New Roman" w:hAnsi="Times New Roman" w:cs="Times New Roman"/>
          <w:sz w:val="24"/>
          <w:szCs w:val="24"/>
          <w:shd w:val="clear" w:color="auto" w:fill="FFFFFF"/>
        </w:rPr>
        <w:t>. [online] www.home.barclays. Available at: https://www.home.barclays/content/dam/barclayspublic/docs/InvestorRelations/AnnualReports/AR2017/Barclays%20PLC%20Annual%20Report%202017.pdf [Accessed 20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Chakrabarty, K., 2012. </w:t>
      </w:r>
      <w:r w:rsidRPr="00A546BE">
        <w:rPr>
          <w:rFonts w:ascii="Times New Roman" w:hAnsi="Times New Roman" w:cs="Times New Roman"/>
          <w:i/>
          <w:iCs/>
          <w:sz w:val="24"/>
          <w:szCs w:val="24"/>
          <w:shd w:val="clear" w:color="auto" w:fill="FFFFFF"/>
        </w:rPr>
        <w:t>Contemporary Issues In Banking – Reflections On Viewpoints Of A Bank Economist</w:t>
      </w:r>
      <w:r w:rsidRPr="00A546BE">
        <w:rPr>
          <w:rFonts w:ascii="Times New Roman" w:hAnsi="Times New Roman" w:cs="Times New Roman"/>
          <w:sz w:val="24"/>
          <w:szCs w:val="24"/>
          <w:shd w:val="clear" w:color="auto" w:fill="FFFFFF"/>
        </w:rPr>
        <w:t>. Chennai: BIS, pp.1-5</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Dalmia, S., 2016. </w:t>
      </w:r>
      <w:r w:rsidRPr="00A546BE">
        <w:rPr>
          <w:rFonts w:ascii="Times New Roman" w:hAnsi="Times New Roman" w:cs="Times New Roman"/>
          <w:i/>
          <w:iCs/>
          <w:sz w:val="24"/>
          <w:szCs w:val="24"/>
          <w:shd w:val="clear" w:color="auto" w:fill="FFFFFF"/>
        </w:rPr>
        <w:t>Issues And Challenges Facing Indian Banking Sector</w:t>
      </w:r>
      <w:r w:rsidRPr="00A546BE">
        <w:rPr>
          <w:rFonts w:ascii="Times New Roman" w:hAnsi="Times New Roman" w:cs="Times New Roman"/>
          <w:sz w:val="24"/>
          <w:szCs w:val="24"/>
          <w:shd w:val="clear" w:color="auto" w:fill="FFFFFF"/>
        </w:rPr>
        <w:t>. Jagran Prakashan Limited</w:t>
      </w:r>
    </w:p>
    <w:p w:rsidR="00270322"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Dannewitz, T. (2013). HSBC, World's Most Corrupt Bank. [Blog] </w:t>
      </w:r>
      <w:r w:rsidRPr="00A546BE">
        <w:rPr>
          <w:rFonts w:ascii="Times New Roman" w:hAnsi="Times New Roman" w:cs="Times New Roman"/>
          <w:i/>
          <w:iCs/>
          <w:sz w:val="24"/>
          <w:szCs w:val="24"/>
          <w:shd w:val="clear" w:color="auto" w:fill="FFFFFF"/>
        </w:rPr>
        <w:t>BlogSpot</w:t>
      </w:r>
      <w:r w:rsidRPr="00A546BE">
        <w:rPr>
          <w:rFonts w:ascii="Times New Roman" w:hAnsi="Times New Roman" w:cs="Times New Roman"/>
          <w:sz w:val="24"/>
          <w:szCs w:val="24"/>
          <w:shd w:val="clear" w:color="auto" w:fill="FFFFFF"/>
        </w:rPr>
        <w:t>. Available at: http://thorstendan.blogspot.in/ [Accessed 20 Apr. 2018].</w:t>
      </w:r>
    </w:p>
    <w:p w:rsidR="00270322" w:rsidRDefault="00270322" w:rsidP="00270322">
      <w:pPr>
        <w:spacing w:before="240" w:line="480" w:lineRule="auto"/>
        <w:rPr>
          <w:rFonts w:ascii="Times New Roman" w:hAnsi="Times New Roman" w:cs="Times New Roman"/>
          <w:sz w:val="24"/>
          <w:szCs w:val="24"/>
          <w:shd w:val="clear" w:color="auto" w:fill="FFFFFF"/>
        </w:rPr>
      </w:pPr>
      <w:r w:rsidRPr="007B5DFF">
        <w:rPr>
          <w:rFonts w:ascii="Times New Roman" w:hAnsi="Times New Roman" w:cs="Times New Roman"/>
          <w:sz w:val="24"/>
          <w:szCs w:val="24"/>
          <w:shd w:val="clear" w:color="auto" w:fill="FFFFFF"/>
        </w:rPr>
        <w:t>ET Bureau (2016). </w:t>
      </w:r>
      <w:r w:rsidRPr="007B5DFF">
        <w:rPr>
          <w:rFonts w:ascii="Times New Roman" w:hAnsi="Times New Roman" w:cs="Times New Roman"/>
          <w:i/>
          <w:iCs/>
          <w:sz w:val="24"/>
          <w:szCs w:val="24"/>
          <w:shd w:val="clear" w:color="auto" w:fill="FFFFFF"/>
        </w:rPr>
        <w:t>From HSBC to Bangladesh Central Bank: Four times when a global network of financial laundering was uncovered</w:t>
      </w:r>
      <w:r w:rsidRPr="007B5DFF">
        <w:rPr>
          <w:rFonts w:ascii="Times New Roman" w:hAnsi="Times New Roman" w:cs="Times New Roman"/>
          <w:sz w:val="24"/>
          <w:szCs w:val="24"/>
          <w:shd w:val="clear" w:color="auto" w:fill="FFFFFF"/>
        </w:rPr>
        <w:t>. [online] Economic TImes. Available at: https://economictimes.indiatimes.com/magazines/panache/from-hsbc-to-bangladesh-central-bank-four-times-when-a-global-network-of-financial-laundering-was-uncovered/articleshow/51835781.cms [Accessed 28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 xml:space="preserve">HSBC (2013). [Online] </w:t>
      </w:r>
      <w:hyperlink r:id="rId10" w:history="1">
        <w:r w:rsidRPr="00A546BE">
          <w:rPr>
            <w:rStyle w:val="Hyperlink"/>
            <w:rFonts w:ascii="Times New Roman" w:hAnsi="Times New Roman" w:cs="Times New Roman"/>
            <w:color w:val="auto"/>
            <w:sz w:val="24"/>
            <w:szCs w:val="24"/>
            <w:shd w:val="clear" w:color="auto" w:fill="FFFFFF"/>
          </w:rPr>
          <w:t>www.hsbc.co.in.Available</w:t>
        </w:r>
      </w:hyperlink>
      <w:r w:rsidRPr="00A546BE">
        <w:rPr>
          <w:rFonts w:ascii="Times New Roman" w:hAnsi="Times New Roman" w:cs="Times New Roman"/>
          <w:sz w:val="24"/>
          <w:szCs w:val="24"/>
          <w:shd w:val="clear" w:color="auto" w:fill="FFFFFF"/>
        </w:rPr>
        <w:t xml:space="preserve"> at: </w:t>
      </w:r>
      <w:hyperlink r:id="rId11" w:history="1">
        <w:r w:rsidRPr="00A546BE">
          <w:rPr>
            <w:rStyle w:val="Hyperlink"/>
            <w:rFonts w:ascii="Times New Roman" w:hAnsi="Times New Roman" w:cs="Times New Roman"/>
            <w:color w:val="auto"/>
            <w:sz w:val="24"/>
            <w:szCs w:val="24"/>
            <w:shd w:val="clear" w:color="auto" w:fill="FFFFFF"/>
          </w:rPr>
          <w:t>http://www.hsbc.co.in/1/2/personal/investments/new-invest/new-invest-types[Accessed</w:t>
        </w:r>
      </w:hyperlink>
      <w:r w:rsidRPr="00A546BE">
        <w:rPr>
          <w:rFonts w:ascii="Times New Roman" w:hAnsi="Times New Roman" w:cs="Times New Roman"/>
          <w:sz w:val="24"/>
          <w:szCs w:val="24"/>
          <w:shd w:val="clear" w:color="auto" w:fill="FFFFFF"/>
        </w:rPr>
        <w:t xml:space="preserve"> 20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HSBC (2017). [online] www.hsbc.com. Available at: http://www.hsbc.com/our-approach/risk-and-responsibility [Accessed 20 Apr. 2018].</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lastRenderedPageBreak/>
        <w:t>HSBC Bank Plc (2014).</w:t>
      </w:r>
      <w:r w:rsidRPr="00A546BE">
        <w:rPr>
          <w:rStyle w:val="apple-converted-space"/>
          <w:rFonts w:ascii="Times New Roman" w:hAnsi="Times New Roman" w:cs="Times New Roman"/>
          <w:sz w:val="24"/>
          <w:szCs w:val="24"/>
          <w:shd w:val="clear" w:color="auto" w:fill="FFFFFF"/>
        </w:rPr>
        <w:t> </w:t>
      </w:r>
      <w:r w:rsidRPr="00A546BE">
        <w:rPr>
          <w:rFonts w:ascii="Times New Roman" w:hAnsi="Times New Roman" w:cs="Times New Roman"/>
          <w:i/>
          <w:iCs/>
          <w:sz w:val="24"/>
          <w:szCs w:val="24"/>
          <w:shd w:val="clear" w:color="auto" w:fill="FFFFFF"/>
        </w:rPr>
        <w:t>HSBC Bank Plc Annual Report and Accounts 2014</w:t>
      </w:r>
      <w:r w:rsidRPr="00A546BE">
        <w:rPr>
          <w:rFonts w:ascii="Times New Roman" w:hAnsi="Times New Roman" w:cs="Times New Roman"/>
          <w:sz w:val="24"/>
          <w:szCs w:val="24"/>
          <w:shd w:val="clear" w:color="auto" w:fill="FFFFFF"/>
        </w:rPr>
        <w:t>. HSBC Bank Plc Annual Report and Accounts 2014.</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HSBC Bank Plc (2016).</w:t>
      </w:r>
      <w:r w:rsidRPr="00A546BE">
        <w:rPr>
          <w:rStyle w:val="apple-converted-space"/>
          <w:rFonts w:ascii="Times New Roman" w:hAnsi="Times New Roman" w:cs="Times New Roman"/>
          <w:sz w:val="24"/>
          <w:szCs w:val="24"/>
          <w:shd w:val="clear" w:color="auto" w:fill="FFFFFF"/>
        </w:rPr>
        <w:t> </w:t>
      </w:r>
      <w:r w:rsidRPr="00A546BE">
        <w:rPr>
          <w:rFonts w:ascii="Times New Roman" w:hAnsi="Times New Roman" w:cs="Times New Roman"/>
          <w:i/>
          <w:iCs/>
          <w:sz w:val="24"/>
          <w:szCs w:val="24"/>
          <w:shd w:val="clear" w:color="auto" w:fill="FFFFFF"/>
        </w:rPr>
        <w:t>HSBC Bank Plc Annual Report and Accounts 2016</w:t>
      </w:r>
      <w:r w:rsidRPr="00A546BE">
        <w:rPr>
          <w:rFonts w:ascii="Times New Roman" w:hAnsi="Times New Roman" w:cs="Times New Roman"/>
          <w:sz w:val="24"/>
          <w:szCs w:val="24"/>
          <w:shd w:val="clear" w:color="auto" w:fill="FFFFFF"/>
        </w:rPr>
        <w:t>. HSBC Bank Plc Annual Report and Accounts 2016.</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HSBC Bank Plc (2017).</w:t>
      </w:r>
      <w:r w:rsidRPr="00A546BE">
        <w:rPr>
          <w:rStyle w:val="apple-converted-space"/>
          <w:rFonts w:ascii="Times New Roman" w:hAnsi="Times New Roman" w:cs="Times New Roman"/>
          <w:sz w:val="24"/>
          <w:szCs w:val="24"/>
          <w:shd w:val="clear" w:color="auto" w:fill="FFFFFF"/>
        </w:rPr>
        <w:t> </w:t>
      </w:r>
      <w:r w:rsidRPr="00A546BE">
        <w:rPr>
          <w:rFonts w:ascii="Times New Roman" w:hAnsi="Times New Roman" w:cs="Times New Roman"/>
          <w:i/>
          <w:iCs/>
          <w:sz w:val="24"/>
          <w:szCs w:val="24"/>
          <w:shd w:val="clear" w:color="auto" w:fill="FFFFFF"/>
        </w:rPr>
        <w:t>HSBC Bank Plc Annual Report and Accounts 2017</w:t>
      </w:r>
      <w:r w:rsidRPr="00A546BE">
        <w:rPr>
          <w:rFonts w:ascii="Times New Roman" w:hAnsi="Times New Roman" w:cs="Times New Roman"/>
          <w:sz w:val="24"/>
          <w:szCs w:val="24"/>
          <w:shd w:val="clear" w:color="auto" w:fill="FFFFFF"/>
        </w:rPr>
        <w:t>. HSBC Bank Plc Annual Report and Accounts 2017.</w:t>
      </w:r>
    </w:p>
    <w:p w:rsidR="00270322" w:rsidRPr="00C84096" w:rsidRDefault="00270322" w:rsidP="00270322">
      <w:pPr>
        <w:spacing w:before="240" w:line="480" w:lineRule="auto"/>
        <w:rPr>
          <w:rFonts w:ascii="Times New Roman" w:hAnsi="Times New Roman" w:cs="Times New Roman"/>
          <w:sz w:val="24"/>
          <w:szCs w:val="24"/>
          <w:shd w:val="clear" w:color="auto" w:fill="FFF1E5"/>
        </w:rPr>
      </w:pPr>
      <w:r w:rsidRPr="00C84096">
        <w:rPr>
          <w:rStyle w:val="selectable"/>
          <w:rFonts w:ascii="Times New Roman" w:hAnsi="Times New Roman" w:cs="Times New Roman"/>
          <w:sz w:val="24"/>
          <w:szCs w:val="24"/>
          <w:shd w:val="clear" w:color="auto" w:fill="FFFFFF"/>
        </w:rPr>
        <w:t>HSBC Holdings PLC (2017).</w:t>
      </w:r>
      <w:r w:rsidRPr="00C84096">
        <w:rPr>
          <w:rStyle w:val="apple-converted-space"/>
          <w:rFonts w:ascii="Times New Roman" w:hAnsi="Times New Roman" w:cs="Times New Roman"/>
          <w:sz w:val="24"/>
          <w:szCs w:val="24"/>
          <w:shd w:val="clear" w:color="auto" w:fill="FFFFFF"/>
        </w:rPr>
        <w:t> </w:t>
      </w:r>
      <w:r w:rsidRPr="00C84096">
        <w:rPr>
          <w:rStyle w:val="selectable"/>
          <w:rFonts w:ascii="Times New Roman" w:hAnsi="Times New Roman" w:cs="Times New Roman"/>
          <w:i/>
          <w:iCs/>
          <w:sz w:val="24"/>
          <w:szCs w:val="24"/>
          <w:shd w:val="clear" w:color="auto" w:fill="FFFFFF"/>
        </w:rPr>
        <w:t>Pillar 3 Disclosures at 31 December 2017</w:t>
      </w:r>
      <w:r w:rsidRPr="00C84096">
        <w:rPr>
          <w:rStyle w:val="selectable"/>
          <w:rFonts w:ascii="Times New Roman" w:hAnsi="Times New Roman" w:cs="Times New Roman"/>
          <w:sz w:val="24"/>
          <w:szCs w:val="24"/>
          <w:shd w:val="clear" w:color="auto" w:fill="FFFFFF"/>
        </w:rPr>
        <w:t>. HSBC Holdings plc.</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Juneja, P. (2014). </w:t>
      </w:r>
      <w:r w:rsidRPr="00A546BE">
        <w:rPr>
          <w:rFonts w:ascii="Times New Roman" w:hAnsi="Times New Roman" w:cs="Times New Roman"/>
          <w:i/>
          <w:iCs/>
          <w:sz w:val="24"/>
          <w:szCs w:val="24"/>
          <w:shd w:val="clear" w:color="auto" w:fill="FFFFFF"/>
        </w:rPr>
        <w:t>Equity Valuation: Definition, Importance and Process</w:t>
      </w:r>
      <w:r w:rsidRPr="00A546BE">
        <w:rPr>
          <w:rFonts w:ascii="Times New Roman" w:hAnsi="Times New Roman" w:cs="Times New Roman"/>
          <w:sz w:val="24"/>
          <w:szCs w:val="24"/>
          <w:shd w:val="clear" w:color="auto" w:fill="FFFFFF"/>
        </w:rPr>
        <w:t>. Management Study Guide.</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Lee, Y. (2018). </w:t>
      </w:r>
      <w:r w:rsidRPr="00A546BE">
        <w:rPr>
          <w:rFonts w:ascii="Times New Roman" w:hAnsi="Times New Roman" w:cs="Times New Roman"/>
          <w:i/>
          <w:iCs/>
          <w:sz w:val="24"/>
          <w:szCs w:val="24"/>
          <w:shd w:val="clear" w:color="auto" w:fill="FFFFFF"/>
        </w:rPr>
        <w:t>Europe's Largest Bank sees reported profit rise more than 140 percent in 2017</w:t>
      </w:r>
      <w:r w:rsidRPr="00A546BE">
        <w:rPr>
          <w:rFonts w:ascii="Times New Roman" w:hAnsi="Times New Roman" w:cs="Times New Roman"/>
          <w:sz w:val="24"/>
          <w:szCs w:val="24"/>
          <w:shd w:val="clear" w:color="auto" w:fill="FFFFFF"/>
        </w:rPr>
        <w:t>. CNBC LLC.</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Mishkin, F., 2016. </w:t>
      </w:r>
      <w:r w:rsidRPr="00A546BE">
        <w:rPr>
          <w:rFonts w:ascii="Times New Roman" w:hAnsi="Times New Roman" w:cs="Times New Roman"/>
          <w:i/>
          <w:iCs/>
          <w:sz w:val="24"/>
          <w:szCs w:val="24"/>
          <w:shd w:val="clear" w:color="auto" w:fill="FFFFFF"/>
        </w:rPr>
        <w:t>The Economics Of Money, Banking And Financial Markets</w:t>
      </w:r>
      <w:r w:rsidRPr="00A546BE">
        <w:rPr>
          <w:rFonts w:ascii="Times New Roman" w:hAnsi="Times New Roman" w:cs="Times New Roman"/>
          <w:sz w:val="24"/>
          <w:szCs w:val="24"/>
          <w:shd w:val="clear" w:color="auto" w:fill="FFFFFF"/>
        </w:rPr>
        <w:t>. 11th ed. Pearson Education, pp.252-253</w:t>
      </w:r>
    </w:p>
    <w:p w:rsidR="00270322" w:rsidRPr="00A546BE" w:rsidRDefault="00270322" w:rsidP="00270322">
      <w:pPr>
        <w:spacing w:before="240" w:line="480" w:lineRule="auto"/>
        <w:rPr>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Schubert, J., 2015. </w:t>
      </w:r>
      <w:r w:rsidRPr="00A546BE">
        <w:rPr>
          <w:rFonts w:ascii="Times New Roman" w:hAnsi="Times New Roman" w:cs="Times New Roman"/>
          <w:i/>
          <w:iCs/>
          <w:sz w:val="24"/>
          <w:szCs w:val="24"/>
          <w:shd w:val="clear" w:color="auto" w:fill="FFFFFF"/>
        </w:rPr>
        <w:t>4 Top Challenges Facing The Banking Industry Right Now</w:t>
      </w:r>
      <w:r w:rsidRPr="00A546BE">
        <w:rPr>
          <w:rFonts w:ascii="Times New Roman" w:hAnsi="Times New Roman" w:cs="Times New Roman"/>
          <w:sz w:val="24"/>
          <w:szCs w:val="24"/>
          <w:shd w:val="clear" w:color="auto" w:fill="FFFFFF"/>
        </w:rPr>
        <w:t>. Digitalist</w:t>
      </w:r>
    </w:p>
    <w:p w:rsidR="00270322" w:rsidRPr="00270322" w:rsidRDefault="00270322" w:rsidP="00270322">
      <w:pPr>
        <w:spacing w:before="240" w:line="480" w:lineRule="auto"/>
        <w:rPr>
          <w:rFonts w:ascii="Times New Roman" w:hAnsi="Times New Roman" w:cs="Times New Roman"/>
          <w:sz w:val="24"/>
          <w:szCs w:val="24"/>
          <w:shd w:val="clear" w:color="auto" w:fill="FFFFFF"/>
        </w:rPr>
      </w:pPr>
      <w:r w:rsidRPr="00044B3C">
        <w:rPr>
          <w:rFonts w:ascii="Times New Roman" w:hAnsi="Times New Roman" w:cs="Times New Roman"/>
          <w:sz w:val="24"/>
          <w:szCs w:val="24"/>
          <w:shd w:val="clear" w:color="auto" w:fill="FFFFFF"/>
        </w:rPr>
        <w:t>The Economist (2016). From folly to fragmentation; Brexit and the City of London. </w:t>
      </w:r>
      <w:r w:rsidRPr="00044B3C">
        <w:rPr>
          <w:rFonts w:ascii="Times New Roman" w:hAnsi="Times New Roman" w:cs="Times New Roman"/>
          <w:i/>
          <w:iCs/>
          <w:sz w:val="24"/>
          <w:szCs w:val="24"/>
          <w:shd w:val="clear" w:color="auto" w:fill="FFFFFF"/>
        </w:rPr>
        <w:t>The Economist</w:t>
      </w:r>
      <w:r w:rsidRPr="00044B3C">
        <w:rPr>
          <w:rFonts w:ascii="Times New Roman" w:hAnsi="Times New Roman" w:cs="Times New Roman"/>
          <w:sz w:val="24"/>
          <w:szCs w:val="24"/>
          <w:shd w:val="clear" w:color="auto" w:fill="FFFFFF"/>
        </w:rPr>
        <w:t>, 420(8996), pp.61-63.</w:t>
      </w:r>
    </w:p>
    <w:p w:rsidR="00270322" w:rsidRPr="00270322" w:rsidRDefault="00270322" w:rsidP="00270322">
      <w:pPr>
        <w:spacing w:before="240" w:line="480" w:lineRule="auto"/>
        <w:rPr>
          <w:rFonts w:ascii="Times New Roman" w:hAnsi="Times New Roman" w:cs="Times New Roman"/>
          <w:sz w:val="24"/>
          <w:szCs w:val="24"/>
          <w:shd w:val="clear" w:color="auto" w:fill="FFFFFF"/>
        </w:rPr>
      </w:pPr>
      <w:r w:rsidRPr="00270322">
        <w:rPr>
          <w:rFonts w:ascii="Times New Roman" w:hAnsi="Times New Roman" w:cs="Times New Roman"/>
          <w:sz w:val="24"/>
          <w:szCs w:val="24"/>
          <w:shd w:val="clear" w:color="auto" w:fill="FFFFFF"/>
        </w:rPr>
        <w:t>The Economist (2017). Leave or Remain?; Business after Brexit. </w:t>
      </w:r>
      <w:r w:rsidRPr="00270322">
        <w:rPr>
          <w:rFonts w:ascii="Times New Roman" w:hAnsi="Times New Roman" w:cs="Times New Roman"/>
          <w:i/>
          <w:iCs/>
          <w:sz w:val="24"/>
          <w:szCs w:val="24"/>
          <w:shd w:val="clear" w:color="auto" w:fill="FFFFFF"/>
        </w:rPr>
        <w:t>The Economist</w:t>
      </w:r>
      <w:r w:rsidRPr="00270322">
        <w:rPr>
          <w:rFonts w:ascii="Times New Roman" w:hAnsi="Times New Roman" w:cs="Times New Roman"/>
          <w:sz w:val="24"/>
          <w:szCs w:val="24"/>
          <w:shd w:val="clear" w:color="auto" w:fill="FFFFFF"/>
        </w:rPr>
        <w:t>, 422(9025), p.26.</w:t>
      </w:r>
    </w:p>
    <w:p w:rsidR="00270322" w:rsidRPr="00A546BE" w:rsidRDefault="00270322" w:rsidP="00270322">
      <w:pPr>
        <w:spacing w:before="240" w:line="480" w:lineRule="auto"/>
        <w:rPr>
          <w:rStyle w:val="selectable"/>
          <w:rFonts w:ascii="Times New Roman" w:hAnsi="Times New Roman" w:cs="Times New Roman"/>
          <w:sz w:val="24"/>
          <w:szCs w:val="24"/>
          <w:shd w:val="clear" w:color="auto" w:fill="FFFFFF"/>
        </w:rPr>
      </w:pPr>
      <w:r w:rsidRPr="00A546BE">
        <w:rPr>
          <w:rFonts w:ascii="Times New Roman" w:hAnsi="Times New Roman" w:cs="Times New Roman"/>
          <w:sz w:val="24"/>
          <w:szCs w:val="24"/>
          <w:shd w:val="clear" w:color="auto" w:fill="FFFFFF"/>
        </w:rPr>
        <w:t>Times of India (2017). </w:t>
      </w:r>
      <w:r w:rsidRPr="00A546BE">
        <w:rPr>
          <w:rFonts w:ascii="Times New Roman" w:hAnsi="Times New Roman" w:cs="Times New Roman"/>
          <w:i/>
          <w:iCs/>
          <w:sz w:val="24"/>
          <w:szCs w:val="24"/>
          <w:shd w:val="clear" w:color="auto" w:fill="FFFFFF"/>
        </w:rPr>
        <w:t>What is Equity market?</w:t>
      </w:r>
      <w:r w:rsidRPr="00A546BE">
        <w:rPr>
          <w:rFonts w:ascii="Times New Roman" w:hAnsi="Times New Roman" w:cs="Times New Roman"/>
          <w:sz w:val="24"/>
          <w:szCs w:val="24"/>
          <w:shd w:val="clear" w:color="auto" w:fill="FFFFFF"/>
        </w:rPr>
        <w:t>. Times of India.</w:t>
      </w:r>
    </w:p>
    <w:p w:rsidR="00270322" w:rsidRPr="00C12B9B" w:rsidRDefault="00270322" w:rsidP="00270322">
      <w:pPr>
        <w:shd w:val="clear" w:color="auto" w:fill="FFFFFF"/>
        <w:spacing w:before="240" w:after="0" w:line="480" w:lineRule="auto"/>
        <w:ind w:hanging="120"/>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lastRenderedPageBreak/>
        <w:t xml:space="preserve">  </w:t>
      </w:r>
      <w:r w:rsidRPr="00C12B9B">
        <w:rPr>
          <w:rFonts w:ascii="Times New Roman" w:eastAsia="Times New Roman" w:hAnsi="Times New Roman" w:cs="Times New Roman"/>
          <w:sz w:val="24"/>
          <w:szCs w:val="24"/>
          <w:lang w:bidi="bn-IN"/>
        </w:rPr>
        <w:t>Warwick-Chingfirs, :. (2018). </w:t>
      </w:r>
      <w:r w:rsidRPr="00C12B9B">
        <w:rPr>
          <w:rFonts w:ascii="Times New Roman" w:eastAsia="Times New Roman" w:hAnsi="Times New Roman" w:cs="Times New Roman"/>
          <w:i/>
          <w:iCs/>
          <w:sz w:val="24"/>
          <w:szCs w:val="24"/>
          <w:lang w:bidi="bn-IN"/>
        </w:rPr>
        <w:t>What’s the lowest rate we can get on our mortgage?standfirst:We have increased the value of the property</w:t>
      </w:r>
      <w:r w:rsidRPr="00C12B9B">
        <w:rPr>
          <w:rFonts w:ascii="Times New Roman" w:eastAsia="Times New Roman" w:hAnsi="Times New Roman" w:cs="Times New Roman"/>
          <w:sz w:val="24"/>
          <w:szCs w:val="24"/>
          <w:lang w:bidi="bn-IN"/>
        </w:rPr>
        <w:t>. [online] London, England: Financial Times. Available at: http://infoweb.newsbank.com/resources/doc/nb/news/16AEEF3899948DB0?p=UKNB [Accessed 28 Apr. 2018].</w:t>
      </w:r>
    </w:p>
    <w:p w:rsidR="00251E0D" w:rsidRPr="00A546BE" w:rsidRDefault="00251E0D">
      <w:pPr>
        <w:rPr>
          <w:rFonts w:ascii="Times New Roman" w:eastAsiaTheme="majorEastAsia" w:hAnsi="Times New Roman" w:cs="Times New Roman"/>
          <w:b/>
          <w:bCs/>
          <w:color w:val="365F91" w:themeColor="accent1" w:themeShade="BF"/>
          <w:sz w:val="24"/>
          <w:szCs w:val="24"/>
        </w:rPr>
      </w:pPr>
      <w:r w:rsidRPr="00A546BE">
        <w:rPr>
          <w:rFonts w:ascii="Times New Roman" w:hAnsi="Times New Roman" w:cs="Times New Roman"/>
          <w:sz w:val="24"/>
          <w:szCs w:val="24"/>
        </w:rPr>
        <w:br w:type="page"/>
      </w:r>
    </w:p>
    <w:p w:rsidR="00BC725C" w:rsidRPr="00A546BE" w:rsidRDefault="00BC725C" w:rsidP="00BC725C">
      <w:pPr>
        <w:pStyle w:val="Heading1"/>
        <w:rPr>
          <w:rFonts w:ascii="Times New Roman" w:hAnsi="Times New Roman" w:cs="Times New Roman"/>
          <w:sz w:val="24"/>
          <w:szCs w:val="24"/>
        </w:rPr>
      </w:pPr>
      <w:bookmarkStart w:id="12" w:name="_Toc512791107"/>
      <w:r w:rsidRPr="00A546BE">
        <w:rPr>
          <w:rFonts w:ascii="Times New Roman" w:hAnsi="Times New Roman" w:cs="Times New Roman"/>
          <w:sz w:val="24"/>
          <w:szCs w:val="24"/>
        </w:rPr>
        <w:lastRenderedPageBreak/>
        <w:t>Appendices</w:t>
      </w:r>
      <w:bookmarkEnd w:id="12"/>
    </w:p>
    <w:p w:rsidR="00BC725C" w:rsidRPr="00A546BE" w:rsidRDefault="00BC725C" w:rsidP="00BC725C">
      <w:pPr>
        <w:pStyle w:val="Heading2"/>
        <w:rPr>
          <w:rFonts w:ascii="Times New Roman" w:hAnsi="Times New Roman" w:cs="Times New Roman"/>
          <w:sz w:val="24"/>
          <w:szCs w:val="24"/>
        </w:rPr>
      </w:pPr>
      <w:bookmarkStart w:id="13" w:name="_Toc512791108"/>
      <w:r w:rsidRPr="00A546BE">
        <w:rPr>
          <w:rFonts w:ascii="Times New Roman" w:hAnsi="Times New Roman" w:cs="Times New Roman"/>
          <w:sz w:val="24"/>
          <w:szCs w:val="24"/>
        </w:rPr>
        <w:t>Appendix 1</w:t>
      </w:r>
      <w:bookmarkEnd w:id="13"/>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1: Total loans in 2013 and 2014</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754010" cy="3571875"/>
            <wp:effectExtent l="19050" t="19050" r="18140" b="285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l="12019" t="15598" r="12340" b="21795"/>
                    <a:stretch>
                      <a:fillRect/>
                    </a:stretch>
                  </pic:blipFill>
                  <pic:spPr bwMode="auto">
                    <a:xfrm>
                      <a:off x="0" y="0"/>
                      <a:ext cx="5754010" cy="35718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  Total assets for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689797" cy="3914775"/>
            <wp:effectExtent l="19050" t="19050" r="25203"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l="12019" t="18590" r="12981" b="12607"/>
                    <a:stretch>
                      <a:fillRect/>
                    </a:stretch>
                  </pic:blipFill>
                  <pic:spPr bwMode="auto">
                    <a:xfrm>
                      <a:off x="0" y="0"/>
                      <a:ext cx="5689797" cy="39147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3: Total loans for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897166" cy="1114425"/>
            <wp:effectExtent l="19050" t="19050" r="27384" b="28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l="8173" t="20940" r="10417" b="58547"/>
                    <a:stretch>
                      <a:fillRect/>
                    </a:stretch>
                  </pic:blipFill>
                  <pic:spPr bwMode="auto">
                    <a:xfrm>
                      <a:off x="0" y="0"/>
                      <a:ext cx="5897166" cy="11144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4: Total assets for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947554" cy="3724275"/>
            <wp:effectExtent l="19050" t="19050" r="15096" b="285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srcRect l="6731" t="17735" r="8814" b="11752"/>
                    <a:stretch>
                      <a:fillRect/>
                    </a:stretch>
                  </pic:blipFill>
                  <pic:spPr bwMode="auto">
                    <a:xfrm>
                      <a:off x="0" y="0"/>
                      <a:ext cx="5947554" cy="37242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5: Total loans for 2017</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160517" cy="2400300"/>
            <wp:effectExtent l="19050" t="19050" r="11683" b="190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a:srcRect l="5128" t="18162" r="8814" b="43163"/>
                    <a:stretch>
                      <a:fillRect/>
                    </a:stretch>
                  </pic:blipFill>
                  <pic:spPr bwMode="auto">
                    <a:xfrm>
                      <a:off x="0" y="0"/>
                      <a:ext cx="6160517" cy="240030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6: Total assets for 2017</w:t>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160770" cy="3942100"/>
            <wp:effectExtent l="19050" t="19050" r="11430" b="203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srcRect l="5929" t="16880" r="9455" b="15812"/>
                    <a:stretch>
                      <a:fillRect/>
                    </a:stretch>
                  </pic:blipFill>
                  <pic:spPr bwMode="auto">
                    <a:xfrm>
                      <a:off x="0" y="0"/>
                      <a:ext cx="6160770" cy="3942100"/>
                    </a:xfrm>
                    <a:prstGeom prst="rect">
                      <a:avLst/>
                    </a:prstGeom>
                    <a:noFill/>
                    <a:ln w="9525">
                      <a:solidFill>
                        <a:schemeClr val="tx1"/>
                      </a:solidFill>
                      <a:miter lim="800000"/>
                      <a:headEnd/>
                      <a:tailEnd/>
                    </a:ln>
                  </pic:spPr>
                </pic:pic>
              </a:graphicData>
            </a:graphic>
          </wp:inline>
        </w:drawing>
      </w: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4" w:name="_Toc512791109"/>
      <w:r w:rsidRPr="00A546BE">
        <w:rPr>
          <w:rFonts w:ascii="Times New Roman" w:hAnsi="Times New Roman" w:cs="Times New Roman"/>
          <w:sz w:val="24"/>
          <w:szCs w:val="24"/>
        </w:rPr>
        <w:lastRenderedPageBreak/>
        <w:t>Appendix 2</w:t>
      </w:r>
      <w:bookmarkEnd w:id="14"/>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7: Net income for 2013 and 2014</w:t>
      </w:r>
    </w:p>
    <w:p w:rsidR="00BC725C" w:rsidRPr="00A546BE" w:rsidRDefault="00BC725C" w:rsidP="00BC725C">
      <w:pPr>
        <w:tabs>
          <w:tab w:val="left" w:pos="2235"/>
        </w:tabs>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772150" cy="3839947"/>
            <wp:effectExtent l="19050" t="19050" r="19050" b="27203"/>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srcRect l="11699" t="16666" r="12660" b="16239"/>
                    <a:stretch>
                      <a:fillRect/>
                    </a:stretch>
                  </pic:blipFill>
                  <pic:spPr bwMode="auto">
                    <a:xfrm>
                      <a:off x="0" y="0"/>
                      <a:ext cx="5772150" cy="3839947"/>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8: Net income for 2015 and 2016</w:t>
      </w:r>
    </w:p>
    <w:p w:rsidR="00BC725C" w:rsidRPr="00A546BE" w:rsidRDefault="00BC725C" w:rsidP="00BC725C">
      <w:pPr>
        <w:tabs>
          <w:tab w:val="left" w:pos="2235"/>
        </w:tabs>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127386" cy="3114675"/>
            <wp:effectExtent l="19050" t="19050" r="25764" b="285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a:srcRect l="8494" t="29701" r="8814" b="21795"/>
                    <a:stretch>
                      <a:fillRect/>
                    </a:stretch>
                  </pic:blipFill>
                  <pic:spPr bwMode="auto">
                    <a:xfrm>
                      <a:off x="0" y="0"/>
                      <a:ext cx="6127386" cy="31146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tabs>
          <w:tab w:val="left" w:pos="2235"/>
        </w:tabs>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tabs>
          <w:tab w:val="left" w:pos="2235"/>
        </w:tabs>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9: Net income for 2017</w:t>
      </w:r>
    </w:p>
    <w:p w:rsidR="00BC725C" w:rsidRPr="00A546BE" w:rsidRDefault="00BC725C" w:rsidP="00BC725C">
      <w:pPr>
        <w:tabs>
          <w:tab w:val="left" w:pos="2235"/>
        </w:tabs>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527452" cy="2667000"/>
            <wp:effectExtent l="19050" t="19050" r="25748" b="190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a:srcRect l="5449" t="36966" r="8654" b="16239"/>
                    <a:stretch>
                      <a:fillRect/>
                    </a:stretch>
                  </pic:blipFill>
                  <pic:spPr bwMode="auto">
                    <a:xfrm>
                      <a:off x="0" y="0"/>
                      <a:ext cx="6527452" cy="266700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pStyle w:val="Heading2"/>
        <w:rPr>
          <w:rFonts w:ascii="Times New Roman" w:hAnsi="Times New Roman" w:cs="Times New Roman"/>
          <w:sz w:val="24"/>
          <w:szCs w:val="24"/>
        </w:rPr>
      </w:pPr>
    </w:p>
    <w:p w:rsidR="00BC725C" w:rsidRPr="00A546BE" w:rsidRDefault="00BC725C" w:rsidP="00BC725C">
      <w:pPr>
        <w:pStyle w:val="Heading2"/>
        <w:rPr>
          <w:rFonts w:ascii="Times New Roman" w:hAnsi="Times New Roman" w:cs="Times New Roman"/>
          <w:sz w:val="24"/>
          <w:szCs w:val="24"/>
        </w:rPr>
      </w:pPr>
    </w:p>
    <w:p w:rsidR="00BC725C" w:rsidRPr="00A546BE" w:rsidRDefault="00BC725C" w:rsidP="00BC725C">
      <w:pPr>
        <w:pStyle w:val="Heading2"/>
        <w:rPr>
          <w:rFonts w:ascii="Times New Roman" w:hAnsi="Times New Roman" w:cs="Times New Roman"/>
          <w:sz w:val="24"/>
          <w:szCs w:val="24"/>
        </w:rPr>
      </w:pPr>
    </w:p>
    <w:p w:rsidR="00BC725C" w:rsidRPr="00A546BE" w:rsidRDefault="00BC725C" w:rsidP="00BC725C">
      <w:pPr>
        <w:pStyle w:val="Heading2"/>
        <w:rPr>
          <w:rFonts w:ascii="Times New Roman" w:hAnsi="Times New Roman" w:cs="Times New Roman"/>
          <w:sz w:val="24"/>
          <w:szCs w:val="24"/>
        </w:rPr>
      </w:pP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5" w:name="_Toc512791110"/>
      <w:r w:rsidRPr="00A546BE">
        <w:rPr>
          <w:rFonts w:ascii="Times New Roman" w:hAnsi="Times New Roman" w:cs="Times New Roman"/>
          <w:sz w:val="24"/>
          <w:szCs w:val="24"/>
        </w:rPr>
        <w:lastRenderedPageBreak/>
        <w:t>Appendix 3</w:t>
      </w:r>
      <w:bookmarkEnd w:id="15"/>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10: Shareholder’s equity for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542720" cy="3648075"/>
            <wp:effectExtent l="19050" t="19050" r="19880" b="285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a:srcRect l="12981" t="14530" r="11538" b="19231"/>
                    <a:stretch>
                      <a:fillRect/>
                    </a:stretch>
                  </pic:blipFill>
                  <pic:spPr bwMode="auto">
                    <a:xfrm>
                      <a:off x="0" y="0"/>
                      <a:ext cx="5542720" cy="36480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11: Shareholder’s equity for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139584" cy="3524250"/>
            <wp:effectExtent l="19050" t="19050" r="13566" b="190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2"/>
                    <a:srcRect l="8013" t="24786" r="10577" b="20513"/>
                    <a:stretch>
                      <a:fillRect/>
                    </a:stretch>
                  </pic:blipFill>
                  <pic:spPr bwMode="auto">
                    <a:xfrm>
                      <a:off x="0" y="0"/>
                      <a:ext cx="6139584" cy="35242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12: Shareholder’s equity for 2017</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501265" cy="3600450"/>
            <wp:effectExtent l="19050" t="19050" r="13835" b="190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a:srcRect l="8494" t="25427" r="7212" b="20727"/>
                    <a:stretch>
                      <a:fillRect/>
                    </a:stretch>
                  </pic:blipFill>
                  <pic:spPr bwMode="auto">
                    <a:xfrm>
                      <a:off x="0" y="0"/>
                      <a:ext cx="6501265" cy="36004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6" w:name="_Toc512791111"/>
      <w:r w:rsidRPr="00A546BE">
        <w:rPr>
          <w:rFonts w:ascii="Times New Roman" w:hAnsi="Times New Roman" w:cs="Times New Roman"/>
          <w:sz w:val="24"/>
          <w:szCs w:val="24"/>
        </w:rPr>
        <w:lastRenderedPageBreak/>
        <w:t>Appendix 4</w:t>
      </w:r>
      <w:bookmarkEnd w:id="16"/>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13: Total Liabilities for FY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966716" cy="2905125"/>
            <wp:effectExtent l="19050" t="19050" r="14984" b="285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4"/>
                    <a:srcRect l="11859" t="25000" r="11699" b="34615"/>
                    <a:stretch>
                      <a:fillRect/>
                    </a:stretch>
                  </pic:blipFill>
                  <pic:spPr bwMode="auto">
                    <a:xfrm>
                      <a:off x="0" y="0"/>
                      <a:ext cx="5966716" cy="29051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14:  Total Liabilities for FY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692900" cy="2711450"/>
            <wp:effectExtent l="19050" t="19050" r="12700" b="1270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5"/>
                    <a:srcRect l="8654" t="24359" r="10256" b="31838"/>
                    <a:stretch>
                      <a:fillRect/>
                    </a:stretch>
                  </pic:blipFill>
                  <pic:spPr bwMode="auto">
                    <a:xfrm>
                      <a:off x="0" y="0"/>
                      <a:ext cx="6692900" cy="27114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15: Total Liabilities for FY 2017</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349808" cy="2838450"/>
            <wp:effectExtent l="19050" t="19050" r="12892" b="190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6"/>
                    <a:srcRect l="6250" t="22436" r="10577" b="27991"/>
                    <a:stretch>
                      <a:fillRect/>
                    </a:stretch>
                  </pic:blipFill>
                  <pic:spPr bwMode="auto">
                    <a:xfrm>
                      <a:off x="0" y="0"/>
                      <a:ext cx="6349808" cy="28384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7" w:name="_Toc512791112"/>
      <w:r w:rsidRPr="00A546BE">
        <w:rPr>
          <w:rFonts w:ascii="Times New Roman" w:hAnsi="Times New Roman" w:cs="Times New Roman"/>
          <w:sz w:val="24"/>
          <w:szCs w:val="24"/>
        </w:rPr>
        <w:lastRenderedPageBreak/>
        <w:t>Appendix 5</w:t>
      </w:r>
      <w:bookmarkEnd w:id="17"/>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16: Total Capital and Risk Weighted Assets for FY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4467225" cy="3609340"/>
            <wp:effectExtent l="19050" t="19050" r="28575" b="1016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7"/>
                    <a:srcRect l="37179" t="23654" r="23878" b="34402"/>
                    <a:stretch>
                      <a:fillRect/>
                    </a:stretch>
                  </pic:blipFill>
                  <pic:spPr bwMode="auto">
                    <a:xfrm>
                      <a:off x="0" y="0"/>
                      <a:ext cx="4467225" cy="360934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17: Total Capital and Risk Weighted Assets for FY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4600575" cy="4039088"/>
            <wp:effectExtent l="19050" t="19050" r="28575" b="18562"/>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8"/>
                    <a:srcRect l="48398" t="20513" r="10897" b="31838"/>
                    <a:stretch>
                      <a:fillRect/>
                    </a:stretch>
                  </pic:blipFill>
                  <pic:spPr bwMode="auto">
                    <a:xfrm>
                      <a:off x="0" y="0"/>
                      <a:ext cx="4600575" cy="4039088"/>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18: Total Capital and Risk Weighted Assets for FY 2017</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4486275" cy="4315695"/>
            <wp:effectExtent l="19050" t="19050" r="28575" b="2770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9"/>
                    <a:srcRect l="50321" t="19017" r="7532" b="26923"/>
                    <a:stretch>
                      <a:fillRect/>
                    </a:stretch>
                  </pic:blipFill>
                  <pic:spPr bwMode="auto">
                    <a:xfrm>
                      <a:off x="0" y="0"/>
                      <a:ext cx="4486275" cy="431569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apple-converted-space"/>
          <w:rFonts w:ascii="Times New Roman" w:hAnsi="Times New Roman" w:cs="Times New Roman"/>
          <w:bCs/>
          <w:sz w:val="24"/>
          <w:szCs w:val="24"/>
          <w:shd w:val="clear" w:color="auto" w:fill="FFFFFF"/>
        </w:rPr>
        <w:t xml:space="preserve">Source: </w:t>
      </w:r>
      <w:r w:rsidRPr="00A546BE">
        <w:rPr>
          <w:rStyle w:val="selectable"/>
          <w:rFonts w:ascii="Times New Roman" w:hAnsi="Times New Roman" w:cs="Times New Roman"/>
          <w:sz w:val="24"/>
          <w:szCs w:val="24"/>
          <w:shd w:val="clear" w:color="auto" w:fill="FFFFFF"/>
        </w:rPr>
        <w:t>(HSBC Bank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8" w:name="_Toc512791113"/>
      <w:r w:rsidRPr="00A546BE">
        <w:rPr>
          <w:rFonts w:ascii="Times New Roman" w:hAnsi="Times New Roman" w:cs="Times New Roman"/>
          <w:sz w:val="24"/>
          <w:szCs w:val="24"/>
        </w:rPr>
        <w:lastRenderedPageBreak/>
        <w:t>Appendix 6</w:t>
      </w:r>
      <w:bookmarkEnd w:id="18"/>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19: Total Loans of Barclays for FY 2013</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638800" cy="4487092"/>
            <wp:effectExtent l="19050" t="19050" r="19050" b="27758"/>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0"/>
                    <a:srcRect l="15224" t="20940" r="16346" b="9829"/>
                    <a:stretch>
                      <a:fillRect/>
                    </a:stretch>
                  </pic:blipFill>
                  <pic:spPr bwMode="auto">
                    <a:xfrm>
                      <a:off x="0" y="0"/>
                      <a:ext cx="5638800" cy="4487092"/>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selectable"/>
          <w:rFonts w:ascii="Times New Roman" w:hAnsi="Times New Roman" w:cs="Times New Roman"/>
          <w:sz w:val="24"/>
          <w:szCs w:val="24"/>
          <w:shd w:val="clear" w:color="auto" w:fill="FFFFFF"/>
        </w:rPr>
        <w:t>Source: (Barclays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20: Total Loans of Barclays for FY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244779" cy="5162550"/>
            <wp:effectExtent l="19050" t="19050" r="22671" b="1905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1"/>
                    <a:srcRect l="12500" t="16667" r="16506" b="14102"/>
                    <a:stretch>
                      <a:fillRect/>
                    </a:stretch>
                  </pic:blipFill>
                  <pic:spPr bwMode="auto">
                    <a:xfrm>
                      <a:off x="0" y="0"/>
                      <a:ext cx="6244779" cy="51625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selectable"/>
          <w:rFonts w:ascii="Times New Roman" w:hAnsi="Times New Roman" w:cs="Times New Roman"/>
          <w:sz w:val="24"/>
          <w:szCs w:val="24"/>
          <w:shd w:val="clear" w:color="auto" w:fill="FFFFFF"/>
        </w:rPr>
        <w:t>Source: (Barclays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21: Total Loans of Barclays for FY 2015</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587544" cy="4752975"/>
            <wp:effectExtent l="19050" t="19050" r="13156" b="2857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2"/>
                    <a:srcRect l="12179" t="11752" r="17308" b="15812"/>
                    <a:stretch>
                      <a:fillRect/>
                    </a:stretch>
                  </pic:blipFill>
                  <pic:spPr bwMode="auto">
                    <a:xfrm>
                      <a:off x="0" y="0"/>
                      <a:ext cx="5587544" cy="47529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selectable"/>
          <w:rFonts w:ascii="Times New Roman" w:hAnsi="Times New Roman" w:cs="Times New Roman"/>
          <w:sz w:val="24"/>
          <w:szCs w:val="24"/>
          <w:shd w:val="clear" w:color="auto" w:fill="FFFFFF"/>
        </w:rPr>
        <w:t>Source: (Barclays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22: Total Loans of Barclays for FY 2016</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924550" cy="4584473"/>
            <wp:effectExtent l="19050" t="19050" r="19050" b="25627"/>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3"/>
                    <a:srcRect l="17147" t="9402" r="15545" b="21154"/>
                    <a:stretch>
                      <a:fillRect/>
                    </a:stretch>
                  </pic:blipFill>
                  <pic:spPr bwMode="auto">
                    <a:xfrm>
                      <a:off x="0" y="0"/>
                      <a:ext cx="5924550" cy="4584473"/>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selectable"/>
          <w:rFonts w:ascii="Times New Roman" w:hAnsi="Times New Roman" w:cs="Times New Roman"/>
          <w:sz w:val="24"/>
          <w:szCs w:val="24"/>
          <w:shd w:val="clear" w:color="auto" w:fill="FFFFFF"/>
        </w:rPr>
        <w:t>Source: (Barclays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23: Total Loans of Barclays for FY 2017</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019800" cy="4333159"/>
            <wp:effectExtent l="19050" t="19050" r="19050" b="10241"/>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4"/>
                    <a:srcRect l="12019" t="22008" r="17628" b="10470"/>
                    <a:stretch>
                      <a:fillRect/>
                    </a:stretch>
                  </pic:blipFill>
                  <pic:spPr bwMode="auto">
                    <a:xfrm>
                      <a:off x="0" y="0"/>
                      <a:ext cx="6019800" cy="4333159"/>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2017)</w:t>
      </w:r>
    </w:p>
    <w:p w:rsidR="00BC725C" w:rsidRPr="00A546BE" w:rsidRDefault="00BC725C" w:rsidP="00BC725C">
      <w:pPr>
        <w:rPr>
          <w:rFonts w:ascii="Times New Roman" w:eastAsiaTheme="majorEastAsia" w:hAnsi="Times New Roman" w:cs="Times New Roman"/>
          <w:b/>
          <w:bCs/>
          <w:color w:val="4F81BD" w:themeColor="accent1"/>
          <w:sz w:val="24"/>
          <w:szCs w:val="24"/>
        </w:rPr>
      </w:pP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19" w:name="_Toc512791114"/>
      <w:r w:rsidRPr="00A546BE">
        <w:rPr>
          <w:rFonts w:ascii="Times New Roman" w:hAnsi="Times New Roman" w:cs="Times New Roman"/>
          <w:sz w:val="24"/>
          <w:szCs w:val="24"/>
        </w:rPr>
        <w:lastRenderedPageBreak/>
        <w:t>Appendix 7</w:t>
      </w:r>
      <w:bookmarkEnd w:id="19"/>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24: Total assets and Total liabilities of Barclays for FY 2013 to 2017</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956332" cy="4162425"/>
            <wp:effectExtent l="19050" t="19050" r="25368" b="2857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35"/>
                    <a:srcRect l="13141" t="24145" r="18750" b="12393"/>
                    <a:stretch>
                      <a:fillRect/>
                    </a:stretch>
                  </pic:blipFill>
                  <pic:spPr bwMode="auto">
                    <a:xfrm>
                      <a:off x="0" y="0"/>
                      <a:ext cx="5956332" cy="41624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2017)</w:t>
      </w:r>
    </w:p>
    <w:p w:rsidR="00BC725C" w:rsidRPr="00A546BE" w:rsidRDefault="00BC725C" w:rsidP="00BC725C">
      <w:pPr>
        <w:rPr>
          <w:rFonts w:ascii="Times New Roman" w:eastAsiaTheme="majorEastAsia" w:hAnsi="Times New Roman" w:cs="Times New Roman"/>
          <w:b/>
          <w:bCs/>
          <w:color w:val="4F81BD" w:themeColor="accent1"/>
          <w:sz w:val="24"/>
          <w:szCs w:val="24"/>
        </w:rPr>
      </w:pPr>
      <w:r w:rsidRPr="00A546BE">
        <w:rPr>
          <w:rFonts w:ascii="Times New Roman" w:hAnsi="Times New Roman" w:cs="Times New Roman"/>
          <w:sz w:val="24"/>
          <w:szCs w:val="24"/>
        </w:rPr>
        <w:br w:type="page"/>
      </w:r>
    </w:p>
    <w:p w:rsidR="00BC725C" w:rsidRPr="00A546BE" w:rsidRDefault="00BC725C" w:rsidP="00BC725C">
      <w:pPr>
        <w:pStyle w:val="Heading2"/>
        <w:rPr>
          <w:rFonts w:ascii="Times New Roman" w:hAnsi="Times New Roman" w:cs="Times New Roman"/>
          <w:sz w:val="24"/>
          <w:szCs w:val="24"/>
        </w:rPr>
      </w:pPr>
      <w:bookmarkStart w:id="20" w:name="_Toc512791115"/>
      <w:r w:rsidRPr="00A546BE">
        <w:rPr>
          <w:rFonts w:ascii="Times New Roman" w:hAnsi="Times New Roman" w:cs="Times New Roman"/>
          <w:sz w:val="24"/>
          <w:szCs w:val="24"/>
        </w:rPr>
        <w:lastRenderedPageBreak/>
        <w:t>Appendix 8</w:t>
      </w:r>
      <w:bookmarkEnd w:id="20"/>
    </w:p>
    <w:p w:rsidR="00BC725C" w:rsidRPr="00A546BE" w:rsidRDefault="00BC725C" w:rsidP="00BC725C">
      <w:pPr>
        <w:rPr>
          <w:rFonts w:ascii="Times New Roman" w:hAnsi="Times New Roman" w:cs="Times New Roman"/>
          <w:sz w:val="24"/>
          <w:szCs w:val="24"/>
        </w:rPr>
      </w:pP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Figure 25: Tier 1 and Tier 2 capital of Barclays for FY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838825" cy="4129169"/>
            <wp:effectExtent l="19050" t="19050" r="28575" b="23731"/>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6"/>
                    <a:srcRect l="13622" t="28419" r="16346" b="10684"/>
                    <a:stretch>
                      <a:fillRect/>
                    </a:stretch>
                  </pic:blipFill>
                  <pic:spPr bwMode="auto">
                    <a:xfrm>
                      <a:off x="0" y="0"/>
                      <a:ext cx="5838825" cy="4129169"/>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2014)</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26: Tier 1 and Tier 2 capital of Barclays for FY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829423" cy="4619625"/>
            <wp:effectExtent l="19050" t="19050" r="18927" b="2857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7"/>
                    <a:srcRect l="15224" t="25641" r="15545" b="11325"/>
                    <a:stretch>
                      <a:fillRect/>
                    </a:stretch>
                  </pic:blipFill>
                  <pic:spPr bwMode="auto">
                    <a:xfrm>
                      <a:off x="0" y="0"/>
                      <a:ext cx="5829423" cy="46196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27: Tier 1 and Tier 2 capital of Barclays for FY 2017</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256103" cy="4676775"/>
            <wp:effectExtent l="19050" t="19050" r="11347" b="28575"/>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8"/>
                    <a:srcRect l="16827" t="24573" r="15545" b="13675"/>
                    <a:stretch>
                      <a:fillRect/>
                    </a:stretch>
                  </pic:blipFill>
                  <pic:spPr bwMode="auto">
                    <a:xfrm>
                      <a:off x="0" y="0"/>
                      <a:ext cx="6256103" cy="467677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28: Risk weighted assets of Barclays for FY 2013 and 2014</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270468" cy="2905125"/>
            <wp:effectExtent l="19050" t="19050" r="16032" b="2857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9"/>
                    <a:srcRect l="13141" t="22650" r="16987" b="34188"/>
                    <a:stretch>
                      <a:fillRect/>
                    </a:stretch>
                  </pic:blipFill>
                  <pic:spPr bwMode="auto">
                    <a:xfrm>
                      <a:off x="0" y="0"/>
                      <a:ext cx="6270468" cy="29051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Style w:val="selectable"/>
          <w:rFonts w:ascii="Times New Roman" w:hAnsi="Times New Roman" w:cs="Times New Roman"/>
          <w:sz w:val="24"/>
          <w:szCs w:val="24"/>
          <w:shd w:val="clear" w:color="auto" w:fill="FFFFFF"/>
        </w:rPr>
        <w:t>(Barclays PLC, 2014)</w:t>
      </w:r>
      <w:r w:rsidRPr="00A546BE">
        <w:rPr>
          <w:rFonts w:ascii="Times New Roman" w:hAnsi="Times New Roman" w:cs="Times New Roman"/>
          <w:sz w:val="24"/>
          <w:szCs w:val="24"/>
        </w:rPr>
        <w:t xml:space="preserve"> </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sz w:val="24"/>
          <w:szCs w:val="24"/>
        </w:rPr>
        <w:br w:type="page"/>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lastRenderedPageBreak/>
        <w:t>Figure 29: Risk weighted assets of Barclays for FY 2015 and 2016</w:t>
      </w: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5996802" cy="2762250"/>
            <wp:effectExtent l="19050" t="19050" r="22998" b="1905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0"/>
                    <a:srcRect l="17468" t="22863" r="15385" b="35898"/>
                    <a:stretch>
                      <a:fillRect/>
                    </a:stretch>
                  </pic:blipFill>
                  <pic:spPr bwMode="auto">
                    <a:xfrm>
                      <a:off x="0" y="0"/>
                      <a:ext cx="5996802" cy="2762250"/>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Style w:val="selectable"/>
          <w:rFonts w:ascii="Times New Roman" w:hAnsi="Times New Roman" w:cs="Times New Roman"/>
          <w:sz w:val="24"/>
          <w:szCs w:val="24"/>
          <w:shd w:val="clear" w:color="auto" w:fill="FFFFFF"/>
        </w:rPr>
        <w:t>Source: (Barclays PLC, 2016)</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jc w:val="center"/>
        <w:rPr>
          <w:rFonts w:ascii="Times New Roman" w:hAnsi="Times New Roman" w:cs="Times New Roman"/>
          <w:sz w:val="24"/>
          <w:szCs w:val="24"/>
        </w:rPr>
      </w:pPr>
      <w:r w:rsidRPr="00A546BE">
        <w:rPr>
          <w:rFonts w:ascii="Times New Roman" w:hAnsi="Times New Roman" w:cs="Times New Roman"/>
          <w:sz w:val="24"/>
          <w:szCs w:val="24"/>
        </w:rPr>
        <w:t>Figure 30: Risk weighted assets of Barclays for FY 2017</w:t>
      </w:r>
    </w:p>
    <w:p w:rsidR="00BC725C" w:rsidRPr="00A546BE" w:rsidRDefault="00BC725C" w:rsidP="00BC725C">
      <w:pPr>
        <w:rPr>
          <w:rFonts w:ascii="Times New Roman" w:hAnsi="Times New Roman" w:cs="Times New Roman"/>
          <w:sz w:val="24"/>
          <w:szCs w:val="24"/>
        </w:rPr>
      </w:pPr>
      <w:r w:rsidRPr="00A546BE">
        <w:rPr>
          <w:rFonts w:ascii="Times New Roman" w:hAnsi="Times New Roman" w:cs="Times New Roman"/>
          <w:noProof/>
          <w:sz w:val="24"/>
          <w:szCs w:val="24"/>
        </w:rPr>
        <w:drawing>
          <wp:inline distT="0" distB="0" distL="0" distR="0">
            <wp:extent cx="6266180" cy="2562225"/>
            <wp:effectExtent l="19050" t="19050" r="20320" b="2857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1"/>
                    <a:srcRect l="16827" t="22649" r="15385" b="40391"/>
                    <a:stretch>
                      <a:fillRect/>
                    </a:stretch>
                  </pic:blipFill>
                  <pic:spPr bwMode="auto">
                    <a:xfrm>
                      <a:off x="0" y="0"/>
                      <a:ext cx="6266180" cy="2562225"/>
                    </a:xfrm>
                    <a:prstGeom prst="rect">
                      <a:avLst/>
                    </a:prstGeom>
                    <a:noFill/>
                    <a:ln w="9525">
                      <a:solidFill>
                        <a:schemeClr val="tx1"/>
                      </a:solidFill>
                      <a:miter lim="800000"/>
                      <a:headEnd/>
                      <a:tailEnd/>
                    </a:ln>
                  </pic:spPr>
                </pic:pic>
              </a:graphicData>
            </a:graphic>
          </wp:inline>
        </w:drawing>
      </w:r>
    </w:p>
    <w:p w:rsidR="00BC725C" w:rsidRPr="00A546BE" w:rsidRDefault="00BC725C" w:rsidP="00BC725C">
      <w:pPr>
        <w:spacing w:line="360" w:lineRule="auto"/>
        <w:jc w:val="center"/>
        <w:rPr>
          <w:rFonts w:ascii="Times New Roman" w:hAnsi="Times New Roman" w:cs="Times New Roman"/>
          <w:sz w:val="24"/>
          <w:szCs w:val="24"/>
        </w:rPr>
      </w:pPr>
      <w:r w:rsidRPr="00A546BE">
        <w:rPr>
          <w:rFonts w:ascii="Times New Roman" w:hAnsi="Times New Roman" w:cs="Times New Roman"/>
          <w:sz w:val="24"/>
          <w:szCs w:val="24"/>
        </w:rPr>
        <w:t xml:space="preserve">Source: </w:t>
      </w:r>
      <w:r w:rsidRPr="00A546BE">
        <w:rPr>
          <w:rFonts w:ascii="Times New Roman" w:hAnsi="Times New Roman" w:cs="Times New Roman"/>
          <w:sz w:val="24"/>
          <w:szCs w:val="24"/>
          <w:shd w:val="clear" w:color="auto" w:fill="FFFFFF"/>
        </w:rPr>
        <w:t>(Barclays PLC, 2017)</w:t>
      </w: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BC725C" w:rsidRPr="00A546BE" w:rsidRDefault="00BC725C" w:rsidP="00BC725C">
      <w:pPr>
        <w:rPr>
          <w:rFonts w:ascii="Times New Roman" w:hAnsi="Times New Roman" w:cs="Times New Roman"/>
          <w:sz w:val="24"/>
          <w:szCs w:val="24"/>
        </w:rPr>
      </w:pPr>
    </w:p>
    <w:p w:rsidR="002433A5" w:rsidRPr="00A546BE" w:rsidRDefault="002433A5" w:rsidP="00BC725C">
      <w:pPr>
        <w:spacing w:line="360" w:lineRule="auto"/>
        <w:rPr>
          <w:rFonts w:ascii="Times New Roman" w:hAnsi="Times New Roman" w:cs="Times New Roman"/>
          <w:sz w:val="24"/>
          <w:szCs w:val="24"/>
        </w:rPr>
      </w:pPr>
    </w:p>
    <w:sectPr w:rsidR="002433A5" w:rsidRPr="00A546BE" w:rsidSect="008B4E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6433" w:rsidRDefault="00A46433" w:rsidP="008A687B">
      <w:pPr>
        <w:spacing w:after="0" w:line="240" w:lineRule="auto"/>
      </w:pPr>
      <w:r>
        <w:separator/>
      </w:r>
    </w:p>
  </w:endnote>
  <w:endnote w:type="continuationSeparator" w:id="0">
    <w:p w:rsidR="00A46433" w:rsidRDefault="00A46433" w:rsidP="008A6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6433" w:rsidRDefault="00A46433" w:rsidP="008A687B">
      <w:pPr>
        <w:spacing w:after="0" w:line="240" w:lineRule="auto"/>
      </w:pPr>
      <w:r>
        <w:separator/>
      </w:r>
    </w:p>
  </w:footnote>
  <w:footnote w:type="continuationSeparator" w:id="0">
    <w:p w:rsidR="00A46433" w:rsidRDefault="00A46433" w:rsidP="008A68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56E"/>
    <w:rsid w:val="000078B6"/>
    <w:rsid w:val="00010F5F"/>
    <w:rsid w:val="0002674A"/>
    <w:rsid w:val="00032424"/>
    <w:rsid w:val="000347E7"/>
    <w:rsid w:val="00044B3C"/>
    <w:rsid w:val="00051A2B"/>
    <w:rsid w:val="000602DC"/>
    <w:rsid w:val="000A65D8"/>
    <w:rsid w:val="000B5E78"/>
    <w:rsid w:val="000C445C"/>
    <w:rsid w:val="000C7B7F"/>
    <w:rsid w:val="000D3308"/>
    <w:rsid w:val="000F0593"/>
    <w:rsid w:val="000F5540"/>
    <w:rsid w:val="00120B8F"/>
    <w:rsid w:val="00125F56"/>
    <w:rsid w:val="001279E8"/>
    <w:rsid w:val="00147675"/>
    <w:rsid w:val="001724F5"/>
    <w:rsid w:val="00173039"/>
    <w:rsid w:val="00181231"/>
    <w:rsid w:val="001817BB"/>
    <w:rsid w:val="001C0939"/>
    <w:rsid w:val="001C14F1"/>
    <w:rsid w:val="001D7D87"/>
    <w:rsid w:val="001E7689"/>
    <w:rsid w:val="001E7815"/>
    <w:rsid w:val="00213D3F"/>
    <w:rsid w:val="002433A5"/>
    <w:rsid w:val="00251E0D"/>
    <w:rsid w:val="00262A90"/>
    <w:rsid w:val="00270322"/>
    <w:rsid w:val="002714C0"/>
    <w:rsid w:val="00282267"/>
    <w:rsid w:val="0028346F"/>
    <w:rsid w:val="00287DDC"/>
    <w:rsid w:val="00295DF8"/>
    <w:rsid w:val="002B54E4"/>
    <w:rsid w:val="002B715B"/>
    <w:rsid w:val="002D3173"/>
    <w:rsid w:val="00300321"/>
    <w:rsid w:val="00302E52"/>
    <w:rsid w:val="00330273"/>
    <w:rsid w:val="0033511E"/>
    <w:rsid w:val="003408DA"/>
    <w:rsid w:val="00361F01"/>
    <w:rsid w:val="003715CC"/>
    <w:rsid w:val="00376E8B"/>
    <w:rsid w:val="00382B2A"/>
    <w:rsid w:val="00391472"/>
    <w:rsid w:val="003A1014"/>
    <w:rsid w:val="003A61F4"/>
    <w:rsid w:val="003B0AF2"/>
    <w:rsid w:val="003B203C"/>
    <w:rsid w:val="003B29D0"/>
    <w:rsid w:val="003B5D16"/>
    <w:rsid w:val="003E0E16"/>
    <w:rsid w:val="003F574C"/>
    <w:rsid w:val="00414718"/>
    <w:rsid w:val="0042414B"/>
    <w:rsid w:val="00434474"/>
    <w:rsid w:val="00451050"/>
    <w:rsid w:val="00460A2E"/>
    <w:rsid w:val="00477DEF"/>
    <w:rsid w:val="004C6709"/>
    <w:rsid w:val="004F0ECA"/>
    <w:rsid w:val="004F6E29"/>
    <w:rsid w:val="005034E6"/>
    <w:rsid w:val="005105CB"/>
    <w:rsid w:val="0051706E"/>
    <w:rsid w:val="00526B46"/>
    <w:rsid w:val="00552E28"/>
    <w:rsid w:val="00574545"/>
    <w:rsid w:val="005B2A9E"/>
    <w:rsid w:val="005B35B4"/>
    <w:rsid w:val="00604878"/>
    <w:rsid w:val="00606CA8"/>
    <w:rsid w:val="006329DA"/>
    <w:rsid w:val="006361CA"/>
    <w:rsid w:val="00645873"/>
    <w:rsid w:val="006464CC"/>
    <w:rsid w:val="0069770C"/>
    <w:rsid w:val="006B14BF"/>
    <w:rsid w:val="006C4AE4"/>
    <w:rsid w:val="007018D3"/>
    <w:rsid w:val="00702621"/>
    <w:rsid w:val="007130DC"/>
    <w:rsid w:val="00717CBB"/>
    <w:rsid w:val="00736A0E"/>
    <w:rsid w:val="00744014"/>
    <w:rsid w:val="00773FA0"/>
    <w:rsid w:val="007B5DFF"/>
    <w:rsid w:val="007C3A18"/>
    <w:rsid w:val="008549CF"/>
    <w:rsid w:val="00860B8F"/>
    <w:rsid w:val="00881017"/>
    <w:rsid w:val="008A687B"/>
    <w:rsid w:val="008B4E2F"/>
    <w:rsid w:val="008E0020"/>
    <w:rsid w:val="008F4DFC"/>
    <w:rsid w:val="00923600"/>
    <w:rsid w:val="00931D29"/>
    <w:rsid w:val="00935A59"/>
    <w:rsid w:val="009444B0"/>
    <w:rsid w:val="00945DF2"/>
    <w:rsid w:val="0096257A"/>
    <w:rsid w:val="0096397A"/>
    <w:rsid w:val="00965BC5"/>
    <w:rsid w:val="00972A3D"/>
    <w:rsid w:val="0098541F"/>
    <w:rsid w:val="009920E6"/>
    <w:rsid w:val="009A4117"/>
    <w:rsid w:val="009C22B3"/>
    <w:rsid w:val="009C3A8D"/>
    <w:rsid w:val="009C55AD"/>
    <w:rsid w:val="009F09B5"/>
    <w:rsid w:val="009F2E0A"/>
    <w:rsid w:val="00A045C3"/>
    <w:rsid w:val="00A17F35"/>
    <w:rsid w:val="00A22B9B"/>
    <w:rsid w:val="00A247E9"/>
    <w:rsid w:val="00A252CD"/>
    <w:rsid w:val="00A431A1"/>
    <w:rsid w:val="00A43E37"/>
    <w:rsid w:val="00A46433"/>
    <w:rsid w:val="00A546BE"/>
    <w:rsid w:val="00A658C1"/>
    <w:rsid w:val="00A871E7"/>
    <w:rsid w:val="00A9725A"/>
    <w:rsid w:val="00AC714F"/>
    <w:rsid w:val="00AE34F7"/>
    <w:rsid w:val="00AE7FB8"/>
    <w:rsid w:val="00B40A6E"/>
    <w:rsid w:val="00B44D7D"/>
    <w:rsid w:val="00B4651D"/>
    <w:rsid w:val="00B467E3"/>
    <w:rsid w:val="00B94AD5"/>
    <w:rsid w:val="00BA5F9D"/>
    <w:rsid w:val="00BC725C"/>
    <w:rsid w:val="00BE65A2"/>
    <w:rsid w:val="00C12B9B"/>
    <w:rsid w:val="00C265E1"/>
    <w:rsid w:val="00C43414"/>
    <w:rsid w:val="00C46962"/>
    <w:rsid w:val="00C5460D"/>
    <w:rsid w:val="00C57A82"/>
    <w:rsid w:val="00C7495C"/>
    <w:rsid w:val="00C80E05"/>
    <w:rsid w:val="00C84096"/>
    <w:rsid w:val="00C93C0B"/>
    <w:rsid w:val="00CA647B"/>
    <w:rsid w:val="00CA656E"/>
    <w:rsid w:val="00CB760B"/>
    <w:rsid w:val="00CC5E1D"/>
    <w:rsid w:val="00CD2A6B"/>
    <w:rsid w:val="00CD4858"/>
    <w:rsid w:val="00CE599F"/>
    <w:rsid w:val="00D20964"/>
    <w:rsid w:val="00D25341"/>
    <w:rsid w:val="00D32102"/>
    <w:rsid w:val="00D3447C"/>
    <w:rsid w:val="00D50008"/>
    <w:rsid w:val="00D73983"/>
    <w:rsid w:val="00D75ADF"/>
    <w:rsid w:val="00D81DD2"/>
    <w:rsid w:val="00D8278D"/>
    <w:rsid w:val="00DB4CF1"/>
    <w:rsid w:val="00DC0DB4"/>
    <w:rsid w:val="00DE2EE2"/>
    <w:rsid w:val="00DE3318"/>
    <w:rsid w:val="00DE71C5"/>
    <w:rsid w:val="00DF5965"/>
    <w:rsid w:val="00E1071A"/>
    <w:rsid w:val="00E11D3C"/>
    <w:rsid w:val="00E363ED"/>
    <w:rsid w:val="00E621CA"/>
    <w:rsid w:val="00E67B3A"/>
    <w:rsid w:val="00E70C45"/>
    <w:rsid w:val="00E8573D"/>
    <w:rsid w:val="00E941DC"/>
    <w:rsid w:val="00EA0C29"/>
    <w:rsid w:val="00EA6897"/>
    <w:rsid w:val="00EB5B25"/>
    <w:rsid w:val="00EC7498"/>
    <w:rsid w:val="00EE57A2"/>
    <w:rsid w:val="00EF098F"/>
    <w:rsid w:val="00F03D0D"/>
    <w:rsid w:val="00F4318D"/>
    <w:rsid w:val="00F619E0"/>
    <w:rsid w:val="00F67E8C"/>
    <w:rsid w:val="00F84F4A"/>
    <w:rsid w:val="00F9793B"/>
    <w:rsid w:val="00F97E34"/>
    <w:rsid w:val="00FA5D04"/>
    <w:rsid w:val="00FA5D76"/>
    <w:rsid w:val="00FA6FC0"/>
    <w:rsid w:val="00FB36FE"/>
    <w:rsid w:val="00FE1EE0"/>
    <w:rsid w:val="00FE30A1"/>
    <w:rsid w:val="00FE399C"/>
    <w:rsid w:val="00FE49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DB08"/>
  <w15:docId w15:val="{872BFBB5-4649-4348-B739-E19B918CD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4E2F"/>
  </w:style>
  <w:style w:type="paragraph" w:styleId="Heading1">
    <w:name w:val="heading 1"/>
    <w:basedOn w:val="Normal"/>
    <w:next w:val="Normal"/>
    <w:link w:val="Heading1Char"/>
    <w:uiPriority w:val="9"/>
    <w:qFormat/>
    <w:rsid w:val="00CA65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C093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56E"/>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526B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1C0939"/>
    <w:rPr>
      <w:rFonts w:asciiTheme="majorHAnsi" w:eastAsiaTheme="majorEastAsia" w:hAnsiTheme="majorHAnsi" w:cstheme="majorBidi"/>
      <w:b/>
      <w:bCs/>
      <w:color w:val="4F81BD" w:themeColor="accent1"/>
      <w:sz w:val="26"/>
      <w:szCs w:val="26"/>
    </w:rPr>
  </w:style>
  <w:style w:type="character" w:customStyle="1" w:styleId="apple-converted-space">
    <w:name w:val="apple-converted-space"/>
    <w:basedOn w:val="DefaultParagraphFont"/>
    <w:rsid w:val="00BC725C"/>
  </w:style>
  <w:style w:type="character" w:customStyle="1" w:styleId="selectable">
    <w:name w:val="selectable"/>
    <w:basedOn w:val="DefaultParagraphFont"/>
    <w:rsid w:val="00BC725C"/>
  </w:style>
  <w:style w:type="paragraph" w:styleId="BalloonText">
    <w:name w:val="Balloon Text"/>
    <w:basedOn w:val="Normal"/>
    <w:link w:val="BalloonTextChar"/>
    <w:uiPriority w:val="99"/>
    <w:semiHidden/>
    <w:unhideWhenUsed/>
    <w:rsid w:val="00BC72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25C"/>
    <w:rPr>
      <w:rFonts w:ascii="Tahoma" w:hAnsi="Tahoma" w:cs="Tahoma"/>
      <w:sz w:val="16"/>
      <w:szCs w:val="16"/>
    </w:rPr>
  </w:style>
  <w:style w:type="paragraph" w:styleId="NormalWeb">
    <w:name w:val="Normal (Web)"/>
    <w:basedOn w:val="Normal"/>
    <w:uiPriority w:val="99"/>
    <w:unhideWhenUsed/>
    <w:rsid w:val="00BC725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C725C"/>
    <w:rPr>
      <w:color w:val="0000FF" w:themeColor="hyperlink"/>
      <w:u w:val="single"/>
    </w:rPr>
  </w:style>
  <w:style w:type="paragraph" w:styleId="TOCHeading">
    <w:name w:val="TOC Heading"/>
    <w:basedOn w:val="Heading1"/>
    <w:next w:val="Normal"/>
    <w:uiPriority w:val="39"/>
    <w:semiHidden/>
    <w:unhideWhenUsed/>
    <w:qFormat/>
    <w:rsid w:val="00251E0D"/>
    <w:pPr>
      <w:outlineLvl w:val="9"/>
    </w:pPr>
  </w:style>
  <w:style w:type="paragraph" w:styleId="TOC1">
    <w:name w:val="toc 1"/>
    <w:basedOn w:val="Normal"/>
    <w:next w:val="Normal"/>
    <w:autoRedefine/>
    <w:uiPriority w:val="39"/>
    <w:unhideWhenUsed/>
    <w:rsid w:val="00251E0D"/>
    <w:pPr>
      <w:spacing w:after="100"/>
    </w:pPr>
  </w:style>
  <w:style w:type="paragraph" w:styleId="TOC2">
    <w:name w:val="toc 2"/>
    <w:basedOn w:val="Normal"/>
    <w:next w:val="Normal"/>
    <w:autoRedefine/>
    <w:uiPriority w:val="39"/>
    <w:unhideWhenUsed/>
    <w:rsid w:val="00251E0D"/>
    <w:pPr>
      <w:spacing w:after="100"/>
      <w:ind w:left="220"/>
    </w:pPr>
  </w:style>
  <w:style w:type="paragraph" w:styleId="Title">
    <w:name w:val="Title"/>
    <w:basedOn w:val="Normal"/>
    <w:next w:val="Normal"/>
    <w:link w:val="TitleChar"/>
    <w:uiPriority w:val="10"/>
    <w:qFormat/>
    <w:rsid w:val="00251E0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51E0D"/>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645873"/>
    <w:pPr>
      <w:spacing w:after="0" w:line="240" w:lineRule="auto"/>
    </w:pPr>
  </w:style>
  <w:style w:type="paragraph" w:styleId="Header">
    <w:name w:val="header"/>
    <w:basedOn w:val="Normal"/>
    <w:link w:val="HeaderChar"/>
    <w:uiPriority w:val="99"/>
    <w:semiHidden/>
    <w:unhideWhenUsed/>
    <w:rsid w:val="008A687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687B"/>
  </w:style>
  <w:style w:type="paragraph" w:styleId="Footer">
    <w:name w:val="footer"/>
    <w:basedOn w:val="Normal"/>
    <w:link w:val="FooterChar"/>
    <w:uiPriority w:val="99"/>
    <w:semiHidden/>
    <w:unhideWhenUsed/>
    <w:rsid w:val="008A687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A687B"/>
  </w:style>
  <w:style w:type="character" w:styleId="Strong">
    <w:name w:val="Strong"/>
    <w:basedOn w:val="DefaultParagraphFont"/>
    <w:uiPriority w:val="22"/>
    <w:qFormat/>
    <w:rsid w:val="007B5D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5906">
      <w:bodyDiv w:val="1"/>
      <w:marLeft w:val="0"/>
      <w:marRight w:val="0"/>
      <w:marTop w:val="0"/>
      <w:marBottom w:val="0"/>
      <w:divBdr>
        <w:top w:val="none" w:sz="0" w:space="0" w:color="auto"/>
        <w:left w:val="none" w:sz="0" w:space="0" w:color="auto"/>
        <w:bottom w:val="none" w:sz="0" w:space="0" w:color="auto"/>
        <w:right w:val="none" w:sz="0" w:space="0" w:color="auto"/>
      </w:divBdr>
    </w:div>
    <w:div w:id="172187417">
      <w:bodyDiv w:val="1"/>
      <w:marLeft w:val="0"/>
      <w:marRight w:val="0"/>
      <w:marTop w:val="0"/>
      <w:marBottom w:val="0"/>
      <w:divBdr>
        <w:top w:val="none" w:sz="0" w:space="0" w:color="auto"/>
        <w:left w:val="none" w:sz="0" w:space="0" w:color="auto"/>
        <w:bottom w:val="none" w:sz="0" w:space="0" w:color="auto"/>
        <w:right w:val="none" w:sz="0" w:space="0" w:color="auto"/>
      </w:divBdr>
    </w:div>
    <w:div w:id="389040843">
      <w:bodyDiv w:val="1"/>
      <w:marLeft w:val="0"/>
      <w:marRight w:val="0"/>
      <w:marTop w:val="0"/>
      <w:marBottom w:val="0"/>
      <w:divBdr>
        <w:top w:val="none" w:sz="0" w:space="0" w:color="auto"/>
        <w:left w:val="none" w:sz="0" w:space="0" w:color="auto"/>
        <w:bottom w:val="none" w:sz="0" w:space="0" w:color="auto"/>
        <w:right w:val="none" w:sz="0" w:space="0" w:color="auto"/>
      </w:divBdr>
    </w:div>
    <w:div w:id="494613815">
      <w:bodyDiv w:val="1"/>
      <w:marLeft w:val="0"/>
      <w:marRight w:val="0"/>
      <w:marTop w:val="0"/>
      <w:marBottom w:val="0"/>
      <w:divBdr>
        <w:top w:val="none" w:sz="0" w:space="0" w:color="auto"/>
        <w:left w:val="none" w:sz="0" w:space="0" w:color="auto"/>
        <w:bottom w:val="none" w:sz="0" w:space="0" w:color="auto"/>
        <w:right w:val="none" w:sz="0" w:space="0" w:color="auto"/>
      </w:divBdr>
    </w:div>
    <w:div w:id="557010857">
      <w:bodyDiv w:val="1"/>
      <w:marLeft w:val="0"/>
      <w:marRight w:val="0"/>
      <w:marTop w:val="0"/>
      <w:marBottom w:val="0"/>
      <w:divBdr>
        <w:top w:val="none" w:sz="0" w:space="0" w:color="auto"/>
        <w:left w:val="none" w:sz="0" w:space="0" w:color="auto"/>
        <w:bottom w:val="none" w:sz="0" w:space="0" w:color="auto"/>
        <w:right w:val="none" w:sz="0" w:space="0" w:color="auto"/>
      </w:divBdr>
    </w:div>
    <w:div w:id="790443262">
      <w:bodyDiv w:val="1"/>
      <w:marLeft w:val="0"/>
      <w:marRight w:val="0"/>
      <w:marTop w:val="0"/>
      <w:marBottom w:val="0"/>
      <w:divBdr>
        <w:top w:val="none" w:sz="0" w:space="0" w:color="auto"/>
        <w:left w:val="none" w:sz="0" w:space="0" w:color="auto"/>
        <w:bottom w:val="none" w:sz="0" w:space="0" w:color="auto"/>
        <w:right w:val="none" w:sz="0" w:space="0" w:color="auto"/>
      </w:divBdr>
    </w:div>
    <w:div w:id="807094994">
      <w:bodyDiv w:val="1"/>
      <w:marLeft w:val="0"/>
      <w:marRight w:val="0"/>
      <w:marTop w:val="0"/>
      <w:marBottom w:val="0"/>
      <w:divBdr>
        <w:top w:val="none" w:sz="0" w:space="0" w:color="auto"/>
        <w:left w:val="none" w:sz="0" w:space="0" w:color="auto"/>
        <w:bottom w:val="none" w:sz="0" w:space="0" w:color="auto"/>
        <w:right w:val="none" w:sz="0" w:space="0" w:color="auto"/>
      </w:divBdr>
    </w:div>
    <w:div w:id="876895789">
      <w:bodyDiv w:val="1"/>
      <w:marLeft w:val="0"/>
      <w:marRight w:val="0"/>
      <w:marTop w:val="0"/>
      <w:marBottom w:val="0"/>
      <w:divBdr>
        <w:top w:val="none" w:sz="0" w:space="0" w:color="auto"/>
        <w:left w:val="none" w:sz="0" w:space="0" w:color="auto"/>
        <w:bottom w:val="none" w:sz="0" w:space="0" w:color="auto"/>
        <w:right w:val="none" w:sz="0" w:space="0" w:color="auto"/>
      </w:divBdr>
    </w:div>
    <w:div w:id="1313867397">
      <w:bodyDiv w:val="1"/>
      <w:marLeft w:val="0"/>
      <w:marRight w:val="0"/>
      <w:marTop w:val="0"/>
      <w:marBottom w:val="0"/>
      <w:divBdr>
        <w:top w:val="none" w:sz="0" w:space="0" w:color="auto"/>
        <w:left w:val="none" w:sz="0" w:space="0" w:color="auto"/>
        <w:bottom w:val="none" w:sz="0" w:space="0" w:color="auto"/>
        <w:right w:val="none" w:sz="0" w:space="0" w:color="auto"/>
      </w:divBdr>
    </w:div>
    <w:div w:id="1611159997">
      <w:bodyDiv w:val="1"/>
      <w:marLeft w:val="0"/>
      <w:marRight w:val="0"/>
      <w:marTop w:val="0"/>
      <w:marBottom w:val="0"/>
      <w:divBdr>
        <w:top w:val="none" w:sz="0" w:space="0" w:color="auto"/>
        <w:left w:val="none" w:sz="0" w:space="0" w:color="auto"/>
        <w:bottom w:val="none" w:sz="0" w:space="0" w:color="auto"/>
        <w:right w:val="none" w:sz="0" w:space="0" w:color="auto"/>
      </w:divBdr>
    </w:div>
    <w:div w:id="199021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sbc.co.in/1/2/personal/investments/new-invest/new-invest-types%5bAccessed"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yperlink" Target="http://www.hsbc.co.in.Available"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esktop\Anuradha\April\23.4.18\Excel%20Sheet%20Bank.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esktop\Anuradha\April\23.4.18\Excel%20Sheet%20Bank.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esktop\Anuradha\April\23.4.18\Excel%20Sheet%20Ban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latin typeface="Times New Roman" pitchFamily="18" charset="0"/>
                <a:cs typeface="Times New Roman" pitchFamily="18" charset="0"/>
              </a:rPr>
              <a:t>Table 7: Comparison</a:t>
            </a:r>
            <a:r>
              <a:rPr lang="en-US" sz="1200" baseline="0">
                <a:latin typeface="Times New Roman" pitchFamily="18" charset="0"/>
                <a:cs typeface="Times New Roman" pitchFamily="18" charset="0"/>
              </a:rPr>
              <a:t> Regarding Loans to Deposits Ratio </a:t>
            </a:r>
            <a:endParaRPr lang="en-US" sz="1200">
              <a:latin typeface="Times New Roman" pitchFamily="18" charset="0"/>
              <a:cs typeface="Times New Roman" pitchFamily="18" charset="0"/>
            </a:endParaRP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1"/>
          <c:order val="0"/>
          <c:tx>
            <c:strRef>
              <c:f>Comparison!$D$4</c:f>
              <c:strCache>
                <c:ptCount val="1"/>
                <c:pt idx="0">
                  <c:v>Loans to Deposit Ratio of HSBC</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invertIfNegative val="0"/>
          <c:cat>
            <c:numRef>
              <c:f>Comparison!$C$5:$C$9</c:f>
              <c:numCache>
                <c:formatCode>General</c:formatCode>
                <c:ptCount val="5"/>
                <c:pt idx="0">
                  <c:v>2013</c:v>
                </c:pt>
                <c:pt idx="1">
                  <c:v>2014</c:v>
                </c:pt>
                <c:pt idx="2">
                  <c:v>2015</c:v>
                </c:pt>
                <c:pt idx="3">
                  <c:v>2016</c:v>
                </c:pt>
                <c:pt idx="4">
                  <c:v>2017</c:v>
                </c:pt>
              </c:numCache>
            </c:numRef>
          </c:cat>
          <c:val>
            <c:numRef>
              <c:f>Comparison!$D$5:$D$9</c:f>
              <c:numCache>
                <c:formatCode>0%</c:formatCode>
                <c:ptCount val="5"/>
                <c:pt idx="0">
                  <c:v>0.27</c:v>
                </c:pt>
                <c:pt idx="1">
                  <c:v>0.26</c:v>
                </c:pt>
                <c:pt idx="2">
                  <c:v>0.28000000000000008</c:v>
                </c:pt>
                <c:pt idx="3">
                  <c:v>0.27</c:v>
                </c:pt>
                <c:pt idx="4">
                  <c:v>0.27</c:v>
                </c:pt>
              </c:numCache>
            </c:numRef>
          </c:val>
          <c:extLst>
            <c:ext xmlns:c16="http://schemas.microsoft.com/office/drawing/2014/chart" uri="{C3380CC4-5D6E-409C-BE32-E72D297353CC}">
              <c16:uniqueId val="{00000000-86E0-48EC-8EB4-742FC9D3EDDC}"/>
            </c:ext>
          </c:extLst>
        </c:ser>
        <c:ser>
          <c:idx val="2"/>
          <c:order val="1"/>
          <c:tx>
            <c:strRef>
              <c:f>Comparison!$E$4</c:f>
              <c:strCache>
                <c:ptCount val="1"/>
                <c:pt idx="0">
                  <c:v>Loans to Deposit Ratio of Barclays</c:v>
                </c:pt>
              </c:strCache>
            </c:strRef>
          </c:tx>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c:spPr>
          <c:invertIfNegative val="0"/>
          <c:cat>
            <c:numRef>
              <c:f>Comparison!$C$5:$C$9</c:f>
              <c:numCache>
                <c:formatCode>General</c:formatCode>
                <c:ptCount val="5"/>
                <c:pt idx="0">
                  <c:v>2013</c:v>
                </c:pt>
                <c:pt idx="1">
                  <c:v>2014</c:v>
                </c:pt>
                <c:pt idx="2">
                  <c:v>2015</c:v>
                </c:pt>
                <c:pt idx="3">
                  <c:v>2016</c:v>
                </c:pt>
                <c:pt idx="4">
                  <c:v>2017</c:v>
                </c:pt>
              </c:numCache>
            </c:numRef>
          </c:cat>
          <c:val>
            <c:numRef>
              <c:f>Comparison!$E$5:$E$9</c:f>
              <c:numCache>
                <c:formatCode>0%</c:formatCode>
                <c:ptCount val="5"/>
                <c:pt idx="0">
                  <c:v>0.32000000000000056</c:v>
                </c:pt>
                <c:pt idx="1">
                  <c:v>0.32000000000000056</c:v>
                </c:pt>
                <c:pt idx="2">
                  <c:v>0.36000000000000032</c:v>
                </c:pt>
                <c:pt idx="3">
                  <c:v>0.32000000000000056</c:v>
                </c:pt>
                <c:pt idx="4">
                  <c:v>0.32000000000000056</c:v>
                </c:pt>
              </c:numCache>
            </c:numRef>
          </c:val>
          <c:extLst>
            <c:ext xmlns:c16="http://schemas.microsoft.com/office/drawing/2014/chart" uri="{C3380CC4-5D6E-409C-BE32-E72D297353CC}">
              <c16:uniqueId val="{00000001-86E0-48EC-8EB4-742FC9D3EDDC}"/>
            </c:ext>
          </c:extLst>
        </c:ser>
        <c:dLbls>
          <c:showLegendKey val="0"/>
          <c:showVal val="0"/>
          <c:showCatName val="0"/>
          <c:showSerName val="0"/>
          <c:showPercent val="0"/>
          <c:showBubbleSize val="0"/>
        </c:dLbls>
        <c:gapWidth val="150"/>
        <c:shape val="box"/>
        <c:axId val="566977936"/>
        <c:axId val="566978328"/>
        <c:axId val="0"/>
      </c:bar3DChart>
      <c:catAx>
        <c:axId val="566977936"/>
        <c:scaling>
          <c:orientation val="minMax"/>
        </c:scaling>
        <c:delete val="0"/>
        <c:axPos val="b"/>
        <c:numFmt formatCode="General" sourceLinked="1"/>
        <c:majorTickMark val="out"/>
        <c:minorTickMark val="none"/>
        <c:tickLblPos val="nextTo"/>
        <c:crossAx val="566978328"/>
        <c:crosses val="autoZero"/>
        <c:auto val="1"/>
        <c:lblAlgn val="ctr"/>
        <c:lblOffset val="100"/>
        <c:noMultiLvlLbl val="0"/>
      </c:catAx>
      <c:valAx>
        <c:axId val="566978328"/>
        <c:scaling>
          <c:orientation val="minMax"/>
        </c:scaling>
        <c:delete val="0"/>
        <c:axPos val="l"/>
        <c:majorGridlines/>
        <c:numFmt formatCode="0%" sourceLinked="1"/>
        <c:majorTickMark val="out"/>
        <c:minorTickMark val="none"/>
        <c:tickLblPos val="nextTo"/>
        <c:crossAx val="56697793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latin typeface="Times New Roman" pitchFamily="18" charset="0"/>
                <a:cs typeface="Times New Roman" pitchFamily="18" charset="0"/>
              </a:rPr>
              <a:t>Table 9: Comparison</a:t>
            </a:r>
            <a:r>
              <a:rPr lang="en-US" sz="1200" baseline="0">
                <a:latin typeface="Times New Roman" pitchFamily="18" charset="0"/>
                <a:cs typeface="Times New Roman" pitchFamily="18" charset="0"/>
              </a:rPr>
              <a:t>  Regarding Debt to Assets Ratio </a:t>
            </a:r>
            <a:endParaRPr lang="en-US" sz="1200">
              <a:latin typeface="Times New Roman" pitchFamily="18" charset="0"/>
              <a:cs typeface="Times New Roman" pitchFamily="18" charset="0"/>
            </a:endParaRP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1"/>
          <c:order val="0"/>
          <c:tx>
            <c:strRef>
              <c:f>Comparison!$D$20</c:f>
              <c:strCache>
                <c:ptCount val="1"/>
                <c:pt idx="0">
                  <c:v>Debt to Assets Ratio of HSBC</c:v>
                </c:pt>
              </c:strCache>
            </c:strRef>
          </c:tx>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c:spPr>
          <c:invertIfNegative val="0"/>
          <c:cat>
            <c:numRef>
              <c:f>Comparison!$C$21:$C$25</c:f>
              <c:numCache>
                <c:formatCode>General</c:formatCode>
                <c:ptCount val="5"/>
                <c:pt idx="0">
                  <c:v>2013</c:v>
                </c:pt>
                <c:pt idx="1">
                  <c:v>2014</c:v>
                </c:pt>
                <c:pt idx="2">
                  <c:v>2015</c:v>
                </c:pt>
                <c:pt idx="3">
                  <c:v>2016</c:v>
                </c:pt>
                <c:pt idx="4">
                  <c:v>2017</c:v>
                </c:pt>
              </c:numCache>
            </c:numRef>
          </c:cat>
          <c:val>
            <c:numRef>
              <c:f>Comparison!$D$21:$D$25</c:f>
              <c:numCache>
                <c:formatCode>0%</c:formatCode>
                <c:ptCount val="5"/>
                <c:pt idx="0">
                  <c:v>0.96000000000000063</c:v>
                </c:pt>
                <c:pt idx="1">
                  <c:v>0.95000000000000062</c:v>
                </c:pt>
                <c:pt idx="2">
                  <c:v>0.95000000000000062</c:v>
                </c:pt>
                <c:pt idx="3">
                  <c:v>0.95000000000000062</c:v>
                </c:pt>
                <c:pt idx="4">
                  <c:v>0.95000000000000062</c:v>
                </c:pt>
              </c:numCache>
            </c:numRef>
          </c:val>
          <c:extLst>
            <c:ext xmlns:c16="http://schemas.microsoft.com/office/drawing/2014/chart" uri="{C3380CC4-5D6E-409C-BE32-E72D297353CC}">
              <c16:uniqueId val="{00000000-86E7-4ADF-BE59-0C876DCF96BE}"/>
            </c:ext>
          </c:extLst>
        </c:ser>
        <c:ser>
          <c:idx val="2"/>
          <c:order val="1"/>
          <c:tx>
            <c:strRef>
              <c:f>Comparison!$E$20</c:f>
              <c:strCache>
                <c:ptCount val="1"/>
                <c:pt idx="0">
                  <c:v>Debt to Assets Ratio of Barclays</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c:spPr>
          <c:invertIfNegative val="0"/>
          <c:cat>
            <c:numRef>
              <c:f>Comparison!$C$21:$C$25</c:f>
              <c:numCache>
                <c:formatCode>General</c:formatCode>
                <c:ptCount val="5"/>
                <c:pt idx="0">
                  <c:v>2013</c:v>
                </c:pt>
                <c:pt idx="1">
                  <c:v>2014</c:v>
                </c:pt>
                <c:pt idx="2">
                  <c:v>2015</c:v>
                </c:pt>
                <c:pt idx="3">
                  <c:v>2016</c:v>
                </c:pt>
                <c:pt idx="4">
                  <c:v>2017</c:v>
                </c:pt>
              </c:numCache>
            </c:numRef>
          </c:cat>
          <c:val>
            <c:numRef>
              <c:f>Comparison!$E$21:$E$25</c:f>
              <c:numCache>
                <c:formatCode>0%</c:formatCode>
                <c:ptCount val="5"/>
                <c:pt idx="0">
                  <c:v>0.95000000000000062</c:v>
                </c:pt>
                <c:pt idx="1">
                  <c:v>0.95000000000000062</c:v>
                </c:pt>
                <c:pt idx="2">
                  <c:v>0.94000000000000061</c:v>
                </c:pt>
                <c:pt idx="3">
                  <c:v>0.94000000000000061</c:v>
                </c:pt>
                <c:pt idx="4">
                  <c:v>0.94000000000000061</c:v>
                </c:pt>
              </c:numCache>
            </c:numRef>
          </c:val>
          <c:extLst>
            <c:ext xmlns:c16="http://schemas.microsoft.com/office/drawing/2014/chart" uri="{C3380CC4-5D6E-409C-BE32-E72D297353CC}">
              <c16:uniqueId val="{00000001-86E7-4ADF-BE59-0C876DCF96BE}"/>
            </c:ext>
          </c:extLst>
        </c:ser>
        <c:dLbls>
          <c:showLegendKey val="0"/>
          <c:showVal val="0"/>
          <c:showCatName val="0"/>
          <c:showSerName val="0"/>
          <c:showPercent val="0"/>
          <c:showBubbleSize val="0"/>
        </c:dLbls>
        <c:gapWidth val="150"/>
        <c:shape val="box"/>
        <c:axId val="584400744"/>
        <c:axId val="584401136"/>
        <c:axId val="0"/>
      </c:bar3DChart>
      <c:catAx>
        <c:axId val="584400744"/>
        <c:scaling>
          <c:orientation val="minMax"/>
        </c:scaling>
        <c:delete val="0"/>
        <c:axPos val="l"/>
        <c:numFmt formatCode="General" sourceLinked="1"/>
        <c:majorTickMark val="out"/>
        <c:minorTickMark val="none"/>
        <c:tickLblPos val="nextTo"/>
        <c:crossAx val="584401136"/>
        <c:crosses val="autoZero"/>
        <c:auto val="1"/>
        <c:lblAlgn val="ctr"/>
        <c:lblOffset val="100"/>
        <c:noMultiLvlLbl val="0"/>
      </c:catAx>
      <c:valAx>
        <c:axId val="584401136"/>
        <c:scaling>
          <c:orientation val="minMax"/>
        </c:scaling>
        <c:delete val="0"/>
        <c:axPos val="b"/>
        <c:majorGridlines/>
        <c:numFmt formatCode="0%" sourceLinked="1"/>
        <c:majorTickMark val="out"/>
        <c:minorTickMark val="none"/>
        <c:tickLblPos val="nextTo"/>
        <c:crossAx val="58440074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latin typeface="Times New Roman" pitchFamily="18" charset="0"/>
                <a:cs typeface="Times New Roman" pitchFamily="18" charset="0"/>
              </a:rPr>
              <a:t>Table 11: Comparison Regarding Capital Adequacy Ratio </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1"/>
          <c:order val="0"/>
          <c:tx>
            <c:strRef>
              <c:f>Comparison!$D$33</c:f>
              <c:strCache>
                <c:ptCount val="1"/>
                <c:pt idx="0">
                  <c:v>Capital Adequacy ratio of HSBC</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invertIfNegative val="0"/>
          <c:cat>
            <c:numRef>
              <c:f>Comparison!$C$34:$C$38</c:f>
              <c:numCache>
                <c:formatCode>General</c:formatCode>
                <c:ptCount val="5"/>
                <c:pt idx="0">
                  <c:v>2013</c:v>
                </c:pt>
                <c:pt idx="1">
                  <c:v>2014</c:v>
                </c:pt>
                <c:pt idx="2">
                  <c:v>2015</c:v>
                </c:pt>
                <c:pt idx="3">
                  <c:v>2016</c:v>
                </c:pt>
                <c:pt idx="4">
                  <c:v>2017</c:v>
                </c:pt>
              </c:numCache>
            </c:numRef>
          </c:cat>
          <c:val>
            <c:numRef>
              <c:f>Comparison!$D$34:$D$38</c:f>
              <c:numCache>
                <c:formatCode>0%</c:formatCode>
                <c:ptCount val="5"/>
                <c:pt idx="0">
                  <c:v>0.18000000000000024</c:v>
                </c:pt>
                <c:pt idx="1">
                  <c:v>0.14000000000000001</c:v>
                </c:pt>
                <c:pt idx="2">
                  <c:v>0.16</c:v>
                </c:pt>
                <c:pt idx="3">
                  <c:v>0.16</c:v>
                </c:pt>
                <c:pt idx="4">
                  <c:v>0.17</c:v>
                </c:pt>
              </c:numCache>
            </c:numRef>
          </c:val>
          <c:extLst>
            <c:ext xmlns:c16="http://schemas.microsoft.com/office/drawing/2014/chart" uri="{C3380CC4-5D6E-409C-BE32-E72D297353CC}">
              <c16:uniqueId val="{00000000-4E88-41BF-ACD5-106E2CE8833A}"/>
            </c:ext>
          </c:extLst>
        </c:ser>
        <c:ser>
          <c:idx val="2"/>
          <c:order val="1"/>
          <c:tx>
            <c:strRef>
              <c:f>Comparison!$E$33</c:f>
              <c:strCache>
                <c:ptCount val="1"/>
                <c:pt idx="0">
                  <c:v>Capital Adequacy ratio of Barclays</c:v>
                </c:pt>
              </c:strCache>
            </c:strRef>
          </c:tx>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c:spPr>
          <c:invertIfNegative val="0"/>
          <c:cat>
            <c:numRef>
              <c:f>Comparison!$C$34:$C$38</c:f>
              <c:numCache>
                <c:formatCode>General</c:formatCode>
                <c:ptCount val="5"/>
                <c:pt idx="0">
                  <c:v>2013</c:v>
                </c:pt>
                <c:pt idx="1">
                  <c:v>2014</c:v>
                </c:pt>
                <c:pt idx="2">
                  <c:v>2015</c:v>
                </c:pt>
                <c:pt idx="3">
                  <c:v>2016</c:v>
                </c:pt>
                <c:pt idx="4">
                  <c:v>2017</c:v>
                </c:pt>
              </c:numCache>
            </c:numRef>
          </c:cat>
          <c:val>
            <c:numRef>
              <c:f>Comparison!$E$34:$E$38</c:f>
              <c:numCache>
                <c:formatCode>0%</c:formatCode>
                <c:ptCount val="5"/>
                <c:pt idx="0">
                  <c:v>0.26</c:v>
                </c:pt>
                <c:pt idx="1">
                  <c:v>0.29000000000000031</c:v>
                </c:pt>
                <c:pt idx="2">
                  <c:v>0.33000000000000063</c:v>
                </c:pt>
                <c:pt idx="3">
                  <c:v>0.35000000000000031</c:v>
                </c:pt>
                <c:pt idx="4">
                  <c:v>0.39000000000000057</c:v>
                </c:pt>
              </c:numCache>
            </c:numRef>
          </c:val>
          <c:extLst>
            <c:ext xmlns:c16="http://schemas.microsoft.com/office/drawing/2014/chart" uri="{C3380CC4-5D6E-409C-BE32-E72D297353CC}">
              <c16:uniqueId val="{00000001-4E88-41BF-ACD5-106E2CE8833A}"/>
            </c:ext>
          </c:extLst>
        </c:ser>
        <c:dLbls>
          <c:showLegendKey val="0"/>
          <c:showVal val="0"/>
          <c:showCatName val="0"/>
          <c:showSerName val="0"/>
          <c:showPercent val="0"/>
          <c:showBubbleSize val="0"/>
        </c:dLbls>
        <c:gapWidth val="150"/>
        <c:shape val="cylinder"/>
        <c:axId val="584401920"/>
        <c:axId val="291847200"/>
        <c:axId val="0"/>
      </c:bar3DChart>
      <c:catAx>
        <c:axId val="584401920"/>
        <c:scaling>
          <c:orientation val="minMax"/>
        </c:scaling>
        <c:delete val="0"/>
        <c:axPos val="b"/>
        <c:numFmt formatCode="General" sourceLinked="1"/>
        <c:majorTickMark val="out"/>
        <c:minorTickMark val="none"/>
        <c:tickLblPos val="nextTo"/>
        <c:crossAx val="291847200"/>
        <c:crosses val="autoZero"/>
        <c:auto val="1"/>
        <c:lblAlgn val="ctr"/>
        <c:lblOffset val="100"/>
        <c:noMultiLvlLbl val="0"/>
      </c:catAx>
      <c:valAx>
        <c:axId val="291847200"/>
        <c:scaling>
          <c:orientation val="minMax"/>
        </c:scaling>
        <c:delete val="0"/>
        <c:axPos val="l"/>
        <c:majorGridlines/>
        <c:numFmt formatCode="0%" sourceLinked="1"/>
        <c:majorTickMark val="out"/>
        <c:minorTickMark val="none"/>
        <c:tickLblPos val="nextTo"/>
        <c:crossAx val="58440192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FECF748-80FB-413A-80FE-60BD713AD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53</Pages>
  <Words>6372</Words>
  <Characters>36323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User</cp:lastModifiedBy>
  <cp:revision>3</cp:revision>
  <dcterms:created xsi:type="dcterms:W3CDTF">2018-04-30T11:29:00Z</dcterms:created>
  <dcterms:modified xsi:type="dcterms:W3CDTF">2018-04-30T11:39:00Z</dcterms:modified>
</cp:coreProperties>
</file>