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23917" w14:textId="5A163F69" w:rsidR="00B5512A" w:rsidRDefault="004B688D">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br/>
      </w:r>
      <w:r w:rsidRPr="004B688D">
        <w:rPr>
          <w:rFonts w:ascii="Times New Roman" w:eastAsia="Calibri" w:hAnsi="Times New Roman" w:cs="Times New Roman"/>
          <w:b/>
          <w:bCs/>
          <w:noProof/>
          <w:kern w:val="2"/>
          <w:sz w:val="32"/>
          <w:szCs w:val="32"/>
          <w:lang w:val="en-IN"/>
          <w14:ligatures w14:val="standardContextual"/>
        </w:rPr>
        <w:drawing>
          <wp:inline distT="0" distB="0" distL="0" distR="0" wp14:anchorId="49317783" wp14:editId="09C2B16A">
            <wp:extent cx="1668780" cy="1112520"/>
            <wp:effectExtent l="0" t="0" r="7620" b="0"/>
            <wp:docPr id="404266903"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66903" name="Picture 1" descr="A logo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68780" cy="1112520"/>
                    </a:xfrm>
                    <a:prstGeom prst="rect">
                      <a:avLst/>
                    </a:prstGeom>
                    <a:ln>
                      <a:noFill/>
                    </a:ln>
                    <a:effectLst>
                      <a:softEdge rad="112500"/>
                    </a:effectLst>
                  </pic:spPr>
                </pic:pic>
              </a:graphicData>
            </a:graphic>
          </wp:inline>
        </w:drawing>
      </w:r>
    </w:p>
    <w:p w14:paraId="39C51A5F" w14:textId="459EFA2F" w:rsidR="00B146C5" w:rsidRPr="00B146C5" w:rsidRDefault="00E463A8">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Paolina Markova</w:t>
      </w:r>
      <w:r>
        <w:rPr>
          <w:rFonts w:ascii="Times New Roman" w:eastAsia="Times New Roman" w:hAnsi="Times New Roman" w:cs="Times New Roman"/>
          <w:b/>
          <w:sz w:val="32"/>
          <w:szCs w:val="32"/>
        </w:rPr>
        <w:br/>
        <w:t>Students number: 2113318</w:t>
      </w:r>
    </w:p>
    <w:p w14:paraId="59918175" w14:textId="62E84BD1" w:rsidR="00B5512A" w:rsidRPr="00B146C5" w:rsidRDefault="00E463A8">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w:t>
      </w:r>
      <w:r w:rsidR="004B688D">
        <w:rPr>
          <w:rFonts w:ascii="Times New Roman" w:eastAsia="Times New Roman" w:hAnsi="Times New Roman" w:cs="Times New Roman"/>
          <w:b/>
          <w:sz w:val="32"/>
          <w:szCs w:val="32"/>
        </w:rPr>
        <w:t>’</w:t>
      </w:r>
      <w:r>
        <w:rPr>
          <w:rFonts w:ascii="Times New Roman" w:eastAsia="Times New Roman" w:hAnsi="Times New Roman" w:cs="Times New Roman"/>
          <w:b/>
          <w:sz w:val="32"/>
          <w:szCs w:val="32"/>
        </w:rPr>
        <w:t>s-</w:t>
      </w:r>
      <w:r w:rsidRPr="00E463A8">
        <w:rPr>
          <w:rFonts w:ascii="Times New Roman" w:eastAsia="Times New Roman" w:hAnsi="Times New Roman" w:cs="Times New Roman"/>
          <w:b/>
          <w:sz w:val="32"/>
          <w:szCs w:val="32"/>
        </w:rPr>
        <w:t>Dr. Taye Timothy Osadiya</w:t>
      </w:r>
      <w:r>
        <w:rPr>
          <w:rFonts w:ascii="Times New Roman" w:eastAsia="Times New Roman" w:hAnsi="Times New Roman" w:cs="Times New Roman"/>
          <w:b/>
          <w:sz w:val="32"/>
          <w:szCs w:val="32"/>
        </w:rPr>
        <w:br/>
      </w:r>
      <w:r w:rsidR="00C25471">
        <w:rPr>
          <w:rFonts w:ascii="Times New Roman" w:eastAsia="Times New Roman" w:hAnsi="Times New Roman" w:cs="Times New Roman"/>
          <w:b/>
          <w:sz w:val="32"/>
          <w:szCs w:val="32"/>
        </w:rPr>
        <w:t xml:space="preserve">Modul code: </w:t>
      </w:r>
      <w:r w:rsidR="00C25471" w:rsidRPr="00C25471">
        <w:rPr>
          <w:rFonts w:ascii="Times New Roman" w:eastAsia="Times New Roman" w:hAnsi="Times New Roman" w:cs="Times New Roman"/>
          <w:b/>
          <w:sz w:val="32"/>
          <w:szCs w:val="32"/>
        </w:rPr>
        <w:t>LCBB6002</w:t>
      </w:r>
      <w:r w:rsidR="00C25471" w:rsidRPr="00C25471">
        <w:rPr>
          <w:rFonts w:ascii="Times New Roman" w:eastAsia="Times New Roman" w:hAnsi="Times New Roman" w:cs="Times New Roman"/>
          <w:b/>
          <w:sz w:val="32"/>
          <w:szCs w:val="32"/>
        </w:rPr>
        <w:tab/>
      </w:r>
    </w:p>
    <w:p w14:paraId="3E204244" w14:textId="2972E3AC" w:rsidR="00B5512A" w:rsidRPr="00B146C5" w:rsidRDefault="00E463A8">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Date: 30/12/2023</w:t>
      </w:r>
      <w:r w:rsidR="004B688D">
        <w:rPr>
          <w:rFonts w:ascii="Times New Roman" w:eastAsia="Times New Roman" w:hAnsi="Times New Roman" w:cs="Times New Roman"/>
          <w:b/>
          <w:sz w:val="32"/>
          <w:szCs w:val="32"/>
        </w:rPr>
        <w:br/>
      </w:r>
      <w:r w:rsidR="004B688D">
        <w:rPr>
          <w:rFonts w:ascii="Times New Roman" w:eastAsia="Times New Roman" w:hAnsi="Times New Roman" w:cs="Times New Roman"/>
          <w:b/>
          <w:sz w:val="32"/>
          <w:szCs w:val="32"/>
        </w:rPr>
        <w:br/>
      </w:r>
    </w:p>
    <w:p w14:paraId="769AFF98" w14:textId="77777777" w:rsidR="00B5512A" w:rsidRPr="00B146C5" w:rsidRDefault="00000000">
      <w:pPr>
        <w:pStyle w:val="Normal1"/>
        <w:spacing w:before="200" w:line="360" w:lineRule="auto"/>
        <w:jc w:val="center"/>
        <w:rPr>
          <w:rFonts w:ascii="Times New Roman" w:eastAsia="Times New Roman" w:hAnsi="Times New Roman" w:cs="Times New Roman"/>
          <w:b/>
          <w:sz w:val="32"/>
          <w:szCs w:val="32"/>
        </w:rPr>
      </w:pPr>
      <w:r w:rsidRPr="00B146C5">
        <w:rPr>
          <w:rFonts w:ascii="Times New Roman" w:eastAsia="Times New Roman" w:hAnsi="Times New Roman" w:cs="Times New Roman"/>
          <w:b/>
          <w:sz w:val="32"/>
          <w:szCs w:val="32"/>
        </w:rPr>
        <w:t xml:space="preserve">INTERNATIONAL FINANCIAL MANAGEMENT </w:t>
      </w:r>
    </w:p>
    <w:p w14:paraId="334C62B4" w14:textId="77777777" w:rsidR="00B5512A" w:rsidRPr="00B146C5" w:rsidRDefault="00B5512A">
      <w:pPr>
        <w:pStyle w:val="Normal1"/>
        <w:spacing w:before="200" w:line="360" w:lineRule="auto"/>
        <w:jc w:val="both"/>
        <w:rPr>
          <w:rFonts w:ascii="Times New Roman" w:eastAsia="Times New Roman" w:hAnsi="Times New Roman" w:cs="Times New Roman"/>
          <w:sz w:val="24"/>
          <w:szCs w:val="24"/>
        </w:rPr>
      </w:pPr>
    </w:p>
    <w:p w14:paraId="1473703B" w14:textId="77777777" w:rsidR="00B5512A" w:rsidRPr="00B146C5" w:rsidRDefault="00000000">
      <w:pPr>
        <w:pStyle w:val="Normal1"/>
        <w:spacing w:before="200" w:line="360" w:lineRule="auto"/>
        <w:jc w:val="both"/>
        <w:rPr>
          <w:rFonts w:ascii="Times New Roman" w:eastAsia="Times New Roman" w:hAnsi="Times New Roman" w:cs="Times New Roman"/>
          <w:b/>
          <w:sz w:val="24"/>
          <w:szCs w:val="24"/>
        </w:rPr>
      </w:pPr>
      <w:r w:rsidRPr="00B146C5">
        <w:br w:type="page"/>
      </w:r>
    </w:p>
    <w:bookmarkStart w:id="0" w:name="_daoec5riyim5" w:colFirst="0" w:colLast="0" w:displacedByCustomXml="next"/>
    <w:bookmarkEnd w:id="0" w:displacedByCustomXml="next"/>
    <w:sdt>
      <w:sdtPr>
        <w:rPr>
          <w:rFonts w:ascii="Times New Roman" w:eastAsia="Arial" w:hAnsi="Times New Roman" w:cs="Times New Roman"/>
          <w:color w:val="auto"/>
          <w:sz w:val="24"/>
          <w:szCs w:val="24"/>
          <w:lang w:val=""/>
        </w:rPr>
        <w:id w:val="882059945"/>
        <w:docPartObj>
          <w:docPartGallery w:val="Table of Contents"/>
          <w:docPartUnique/>
        </w:docPartObj>
      </w:sdtPr>
      <w:sdtEndPr>
        <w:rPr>
          <w:b/>
          <w:bCs/>
          <w:noProof/>
        </w:rPr>
      </w:sdtEndPr>
      <w:sdtContent>
        <w:p w14:paraId="2BA53CEF" w14:textId="77777777" w:rsidR="00C63699" w:rsidRPr="00B146C5" w:rsidRDefault="00C63699" w:rsidP="00C63699">
          <w:pPr>
            <w:pStyle w:val="TOCHeading"/>
            <w:spacing w:line="360" w:lineRule="auto"/>
            <w:jc w:val="center"/>
            <w:rPr>
              <w:rFonts w:ascii="Times New Roman" w:hAnsi="Times New Roman" w:cs="Times New Roman"/>
              <w:b/>
              <w:bCs/>
              <w:color w:val="auto"/>
              <w:sz w:val="24"/>
              <w:szCs w:val="24"/>
            </w:rPr>
          </w:pPr>
          <w:r w:rsidRPr="00B146C5">
            <w:rPr>
              <w:rFonts w:ascii="Times New Roman" w:hAnsi="Times New Roman" w:cs="Times New Roman"/>
              <w:b/>
              <w:bCs/>
              <w:color w:val="auto"/>
              <w:sz w:val="24"/>
              <w:szCs w:val="24"/>
            </w:rPr>
            <w:t>Table of Contents</w:t>
          </w:r>
        </w:p>
        <w:p w14:paraId="7D1F6AD2" w14:textId="77777777" w:rsidR="00C63699" w:rsidRPr="00B146C5" w:rsidRDefault="00C63699" w:rsidP="00C63699">
          <w:pPr>
            <w:pStyle w:val="TOC1"/>
            <w:tabs>
              <w:tab w:val="right" w:leader="dot" w:pos="9019"/>
            </w:tabs>
            <w:spacing w:line="360" w:lineRule="auto"/>
            <w:jc w:val="center"/>
            <w:rPr>
              <w:rFonts w:ascii="Times New Roman" w:hAnsi="Times New Roman" w:cs="Times New Roman"/>
              <w:noProof/>
              <w:sz w:val="24"/>
              <w:szCs w:val="24"/>
            </w:rPr>
          </w:pPr>
          <w:r w:rsidRPr="00B146C5">
            <w:rPr>
              <w:rFonts w:ascii="Times New Roman" w:hAnsi="Times New Roman" w:cs="Times New Roman"/>
              <w:sz w:val="24"/>
              <w:szCs w:val="24"/>
            </w:rPr>
            <w:fldChar w:fldCharType="begin"/>
          </w:r>
          <w:r w:rsidRPr="00B146C5">
            <w:rPr>
              <w:rFonts w:ascii="Times New Roman" w:hAnsi="Times New Roman" w:cs="Times New Roman"/>
              <w:sz w:val="24"/>
              <w:szCs w:val="24"/>
            </w:rPr>
            <w:instrText xml:space="preserve"> TOC \o "1-3" \h \z \u </w:instrText>
          </w:r>
          <w:r w:rsidRPr="00B146C5">
            <w:rPr>
              <w:rFonts w:ascii="Times New Roman" w:hAnsi="Times New Roman" w:cs="Times New Roman"/>
              <w:sz w:val="24"/>
              <w:szCs w:val="24"/>
            </w:rPr>
            <w:fldChar w:fldCharType="separate"/>
          </w:r>
          <w:hyperlink w:anchor="_Toc154863863" w:history="1">
            <w:r w:rsidRPr="00B146C5">
              <w:rPr>
                <w:rStyle w:val="Hyperlink"/>
                <w:rFonts w:ascii="Times New Roman" w:hAnsi="Times New Roman" w:cs="Times New Roman"/>
                <w:noProof/>
                <w:color w:val="auto"/>
                <w:sz w:val="24"/>
                <w:szCs w:val="24"/>
              </w:rPr>
              <w:t>1. Introduction</w:t>
            </w:r>
            <w:r w:rsidRPr="00B146C5">
              <w:rPr>
                <w:rFonts w:ascii="Times New Roman" w:hAnsi="Times New Roman" w:cs="Times New Roman"/>
                <w:noProof/>
                <w:webHidden/>
                <w:sz w:val="24"/>
                <w:szCs w:val="24"/>
              </w:rPr>
              <w:tab/>
            </w:r>
            <w:r w:rsidRPr="00B146C5">
              <w:rPr>
                <w:rFonts w:ascii="Times New Roman" w:hAnsi="Times New Roman" w:cs="Times New Roman"/>
                <w:noProof/>
                <w:webHidden/>
                <w:sz w:val="24"/>
                <w:szCs w:val="24"/>
              </w:rPr>
              <w:fldChar w:fldCharType="begin"/>
            </w:r>
            <w:r w:rsidRPr="00B146C5">
              <w:rPr>
                <w:rFonts w:ascii="Times New Roman" w:hAnsi="Times New Roman" w:cs="Times New Roman"/>
                <w:noProof/>
                <w:webHidden/>
                <w:sz w:val="24"/>
                <w:szCs w:val="24"/>
              </w:rPr>
              <w:instrText xml:space="preserve"> PAGEREF _Toc154863863 \h </w:instrText>
            </w:r>
            <w:r w:rsidRPr="00B146C5">
              <w:rPr>
                <w:rFonts w:ascii="Times New Roman" w:hAnsi="Times New Roman" w:cs="Times New Roman"/>
                <w:noProof/>
                <w:webHidden/>
                <w:sz w:val="24"/>
                <w:szCs w:val="24"/>
              </w:rPr>
            </w:r>
            <w:r w:rsidRPr="00B146C5">
              <w:rPr>
                <w:rFonts w:ascii="Times New Roman" w:hAnsi="Times New Roman" w:cs="Times New Roman"/>
                <w:noProof/>
                <w:webHidden/>
                <w:sz w:val="24"/>
                <w:szCs w:val="24"/>
              </w:rPr>
              <w:fldChar w:fldCharType="separate"/>
            </w:r>
            <w:r w:rsidRPr="00B146C5">
              <w:rPr>
                <w:rFonts w:ascii="Times New Roman" w:hAnsi="Times New Roman" w:cs="Times New Roman"/>
                <w:noProof/>
                <w:webHidden/>
                <w:sz w:val="24"/>
                <w:szCs w:val="24"/>
              </w:rPr>
              <w:t>2</w:t>
            </w:r>
            <w:r w:rsidRPr="00B146C5">
              <w:rPr>
                <w:rFonts w:ascii="Times New Roman" w:hAnsi="Times New Roman" w:cs="Times New Roman"/>
                <w:noProof/>
                <w:webHidden/>
                <w:sz w:val="24"/>
                <w:szCs w:val="24"/>
              </w:rPr>
              <w:fldChar w:fldCharType="end"/>
            </w:r>
          </w:hyperlink>
        </w:p>
        <w:p w14:paraId="3951FDDD" w14:textId="77777777" w:rsidR="00C63699" w:rsidRPr="00B146C5" w:rsidRDefault="00000000" w:rsidP="00C63699">
          <w:pPr>
            <w:pStyle w:val="TOC1"/>
            <w:tabs>
              <w:tab w:val="right" w:leader="dot" w:pos="9019"/>
            </w:tabs>
            <w:spacing w:line="360" w:lineRule="auto"/>
            <w:jc w:val="center"/>
            <w:rPr>
              <w:rFonts w:ascii="Times New Roman" w:hAnsi="Times New Roman" w:cs="Times New Roman"/>
              <w:noProof/>
              <w:sz w:val="24"/>
              <w:szCs w:val="24"/>
            </w:rPr>
          </w:pPr>
          <w:hyperlink w:anchor="_Toc154863864" w:history="1">
            <w:r w:rsidR="00C63699" w:rsidRPr="00B146C5">
              <w:rPr>
                <w:rStyle w:val="Hyperlink"/>
                <w:rFonts w:ascii="Times New Roman" w:hAnsi="Times New Roman" w:cs="Times New Roman"/>
                <w:noProof/>
                <w:color w:val="auto"/>
                <w:sz w:val="24"/>
                <w:szCs w:val="24"/>
              </w:rPr>
              <w:t>2. Strategies adopted by MNCs in managing their exposure to foreign exchange risks</w:t>
            </w:r>
            <w:r w:rsidR="00C63699" w:rsidRPr="00B146C5">
              <w:rPr>
                <w:rFonts w:ascii="Times New Roman" w:hAnsi="Times New Roman" w:cs="Times New Roman"/>
                <w:noProof/>
                <w:webHidden/>
                <w:sz w:val="24"/>
                <w:szCs w:val="24"/>
              </w:rPr>
              <w:tab/>
            </w:r>
            <w:r w:rsidR="00C63699" w:rsidRPr="00B146C5">
              <w:rPr>
                <w:rFonts w:ascii="Times New Roman" w:hAnsi="Times New Roman" w:cs="Times New Roman"/>
                <w:noProof/>
                <w:webHidden/>
                <w:sz w:val="24"/>
                <w:szCs w:val="24"/>
              </w:rPr>
              <w:fldChar w:fldCharType="begin"/>
            </w:r>
            <w:r w:rsidR="00C63699" w:rsidRPr="00B146C5">
              <w:rPr>
                <w:rFonts w:ascii="Times New Roman" w:hAnsi="Times New Roman" w:cs="Times New Roman"/>
                <w:noProof/>
                <w:webHidden/>
                <w:sz w:val="24"/>
                <w:szCs w:val="24"/>
              </w:rPr>
              <w:instrText xml:space="preserve"> PAGEREF _Toc154863864 \h </w:instrText>
            </w:r>
            <w:r w:rsidR="00C63699" w:rsidRPr="00B146C5">
              <w:rPr>
                <w:rFonts w:ascii="Times New Roman" w:hAnsi="Times New Roman" w:cs="Times New Roman"/>
                <w:noProof/>
                <w:webHidden/>
                <w:sz w:val="24"/>
                <w:szCs w:val="24"/>
              </w:rPr>
            </w:r>
            <w:r w:rsidR="00C63699" w:rsidRPr="00B146C5">
              <w:rPr>
                <w:rFonts w:ascii="Times New Roman" w:hAnsi="Times New Roman" w:cs="Times New Roman"/>
                <w:noProof/>
                <w:webHidden/>
                <w:sz w:val="24"/>
                <w:szCs w:val="24"/>
              </w:rPr>
              <w:fldChar w:fldCharType="separate"/>
            </w:r>
            <w:r w:rsidR="00C63699" w:rsidRPr="00B146C5">
              <w:rPr>
                <w:rFonts w:ascii="Times New Roman" w:hAnsi="Times New Roman" w:cs="Times New Roman"/>
                <w:noProof/>
                <w:webHidden/>
                <w:sz w:val="24"/>
                <w:szCs w:val="24"/>
              </w:rPr>
              <w:t>2</w:t>
            </w:r>
            <w:r w:rsidR="00C63699" w:rsidRPr="00B146C5">
              <w:rPr>
                <w:rFonts w:ascii="Times New Roman" w:hAnsi="Times New Roman" w:cs="Times New Roman"/>
                <w:noProof/>
                <w:webHidden/>
                <w:sz w:val="24"/>
                <w:szCs w:val="24"/>
              </w:rPr>
              <w:fldChar w:fldCharType="end"/>
            </w:r>
          </w:hyperlink>
        </w:p>
        <w:p w14:paraId="1984DFA1" w14:textId="77777777" w:rsidR="00C63699" w:rsidRPr="00B146C5" w:rsidRDefault="00000000" w:rsidP="00C63699">
          <w:pPr>
            <w:pStyle w:val="TOC1"/>
            <w:tabs>
              <w:tab w:val="right" w:leader="dot" w:pos="9019"/>
            </w:tabs>
            <w:spacing w:line="360" w:lineRule="auto"/>
            <w:jc w:val="center"/>
            <w:rPr>
              <w:rFonts w:ascii="Times New Roman" w:hAnsi="Times New Roman" w:cs="Times New Roman"/>
              <w:noProof/>
              <w:sz w:val="24"/>
              <w:szCs w:val="24"/>
            </w:rPr>
          </w:pPr>
          <w:hyperlink w:anchor="_Toc154863865" w:history="1">
            <w:r w:rsidR="00C63699" w:rsidRPr="00B146C5">
              <w:rPr>
                <w:rStyle w:val="Hyperlink"/>
                <w:rFonts w:ascii="Times New Roman" w:hAnsi="Times New Roman" w:cs="Times New Roman"/>
                <w:noProof/>
                <w:color w:val="auto"/>
                <w:sz w:val="24"/>
                <w:szCs w:val="24"/>
              </w:rPr>
              <w:t>3. Application of various theories and models</w:t>
            </w:r>
            <w:r w:rsidR="00C63699" w:rsidRPr="00B146C5">
              <w:rPr>
                <w:rFonts w:ascii="Times New Roman" w:hAnsi="Times New Roman" w:cs="Times New Roman"/>
                <w:noProof/>
                <w:webHidden/>
                <w:sz w:val="24"/>
                <w:szCs w:val="24"/>
              </w:rPr>
              <w:tab/>
            </w:r>
            <w:r w:rsidR="00C63699" w:rsidRPr="00B146C5">
              <w:rPr>
                <w:rFonts w:ascii="Times New Roman" w:hAnsi="Times New Roman" w:cs="Times New Roman"/>
                <w:noProof/>
                <w:webHidden/>
                <w:sz w:val="24"/>
                <w:szCs w:val="24"/>
              </w:rPr>
              <w:fldChar w:fldCharType="begin"/>
            </w:r>
            <w:r w:rsidR="00C63699" w:rsidRPr="00B146C5">
              <w:rPr>
                <w:rFonts w:ascii="Times New Roman" w:hAnsi="Times New Roman" w:cs="Times New Roman"/>
                <w:noProof/>
                <w:webHidden/>
                <w:sz w:val="24"/>
                <w:szCs w:val="24"/>
              </w:rPr>
              <w:instrText xml:space="preserve"> PAGEREF _Toc154863865 \h </w:instrText>
            </w:r>
            <w:r w:rsidR="00C63699" w:rsidRPr="00B146C5">
              <w:rPr>
                <w:rFonts w:ascii="Times New Roman" w:hAnsi="Times New Roman" w:cs="Times New Roman"/>
                <w:noProof/>
                <w:webHidden/>
                <w:sz w:val="24"/>
                <w:szCs w:val="24"/>
              </w:rPr>
            </w:r>
            <w:r w:rsidR="00C63699" w:rsidRPr="00B146C5">
              <w:rPr>
                <w:rFonts w:ascii="Times New Roman" w:hAnsi="Times New Roman" w:cs="Times New Roman"/>
                <w:noProof/>
                <w:webHidden/>
                <w:sz w:val="24"/>
                <w:szCs w:val="24"/>
              </w:rPr>
              <w:fldChar w:fldCharType="separate"/>
            </w:r>
            <w:r w:rsidR="00C63699" w:rsidRPr="00B146C5">
              <w:rPr>
                <w:rFonts w:ascii="Times New Roman" w:hAnsi="Times New Roman" w:cs="Times New Roman"/>
                <w:noProof/>
                <w:webHidden/>
                <w:sz w:val="24"/>
                <w:szCs w:val="24"/>
              </w:rPr>
              <w:t>3</w:t>
            </w:r>
            <w:r w:rsidR="00C63699" w:rsidRPr="00B146C5">
              <w:rPr>
                <w:rFonts w:ascii="Times New Roman" w:hAnsi="Times New Roman" w:cs="Times New Roman"/>
                <w:noProof/>
                <w:webHidden/>
                <w:sz w:val="24"/>
                <w:szCs w:val="24"/>
              </w:rPr>
              <w:fldChar w:fldCharType="end"/>
            </w:r>
          </w:hyperlink>
        </w:p>
        <w:p w14:paraId="1983DCE3" w14:textId="77777777" w:rsidR="00C63699" w:rsidRPr="00B146C5" w:rsidRDefault="00000000" w:rsidP="00C63699">
          <w:pPr>
            <w:pStyle w:val="TOC1"/>
            <w:tabs>
              <w:tab w:val="right" w:leader="dot" w:pos="9019"/>
            </w:tabs>
            <w:spacing w:line="360" w:lineRule="auto"/>
            <w:jc w:val="center"/>
            <w:rPr>
              <w:rFonts w:ascii="Times New Roman" w:hAnsi="Times New Roman" w:cs="Times New Roman"/>
              <w:noProof/>
              <w:sz w:val="24"/>
              <w:szCs w:val="24"/>
            </w:rPr>
          </w:pPr>
          <w:hyperlink w:anchor="_Toc154863866" w:history="1">
            <w:r w:rsidR="00C63699" w:rsidRPr="00B146C5">
              <w:rPr>
                <w:rStyle w:val="Hyperlink"/>
                <w:rFonts w:ascii="Times New Roman" w:hAnsi="Times New Roman" w:cs="Times New Roman"/>
                <w:noProof/>
                <w:color w:val="auto"/>
                <w:sz w:val="24"/>
                <w:szCs w:val="24"/>
              </w:rPr>
              <w:t>4. Conclusion</w:t>
            </w:r>
            <w:r w:rsidR="00C63699" w:rsidRPr="00B146C5">
              <w:rPr>
                <w:rFonts w:ascii="Times New Roman" w:hAnsi="Times New Roman" w:cs="Times New Roman"/>
                <w:noProof/>
                <w:webHidden/>
                <w:sz w:val="24"/>
                <w:szCs w:val="24"/>
              </w:rPr>
              <w:tab/>
            </w:r>
            <w:r w:rsidR="00C63699" w:rsidRPr="00B146C5">
              <w:rPr>
                <w:rFonts w:ascii="Times New Roman" w:hAnsi="Times New Roman" w:cs="Times New Roman"/>
                <w:noProof/>
                <w:webHidden/>
                <w:sz w:val="24"/>
                <w:szCs w:val="24"/>
              </w:rPr>
              <w:fldChar w:fldCharType="begin"/>
            </w:r>
            <w:r w:rsidR="00C63699" w:rsidRPr="00B146C5">
              <w:rPr>
                <w:rFonts w:ascii="Times New Roman" w:hAnsi="Times New Roman" w:cs="Times New Roman"/>
                <w:noProof/>
                <w:webHidden/>
                <w:sz w:val="24"/>
                <w:szCs w:val="24"/>
              </w:rPr>
              <w:instrText xml:space="preserve"> PAGEREF _Toc154863866 \h </w:instrText>
            </w:r>
            <w:r w:rsidR="00C63699" w:rsidRPr="00B146C5">
              <w:rPr>
                <w:rFonts w:ascii="Times New Roman" w:hAnsi="Times New Roman" w:cs="Times New Roman"/>
                <w:noProof/>
                <w:webHidden/>
                <w:sz w:val="24"/>
                <w:szCs w:val="24"/>
              </w:rPr>
            </w:r>
            <w:r w:rsidR="00C63699" w:rsidRPr="00B146C5">
              <w:rPr>
                <w:rFonts w:ascii="Times New Roman" w:hAnsi="Times New Roman" w:cs="Times New Roman"/>
                <w:noProof/>
                <w:webHidden/>
                <w:sz w:val="24"/>
                <w:szCs w:val="24"/>
              </w:rPr>
              <w:fldChar w:fldCharType="separate"/>
            </w:r>
            <w:r w:rsidR="00C63699" w:rsidRPr="00B146C5">
              <w:rPr>
                <w:rFonts w:ascii="Times New Roman" w:hAnsi="Times New Roman" w:cs="Times New Roman"/>
                <w:noProof/>
                <w:webHidden/>
                <w:sz w:val="24"/>
                <w:szCs w:val="24"/>
              </w:rPr>
              <w:t>7</w:t>
            </w:r>
            <w:r w:rsidR="00C63699" w:rsidRPr="00B146C5">
              <w:rPr>
                <w:rFonts w:ascii="Times New Roman" w:hAnsi="Times New Roman" w:cs="Times New Roman"/>
                <w:noProof/>
                <w:webHidden/>
                <w:sz w:val="24"/>
                <w:szCs w:val="24"/>
              </w:rPr>
              <w:fldChar w:fldCharType="end"/>
            </w:r>
          </w:hyperlink>
        </w:p>
        <w:p w14:paraId="72BDA92F" w14:textId="77777777" w:rsidR="00C63699" w:rsidRPr="00B146C5" w:rsidRDefault="00000000" w:rsidP="00C63699">
          <w:pPr>
            <w:pStyle w:val="TOC1"/>
            <w:tabs>
              <w:tab w:val="right" w:leader="dot" w:pos="9019"/>
            </w:tabs>
            <w:spacing w:line="360" w:lineRule="auto"/>
            <w:jc w:val="center"/>
            <w:rPr>
              <w:rFonts w:ascii="Times New Roman" w:hAnsi="Times New Roman" w:cs="Times New Roman"/>
              <w:noProof/>
              <w:sz w:val="24"/>
              <w:szCs w:val="24"/>
            </w:rPr>
          </w:pPr>
          <w:hyperlink w:anchor="_Toc154863867" w:history="1">
            <w:r w:rsidR="00C63699" w:rsidRPr="00B146C5">
              <w:rPr>
                <w:rStyle w:val="Hyperlink"/>
                <w:rFonts w:ascii="Times New Roman" w:hAnsi="Times New Roman" w:cs="Times New Roman"/>
                <w:noProof/>
                <w:color w:val="auto"/>
                <w:sz w:val="24"/>
                <w:szCs w:val="24"/>
              </w:rPr>
              <w:t>References</w:t>
            </w:r>
            <w:r w:rsidR="00C63699" w:rsidRPr="00B146C5">
              <w:rPr>
                <w:rFonts w:ascii="Times New Roman" w:hAnsi="Times New Roman" w:cs="Times New Roman"/>
                <w:noProof/>
                <w:webHidden/>
                <w:sz w:val="24"/>
                <w:szCs w:val="24"/>
              </w:rPr>
              <w:tab/>
            </w:r>
            <w:r w:rsidR="00C63699" w:rsidRPr="00B146C5">
              <w:rPr>
                <w:rFonts w:ascii="Times New Roman" w:hAnsi="Times New Roman" w:cs="Times New Roman"/>
                <w:noProof/>
                <w:webHidden/>
                <w:sz w:val="24"/>
                <w:szCs w:val="24"/>
              </w:rPr>
              <w:fldChar w:fldCharType="begin"/>
            </w:r>
            <w:r w:rsidR="00C63699" w:rsidRPr="00B146C5">
              <w:rPr>
                <w:rFonts w:ascii="Times New Roman" w:hAnsi="Times New Roman" w:cs="Times New Roman"/>
                <w:noProof/>
                <w:webHidden/>
                <w:sz w:val="24"/>
                <w:szCs w:val="24"/>
              </w:rPr>
              <w:instrText xml:space="preserve"> PAGEREF _Toc154863867 \h </w:instrText>
            </w:r>
            <w:r w:rsidR="00C63699" w:rsidRPr="00B146C5">
              <w:rPr>
                <w:rFonts w:ascii="Times New Roman" w:hAnsi="Times New Roman" w:cs="Times New Roman"/>
                <w:noProof/>
                <w:webHidden/>
                <w:sz w:val="24"/>
                <w:szCs w:val="24"/>
              </w:rPr>
            </w:r>
            <w:r w:rsidR="00C63699" w:rsidRPr="00B146C5">
              <w:rPr>
                <w:rFonts w:ascii="Times New Roman" w:hAnsi="Times New Roman" w:cs="Times New Roman"/>
                <w:noProof/>
                <w:webHidden/>
                <w:sz w:val="24"/>
                <w:szCs w:val="24"/>
              </w:rPr>
              <w:fldChar w:fldCharType="separate"/>
            </w:r>
            <w:r w:rsidR="00C63699" w:rsidRPr="00B146C5">
              <w:rPr>
                <w:rFonts w:ascii="Times New Roman" w:hAnsi="Times New Roman" w:cs="Times New Roman"/>
                <w:noProof/>
                <w:webHidden/>
                <w:sz w:val="24"/>
                <w:szCs w:val="24"/>
              </w:rPr>
              <w:t>8</w:t>
            </w:r>
            <w:r w:rsidR="00C63699" w:rsidRPr="00B146C5">
              <w:rPr>
                <w:rFonts w:ascii="Times New Roman" w:hAnsi="Times New Roman" w:cs="Times New Roman"/>
                <w:noProof/>
                <w:webHidden/>
                <w:sz w:val="24"/>
                <w:szCs w:val="24"/>
              </w:rPr>
              <w:fldChar w:fldCharType="end"/>
            </w:r>
          </w:hyperlink>
        </w:p>
        <w:p w14:paraId="71105D2B" w14:textId="77777777" w:rsidR="00C63699" w:rsidRPr="00B146C5" w:rsidRDefault="00C63699" w:rsidP="00C63699">
          <w:pPr>
            <w:spacing w:line="360" w:lineRule="auto"/>
            <w:jc w:val="center"/>
            <w:rPr>
              <w:rFonts w:ascii="Times New Roman" w:hAnsi="Times New Roman" w:cs="Times New Roman"/>
              <w:sz w:val="24"/>
              <w:szCs w:val="24"/>
            </w:rPr>
          </w:pPr>
          <w:r w:rsidRPr="00B146C5">
            <w:rPr>
              <w:rFonts w:ascii="Times New Roman" w:hAnsi="Times New Roman" w:cs="Times New Roman"/>
              <w:b/>
              <w:bCs/>
              <w:noProof/>
              <w:sz w:val="24"/>
              <w:szCs w:val="24"/>
            </w:rPr>
            <w:fldChar w:fldCharType="end"/>
          </w:r>
        </w:p>
      </w:sdtContent>
    </w:sdt>
    <w:p w14:paraId="1BD32672" w14:textId="77777777" w:rsidR="00C63699" w:rsidRPr="00B146C5" w:rsidRDefault="00C63699" w:rsidP="00C63699">
      <w:pPr>
        <w:spacing w:line="360" w:lineRule="auto"/>
        <w:jc w:val="center"/>
        <w:rPr>
          <w:rFonts w:ascii="Times New Roman" w:eastAsia="Times New Roman" w:hAnsi="Times New Roman" w:cs="Times New Roman"/>
          <w:b/>
          <w:sz w:val="24"/>
          <w:szCs w:val="24"/>
        </w:rPr>
      </w:pPr>
      <w:bookmarkStart w:id="1" w:name="_Toc154863863"/>
      <w:r w:rsidRPr="00B146C5">
        <w:rPr>
          <w:rFonts w:ascii="Times New Roman" w:hAnsi="Times New Roman" w:cs="Times New Roman"/>
          <w:sz w:val="24"/>
          <w:szCs w:val="24"/>
        </w:rPr>
        <w:br w:type="page"/>
      </w:r>
    </w:p>
    <w:p w14:paraId="0E76A594" w14:textId="77777777" w:rsidR="00B5512A" w:rsidRPr="00B146C5" w:rsidRDefault="00000000" w:rsidP="002074C9">
      <w:pPr>
        <w:pStyle w:val="Heading1"/>
      </w:pPr>
      <w:r w:rsidRPr="00B146C5">
        <w:lastRenderedPageBreak/>
        <w:t>1. Introduction</w:t>
      </w:r>
      <w:bookmarkEnd w:id="1"/>
    </w:p>
    <w:p w14:paraId="78BAE126"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 xml:space="preserve">International Financial Management (IFM) is a process of managing trading, financial activities, and performance in the international market. Management of international finance is effective in ensuring an adequate supply of funds, making safe investments, and improving international financial performance. Therefore, the research focuses on key theoretical implementations of the international financial management process along with the theories of international cost of capital management, the theory of corporate value, and so on. After that, effective strategies of MNCs to maintain their overall exposure to the risk of foreign exchange are also analysed here. IFM focuses on financial decisions, profit distribution, budget allocation decisions, and dividend decisions.      </w:t>
      </w:r>
    </w:p>
    <w:p w14:paraId="345C6C76" w14:textId="77777777" w:rsidR="00B5512A" w:rsidRPr="00B146C5" w:rsidRDefault="00000000" w:rsidP="002074C9">
      <w:pPr>
        <w:pStyle w:val="Heading1"/>
      </w:pPr>
      <w:bookmarkStart w:id="2" w:name="_rbl9ld5o7g6q" w:colFirst="0" w:colLast="0"/>
      <w:bookmarkStart w:id="3" w:name="_Toc154863864"/>
      <w:bookmarkEnd w:id="2"/>
      <w:r w:rsidRPr="00B146C5">
        <w:t>2. Strategies adopted by MNCs in managing their exposure to foreign exchange risks</w:t>
      </w:r>
      <w:bookmarkEnd w:id="3"/>
    </w:p>
    <w:p w14:paraId="58B9B5DF"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Multinational corporations or MNCs expense numerous risk factors to operate across borders including market volatility, fluctuation in currency, lower exchange rate, and so on. The risk factors directly impact organisational performance and its outcome. Hence, MNCs have adopted a range of effective strategies to deal with foreign exchange risk factors such as:</w:t>
      </w:r>
    </w:p>
    <w:p w14:paraId="6782FF08"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sz w:val="24"/>
          <w:szCs w:val="24"/>
          <w:u w:val="single"/>
        </w:rPr>
        <w:t>Investment Diversification</w:t>
      </w:r>
      <w:r w:rsidRPr="00B146C5">
        <w:rPr>
          <w:rFonts w:ascii="Times New Roman" w:eastAsia="Times New Roman" w:hAnsi="Times New Roman" w:cs="Times New Roman"/>
          <w:sz w:val="24"/>
          <w:szCs w:val="24"/>
        </w:rPr>
        <w:t xml:space="preserve">: MNCs have adopted a strategy to invest across different regions of the international market and expand their operation which spreads the risk factors in various areas. Such a strategy reduces the impact of currency fluctuation in any single currency of a single international market. According to the opinion of Belderbos </w:t>
      </w:r>
      <w:r w:rsidRPr="00B146C5">
        <w:rPr>
          <w:rFonts w:ascii="Times New Roman" w:eastAsia="Times New Roman" w:hAnsi="Times New Roman" w:cs="Times New Roman"/>
          <w:i/>
          <w:sz w:val="24"/>
          <w:szCs w:val="24"/>
        </w:rPr>
        <w:t xml:space="preserve">et al. </w:t>
      </w:r>
      <w:r w:rsidRPr="00B146C5">
        <w:rPr>
          <w:rFonts w:ascii="Times New Roman" w:eastAsia="Times New Roman" w:hAnsi="Times New Roman" w:cs="Times New Roman"/>
          <w:sz w:val="24"/>
          <w:szCs w:val="24"/>
        </w:rPr>
        <w:t xml:space="preserve">(2020), investment diversification in the international market is key to reducing foreign exchange risk by diversifying investment levels. Moreover, such a strategy is effective in distributing investment in different regions and lowering risk factors by eliminating over-reliance on a foreign enhancement of a single place.   </w:t>
      </w:r>
    </w:p>
    <w:p w14:paraId="277EB9A3"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sz w:val="24"/>
          <w:szCs w:val="24"/>
          <w:u w:val="single"/>
        </w:rPr>
        <w:t>Adopting joint venture strategy</w:t>
      </w:r>
      <w:r w:rsidRPr="00B146C5">
        <w:rPr>
          <w:rFonts w:ascii="Times New Roman" w:eastAsia="Times New Roman" w:hAnsi="Times New Roman" w:cs="Times New Roman"/>
          <w:sz w:val="24"/>
          <w:szCs w:val="24"/>
        </w:rPr>
        <w:t xml:space="preserve">: MNCs try to enter into a joint venture partnership with local business organisations that helps them share the risk raptors of foreign exchange and gain chances to access local expertise. According to the research of Wigwe-Chizindu and Llm (2019), joint venture partnership helps MNCs maintain their business arrangement by sharing resources between two parties to complete specific tasks and share profits or risks among them. Such a strategy remains effective for the MNCs as each party remains responsible for expenses, losses, profit, and any risk factor.   </w:t>
      </w:r>
    </w:p>
    <w:p w14:paraId="43A472FD"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sz w:val="24"/>
          <w:szCs w:val="24"/>
          <w:u w:val="single"/>
        </w:rPr>
        <w:lastRenderedPageBreak/>
        <w:t>Strategic sourcing of finances</w:t>
      </w:r>
      <w:r w:rsidRPr="00B146C5">
        <w:rPr>
          <w:rFonts w:ascii="Times New Roman" w:eastAsia="Times New Roman" w:hAnsi="Times New Roman" w:cs="Times New Roman"/>
          <w:sz w:val="24"/>
          <w:szCs w:val="24"/>
        </w:rPr>
        <w:t xml:space="preserve">: MNCs try to partner with local vendors and suppliers from the same currency area to avoid risk factors and pressure related to foreign exchange. Therefore, partnering with locals also helps to understand the possible risk factors during foreign exchange and helps to take necessary strategies based on such risk factors.      </w:t>
      </w:r>
    </w:p>
    <w:p w14:paraId="16DC2669" w14:textId="77777777" w:rsidR="00B5512A" w:rsidRPr="00B146C5" w:rsidRDefault="00000000" w:rsidP="002074C9">
      <w:pPr>
        <w:pStyle w:val="Heading1"/>
      </w:pPr>
      <w:bookmarkStart w:id="4" w:name="_e1yt51jkaea3" w:colFirst="0" w:colLast="0"/>
      <w:bookmarkStart w:id="5" w:name="_Toc154863865"/>
      <w:bookmarkEnd w:id="4"/>
      <w:r w:rsidRPr="00B146C5">
        <w:t>3. Application of various theories and models</w:t>
      </w:r>
      <w:bookmarkEnd w:id="5"/>
      <w:r w:rsidRPr="00B146C5">
        <w:t xml:space="preserve"> </w:t>
      </w:r>
    </w:p>
    <w:p w14:paraId="16BA3D19"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sz w:val="24"/>
          <w:szCs w:val="24"/>
          <w:u w:val="single"/>
        </w:rPr>
        <w:t>Theories of international financial management</w:t>
      </w:r>
    </w:p>
    <w:p w14:paraId="01C6AF58"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Mundell–Fleming model</w:t>
      </w:r>
      <w:r w:rsidRPr="00B146C5">
        <w:rPr>
          <w:rFonts w:ascii="Times New Roman" w:eastAsia="Times New Roman" w:hAnsi="Times New Roman" w:cs="Times New Roman"/>
          <w:sz w:val="24"/>
          <w:szCs w:val="24"/>
        </w:rPr>
        <w:t xml:space="preserve">: The model is applied by MNCs to monitor their fiscal policies to trade in international economies. As opined by Mendoza (2019), the model argues that fixed exchange rates can not be maintained by an economy which helps businesses set their strategies according to this statement. Therefore, the theory also illustrates that an economy can not have an independent monetary policy and free capital movement. Therefore, the model can be applied by MNCs to make basic assumptions of global and domestic rates of interest, fixed price levels, and capital mobility.    </w:t>
      </w:r>
    </w:p>
    <w:p w14:paraId="3E416C7B"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noProof/>
          <w:sz w:val="24"/>
          <w:szCs w:val="24"/>
        </w:rPr>
        <w:drawing>
          <wp:inline distT="114300" distB="114300" distL="114300" distR="114300" wp14:anchorId="6B8F420D" wp14:editId="71E5EA60">
            <wp:extent cx="3282788" cy="2985773"/>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3282788" cy="2985773"/>
                    </a:xfrm>
                    <a:prstGeom prst="rect">
                      <a:avLst/>
                    </a:prstGeom>
                    <a:ln w="25400">
                      <a:solidFill>
                        <a:srgbClr val="000000"/>
                      </a:solidFill>
                      <a:prstDash val="solid"/>
                    </a:ln>
                  </pic:spPr>
                </pic:pic>
              </a:graphicData>
            </a:graphic>
          </wp:inline>
        </w:drawing>
      </w:r>
    </w:p>
    <w:p w14:paraId="6EEB7649" w14:textId="77777777" w:rsidR="00B5512A" w:rsidRPr="00B146C5" w:rsidRDefault="00000000">
      <w:pPr>
        <w:pStyle w:val="Normal1"/>
        <w:spacing w:before="200" w:line="360" w:lineRule="auto"/>
        <w:jc w:val="center"/>
        <w:rPr>
          <w:rFonts w:ascii="Times New Roman" w:eastAsia="Times New Roman" w:hAnsi="Times New Roman" w:cs="Times New Roman"/>
          <w:b/>
          <w:sz w:val="24"/>
          <w:szCs w:val="24"/>
        </w:rPr>
      </w:pPr>
      <w:r w:rsidRPr="00B146C5">
        <w:rPr>
          <w:rFonts w:ascii="Times New Roman" w:eastAsia="Times New Roman" w:hAnsi="Times New Roman" w:cs="Times New Roman"/>
          <w:b/>
          <w:sz w:val="24"/>
          <w:szCs w:val="24"/>
        </w:rPr>
        <w:t>Figure 1: Mundell–Fleming model</w:t>
      </w:r>
    </w:p>
    <w:p w14:paraId="5A25C9ED"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(Source: Mendoza, 2019)</w:t>
      </w:r>
    </w:p>
    <w:p w14:paraId="76C0693A"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The optimum currency area theory</w:t>
      </w:r>
      <w:r w:rsidRPr="00B146C5">
        <w:rPr>
          <w:rFonts w:ascii="Times New Roman" w:eastAsia="Times New Roman" w:hAnsi="Times New Roman" w:cs="Times New Roman"/>
          <w:sz w:val="24"/>
          <w:szCs w:val="24"/>
        </w:rPr>
        <w:t xml:space="preserve">: the present theory is applied by MNCs to experience symmetric shocks, and trading properties through their GDP bilaterally which helps to fix their exchange rate. As per the analysis of Brunnermeier </w:t>
      </w:r>
      <w:r w:rsidRPr="00B146C5">
        <w:rPr>
          <w:rFonts w:ascii="Times New Roman" w:eastAsia="Times New Roman" w:hAnsi="Times New Roman" w:cs="Times New Roman"/>
          <w:i/>
          <w:sz w:val="24"/>
          <w:szCs w:val="24"/>
        </w:rPr>
        <w:t xml:space="preserve">et al. </w:t>
      </w:r>
      <w:r w:rsidRPr="00B146C5">
        <w:rPr>
          <w:rFonts w:ascii="Times New Roman" w:eastAsia="Times New Roman" w:hAnsi="Times New Roman" w:cs="Times New Roman"/>
          <w:sz w:val="24"/>
          <w:szCs w:val="24"/>
        </w:rPr>
        <w:t xml:space="preserve">(2019), the opium currency theory </w:t>
      </w:r>
      <w:r w:rsidRPr="00B146C5">
        <w:rPr>
          <w:rFonts w:ascii="Times New Roman" w:eastAsia="Times New Roman" w:hAnsi="Times New Roman" w:cs="Times New Roman"/>
          <w:sz w:val="24"/>
          <w:szCs w:val="24"/>
        </w:rPr>
        <w:lastRenderedPageBreak/>
        <w:t xml:space="preserve">indicates that there are some regions across the boundaries that share identical or common currency which reduces the risk of financial management. Therefore, the theory is effective as it indicates that MNCs operate effectively when they find the same currency in their trading areas. After that, implementation of such theory maximises economic benefits with the fixed exchange rates within their business areas.   </w:t>
      </w:r>
    </w:p>
    <w:p w14:paraId="4E91D7FF"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noProof/>
          <w:sz w:val="24"/>
          <w:szCs w:val="24"/>
        </w:rPr>
        <w:drawing>
          <wp:inline distT="114300" distB="114300" distL="114300" distR="114300" wp14:anchorId="1C5D563E" wp14:editId="43C25B9E">
            <wp:extent cx="3548063" cy="2631281"/>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9"/>
                    <a:stretch>
                      <a:fillRect/>
                    </a:stretch>
                  </pic:blipFill>
                  <pic:spPr>
                    <a:xfrm>
                      <a:off x="0" y="0"/>
                      <a:ext cx="3548063" cy="2631281"/>
                    </a:xfrm>
                    <a:prstGeom prst="rect">
                      <a:avLst/>
                    </a:prstGeom>
                    <a:ln w="25400">
                      <a:solidFill>
                        <a:srgbClr val="000000"/>
                      </a:solidFill>
                      <a:prstDash val="solid"/>
                    </a:ln>
                  </pic:spPr>
                </pic:pic>
              </a:graphicData>
            </a:graphic>
          </wp:inline>
        </w:drawing>
      </w:r>
    </w:p>
    <w:p w14:paraId="4C182A47" w14:textId="77777777" w:rsidR="00B5512A" w:rsidRPr="00B146C5" w:rsidRDefault="00000000">
      <w:pPr>
        <w:pStyle w:val="Normal1"/>
        <w:spacing w:before="200" w:line="360" w:lineRule="auto"/>
        <w:jc w:val="center"/>
        <w:rPr>
          <w:rFonts w:ascii="Times New Roman" w:eastAsia="Times New Roman" w:hAnsi="Times New Roman" w:cs="Times New Roman"/>
          <w:b/>
          <w:sz w:val="24"/>
          <w:szCs w:val="24"/>
        </w:rPr>
      </w:pPr>
      <w:r w:rsidRPr="00B146C5">
        <w:rPr>
          <w:rFonts w:ascii="Times New Roman" w:eastAsia="Times New Roman" w:hAnsi="Times New Roman" w:cs="Times New Roman"/>
          <w:b/>
          <w:sz w:val="24"/>
          <w:szCs w:val="24"/>
        </w:rPr>
        <w:t>Figure 2: Optimum currency area theory</w:t>
      </w:r>
    </w:p>
    <w:p w14:paraId="561ABB0F"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 xml:space="preserve">(Source: Brunnermeier </w:t>
      </w:r>
      <w:r w:rsidRPr="00B146C5">
        <w:rPr>
          <w:rFonts w:ascii="Times New Roman" w:eastAsia="Times New Roman" w:hAnsi="Times New Roman" w:cs="Times New Roman"/>
          <w:i/>
          <w:sz w:val="24"/>
          <w:szCs w:val="24"/>
        </w:rPr>
        <w:t xml:space="preserve">et al. </w:t>
      </w:r>
      <w:r w:rsidRPr="00B146C5">
        <w:rPr>
          <w:rFonts w:ascii="Times New Roman" w:eastAsia="Times New Roman" w:hAnsi="Times New Roman" w:cs="Times New Roman"/>
          <w:sz w:val="24"/>
          <w:szCs w:val="24"/>
        </w:rPr>
        <w:t>2019)</w:t>
      </w:r>
    </w:p>
    <w:p w14:paraId="5A872369"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Purchasing power parity (PPP) theory</w:t>
      </w:r>
      <w:r w:rsidRPr="00B146C5">
        <w:rPr>
          <w:rFonts w:ascii="Times New Roman" w:eastAsia="Times New Roman" w:hAnsi="Times New Roman" w:cs="Times New Roman"/>
          <w:sz w:val="24"/>
          <w:szCs w:val="24"/>
        </w:rPr>
        <w:t xml:space="preserve">: It is an economic theory which explains that two countries must have equal pricing levels of goods and services after their currency exchange. The study of Al-Gasaymeh </w:t>
      </w:r>
      <w:r w:rsidRPr="00B146C5">
        <w:rPr>
          <w:rFonts w:ascii="Times New Roman" w:eastAsia="Times New Roman" w:hAnsi="Times New Roman" w:cs="Times New Roman"/>
          <w:i/>
          <w:sz w:val="24"/>
          <w:szCs w:val="24"/>
        </w:rPr>
        <w:t xml:space="preserve">et al. </w:t>
      </w:r>
      <w:r w:rsidRPr="00B146C5">
        <w:rPr>
          <w:rFonts w:ascii="Times New Roman" w:eastAsia="Times New Roman" w:hAnsi="Times New Roman" w:cs="Times New Roman"/>
          <w:sz w:val="24"/>
          <w:szCs w:val="24"/>
        </w:rPr>
        <w:t xml:space="preserve">(2019), evaluated that PPP theory indicates that the exchange rate between two different countries becomes equal if they have similar purchasing power. Such theory can be applied in MNCs to enhance their purchasing power so that they acquire an equal exchange rate in their trading economy equal to their home economy. The PPP theory is also used to measure currency's power effectively and accurately.      </w:t>
      </w:r>
    </w:p>
    <w:p w14:paraId="0D6661BE"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sz w:val="24"/>
          <w:szCs w:val="24"/>
          <w:u w:val="single"/>
        </w:rPr>
        <w:t>Theories of corporate value</w:t>
      </w:r>
    </w:p>
    <w:p w14:paraId="2BC06D66"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EVA or Economic Value Added theory</w:t>
      </w:r>
      <w:r w:rsidRPr="00B146C5">
        <w:rPr>
          <w:rFonts w:ascii="Times New Roman" w:eastAsia="Times New Roman" w:hAnsi="Times New Roman" w:cs="Times New Roman"/>
          <w:sz w:val="24"/>
          <w:szCs w:val="24"/>
        </w:rPr>
        <w:t xml:space="preserve">: The theory is applied by MNCs to measure their real economic profit as it reduces the capital cost from the entire operational profit. It has been experienced that the theory helps MNCs in their global operation by analysing economic value and revealing any hidden value-generating opportunity of the firm (Subedi and Farazmand, 2020). The theory is effective in detecting underperforming segments of a firm and generating </w:t>
      </w:r>
      <w:r w:rsidRPr="00B146C5">
        <w:rPr>
          <w:rFonts w:ascii="Times New Roman" w:eastAsia="Times New Roman" w:hAnsi="Times New Roman" w:cs="Times New Roman"/>
          <w:sz w:val="24"/>
          <w:szCs w:val="24"/>
        </w:rPr>
        <w:lastRenderedPageBreak/>
        <w:t xml:space="preserve">business opportunities in the global trading market. In contrast, the negative EVA of a firm indicates that they are not generating enough profit from their investment. Moreover, companies' performance is compared using EVA based on their extra income and rate of return.   </w:t>
      </w:r>
    </w:p>
    <w:p w14:paraId="10319E73"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Agency theory of corporate governance</w:t>
      </w:r>
      <w:r w:rsidRPr="00B146C5">
        <w:rPr>
          <w:rFonts w:ascii="Times New Roman" w:eastAsia="Times New Roman" w:hAnsi="Times New Roman" w:cs="Times New Roman"/>
          <w:sz w:val="24"/>
          <w:szCs w:val="24"/>
        </w:rPr>
        <w:t xml:space="preserve">:  The present theory helps MNCs to resolve and explain their issues related to the relationship between the agents and corporate governance management principles (Naciti </w:t>
      </w:r>
      <w:r w:rsidRPr="00B146C5">
        <w:rPr>
          <w:rFonts w:ascii="Times New Roman" w:eastAsia="Times New Roman" w:hAnsi="Times New Roman" w:cs="Times New Roman"/>
          <w:i/>
          <w:sz w:val="24"/>
          <w:szCs w:val="24"/>
        </w:rPr>
        <w:t>et al.</w:t>
      </w:r>
      <w:r w:rsidRPr="00B146C5">
        <w:rPr>
          <w:rFonts w:ascii="Times New Roman" w:eastAsia="Times New Roman" w:hAnsi="Times New Roman" w:cs="Times New Roman"/>
          <w:sz w:val="24"/>
          <w:szCs w:val="24"/>
        </w:rPr>
        <w:t xml:space="preserve"> 2021). The theory is appropriate to understand the actual relationship between business principles and agents. Moreover, it indicates that agents play a crucial role as they present business principles to maintain overall business transactions.  </w:t>
      </w:r>
    </w:p>
    <w:p w14:paraId="5A9864B0"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noProof/>
          <w:sz w:val="24"/>
          <w:szCs w:val="24"/>
        </w:rPr>
        <w:drawing>
          <wp:inline distT="114300" distB="114300" distL="114300" distR="114300" wp14:anchorId="1241A719" wp14:editId="7BB436BB">
            <wp:extent cx="4687725" cy="21242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4687725" cy="2124250"/>
                    </a:xfrm>
                    <a:prstGeom prst="rect">
                      <a:avLst/>
                    </a:prstGeom>
                    <a:ln w="25400">
                      <a:solidFill>
                        <a:srgbClr val="000000"/>
                      </a:solidFill>
                      <a:prstDash val="solid"/>
                    </a:ln>
                  </pic:spPr>
                </pic:pic>
              </a:graphicData>
            </a:graphic>
          </wp:inline>
        </w:drawing>
      </w:r>
      <w:r w:rsidRPr="00B146C5">
        <w:rPr>
          <w:rFonts w:ascii="Times New Roman" w:eastAsia="Times New Roman" w:hAnsi="Times New Roman" w:cs="Times New Roman"/>
          <w:sz w:val="24"/>
          <w:szCs w:val="24"/>
        </w:rPr>
        <w:t xml:space="preserve">  </w:t>
      </w:r>
    </w:p>
    <w:p w14:paraId="235B95A5" w14:textId="77777777" w:rsidR="00B5512A" w:rsidRPr="00B146C5" w:rsidRDefault="00000000">
      <w:pPr>
        <w:pStyle w:val="Normal1"/>
        <w:spacing w:before="200" w:line="360" w:lineRule="auto"/>
        <w:jc w:val="center"/>
        <w:rPr>
          <w:rFonts w:ascii="Times New Roman" w:eastAsia="Times New Roman" w:hAnsi="Times New Roman" w:cs="Times New Roman"/>
          <w:b/>
          <w:sz w:val="24"/>
          <w:szCs w:val="24"/>
        </w:rPr>
      </w:pPr>
      <w:r w:rsidRPr="00B146C5">
        <w:rPr>
          <w:rFonts w:ascii="Times New Roman" w:eastAsia="Times New Roman" w:hAnsi="Times New Roman" w:cs="Times New Roman"/>
          <w:b/>
          <w:sz w:val="24"/>
          <w:szCs w:val="24"/>
        </w:rPr>
        <w:t>Figure 3: Agency theory</w:t>
      </w:r>
    </w:p>
    <w:p w14:paraId="0B88AF64" w14:textId="77777777" w:rsidR="00B5512A" w:rsidRPr="00B146C5" w:rsidRDefault="00000000">
      <w:pPr>
        <w:pStyle w:val="Normal1"/>
        <w:spacing w:before="200" w:line="360" w:lineRule="auto"/>
        <w:jc w:val="center"/>
        <w:rPr>
          <w:rFonts w:ascii="Times New Roman" w:eastAsia="Times New Roman" w:hAnsi="Times New Roman" w:cs="Times New Roman"/>
          <w:b/>
          <w:sz w:val="24"/>
          <w:szCs w:val="24"/>
        </w:rPr>
      </w:pPr>
      <w:r w:rsidRPr="00B146C5">
        <w:rPr>
          <w:rFonts w:ascii="Times New Roman" w:eastAsia="Times New Roman" w:hAnsi="Times New Roman" w:cs="Times New Roman"/>
          <w:sz w:val="24"/>
          <w:szCs w:val="24"/>
        </w:rPr>
        <w:t xml:space="preserve">(Source: Naciti </w:t>
      </w:r>
      <w:r w:rsidRPr="00B146C5">
        <w:rPr>
          <w:rFonts w:ascii="Times New Roman" w:eastAsia="Times New Roman" w:hAnsi="Times New Roman" w:cs="Times New Roman"/>
          <w:i/>
          <w:sz w:val="24"/>
          <w:szCs w:val="24"/>
        </w:rPr>
        <w:t>et al.</w:t>
      </w:r>
      <w:r w:rsidRPr="00B146C5">
        <w:rPr>
          <w:rFonts w:ascii="Times New Roman" w:eastAsia="Times New Roman" w:hAnsi="Times New Roman" w:cs="Times New Roman"/>
          <w:sz w:val="24"/>
          <w:szCs w:val="24"/>
        </w:rPr>
        <w:t xml:space="preserve"> 2021)</w:t>
      </w:r>
      <w:r w:rsidRPr="00B146C5">
        <w:rPr>
          <w:rFonts w:ascii="Times New Roman" w:eastAsia="Times New Roman" w:hAnsi="Times New Roman" w:cs="Times New Roman"/>
          <w:b/>
          <w:sz w:val="24"/>
          <w:szCs w:val="24"/>
        </w:rPr>
        <w:t xml:space="preserve"> </w:t>
      </w:r>
    </w:p>
    <w:p w14:paraId="15BD37A4" w14:textId="77777777" w:rsidR="00B5512A" w:rsidRPr="00B146C5" w:rsidRDefault="00000000">
      <w:pPr>
        <w:pStyle w:val="Normal1"/>
        <w:spacing w:before="200" w:line="360" w:lineRule="auto"/>
        <w:jc w:val="both"/>
        <w:rPr>
          <w:rFonts w:ascii="Times New Roman" w:eastAsia="Times New Roman" w:hAnsi="Times New Roman" w:cs="Times New Roman"/>
          <w:b/>
          <w:sz w:val="24"/>
          <w:szCs w:val="24"/>
          <w:u w:val="single"/>
        </w:rPr>
      </w:pPr>
      <w:r w:rsidRPr="00B146C5">
        <w:rPr>
          <w:rFonts w:ascii="Times New Roman" w:eastAsia="Times New Roman" w:hAnsi="Times New Roman" w:cs="Times New Roman"/>
          <w:b/>
          <w:sz w:val="24"/>
          <w:szCs w:val="24"/>
          <w:u w:val="single"/>
        </w:rPr>
        <w:t>Theories of international cost of capital</w:t>
      </w:r>
    </w:p>
    <w:p w14:paraId="170C5DC8"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Net operating income theory</w:t>
      </w:r>
      <w:r w:rsidRPr="00B146C5">
        <w:rPr>
          <w:rFonts w:ascii="Times New Roman" w:eastAsia="Times New Roman" w:hAnsi="Times New Roman" w:cs="Times New Roman"/>
          <w:sz w:val="24"/>
          <w:szCs w:val="24"/>
        </w:rPr>
        <w:t xml:space="preserve">: The theory of net operating income helps to develop the profitability rate of business firms by adding necessary costs from financing and taxes. It has been evaluated from the research of Noor </w:t>
      </w:r>
      <w:r w:rsidRPr="00B146C5">
        <w:rPr>
          <w:rFonts w:ascii="Times New Roman" w:eastAsia="Times New Roman" w:hAnsi="Times New Roman" w:cs="Times New Roman"/>
          <w:i/>
          <w:sz w:val="24"/>
          <w:szCs w:val="24"/>
        </w:rPr>
        <w:t xml:space="preserve">et al. </w:t>
      </w:r>
      <w:r w:rsidRPr="00B146C5">
        <w:rPr>
          <w:rFonts w:ascii="Times New Roman" w:eastAsia="Times New Roman" w:hAnsi="Times New Roman" w:cs="Times New Roman"/>
          <w:sz w:val="24"/>
          <w:szCs w:val="24"/>
        </w:rPr>
        <w:t xml:space="preserve">(2023) that net operating income or NOI is applied in business firms to measure their profitability rate by subtracting their operational expenses from their overall income. At the same time, the theory is mostly applied in commercial real estate to evaluate their profitability based on investment level. Hence, MNCs apply such theory to calculate their net income by extracting taxes, interest and other expenses from their profit rate. As per Noor </w:t>
      </w:r>
      <w:r w:rsidRPr="00B146C5">
        <w:rPr>
          <w:rFonts w:ascii="Times New Roman" w:eastAsia="Times New Roman" w:hAnsi="Times New Roman" w:cs="Times New Roman"/>
          <w:i/>
          <w:sz w:val="24"/>
          <w:szCs w:val="24"/>
        </w:rPr>
        <w:t xml:space="preserve">et al. </w:t>
      </w:r>
      <w:r w:rsidRPr="00B146C5">
        <w:rPr>
          <w:rFonts w:ascii="Times New Roman" w:eastAsia="Times New Roman" w:hAnsi="Times New Roman" w:cs="Times New Roman"/>
          <w:sz w:val="24"/>
          <w:szCs w:val="24"/>
        </w:rPr>
        <w:t xml:space="preserve">(2023), the theory focuses on calculating organisational net income by subtracting its hidden expenses. Hence, the application of such theory is effective for MNCs to manage internal cost capital.  </w:t>
      </w:r>
    </w:p>
    <w:p w14:paraId="507674E8"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lastRenderedPageBreak/>
        <w:t>Arbitrage Pricing Theory (APT)</w:t>
      </w:r>
      <w:r w:rsidRPr="00B146C5">
        <w:rPr>
          <w:rFonts w:ascii="Times New Roman" w:eastAsia="Times New Roman" w:hAnsi="Times New Roman" w:cs="Times New Roman"/>
          <w:sz w:val="24"/>
          <w:szCs w:val="24"/>
        </w:rPr>
        <w:t xml:space="preserve">: The theory focuses on the asset returns of an organisation which are forecasted through a linear relationship of expected returns of an asset (Nyanga and Qutieshat, 2022), Moreover, MNCs can apply such theory to predict their ROI and maintain an effective relationship between macroeconomic factors and expected business return. At the same time, the theory helps in focusing on various risk factors related to macroeconomics that impact the financial risk management process. Hence, the theory is applied to create a linear relationship between the macroeconomic variables and expected return that generates systematic risk. </w:t>
      </w:r>
    </w:p>
    <w:p w14:paraId="6B6FCB69"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noProof/>
          <w:sz w:val="24"/>
          <w:szCs w:val="24"/>
        </w:rPr>
        <w:drawing>
          <wp:inline distT="114300" distB="114300" distL="114300" distR="114300" wp14:anchorId="4BA49D2B" wp14:editId="052E5091">
            <wp:extent cx="3786188" cy="2132089"/>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3786188" cy="2132089"/>
                    </a:xfrm>
                    <a:prstGeom prst="rect">
                      <a:avLst/>
                    </a:prstGeom>
                    <a:ln w="25400">
                      <a:solidFill>
                        <a:srgbClr val="000000"/>
                      </a:solidFill>
                      <a:prstDash val="solid"/>
                    </a:ln>
                  </pic:spPr>
                </pic:pic>
              </a:graphicData>
            </a:graphic>
          </wp:inline>
        </w:drawing>
      </w:r>
    </w:p>
    <w:p w14:paraId="3ADB60E6" w14:textId="77777777" w:rsidR="00B5512A" w:rsidRPr="00B146C5" w:rsidRDefault="00000000">
      <w:pPr>
        <w:pStyle w:val="Normal1"/>
        <w:spacing w:before="200" w:line="360" w:lineRule="auto"/>
        <w:jc w:val="center"/>
        <w:rPr>
          <w:rFonts w:ascii="Times New Roman" w:eastAsia="Times New Roman" w:hAnsi="Times New Roman" w:cs="Times New Roman"/>
          <w:b/>
          <w:sz w:val="24"/>
          <w:szCs w:val="24"/>
        </w:rPr>
      </w:pPr>
      <w:r w:rsidRPr="00B146C5">
        <w:rPr>
          <w:rFonts w:ascii="Times New Roman" w:eastAsia="Times New Roman" w:hAnsi="Times New Roman" w:cs="Times New Roman"/>
          <w:b/>
          <w:sz w:val="24"/>
          <w:szCs w:val="24"/>
        </w:rPr>
        <w:t>Figure 4: Arbitrage Pricing</w:t>
      </w:r>
    </w:p>
    <w:p w14:paraId="0D2124CF"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(Source: Nyanga and Qutieshat, 2022)</w:t>
      </w:r>
    </w:p>
    <w:p w14:paraId="4B8DD717"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sz w:val="24"/>
          <w:szCs w:val="24"/>
          <w:u w:val="single"/>
        </w:rPr>
        <w:t>Theories of financial structure</w:t>
      </w:r>
    </w:p>
    <w:p w14:paraId="1B81688C"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Pecking Order Theory of capital structure</w:t>
      </w:r>
      <w:r w:rsidRPr="00B146C5">
        <w:rPr>
          <w:rFonts w:ascii="Times New Roman" w:eastAsia="Times New Roman" w:hAnsi="Times New Roman" w:cs="Times New Roman"/>
          <w:sz w:val="24"/>
          <w:szCs w:val="24"/>
        </w:rPr>
        <w:t xml:space="preserve">: The theory indicates that business organisations or MNCs must prefer financial performance internally first by retaining their earning. As indicated by Yıldırım and Celik, (2020), the Pecking Order Theory focuses on equity financing and debt which may impact the capital structure of a business. Therefore, the theory focuses on asymmetric information of a business between outside investors and its management process to maximise its profit. Therefore, it also indicates external financing management becomes more expensive for business organisations than their internal financing. Moreover, financial stability can be prioritised by business organisations over their shareholder wealth maximisation by applying Pecking Order Theory.     </w:t>
      </w:r>
    </w:p>
    <w:p w14:paraId="4E947882"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b/>
          <w:i/>
          <w:sz w:val="24"/>
          <w:szCs w:val="24"/>
        </w:rPr>
        <w:t>Modigliani–Miller theorem</w:t>
      </w:r>
      <w:r w:rsidRPr="00B146C5">
        <w:rPr>
          <w:rFonts w:ascii="Times New Roman" w:eastAsia="Times New Roman" w:hAnsi="Times New Roman" w:cs="Times New Roman"/>
          <w:sz w:val="24"/>
          <w:szCs w:val="24"/>
        </w:rPr>
        <w:t xml:space="preserve">: The theory indicates that the capital structure of an organisation is a valuable factor in maintaining its earnings rather it values the future earnings of the firm. </w:t>
      </w:r>
      <w:r w:rsidRPr="00B146C5">
        <w:rPr>
          <w:rFonts w:ascii="Times New Roman" w:eastAsia="Times New Roman" w:hAnsi="Times New Roman" w:cs="Times New Roman"/>
          <w:sz w:val="24"/>
          <w:szCs w:val="24"/>
        </w:rPr>
        <w:lastRenderedPageBreak/>
        <w:t xml:space="preserve">MNCs apply such a theory to enhance their future earnings as it remains highly influential to them. As per Brusov </w:t>
      </w:r>
      <w:r w:rsidRPr="00B146C5">
        <w:rPr>
          <w:rFonts w:ascii="Times New Roman" w:eastAsia="Times New Roman" w:hAnsi="Times New Roman" w:cs="Times New Roman"/>
          <w:i/>
          <w:sz w:val="24"/>
          <w:szCs w:val="24"/>
        </w:rPr>
        <w:t>et al.</w:t>
      </w:r>
      <w:r w:rsidRPr="00B146C5">
        <w:rPr>
          <w:rFonts w:ascii="Times New Roman" w:eastAsia="Times New Roman" w:hAnsi="Times New Roman" w:cs="Times New Roman"/>
          <w:sz w:val="24"/>
          <w:szCs w:val="24"/>
        </w:rPr>
        <w:t xml:space="preserve"> (2021), the theory a business organisation cannot be impacted by its debt level as the equity financing management process enhances overall firm value. Moreover, the application of such theory in a firm helps to develop its capital structure based on future growth requirements which improves overall proficiency level.    </w:t>
      </w:r>
    </w:p>
    <w:p w14:paraId="30DFEF2A"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noProof/>
          <w:sz w:val="24"/>
          <w:szCs w:val="24"/>
        </w:rPr>
        <w:drawing>
          <wp:inline distT="114300" distB="114300" distL="114300" distR="114300" wp14:anchorId="5CD58B43" wp14:editId="074C7936">
            <wp:extent cx="4559138" cy="237987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a:stretch>
                      <a:fillRect/>
                    </a:stretch>
                  </pic:blipFill>
                  <pic:spPr>
                    <a:xfrm>
                      <a:off x="0" y="0"/>
                      <a:ext cx="4559138" cy="2379870"/>
                    </a:xfrm>
                    <a:prstGeom prst="rect">
                      <a:avLst/>
                    </a:prstGeom>
                    <a:ln w="25400">
                      <a:solidFill>
                        <a:srgbClr val="000000"/>
                      </a:solidFill>
                      <a:prstDash val="solid"/>
                    </a:ln>
                  </pic:spPr>
                </pic:pic>
              </a:graphicData>
            </a:graphic>
          </wp:inline>
        </w:drawing>
      </w:r>
    </w:p>
    <w:p w14:paraId="19E6F33B" w14:textId="77777777" w:rsidR="00B5512A" w:rsidRPr="00B146C5" w:rsidRDefault="00000000">
      <w:pPr>
        <w:pStyle w:val="Normal1"/>
        <w:spacing w:before="200" w:line="360" w:lineRule="auto"/>
        <w:jc w:val="center"/>
        <w:rPr>
          <w:rFonts w:ascii="Times New Roman" w:eastAsia="Times New Roman" w:hAnsi="Times New Roman" w:cs="Times New Roman"/>
          <w:b/>
          <w:sz w:val="24"/>
          <w:szCs w:val="24"/>
        </w:rPr>
      </w:pPr>
      <w:r w:rsidRPr="00B146C5">
        <w:rPr>
          <w:rFonts w:ascii="Times New Roman" w:eastAsia="Times New Roman" w:hAnsi="Times New Roman" w:cs="Times New Roman"/>
          <w:b/>
          <w:sz w:val="24"/>
          <w:szCs w:val="24"/>
        </w:rPr>
        <w:t>Figure 5: Modigliani–Miller Theory</w:t>
      </w:r>
    </w:p>
    <w:p w14:paraId="4C0DD129" w14:textId="77777777" w:rsidR="00B5512A" w:rsidRPr="00B146C5" w:rsidRDefault="00000000">
      <w:pPr>
        <w:pStyle w:val="Normal1"/>
        <w:spacing w:before="200" w:line="360" w:lineRule="auto"/>
        <w:jc w:val="center"/>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 xml:space="preserve">(Source: Brusov </w:t>
      </w:r>
      <w:r w:rsidRPr="00B146C5">
        <w:rPr>
          <w:rFonts w:ascii="Times New Roman" w:eastAsia="Times New Roman" w:hAnsi="Times New Roman" w:cs="Times New Roman"/>
          <w:i/>
          <w:sz w:val="24"/>
          <w:szCs w:val="24"/>
        </w:rPr>
        <w:t>et al.</w:t>
      </w:r>
      <w:r w:rsidRPr="00B146C5">
        <w:rPr>
          <w:rFonts w:ascii="Times New Roman" w:eastAsia="Times New Roman" w:hAnsi="Times New Roman" w:cs="Times New Roman"/>
          <w:sz w:val="24"/>
          <w:szCs w:val="24"/>
        </w:rPr>
        <w:t xml:space="preserve"> 2021)</w:t>
      </w:r>
    </w:p>
    <w:p w14:paraId="491DEA9C" w14:textId="77777777" w:rsidR="00B5512A" w:rsidRPr="00B146C5" w:rsidRDefault="00000000" w:rsidP="002074C9">
      <w:pPr>
        <w:pStyle w:val="Heading1"/>
      </w:pPr>
      <w:bookmarkStart w:id="6" w:name="_x7sm8bkrql6l" w:colFirst="0" w:colLast="0"/>
      <w:bookmarkStart w:id="7" w:name="_Toc154863866"/>
      <w:bookmarkEnd w:id="6"/>
      <w:r w:rsidRPr="00B146C5">
        <w:t>4. Conclusion</w:t>
      </w:r>
      <w:bookmarkEnd w:id="7"/>
      <w:r w:rsidRPr="00B146C5">
        <w:t xml:space="preserve"> </w:t>
      </w:r>
    </w:p>
    <w:p w14:paraId="1BBE3EE9" w14:textId="77777777" w:rsidR="00B5512A" w:rsidRPr="00B146C5" w:rsidRDefault="00000000">
      <w:pPr>
        <w:pStyle w:val="Normal1"/>
        <w:spacing w:before="200" w:line="360" w:lineRule="auto"/>
        <w:jc w:val="both"/>
        <w:rPr>
          <w:rFonts w:ascii="Times New Roman" w:eastAsia="Times New Roman" w:hAnsi="Times New Roman" w:cs="Times New Roman"/>
          <w:sz w:val="24"/>
          <w:szCs w:val="24"/>
        </w:rPr>
      </w:pPr>
      <w:r w:rsidRPr="00B146C5">
        <w:rPr>
          <w:rFonts w:ascii="Times New Roman" w:eastAsia="Times New Roman" w:hAnsi="Times New Roman" w:cs="Times New Roman"/>
          <w:sz w:val="24"/>
          <w:szCs w:val="24"/>
        </w:rPr>
        <w:t xml:space="preserve">It can be summarised after discussing all the financial management theories and strategies of MNCs that, their investment of diversification, managing strategic financial sources, and joint venture strategies are effective to lower the foreign exchange rate. Therefore, theories related to international financial management of MNCs include "Purchasing power parity theory", "Optimum currency area theory", and "Mundell–Fleming model". Therefore, some theories related to corporate governance are also analysed here including "Agency theory of corporate governance" and "Economic Value Added theory". Finally, the theories related to the financial structure management of an organisation include "The Modigliani–Miller Theory" and "Pecking Order Theory of capital structure" theory.     </w:t>
      </w:r>
    </w:p>
    <w:p w14:paraId="6C803B1F" w14:textId="77777777" w:rsidR="00B5512A" w:rsidRPr="00B146C5" w:rsidRDefault="00B5512A">
      <w:pPr>
        <w:pStyle w:val="Normal1"/>
        <w:spacing w:before="200" w:line="360" w:lineRule="auto"/>
        <w:jc w:val="both"/>
        <w:rPr>
          <w:rFonts w:ascii="Times New Roman" w:eastAsia="Times New Roman" w:hAnsi="Times New Roman" w:cs="Times New Roman"/>
          <w:sz w:val="24"/>
          <w:szCs w:val="24"/>
        </w:rPr>
      </w:pPr>
    </w:p>
    <w:p w14:paraId="0E69033C" w14:textId="77777777" w:rsidR="002074C9" w:rsidRPr="00B146C5" w:rsidRDefault="002074C9">
      <w:pPr>
        <w:rPr>
          <w:sz w:val="40"/>
          <w:szCs w:val="40"/>
        </w:rPr>
      </w:pPr>
      <w:r w:rsidRPr="00B146C5">
        <w:br w:type="page"/>
      </w:r>
    </w:p>
    <w:p w14:paraId="6DADC8B8" w14:textId="77777777" w:rsidR="002074C9" w:rsidRPr="00B146C5" w:rsidRDefault="002074C9" w:rsidP="002074C9">
      <w:pPr>
        <w:pStyle w:val="Heading1"/>
      </w:pPr>
      <w:bookmarkStart w:id="8" w:name="_Toc154863867"/>
      <w:r w:rsidRPr="00B146C5">
        <w:lastRenderedPageBreak/>
        <w:t>References</w:t>
      </w:r>
      <w:bookmarkEnd w:id="8"/>
    </w:p>
    <w:p w14:paraId="44EAB05A"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Al-Gasaymeh, A., Ahmed, G., Mehmood, T. and Alzoubi, H.M. (2019). Co-Integration Tests and the Long-Run Purchasing Power Parity: A Case Study of India and Pakistan Currencies. </w:t>
      </w:r>
      <w:r w:rsidRPr="00D11C08">
        <w:rPr>
          <w:rFonts w:ascii="Times New Roman" w:hAnsi="Times New Roman" w:cs="Times New Roman"/>
          <w:i/>
          <w:iCs/>
          <w:sz w:val="24"/>
          <w:szCs w:val="24"/>
        </w:rPr>
        <w:t>Theoretical Economics Letters</w:t>
      </w:r>
      <w:r w:rsidRPr="00D11C08">
        <w:rPr>
          <w:rFonts w:ascii="Times New Roman" w:hAnsi="Times New Roman" w:cs="Times New Roman"/>
          <w:sz w:val="24"/>
          <w:szCs w:val="24"/>
        </w:rPr>
        <w:t>, [online] 09(04), pp.570–583. doi:https://doi.org/10.4236/tel.2019.94040.</w:t>
      </w:r>
    </w:p>
    <w:p w14:paraId="7A7C585D"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Belderbos, R., Tong, T.W. and Wu, S. (2020). Portfolio Configuration and Foreign Entry Decisions: A Juxtaposition of Real Options and Risk Diversification Theories. </w:t>
      </w:r>
      <w:r w:rsidRPr="00D11C08">
        <w:rPr>
          <w:rFonts w:ascii="Times New Roman" w:hAnsi="Times New Roman" w:cs="Times New Roman"/>
          <w:i/>
          <w:iCs/>
          <w:sz w:val="24"/>
          <w:szCs w:val="24"/>
        </w:rPr>
        <w:t>Strategic Management Journal</w:t>
      </w:r>
      <w:r w:rsidRPr="00D11C08">
        <w:rPr>
          <w:rFonts w:ascii="Times New Roman" w:hAnsi="Times New Roman" w:cs="Times New Roman"/>
          <w:sz w:val="24"/>
          <w:szCs w:val="24"/>
        </w:rPr>
        <w:t>. doi:https://doi.org/10.1002/smj.3151.</w:t>
      </w:r>
    </w:p>
    <w:p w14:paraId="0F56E8AA"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Brunnermeier, M., James, H. and Landau, J.-P. (2019). </w:t>
      </w:r>
      <w:r w:rsidRPr="00D11C08">
        <w:rPr>
          <w:rFonts w:ascii="Times New Roman" w:hAnsi="Times New Roman" w:cs="Times New Roman"/>
          <w:i/>
          <w:iCs/>
          <w:sz w:val="24"/>
          <w:szCs w:val="24"/>
        </w:rPr>
        <w:t>Nber Working Paper Series The Digitalization Of Money</w:t>
      </w:r>
      <w:r w:rsidRPr="00D11C08">
        <w:rPr>
          <w:rFonts w:ascii="Times New Roman" w:hAnsi="Times New Roman" w:cs="Times New Roman"/>
          <w:sz w:val="24"/>
          <w:szCs w:val="24"/>
        </w:rPr>
        <w:t xml:space="preserve">. [online] Available at: </w:t>
      </w:r>
      <w:hyperlink r:id="rId13" w:history="1">
        <w:r w:rsidRPr="00D11C08">
          <w:rPr>
            <w:rStyle w:val="Hyperlink"/>
            <w:rFonts w:ascii="Times New Roman" w:hAnsi="Times New Roman" w:cs="Times New Roman"/>
            <w:sz w:val="24"/>
            <w:szCs w:val="24"/>
          </w:rPr>
          <w:t>https://www.nber.org/system/files/working_papers/w26300/w26300.pdf</w:t>
        </w:r>
      </w:hyperlink>
      <w:r w:rsidRPr="00D11C08">
        <w:rPr>
          <w:rFonts w:ascii="Times New Roman" w:hAnsi="Times New Roman" w:cs="Times New Roman"/>
          <w:sz w:val="24"/>
          <w:szCs w:val="24"/>
        </w:rPr>
        <w:t>.</w:t>
      </w:r>
    </w:p>
    <w:p w14:paraId="1428856C"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Brusov, P., Filatova, T., Orekhova, N., Kulik, V., Chang, S.-I. and Lin, G. (2021). Generalization of the Modigliani–Miller Theory for the Case of Variable Profit. </w:t>
      </w:r>
      <w:r w:rsidRPr="00D11C08">
        <w:rPr>
          <w:rFonts w:ascii="Times New Roman" w:hAnsi="Times New Roman" w:cs="Times New Roman"/>
          <w:i/>
          <w:iCs/>
          <w:sz w:val="24"/>
          <w:szCs w:val="24"/>
        </w:rPr>
        <w:t>Mathematics</w:t>
      </w:r>
      <w:r w:rsidRPr="00D11C08">
        <w:rPr>
          <w:rFonts w:ascii="Times New Roman" w:hAnsi="Times New Roman" w:cs="Times New Roman"/>
          <w:sz w:val="24"/>
          <w:szCs w:val="24"/>
        </w:rPr>
        <w:t>, 9(11), p.1286. doi:https://doi.org/10.3390/math9111286.</w:t>
      </w:r>
    </w:p>
    <w:p w14:paraId="71933488"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Mendoza, W. (2019). The Mundell-Fleming Model: A Dirty Float Version. </w:t>
      </w:r>
      <w:r w:rsidRPr="00D11C08">
        <w:rPr>
          <w:rFonts w:ascii="Times New Roman" w:hAnsi="Times New Roman" w:cs="Times New Roman"/>
          <w:i/>
          <w:iCs/>
          <w:sz w:val="24"/>
          <w:szCs w:val="24"/>
        </w:rPr>
        <w:t>Documento de trabajo</w:t>
      </w:r>
      <w:r w:rsidRPr="00D11C08">
        <w:rPr>
          <w:rFonts w:ascii="Times New Roman" w:hAnsi="Times New Roman" w:cs="Times New Roman"/>
          <w:sz w:val="24"/>
          <w:szCs w:val="24"/>
        </w:rPr>
        <w:t>. doi:https://doi.org/10.18800/2079-8474.0477.</w:t>
      </w:r>
    </w:p>
    <w:p w14:paraId="37533D5E"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Naciti, V., Cesaroni, F. and Pulejo, L. (2021). Corporate governance and sustainability: a review of the existing literature. </w:t>
      </w:r>
      <w:r w:rsidRPr="00D11C08">
        <w:rPr>
          <w:rFonts w:ascii="Times New Roman" w:hAnsi="Times New Roman" w:cs="Times New Roman"/>
          <w:i/>
          <w:iCs/>
          <w:sz w:val="24"/>
          <w:szCs w:val="24"/>
        </w:rPr>
        <w:t>Journal of Management and Governance</w:t>
      </w:r>
      <w:r w:rsidRPr="00D11C08">
        <w:rPr>
          <w:rFonts w:ascii="Times New Roman" w:hAnsi="Times New Roman" w:cs="Times New Roman"/>
          <w:sz w:val="24"/>
          <w:szCs w:val="24"/>
        </w:rPr>
        <w:t>, [online] 26, pp.55–74. doi:https://doi.org/10.1007/s10997-020-09554-6.</w:t>
      </w:r>
    </w:p>
    <w:p w14:paraId="0F6611A6"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Noor, A.S., Alam, S., Nohong, M. and Sobarsyah, M. (2023). Influence of Income, Business Expenses, and Business Capital on Net Profit of Business. </w:t>
      </w:r>
      <w:r w:rsidRPr="00D11C08">
        <w:rPr>
          <w:rFonts w:ascii="Times New Roman" w:hAnsi="Times New Roman" w:cs="Times New Roman"/>
          <w:i/>
          <w:iCs/>
          <w:sz w:val="24"/>
          <w:szCs w:val="24"/>
        </w:rPr>
        <w:t>Proceedings of the 7th International Conference on Accounting, Management and Economics (ICAME-7 2022)</w:t>
      </w:r>
      <w:r w:rsidRPr="00D11C08">
        <w:rPr>
          <w:rFonts w:ascii="Times New Roman" w:hAnsi="Times New Roman" w:cs="Times New Roman"/>
          <w:sz w:val="24"/>
          <w:szCs w:val="24"/>
        </w:rPr>
        <w:t>, [online] pp.509–519. doi:https://doi.org/10.2991/978-94-6463-146-3_49.</w:t>
      </w:r>
    </w:p>
    <w:p w14:paraId="59BFC041" w14:textId="77777777" w:rsidR="00F37910" w:rsidRPr="005D1D6A"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Nyanga, C. and Qutieshat, A. (2022). Progress Made towards Consensus on Arbitrage Pricing Theory Macroeconomic Factors: A Brief Review of Literature. </w:t>
      </w:r>
      <w:r w:rsidRPr="00D11C08">
        <w:rPr>
          <w:rFonts w:ascii="Times New Roman" w:hAnsi="Times New Roman" w:cs="Times New Roman"/>
          <w:i/>
          <w:iCs/>
          <w:sz w:val="24"/>
          <w:szCs w:val="24"/>
        </w:rPr>
        <w:t>Open Journal of Business and Management</w:t>
      </w:r>
      <w:r w:rsidRPr="00D11C08">
        <w:rPr>
          <w:rFonts w:ascii="Times New Roman" w:hAnsi="Times New Roman" w:cs="Times New Roman"/>
          <w:sz w:val="24"/>
          <w:szCs w:val="24"/>
        </w:rPr>
        <w:t>, 10(02), pp.789–797. doi:https://doi.org/10.4236/ojbm.2022.102044.</w:t>
      </w:r>
    </w:p>
    <w:p w14:paraId="2C3F6B3C"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lastRenderedPageBreak/>
        <w:t>Subedi, M. and Farazmand, A. (2020). Economic Value Added (EVA) for Performance Evaluation of Public Organizations. </w:t>
      </w:r>
      <w:r w:rsidRPr="00D11C08">
        <w:rPr>
          <w:rFonts w:ascii="Times New Roman" w:hAnsi="Times New Roman" w:cs="Times New Roman"/>
          <w:i/>
          <w:iCs/>
          <w:sz w:val="24"/>
          <w:szCs w:val="24"/>
        </w:rPr>
        <w:t>Public Organization Review</w:t>
      </w:r>
      <w:r w:rsidRPr="00D11C08">
        <w:rPr>
          <w:rFonts w:ascii="Times New Roman" w:hAnsi="Times New Roman" w:cs="Times New Roman"/>
          <w:sz w:val="24"/>
          <w:szCs w:val="24"/>
        </w:rPr>
        <w:t>. doi:https://doi.org/10.1007/s11115-020-00493-2.</w:t>
      </w:r>
    </w:p>
    <w:p w14:paraId="1801ACAC"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Wigwe-Chizindu, V. and Llm (2019). </w:t>
      </w:r>
      <w:r w:rsidRPr="00D11C08">
        <w:rPr>
          <w:rFonts w:ascii="Times New Roman" w:hAnsi="Times New Roman" w:cs="Times New Roman"/>
          <w:i/>
          <w:iCs/>
          <w:sz w:val="24"/>
          <w:szCs w:val="24"/>
        </w:rPr>
        <w:t>JOINT VENTURE AND PRODUCTION SHARING CONTRACTS IN LESS DEVELOPED COUNTRIES -A CRITICAL LEGAL ANALYSIS</w:t>
      </w:r>
      <w:r w:rsidRPr="00D11C08">
        <w:rPr>
          <w:rFonts w:ascii="Times New Roman" w:hAnsi="Times New Roman" w:cs="Times New Roman"/>
          <w:sz w:val="24"/>
          <w:szCs w:val="24"/>
        </w:rPr>
        <w:t xml:space="preserve">. [online] Available at: </w:t>
      </w:r>
      <w:hyperlink r:id="rId14" w:history="1">
        <w:r w:rsidRPr="00D11C08">
          <w:rPr>
            <w:rStyle w:val="Hyperlink"/>
            <w:rFonts w:ascii="Times New Roman" w:hAnsi="Times New Roman" w:cs="Times New Roman"/>
            <w:sz w:val="24"/>
            <w:szCs w:val="24"/>
          </w:rPr>
          <w:t>https://wlv.openrepository.com/bitstream/handle/2436/622664/Wigwe-Chizindu_PhD_Thesis.pdf?sequence=1&amp;isAllowed=y</w:t>
        </w:r>
      </w:hyperlink>
      <w:r w:rsidRPr="00D11C08">
        <w:rPr>
          <w:rFonts w:ascii="Times New Roman" w:hAnsi="Times New Roman" w:cs="Times New Roman"/>
          <w:sz w:val="24"/>
          <w:szCs w:val="24"/>
        </w:rPr>
        <w:t>.</w:t>
      </w:r>
    </w:p>
    <w:p w14:paraId="134A0E17" w14:textId="77777777" w:rsidR="00F37910" w:rsidRPr="00D11C08" w:rsidRDefault="00F37910" w:rsidP="00F37910">
      <w:pPr>
        <w:spacing w:before="240" w:line="360" w:lineRule="auto"/>
        <w:jc w:val="both"/>
        <w:rPr>
          <w:rFonts w:ascii="Times New Roman" w:hAnsi="Times New Roman" w:cs="Times New Roman"/>
          <w:sz w:val="24"/>
          <w:szCs w:val="24"/>
        </w:rPr>
      </w:pPr>
      <w:r w:rsidRPr="00D11C08">
        <w:rPr>
          <w:rFonts w:ascii="Times New Roman" w:hAnsi="Times New Roman" w:cs="Times New Roman"/>
          <w:sz w:val="24"/>
          <w:szCs w:val="24"/>
        </w:rPr>
        <w:t>Yıldırım, D. and Celik, A.K. (2020). Testing the pecking order theory of capital structure: Evidence from Turkey using panel quantile regression approach. </w:t>
      </w:r>
      <w:r w:rsidRPr="00D11C08">
        <w:rPr>
          <w:rFonts w:ascii="Times New Roman" w:hAnsi="Times New Roman" w:cs="Times New Roman"/>
          <w:i/>
          <w:iCs/>
          <w:sz w:val="24"/>
          <w:szCs w:val="24"/>
        </w:rPr>
        <w:t>Borsa Istanbul Review</w:t>
      </w:r>
      <w:r w:rsidRPr="00D11C08">
        <w:rPr>
          <w:rFonts w:ascii="Times New Roman" w:hAnsi="Times New Roman" w:cs="Times New Roman"/>
          <w:sz w:val="24"/>
          <w:szCs w:val="24"/>
        </w:rPr>
        <w:t>, 21(4). doi:https://doi.org/10.1016/j.bir.2020.11.002.</w:t>
      </w:r>
    </w:p>
    <w:p w14:paraId="15D7D480" w14:textId="77777777" w:rsidR="00B5512A" w:rsidRPr="00B146C5" w:rsidRDefault="00B5512A">
      <w:pPr>
        <w:pStyle w:val="Normal1"/>
        <w:spacing w:before="200" w:line="360" w:lineRule="auto"/>
        <w:jc w:val="both"/>
        <w:rPr>
          <w:rFonts w:ascii="Times New Roman" w:eastAsia="Times New Roman" w:hAnsi="Times New Roman" w:cs="Times New Roman"/>
          <w:sz w:val="24"/>
          <w:szCs w:val="24"/>
        </w:rPr>
      </w:pPr>
    </w:p>
    <w:p w14:paraId="13FFE7A1" w14:textId="77777777" w:rsidR="00B5512A" w:rsidRPr="00B146C5" w:rsidRDefault="00B5512A">
      <w:pPr>
        <w:pStyle w:val="Normal1"/>
        <w:spacing w:before="200" w:line="360" w:lineRule="auto"/>
        <w:jc w:val="both"/>
        <w:rPr>
          <w:rFonts w:ascii="Times New Roman" w:eastAsia="Times New Roman" w:hAnsi="Times New Roman" w:cs="Times New Roman"/>
          <w:sz w:val="24"/>
          <w:szCs w:val="24"/>
        </w:rPr>
      </w:pPr>
    </w:p>
    <w:p w14:paraId="5B65CDA6" w14:textId="77777777" w:rsidR="00B5512A" w:rsidRPr="00B146C5" w:rsidRDefault="00B5512A">
      <w:pPr>
        <w:pStyle w:val="Normal1"/>
        <w:spacing w:before="200" w:line="360" w:lineRule="auto"/>
        <w:jc w:val="both"/>
        <w:rPr>
          <w:rFonts w:ascii="Times New Roman" w:eastAsia="Times New Roman" w:hAnsi="Times New Roman" w:cs="Times New Roman"/>
        </w:rPr>
      </w:pPr>
    </w:p>
    <w:sectPr w:rsidR="00B5512A" w:rsidRPr="00B146C5" w:rsidSect="002074C9">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EC60D" w14:textId="77777777" w:rsidR="004B3305" w:rsidRDefault="004B3305" w:rsidP="002074C9">
      <w:pPr>
        <w:spacing w:line="240" w:lineRule="auto"/>
      </w:pPr>
      <w:r>
        <w:separator/>
      </w:r>
    </w:p>
  </w:endnote>
  <w:endnote w:type="continuationSeparator" w:id="0">
    <w:p w14:paraId="4C267EA7" w14:textId="77777777" w:rsidR="004B3305" w:rsidRDefault="004B3305" w:rsidP="002074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035461134"/>
      <w:docPartObj>
        <w:docPartGallery w:val="Page Numbers (Bottom of Page)"/>
        <w:docPartUnique/>
      </w:docPartObj>
    </w:sdtPr>
    <w:sdtEndPr>
      <w:rPr>
        <w:noProof/>
      </w:rPr>
    </w:sdtEndPr>
    <w:sdtContent>
      <w:p w14:paraId="65A9C2CA" w14:textId="77777777" w:rsidR="002074C9" w:rsidRPr="002074C9" w:rsidRDefault="002074C9">
        <w:pPr>
          <w:pStyle w:val="Footer"/>
          <w:jc w:val="right"/>
          <w:rPr>
            <w:rFonts w:ascii="Times New Roman" w:hAnsi="Times New Roman" w:cs="Times New Roman"/>
            <w:sz w:val="20"/>
            <w:szCs w:val="20"/>
          </w:rPr>
        </w:pPr>
        <w:r w:rsidRPr="002074C9">
          <w:rPr>
            <w:rFonts w:ascii="Times New Roman" w:hAnsi="Times New Roman" w:cs="Times New Roman"/>
            <w:sz w:val="20"/>
            <w:szCs w:val="20"/>
          </w:rPr>
          <w:fldChar w:fldCharType="begin"/>
        </w:r>
        <w:r w:rsidRPr="002074C9">
          <w:rPr>
            <w:rFonts w:ascii="Times New Roman" w:hAnsi="Times New Roman" w:cs="Times New Roman"/>
            <w:sz w:val="20"/>
            <w:szCs w:val="20"/>
          </w:rPr>
          <w:instrText xml:space="preserve"> PAGE   \* MERGEFORMAT </w:instrText>
        </w:r>
        <w:r w:rsidRPr="002074C9">
          <w:rPr>
            <w:rFonts w:ascii="Times New Roman" w:hAnsi="Times New Roman" w:cs="Times New Roman"/>
            <w:sz w:val="20"/>
            <w:szCs w:val="20"/>
          </w:rPr>
          <w:fldChar w:fldCharType="separate"/>
        </w:r>
        <w:r w:rsidRPr="002074C9">
          <w:rPr>
            <w:rFonts w:ascii="Times New Roman" w:hAnsi="Times New Roman" w:cs="Times New Roman"/>
            <w:noProof/>
            <w:sz w:val="20"/>
            <w:szCs w:val="20"/>
          </w:rPr>
          <w:t>2</w:t>
        </w:r>
        <w:r w:rsidRPr="002074C9">
          <w:rPr>
            <w:rFonts w:ascii="Times New Roman" w:hAnsi="Times New Roman" w:cs="Times New Roman"/>
            <w:noProof/>
            <w:sz w:val="20"/>
            <w:szCs w:val="20"/>
          </w:rPr>
          <w:fldChar w:fldCharType="end"/>
        </w:r>
      </w:p>
    </w:sdtContent>
  </w:sdt>
  <w:p w14:paraId="3CA29B3F" w14:textId="77777777" w:rsidR="002074C9" w:rsidRPr="002074C9" w:rsidRDefault="002074C9">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89525" w14:textId="77777777" w:rsidR="004B3305" w:rsidRDefault="004B3305" w:rsidP="002074C9">
      <w:pPr>
        <w:spacing w:line="240" w:lineRule="auto"/>
      </w:pPr>
      <w:r>
        <w:separator/>
      </w:r>
    </w:p>
  </w:footnote>
  <w:footnote w:type="continuationSeparator" w:id="0">
    <w:p w14:paraId="20BCEFC3" w14:textId="77777777" w:rsidR="004B3305" w:rsidRDefault="004B3305" w:rsidP="002074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12A"/>
    <w:rsid w:val="00017ECF"/>
    <w:rsid w:val="00186868"/>
    <w:rsid w:val="002074C9"/>
    <w:rsid w:val="003C2169"/>
    <w:rsid w:val="004B3305"/>
    <w:rsid w:val="004B688D"/>
    <w:rsid w:val="006D6DD8"/>
    <w:rsid w:val="00AF1D01"/>
    <w:rsid w:val="00B146C5"/>
    <w:rsid w:val="00B5512A"/>
    <w:rsid w:val="00C25471"/>
    <w:rsid w:val="00C63699"/>
    <w:rsid w:val="00CC4185"/>
    <w:rsid w:val="00E463A8"/>
    <w:rsid w:val="00F37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500C32"/>
  <w15:docId w15:val="{31B08C47-36E8-4894-B78D-544B822A2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074C9"/>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074C9"/>
    <w:pPr>
      <w:tabs>
        <w:tab w:val="center" w:pos="4680"/>
        <w:tab w:val="right" w:pos="9360"/>
      </w:tabs>
      <w:spacing w:line="240" w:lineRule="auto"/>
    </w:pPr>
  </w:style>
  <w:style w:type="character" w:customStyle="1" w:styleId="HeaderChar">
    <w:name w:val="Header Char"/>
    <w:basedOn w:val="DefaultParagraphFont"/>
    <w:link w:val="Header"/>
    <w:uiPriority w:val="99"/>
    <w:rsid w:val="002074C9"/>
  </w:style>
  <w:style w:type="paragraph" w:styleId="Footer">
    <w:name w:val="footer"/>
    <w:basedOn w:val="Normal"/>
    <w:link w:val="FooterChar"/>
    <w:uiPriority w:val="99"/>
    <w:unhideWhenUsed/>
    <w:rsid w:val="002074C9"/>
    <w:pPr>
      <w:tabs>
        <w:tab w:val="center" w:pos="4680"/>
        <w:tab w:val="right" w:pos="9360"/>
      </w:tabs>
      <w:spacing w:line="240" w:lineRule="auto"/>
    </w:pPr>
  </w:style>
  <w:style w:type="character" w:customStyle="1" w:styleId="FooterChar">
    <w:name w:val="Footer Char"/>
    <w:basedOn w:val="DefaultParagraphFont"/>
    <w:link w:val="Footer"/>
    <w:uiPriority w:val="99"/>
    <w:rsid w:val="002074C9"/>
  </w:style>
  <w:style w:type="character" w:styleId="Hyperlink">
    <w:name w:val="Hyperlink"/>
    <w:basedOn w:val="DefaultParagraphFont"/>
    <w:uiPriority w:val="99"/>
    <w:unhideWhenUsed/>
    <w:rsid w:val="002074C9"/>
    <w:rPr>
      <w:color w:val="0000FF" w:themeColor="hyperlink"/>
      <w:u w:val="single"/>
    </w:rPr>
  </w:style>
  <w:style w:type="paragraph" w:styleId="TOCHeading">
    <w:name w:val="TOC Heading"/>
    <w:basedOn w:val="Heading1"/>
    <w:next w:val="Normal"/>
    <w:uiPriority w:val="39"/>
    <w:unhideWhenUsed/>
    <w:qFormat/>
    <w:rsid w:val="00C6369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636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ber.org/system/files/working_papers/w26300/w26300.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lv.openrepository.com/bitstream/handle/2436/622664/Wigwe-Chizindu_PhD_Thesis.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63F08-6372-4A94-ABBE-82CB1CF6D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10</Pages>
  <Words>2072</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Paolina Markova</cp:lastModifiedBy>
  <cp:revision>11</cp:revision>
  <dcterms:created xsi:type="dcterms:W3CDTF">2023-12-30T15:34:00Z</dcterms:created>
  <dcterms:modified xsi:type="dcterms:W3CDTF">2023-12-31T11:14:00Z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e8a778c4769c4ab3f7eccd3f2feb316bd3033bf9f788fb5b717fca8276866af5</vt:lpwstr>
  </property>
</Properties>
</file>