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31D48D0E" w:rsidP="185A08F2" w:rsidRDefault="31D48D0E" w14:paraId="181126DB" w14:textId="1371C4B4">
      <w:pPr>
        <w:ind w:left="-20" w:right="-20"/>
        <w:rPr>
          <w:rFonts w:ascii="Calibri" w:hAnsi="Calibri" w:eastAsia="Calibri" w:cs="Calibri"/>
        </w:rPr>
      </w:pPr>
      <w:r w:rsidRPr="1B885C5D" w:rsidR="31D48D0E">
        <w:rPr>
          <w:rFonts w:ascii="Calibri" w:hAnsi="Calibri" w:eastAsia="Calibri" w:cs="Calibri"/>
        </w:rPr>
        <w:t xml:space="preserve">The Offences Against Persons Act of 1861 will be discussed in this essay, along with instances of crimes in modern society that still use outdated wording. The Act, which outlines a few offences, including assault, manslaughter, and murder, still has an impact on the terminology used in court cases today. Through an analysis of contemporary </w:t>
      </w:r>
      <w:r w:rsidRPr="1B885C5D" w:rsidR="6903D221">
        <w:rPr>
          <w:rFonts w:ascii="Calibri" w:hAnsi="Calibri" w:eastAsia="Calibri" w:cs="Calibri"/>
        </w:rPr>
        <w:t>usage</w:t>
      </w:r>
      <w:r w:rsidRPr="1B885C5D" w:rsidR="3188C580">
        <w:rPr>
          <w:rFonts w:ascii="Calibri" w:hAnsi="Calibri" w:eastAsia="Calibri" w:cs="Calibri"/>
        </w:rPr>
        <w:t>,</w:t>
      </w:r>
      <w:r w:rsidRPr="1B885C5D" w:rsidR="6903D221">
        <w:rPr>
          <w:rFonts w:ascii="Calibri" w:hAnsi="Calibri" w:eastAsia="Calibri" w:cs="Calibri"/>
        </w:rPr>
        <w:t xml:space="preserve"> we</w:t>
      </w:r>
      <w:r w:rsidRPr="1B885C5D" w:rsidR="31D48D0E">
        <w:rPr>
          <w:rFonts w:ascii="Calibri" w:hAnsi="Calibri" w:eastAsia="Calibri" w:cs="Calibri"/>
        </w:rPr>
        <w:t xml:space="preserve"> can</w:t>
      </w:r>
      <w:r w:rsidRPr="1B885C5D" w:rsidR="6F7313A5">
        <w:rPr>
          <w:rFonts w:ascii="Calibri" w:hAnsi="Calibri" w:eastAsia="Calibri" w:cs="Calibri"/>
        </w:rPr>
        <w:t xml:space="preserve"> </w:t>
      </w:r>
      <w:r w:rsidRPr="1B885C5D" w:rsidR="4191F086">
        <w:rPr>
          <w:rFonts w:ascii="Calibri" w:hAnsi="Calibri" w:eastAsia="Calibri" w:cs="Calibri"/>
        </w:rPr>
        <w:t xml:space="preserve">gain a deeper comprehension of the enduring influence of 19th-century law on our legal framework. Examining offences against an individual that do not result in </w:t>
      </w:r>
      <w:r w:rsidRPr="1B885C5D" w:rsidR="31D48D0E">
        <w:rPr>
          <w:rFonts w:ascii="Calibri" w:hAnsi="Calibri" w:eastAsia="Calibri" w:cs="Calibri"/>
        </w:rPr>
        <w:t xml:space="preserve">death, like assault or battery that causes physical harm, will also reveal how the language of the Act has changed over time to cover a greater variety of illegal actions. In addition, a review of recent cases and interpretations of the Act can point to areas for modification that would better </w:t>
      </w:r>
      <w:r w:rsidRPr="1B885C5D" w:rsidR="31D48D0E">
        <w:rPr>
          <w:rFonts w:ascii="Calibri" w:hAnsi="Calibri" w:eastAsia="Calibri" w:cs="Calibri"/>
        </w:rPr>
        <w:t>represent</w:t>
      </w:r>
      <w:r w:rsidRPr="1B885C5D" w:rsidR="31D48D0E">
        <w:rPr>
          <w:rFonts w:ascii="Calibri" w:hAnsi="Calibri" w:eastAsia="Calibri" w:cs="Calibri"/>
        </w:rPr>
        <w:t xml:space="preserve"> the norms and values of modern </w:t>
      </w:r>
      <w:r w:rsidRPr="1B885C5D" w:rsidR="061939FA">
        <w:rPr>
          <w:rFonts w:ascii="Calibri" w:hAnsi="Calibri" w:eastAsia="Calibri" w:cs="Calibri"/>
        </w:rPr>
        <w:t>society.</w:t>
      </w:r>
      <w:commentRangeStart w:id="2"/>
      <w:r w:rsidRPr="1B885C5D" w:rsidR="31D48D0E">
        <w:rPr>
          <w:rFonts w:ascii="Calibri" w:hAnsi="Calibri" w:eastAsia="Calibri" w:cs="Calibri"/>
        </w:rPr>
        <w:t xml:space="preserve"> </w:t>
      </w:r>
      <w:commentRangeEnd w:id="2"/>
      <w:r>
        <w:rPr>
          <w:rStyle w:val="CommentReference"/>
        </w:rPr>
        <w:commentReference w:id="2"/>
      </w:r>
    </w:p>
    <w:p w:rsidR="7871D1DA" w:rsidP="1B885C5D" w:rsidRDefault="7871D1DA" w14:paraId="0F4F08AA" w14:textId="0D55A0F7">
      <w:pPr>
        <w:pStyle w:val="Normal"/>
        <w:ind w:left="-20" w:right="-20"/>
        <w:rPr>
          <w:rFonts w:ascii="Calibri" w:hAnsi="Calibri" w:eastAsia="Calibri" w:cs="Calibri"/>
        </w:rPr>
      </w:pPr>
      <w:r w:rsidRPr="1B885C5D" w:rsidR="558FB77A">
        <w:rPr>
          <w:rFonts w:ascii="Calibri" w:hAnsi="Calibri" w:eastAsia="Calibri" w:cs="Calibri"/>
        </w:rPr>
        <w:t xml:space="preserve"> </w:t>
      </w:r>
      <w:r w:rsidRPr="1B885C5D" w:rsidR="7871D1DA">
        <w:rPr>
          <w:rFonts w:ascii="Calibri" w:hAnsi="Calibri" w:eastAsia="Calibri" w:cs="Calibri"/>
        </w:rPr>
        <w:t xml:space="preserve">The </w:t>
      </w:r>
      <w:r w:rsidRPr="1B885C5D" w:rsidR="771A09B6">
        <w:rPr>
          <w:rFonts w:ascii="Calibri" w:hAnsi="Calibri" w:eastAsia="Calibri" w:cs="Calibri"/>
        </w:rPr>
        <w:t xml:space="preserve">OAPA 1861 </w:t>
      </w:r>
      <w:r w:rsidRPr="1B885C5D" w:rsidR="7871D1DA">
        <w:rPr>
          <w:rFonts w:ascii="Calibri" w:hAnsi="Calibri" w:eastAsia="Calibri" w:cs="Calibri"/>
        </w:rPr>
        <w:t xml:space="preserve">was enacted to protect individuals and address </w:t>
      </w:r>
      <w:r w:rsidRPr="1B885C5D" w:rsidR="7871D1DA">
        <w:rPr>
          <w:rFonts w:ascii="Calibri" w:hAnsi="Calibri" w:eastAsia="Calibri" w:cs="Calibri"/>
        </w:rPr>
        <w:t>pertaining to</w:t>
      </w:r>
      <w:r w:rsidRPr="1B885C5D" w:rsidR="7871D1DA">
        <w:rPr>
          <w:rFonts w:ascii="Calibri" w:hAnsi="Calibri" w:eastAsia="Calibri" w:cs="Calibri"/>
        </w:rPr>
        <w:t xml:space="preserve"> violence and injury against them. This law provides precise standards for prosecution and punishment for a wide </w:t>
      </w:r>
      <w:r>
        <w:tab/>
      </w:r>
      <w:r w:rsidRPr="1B885C5D" w:rsidR="7871D1DA">
        <w:rPr>
          <w:rFonts w:ascii="Calibri" w:hAnsi="Calibri" w:eastAsia="Calibri" w:cs="Calibri"/>
        </w:rPr>
        <w:t xml:space="preserve"> of </w:t>
      </w:r>
      <w:r w:rsidRPr="1B885C5D" w:rsidR="7871D1DA">
        <w:rPr>
          <w:rFonts w:ascii="Calibri" w:hAnsi="Calibri" w:eastAsia="Calibri" w:cs="Calibri"/>
        </w:rPr>
        <w:t>offences, such as assault</w:t>
      </w:r>
      <w:r w:rsidRPr="1B885C5D" w:rsidR="07749991">
        <w:rPr>
          <w:rFonts w:ascii="Calibri" w:hAnsi="Calibri" w:eastAsia="Calibri" w:cs="Calibri"/>
        </w:rPr>
        <w:t xml:space="preserve"> and</w:t>
      </w:r>
      <w:r w:rsidRPr="1B885C5D" w:rsidR="7871D1DA">
        <w:rPr>
          <w:rFonts w:ascii="Calibri" w:hAnsi="Calibri" w:eastAsia="Calibri" w:cs="Calibri"/>
        </w:rPr>
        <w:t xml:space="preserve"> grievous bodily </w:t>
      </w:r>
      <w:r w:rsidRPr="1B885C5D" w:rsidR="4EAE52A5">
        <w:rPr>
          <w:rFonts w:ascii="Calibri" w:hAnsi="Calibri" w:eastAsia="Calibri" w:cs="Calibri"/>
        </w:rPr>
        <w:t>injury</w:t>
      </w:r>
      <w:r w:rsidRPr="1B885C5D" w:rsidR="6346C202">
        <w:rPr>
          <w:rFonts w:ascii="Calibri" w:hAnsi="Calibri" w:eastAsia="Calibri" w:cs="Calibri"/>
        </w:rPr>
        <w:t>.</w:t>
      </w:r>
      <w:r w:rsidRPr="1B885C5D" w:rsidR="4EAE52A5">
        <w:rPr>
          <w:rFonts w:ascii="Calibri" w:hAnsi="Calibri" w:eastAsia="Calibri" w:cs="Calibri"/>
        </w:rPr>
        <w:t xml:space="preserve"> according</w:t>
      </w:r>
      <w:commentRangeStart w:id="6"/>
      <w:r w:rsidRPr="1B885C5D" w:rsidR="7871D1DA">
        <w:rPr>
          <w:rFonts w:ascii="Calibri" w:hAnsi="Calibri" w:eastAsia="Calibri" w:cs="Calibri"/>
        </w:rPr>
        <w:t xml:space="preserve"> to the Law Commission Report (2015</w:t>
      </w:r>
      <w:r w:rsidRPr="1B885C5D" w:rsidR="7871D1DA">
        <w:rPr>
          <w:rFonts w:ascii="Calibri" w:hAnsi="Calibri" w:eastAsia="Calibri" w:cs="Calibri"/>
        </w:rPr>
        <w:t xml:space="preserve">), </w:t>
      </w:r>
      <w:r w:rsidRPr="1B885C5D" w:rsidR="6A787C5D">
        <w:rPr>
          <w:rFonts w:ascii="Calibri" w:hAnsi="Calibri" w:eastAsia="Calibri" w:cs="Calibri"/>
        </w:rPr>
        <w:t>OAPA ensuring that it continues to be applicable and efficient in shielding people from harm.</w:t>
      </w:r>
      <w:r w:rsidRPr="1B885C5D" w:rsidR="7871D1DA">
        <w:rPr>
          <w:rFonts w:ascii="Calibri" w:hAnsi="Calibri" w:eastAsia="Calibri" w:cs="Calibri"/>
        </w:rPr>
        <w:t xml:space="preserve"> better</w:t>
      </w:r>
      <w:r w:rsidRPr="1B885C5D" w:rsidR="7871D1DA">
        <w:rPr>
          <w:rFonts w:ascii="Calibri" w:hAnsi="Calibri" w:eastAsia="Calibri" w:cs="Calibri"/>
        </w:rPr>
        <w:t xml:space="preserve"> address contemporary harm, the </w:t>
      </w:r>
      <w:r w:rsidRPr="1B885C5D" w:rsidR="75209935">
        <w:rPr>
          <w:rFonts w:ascii="Calibri" w:hAnsi="Calibri" w:eastAsia="Calibri" w:cs="Calibri"/>
        </w:rPr>
        <w:t>OAPA ensuring</w:t>
      </w:r>
      <w:r w:rsidRPr="1B885C5D" w:rsidR="7871D1DA">
        <w:rPr>
          <w:rFonts w:ascii="Calibri" w:hAnsi="Calibri" w:eastAsia="Calibri" w:cs="Calibri"/>
        </w:rPr>
        <w:t xml:space="preserve"> that it continues to be applicable and efficient in shielding people from harm.</w:t>
      </w:r>
      <w:r w:rsidRPr="1B885C5D" w:rsidR="2E00C53E">
        <w:rPr>
          <w:rFonts w:ascii="Calibri" w:hAnsi="Calibri" w:eastAsia="Calibri" w:cs="Calibri"/>
        </w:rPr>
        <w:t xml:space="preserve"> </w:t>
      </w:r>
      <w:commentRangeEnd w:id="6"/>
      <w:r>
        <w:rPr>
          <w:rStyle w:val="CommentReference"/>
        </w:rPr>
        <w:commentReference w:id="6"/>
      </w:r>
      <w:r w:rsidRPr="1B885C5D" w:rsidR="7871D1DA">
        <w:rPr>
          <w:rFonts w:ascii="Calibri" w:hAnsi="Calibri" w:eastAsia="Calibri" w:cs="Calibri"/>
        </w:rPr>
        <w:t xml:space="preserve">Furthermore, assault and battery charges result in more than 100,000 prosecutions annually. Consequently, by </w:t>
      </w:r>
      <w:commentRangeStart w:id="7"/>
      <w:r w:rsidRPr="1B885C5D" w:rsidR="7871D1DA">
        <w:rPr>
          <w:rFonts w:ascii="Calibri" w:hAnsi="Calibri" w:eastAsia="Calibri" w:cs="Calibri"/>
        </w:rPr>
        <w:t>replacing "bodily" with "physical integrity"</w:t>
      </w:r>
      <w:r w:rsidRPr="1B885C5D" w:rsidR="625BADB1">
        <w:rPr>
          <w:rFonts w:ascii="Calibri" w:hAnsi="Calibri" w:eastAsia="Calibri" w:cs="Calibri"/>
        </w:rPr>
        <w:t xml:space="preserve"> within </w:t>
      </w:r>
      <w:r w:rsidRPr="1B885C5D" w:rsidR="750B3EBB">
        <w:rPr>
          <w:rFonts w:ascii="Calibri" w:hAnsi="Calibri" w:eastAsia="Calibri" w:cs="Calibri"/>
        </w:rPr>
        <w:t>S</w:t>
      </w:r>
      <w:r w:rsidRPr="1B885C5D" w:rsidR="625BADB1">
        <w:rPr>
          <w:rFonts w:ascii="Calibri" w:hAnsi="Calibri" w:eastAsia="Calibri" w:cs="Calibri"/>
        </w:rPr>
        <w:t>47</w:t>
      </w:r>
      <w:r w:rsidRPr="1B885C5D" w:rsidR="7871D1DA">
        <w:rPr>
          <w:rFonts w:ascii="Calibri" w:hAnsi="Calibri" w:eastAsia="Calibri" w:cs="Calibri"/>
        </w:rPr>
        <w:t xml:space="preserve">. </w:t>
      </w:r>
      <w:commentRangeEnd w:id="7"/>
      <w:r>
        <w:rPr>
          <w:rStyle w:val="CommentReference"/>
        </w:rPr>
        <w:commentReference w:id="7"/>
      </w:r>
      <w:r w:rsidRPr="1B885C5D" w:rsidR="3E962422">
        <w:rPr>
          <w:rFonts w:ascii="Calibri" w:hAnsi="Calibri" w:eastAsia="Calibri" w:cs="Calibri"/>
        </w:rPr>
        <w:t>W</w:t>
      </w:r>
      <w:r w:rsidRPr="1B885C5D" w:rsidR="7871D1DA">
        <w:rPr>
          <w:rFonts w:ascii="Calibri" w:hAnsi="Calibri" w:eastAsia="Calibri" w:cs="Calibri"/>
        </w:rPr>
        <w:t>ould</w:t>
      </w:r>
      <w:r w:rsidRPr="1B885C5D" w:rsidR="3E962422">
        <w:rPr>
          <w:rFonts w:ascii="Calibri" w:hAnsi="Calibri" w:eastAsia="Calibri" w:cs="Calibri"/>
        </w:rPr>
        <w:t>,</w:t>
      </w:r>
      <w:r w:rsidRPr="1B885C5D" w:rsidR="7871D1DA">
        <w:rPr>
          <w:rFonts w:ascii="Calibri" w:hAnsi="Calibri" w:eastAsia="Calibri" w:cs="Calibri"/>
        </w:rPr>
        <w:t xml:space="preserve"> address the changing nature of harm in society and aid in </w:t>
      </w:r>
      <w:r w:rsidRPr="1B885C5D" w:rsidR="7871D1DA">
        <w:rPr>
          <w:rFonts w:ascii="Calibri" w:hAnsi="Calibri" w:eastAsia="Calibri" w:cs="Calibri"/>
        </w:rPr>
        <w:t>maintaining</w:t>
      </w:r>
      <w:r w:rsidRPr="1B885C5D" w:rsidR="7871D1DA">
        <w:rPr>
          <w:rFonts w:ascii="Calibri" w:hAnsi="Calibri" w:eastAsia="Calibri" w:cs="Calibri"/>
        </w:rPr>
        <w:t xml:space="preserve"> the efficacy and integrity of the legal system. In addition, periodic examinations and revisions of laws can aid in addressing latest problems and preserving public confidence in the legal system.</w:t>
      </w:r>
    </w:p>
    <w:p w:rsidR="560109A2" w:rsidP="1B885C5D" w:rsidRDefault="560109A2" w14:paraId="4B33FEF7" w14:textId="48D639C8">
      <w:pPr>
        <w:ind w:left="-20" w:right="-20"/>
        <w:rPr>
          <w:rFonts w:ascii="Calibri" w:hAnsi="Calibri" w:eastAsia="Calibri" w:cs="Calibri"/>
        </w:rPr>
      </w:pPr>
    </w:p>
    <w:p w:rsidR="560109A2" w:rsidP="185A08F2" w:rsidRDefault="560109A2" w14:paraId="580A803C" w14:textId="5AF2E996">
      <w:pPr>
        <w:ind w:left="-20" w:right="-20"/>
        <w:rPr>
          <w:rFonts w:ascii="Calibri" w:hAnsi="Calibri" w:eastAsia="Calibri" w:cs="Calibri"/>
        </w:rPr>
      </w:pPr>
      <w:r w:rsidRPr="1B885C5D" w:rsidR="04B9C3D3">
        <w:rPr>
          <w:rFonts w:ascii="Calibri" w:hAnsi="Calibri" w:eastAsia="Calibri" w:cs="Calibri"/>
        </w:rPr>
        <w:t xml:space="preserve">According to the </w:t>
      </w:r>
      <w:r w:rsidRPr="1B885C5D" w:rsidR="442C9BBA">
        <w:rPr>
          <w:rFonts w:ascii="Calibri" w:hAnsi="Calibri" w:eastAsia="Calibri" w:cs="Calibri"/>
        </w:rPr>
        <w:t>L</w:t>
      </w:r>
      <w:r w:rsidRPr="1B885C5D" w:rsidR="04B9C3D3">
        <w:rPr>
          <w:rFonts w:ascii="Calibri" w:hAnsi="Calibri" w:eastAsia="Calibri" w:cs="Calibri"/>
        </w:rPr>
        <w:t xml:space="preserve">aw </w:t>
      </w:r>
      <w:r w:rsidRPr="1B885C5D" w:rsidR="3167862B">
        <w:rPr>
          <w:rFonts w:ascii="Calibri" w:hAnsi="Calibri" w:eastAsia="Calibri" w:cs="Calibri"/>
        </w:rPr>
        <w:t>C</w:t>
      </w:r>
      <w:r w:rsidRPr="1B885C5D" w:rsidR="04B9C3D3">
        <w:rPr>
          <w:rFonts w:ascii="Calibri" w:hAnsi="Calibri" w:eastAsia="Calibri" w:cs="Calibri"/>
        </w:rPr>
        <w:t>ommission (2015)</w:t>
      </w:r>
      <w:r w:rsidRPr="1B885C5D" w:rsidR="65E16D8C">
        <w:rPr>
          <w:rFonts w:ascii="Calibri" w:hAnsi="Calibri" w:eastAsia="Calibri" w:cs="Calibri"/>
        </w:rPr>
        <w:t>,</w:t>
      </w:r>
      <w:r w:rsidRPr="1B885C5D" w:rsidR="04B9C3D3">
        <w:rPr>
          <w:rFonts w:ascii="Calibri" w:hAnsi="Calibri" w:eastAsia="Calibri" w:cs="Calibri"/>
        </w:rPr>
        <w:t xml:space="preserve"> reform of the </w:t>
      </w:r>
      <w:r w:rsidRPr="1B885C5D" w:rsidR="442B53EB">
        <w:rPr>
          <w:rFonts w:ascii="Calibri" w:hAnsi="Calibri" w:eastAsia="Calibri" w:cs="Calibri"/>
        </w:rPr>
        <w:t>OPAPA</w:t>
      </w:r>
      <w:r w:rsidRPr="1B885C5D" w:rsidR="04B9C3D3">
        <w:rPr>
          <w:rFonts w:ascii="Calibri" w:hAnsi="Calibri" w:eastAsia="Calibri" w:cs="Calibri"/>
        </w:rPr>
        <w:t xml:space="preserve"> 1861 is necessary</w:t>
      </w:r>
      <w:r w:rsidRPr="1B885C5D" w:rsidR="560109A2">
        <w:rPr>
          <w:rFonts w:ascii="Calibri" w:hAnsi="Calibri" w:eastAsia="Calibri" w:cs="Calibri"/>
        </w:rPr>
        <w:t xml:space="preserve"> as it is more logically arranged, professionally written, and readable. The Law Commission (2015) suggests creating a new offence called "aggravated assault" to close the gap between common assault and serious actual bodily harm. This new offence would </w:t>
      </w:r>
      <w:r w:rsidRPr="1B885C5D" w:rsidR="560109A2">
        <w:rPr>
          <w:rFonts w:ascii="Calibri" w:hAnsi="Calibri" w:eastAsia="Calibri" w:cs="Calibri"/>
        </w:rPr>
        <w:t>provide</w:t>
      </w:r>
      <w:r w:rsidRPr="1B885C5D" w:rsidR="560109A2">
        <w:rPr>
          <w:rFonts w:ascii="Calibri" w:hAnsi="Calibri" w:eastAsia="Calibri" w:cs="Calibri"/>
        </w:rPr>
        <w:t xml:space="preserve"> clearer guidance for judges and juries when determining </w:t>
      </w:r>
      <w:r w:rsidRPr="1B885C5D" w:rsidR="560109A2">
        <w:rPr>
          <w:rFonts w:ascii="Calibri" w:hAnsi="Calibri" w:eastAsia="Calibri" w:cs="Calibri"/>
        </w:rPr>
        <w:t>appropriate sentencing</w:t>
      </w:r>
      <w:r w:rsidRPr="1B885C5D" w:rsidR="560109A2">
        <w:rPr>
          <w:rFonts w:ascii="Calibri" w:hAnsi="Calibri" w:eastAsia="Calibri" w:cs="Calibri"/>
        </w:rPr>
        <w:t xml:space="preserve"> for cases falling between the two existing offences. Additionally, the proposed changes aim to</w:t>
      </w:r>
      <w:r w:rsidRPr="1B885C5D" w:rsidR="44BE1F2B">
        <w:rPr>
          <w:rFonts w:ascii="Calibri" w:hAnsi="Calibri" w:eastAsia="Calibri" w:cs="Calibri"/>
        </w:rPr>
        <w:t xml:space="preserve"> </w:t>
      </w:r>
      <w:r w:rsidRPr="1B885C5D" w:rsidR="560109A2">
        <w:rPr>
          <w:rFonts w:ascii="Calibri" w:hAnsi="Calibri" w:eastAsia="Calibri" w:cs="Calibri"/>
        </w:rPr>
        <w:t xml:space="preserve">streamline the legal framework surrounding violent offences. The list of offences that constitute as threats to kill also includes threats of significant injury and rape. The maximum penalty for someone found guilty of ABH is five years in </w:t>
      </w:r>
      <w:r w:rsidRPr="1B885C5D" w:rsidR="6644DEF9">
        <w:rPr>
          <w:rFonts w:ascii="Calibri" w:hAnsi="Calibri" w:eastAsia="Calibri" w:cs="Calibri"/>
        </w:rPr>
        <w:t>prison (Miller, 2023)</w:t>
      </w:r>
      <w:r w:rsidRPr="1B885C5D" w:rsidR="560109A2">
        <w:rPr>
          <w:rFonts w:ascii="Calibri" w:hAnsi="Calibri" w:eastAsia="Calibri" w:cs="Calibri"/>
        </w:rPr>
        <w:t xml:space="preserve"> however, the </w:t>
      </w:r>
      <w:r w:rsidRPr="1B885C5D" w:rsidR="560109A2">
        <w:rPr>
          <w:rFonts w:ascii="Calibri" w:hAnsi="Calibri" w:eastAsia="Calibri" w:cs="Calibri"/>
        </w:rPr>
        <w:t>maximum</w:t>
      </w:r>
      <w:r w:rsidRPr="1B885C5D" w:rsidR="560109A2">
        <w:rPr>
          <w:rFonts w:ascii="Calibri" w:hAnsi="Calibri" w:eastAsia="Calibri" w:cs="Calibri"/>
        </w:rPr>
        <w:t xml:space="preserve"> sentence can be life in prison if evidence of intentional GBH is proven. </w:t>
      </w:r>
      <w:r w:rsidRPr="1B885C5D" w:rsidR="560109A2">
        <w:rPr>
          <w:rFonts w:ascii="Calibri" w:hAnsi="Calibri" w:eastAsia="Calibri" w:cs="Calibri"/>
        </w:rPr>
        <w:t xml:space="preserve">It is important for individuals to understand the severity of these offences and the potential consequences they may face if found guilty. Seeking legal advice and representation is crucial when facing charges related to threats to kill, ABH, or GBH. This is because even inadvertent violent acts have the </w:t>
      </w:r>
      <w:r w:rsidRPr="1B885C5D" w:rsidR="560109A2">
        <w:rPr>
          <w:rFonts w:ascii="Calibri" w:hAnsi="Calibri" w:eastAsia="Calibri" w:cs="Calibri"/>
        </w:rPr>
        <w:t>potential to seriously injure the victim—both mentally and physically. Consequently, regardless of motivation, it is critical that people are aware of the possible repercussions of their acts.</w:t>
      </w:r>
    </w:p>
    <w:p w:rsidR="185A08F2" w:rsidP="185A08F2" w:rsidRDefault="185A08F2" w14:paraId="558F4675" w14:textId="77462E69">
      <w:pPr>
        <w:ind w:left="-20" w:right="-20"/>
        <w:rPr>
          <w:rFonts w:ascii="Calibri" w:hAnsi="Calibri" w:eastAsia="Calibri" w:cs="Calibri"/>
        </w:rPr>
      </w:pPr>
    </w:p>
    <w:p w:rsidR="28E4A5AF" w:rsidP="185A08F2" w:rsidRDefault="28E4A5AF" w14:paraId="65F5A8C4" w14:textId="7CC3932C">
      <w:pPr>
        <w:ind w:left="-20" w:right="-20"/>
        <w:rPr>
          <w:rFonts w:ascii="Calibri" w:hAnsi="Calibri" w:eastAsia="Calibri" w:cs="Calibri"/>
        </w:rPr>
      </w:pPr>
      <w:commentRangeStart w:id="11"/>
      <w:r w:rsidRPr="185A08F2">
        <w:rPr>
          <w:rFonts w:ascii="Calibri" w:hAnsi="Calibri" w:eastAsia="Calibri" w:cs="Calibri"/>
        </w:rPr>
        <w:t xml:space="preserve">The two essential components that make up the components of a non-fatal offence are the actus reus, or guilty act, and the men's rea, or guilty thought. For each crime, additional requirements might need to be met. The Act covers a broad range of offences, including those that are often referred to as ABH and GBH, although it does not expressly categorise them according to their severity. It is challenging for the criminal justice system to accurately apply the law due to varying legal definitions. This problem is aptly shown by contemporary major crimes, particularly those involving recklessness. Recklessness was defined by the court in R v. Cunningham (1957) as actions that are "out of date" and do not adhere to the norms and conventions of modern society. Consequently, </w:t>
      </w:r>
      <w:r w:rsidRPr="185A08F2" w:rsidR="0B7D0893">
        <w:rPr>
          <w:rFonts w:ascii="Calibri" w:hAnsi="Calibri" w:eastAsia="Calibri" w:cs="Calibri"/>
        </w:rPr>
        <w:t>to</w:t>
      </w:r>
      <w:r w:rsidRPr="185A08F2">
        <w:rPr>
          <w:rFonts w:ascii="Calibri" w:hAnsi="Calibri" w:eastAsia="Calibri" w:cs="Calibri"/>
        </w:rPr>
        <w:t xml:space="preserve"> redefine criminal offences, legal reform is required. This is important because the outdated language may lead to misunderstandings and uneven judicial decisions. To ensure justice and equity for all parties, the terminology and meanings used in the criminal justice system should adapt to society." Legal reform is essential to ensure that criminal laws remain relevant and effective in addressing contemporary issues. By updating definitions and terminology, the criminal justice system can better serve the needs of society and promote fairness in judicial decisions.</w:t>
      </w:r>
      <w:commentRangeEnd w:id="11"/>
      <w:r w:rsidR="00A54A9C">
        <w:rPr>
          <w:rStyle w:val="CommentReference"/>
        </w:rPr>
        <w:commentReference w:id="11"/>
      </w:r>
    </w:p>
    <w:p w:rsidR="185A08F2" w:rsidP="185A08F2" w:rsidRDefault="185A08F2" w14:paraId="3F7B70D2" w14:textId="57A73872">
      <w:pPr>
        <w:ind w:left="-20" w:right="-20"/>
        <w:rPr>
          <w:rFonts w:ascii="Calibri" w:hAnsi="Calibri" w:eastAsia="Calibri" w:cs="Calibri"/>
        </w:rPr>
      </w:pPr>
    </w:p>
    <w:p w:rsidR="5051D5C4" w:rsidP="185A08F2" w:rsidRDefault="5051D5C4" w14:paraId="74489D83" w14:textId="0875C939">
      <w:pPr>
        <w:ind w:left="-20" w:right="-20"/>
        <w:rPr>
          <w:rFonts w:ascii="Calibri" w:hAnsi="Calibri" w:eastAsia="Calibri" w:cs="Calibri"/>
        </w:rPr>
      </w:pPr>
      <w:r w:rsidRPr="1B885C5D" w:rsidR="5051D5C4">
        <w:rPr>
          <w:rFonts w:ascii="Calibri" w:hAnsi="Calibri" w:eastAsia="Calibri" w:cs="Calibri"/>
        </w:rPr>
        <w:t>The</w:t>
      </w:r>
      <w:r w:rsidRPr="1B885C5D" w:rsidR="2BC088A9">
        <w:rPr>
          <w:rFonts w:ascii="Calibri" w:hAnsi="Calibri" w:eastAsia="Calibri" w:cs="Calibri"/>
        </w:rPr>
        <w:t>re are</w:t>
      </w:r>
      <w:r w:rsidRPr="1B885C5D" w:rsidR="5051D5C4">
        <w:rPr>
          <w:rFonts w:ascii="Calibri" w:hAnsi="Calibri" w:eastAsia="Calibri" w:cs="Calibri"/>
        </w:rPr>
        <w:t xml:space="preserve"> many offences, including assault, battery, and harassment, are listed in this act, along with the associated punishments and protocols that govern how these cases are handled by the criminal court system</w:t>
      </w:r>
      <w:r w:rsidRPr="1B885C5D" w:rsidR="4E9D7295">
        <w:rPr>
          <w:rFonts w:ascii="Calibri" w:hAnsi="Calibri" w:eastAsia="Calibri" w:cs="Calibri"/>
        </w:rPr>
        <w:t xml:space="preserve"> (</w:t>
      </w:r>
      <w:r w:rsidRPr="1B885C5D" w:rsidR="4E9D7295">
        <w:rPr>
          <w:rFonts w:ascii="Calibri" w:hAnsi="Calibri" w:eastAsia="Calibri" w:cs="Calibri"/>
        </w:rPr>
        <w:t>Eugenicos</w:t>
      </w:r>
      <w:r w:rsidRPr="1B885C5D" w:rsidR="4E9D7295">
        <w:rPr>
          <w:rFonts w:ascii="Calibri" w:hAnsi="Calibri" w:eastAsia="Calibri" w:cs="Calibri"/>
        </w:rPr>
        <w:t>, 2017)</w:t>
      </w:r>
      <w:r w:rsidRPr="1B885C5D" w:rsidR="5051D5C4">
        <w:rPr>
          <w:rFonts w:ascii="Calibri" w:hAnsi="Calibri" w:eastAsia="Calibri" w:cs="Calibri"/>
        </w:rPr>
        <w:t xml:space="preserve">. Assault resulting in actual bodily harm, malicious wounding or causing grievous bodily harm, and assault with intent to cause grievous bodily harm are the main crimes under the act. </w:t>
      </w:r>
      <w:r w:rsidRPr="1B885C5D" w:rsidR="5051D5C4">
        <w:rPr>
          <w:rFonts w:ascii="Calibri" w:hAnsi="Calibri" w:eastAsia="Calibri" w:cs="Calibri"/>
        </w:rPr>
        <w:t>The severity of these transgressions varies, as do the punishments associated with them. depending on the facts of the case and the victim's injuries.</w:t>
      </w:r>
      <w:r w:rsidRPr="1B885C5D" w:rsidR="5051D5C4">
        <w:rPr>
          <w:rFonts w:ascii="Calibri" w:hAnsi="Calibri" w:eastAsia="Calibri" w:cs="Calibri"/>
        </w:rPr>
        <w:t xml:space="preserve"> For the Criminal Law Act to effectively prevent and address criminal activity, people must be aware of their rights and obligations. People should also be conscious of the possible repercussions of their acts and how they might affect other people (</w:t>
      </w:r>
      <w:r w:rsidRPr="1B885C5D" w:rsidR="5051D5C4">
        <w:rPr>
          <w:rFonts w:ascii="Calibri" w:hAnsi="Calibri" w:eastAsia="Calibri" w:cs="Calibri"/>
        </w:rPr>
        <w:t>Maculan</w:t>
      </w:r>
      <w:r w:rsidRPr="1B885C5D" w:rsidR="5051D5C4">
        <w:rPr>
          <w:rFonts w:ascii="Calibri" w:hAnsi="Calibri" w:eastAsia="Calibri" w:cs="Calibri"/>
        </w:rPr>
        <w:t xml:space="preserve">, Gil </w:t>
      </w:r>
      <w:bookmarkStart w:name="_Int_mnUoGZrp" w:id="13"/>
      <w:r w:rsidRPr="1B885C5D" w:rsidR="5051D5C4">
        <w:rPr>
          <w:rFonts w:ascii="Calibri" w:hAnsi="Calibri" w:eastAsia="Calibri" w:cs="Calibri"/>
        </w:rPr>
        <w:t>Gil</w:t>
      </w:r>
      <w:bookmarkEnd w:id="13"/>
      <w:r w:rsidRPr="1B885C5D" w:rsidR="5051D5C4">
        <w:rPr>
          <w:rFonts w:ascii="Calibri" w:hAnsi="Calibri" w:eastAsia="Calibri" w:cs="Calibri"/>
        </w:rPr>
        <w:t>, 2020).</w:t>
      </w:r>
    </w:p>
    <w:p w:rsidR="458584A0" w:rsidP="185A08F2" w:rsidRDefault="458584A0" w14:paraId="1CAD4081" w14:textId="7E16EFEA">
      <w:pPr>
        <w:ind w:left="-20" w:right="-20"/>
        <w:rPr>
          <w:rFonts w:ascii="Calibri" w:hAnsi="Calibri" w:eastAsia="Calibri" w:cs="Calibri"/>
        </w:rPr>
      </w:pPr>
      <w:r w:rsidRPr="185A08F2">
        <w:rPr>
          <w:rFonts w:ascii="Calibri" w:hAnsi="Calibri" w:eastAsia="Calibri" w:cs="Calibri"/>
        </w:rPr>
        <w:t xml:space="preserve">Even though they are GBH crimes, sections 18 and 47 </w:t>
      </w:r>
      <w:r w:rsidRPr="185A08F2" w:rsidR="41822387">
        <w:rPr>
          <w:rFonts w:ascii="Calibri" w:hAnsi="Calibri" w:eastAsia="Calibri" w:cs="Calibri"/>
        </w:rPr>
        <w:t xml:space="preserve">(legislation 2023) </w:t>
      </w:r>
      <w:r w:rsidRPr="185A08F2">
        <w:rPr>
          <w:rFonts w:ascii="Calibri" w:hAnsi="Calibri" w:eastAsia="Calibri" w:cs="Calibri"/>
        </w:rPr>
        <w:t xml:space="preserve">state that there are different degrees of </w:t>
      </w:r>
      <w:commentRangeStart w:id="14"/>
      <w:r w:rsidRPr="185A08F2">
        <w:rPr>
          <w:rFonts w:ascii="Calibri" w:hAnsi="Calibri" w:eastAsia="Calibri" w:cs="Calibri"/>
        </w:rPr>
        <w:t xml:space="preserve">severity depending on the situation. </w:t>
      </w:r>
      <w:commentRangeEnd w:id="14"/>
      <w:r w:rsidR="00E44111">
        <w:rPr>
          <w:rStyle w:val="CommentReference"/>
        </w:rPr>
        <w:commentReference w:id="14"/>
      </w:r>
      <w:r w:rsidRPr="185A08F2">
        <w:rPr>
          <w:rFonts w:ascii="Calibri" w:hAnsi="Calibri" w:eastAsia="Calibri" w:cs="Calibri"/>
        </w:rPr>
        <w:t xml:space="preserve">For instance, although section 47 deals with actual physical harm, section 18 deals with serious bodily damage done with malice. The potential fines imposed by the court may vary depending on how serious the offence was. Section 18 deals with intentional severe bodily harm, whereas section 47 deals with actual </w:t>
      </w:r>
      <w:r w:rsidRPr="185A08F2">
        <w:rPr>
          <w:rFonts w:ascii="Calibri" w:hAnsi="Calibri" w:eastAsia="Calibri" w:cs="Calibri"/>
        </w:rPr>
        <w:lastRenderedPageBreak/>
        <w:t>physical harm, whether intentional or not. The court will take into consideration the circumstances of the case, such as the intent of the offender and the extent of harm caused, when determining the appropriate punishment. It is important to seek legal advice if you are facing charges related to GBH crimes to understand your rights and options.</w:t>
      </w:r>
    </w:p>
    <w:p w:rsidR="185A08F2" w:rsidP="185A08F2" w:rsidRDefault="185A08F2" w14:paraId="1D91FD1C" w14:textId="5BCE5FD8">
      <w:pPr>
        <w:ind w:left="-20" w:right="-20"/>
        <w:rPr>
          <w:rFonts w:ascii="Calibri" w:hAnsi="Calibri" w:eastAsia="Calibri" w:cs="Calibri"/>
          <w:i/>
          <w:iCs/>
        </w:rPr>
      </w:pPr>
    </w:p>
    <w:p w:rsidR="185A08F2" w:rsidP="185A08F2" w:rsidRDefault="185A08F2" w14:paraId="4284BC98" w14:textId="2BD6B98E">
      <w:pPr>
        <w:ind w:left="-20" w:right="-20"/>
        <w:rPr>
          <w:rFonts w:ascii="Calibri" w:hAnsi="Calibri" w:eastAsia="Calibri" w:cs="Calibri"/>
          <w:i/>
          <w:iCs/>
        </w:rPr>
      </w:pPr>
    </w:p>
    <w:p w:rsidR="185A08F2" w:rsidP="185A08F2" w:rsidRDefault="185A08F2" w14:paraId="0C475A60" w14:textId="1981F313">
      <w:pPr>
        <w:ind w:left="-20" w:right="-20"/>
        <w:rPr>
          <w:rFonts w:ascii="Calibri" w:hAnsi="Calibri" w:eastAsia="Calibri" w:cs="Calibri"/>
          <w:i/>
          <w:iCs/>
        </w:rPr>
      </w:pPr>
    </w:p>
    <w:p w:rsidR="185A08F2" w:rsidP="185A08F2" w:rsidRDefault="185A08F2" w14:paraId="6B88EAD9" w14:textId="2A391C89">
      <w:pPr>
        <w:ind w:left="-20" w:right="-20"/>
        <w:rPr>
          <w:rFonts w:ascii="Calibri" w:hAnsi="Calibri" w:eastAsia="Calibri" w:cs="Calibri"/>
          <w:i/>
          <w:iCs/>
        </w:rPr>
      </w:pPr>
    </w:p>
    <w:p w:rsidR="185A08F2" w:rsidP="185A08F2" w:rsidRDefault="185A08F2" w14:paraId="6984786F" w14:textId="1A038EA7">
      <w:pPr>
        <w:ind w:left="-20" w:right="-20"/>
        <w:rPr>
          <w:rFonts w:ascii="Calibri" w:hAnsi="Calibri" w:eastAsia="Calibri" w:cs="Calibri"/>
          <w:i/>
          <w:iCs/>
        </w:rPr>
      </w:pPr>
    </w:p>
    <w:p w:rsidR="185A08F2" w:rsidP="185A08F2" w:rsidRDefault="185A08F2" w14:paraId="1CAD9483" w14:textId="3554DE97">
      <w:pPr>
        <w:ind w:left="-20" w:right="-20"/>
        <w:rPr>
          <w:rFonts w:ascii="Calibri" w:hAnsi="Calibri" w:eastAsia="Calibri" w:cs="Calibri"/>
          <w:i/>
          <w:iCs/>
        </w:rPr>
      </w:pPr>
    </w:p>
    <w:p w:rsidR="185A08F2" w:rsidP="185A08F2" w:rsidRDefault="185A08F2" w14:paraId="049231D8" w14:textId="679E2721">
      <w:pPr>
        <w:ind w:left="-20" w:right="-20"/>
        <w:rPr>
          <w:rFonts w:ascii="Calibri" w:hAnsi="Calibri" w:eastAsia="Calibri" w:cs="Calibri"/>
          <w:i/>
          <w:iCs/>
        </w:rPr>
      </w:pPr>
    </w:p>
    <w:p w:rsidR="185A08F2" w:rsidP="185A08F2" w:rsidRDefault="185A08F2" w14:paraId="4BF5FC05" w14:textId="31F9C88E">
      <w:pPr>
        <w:ind w:left="-20" w:right="-20"/>
        <w:rPr>
          <w:rFonts w:ascii="Calibri" w:hAnsi="Calibri" w:eastAsia="Calibri" w:cs="Calibri"/>
          <w:i/>
          <w:iCs/>
        </w:rPr>
      </w:pPr>
    </w:p>
    <w:p w:rsidR="185A08F2" w:rsidP="185A08F2" w:rsidRDefault="185A08F2" w14:paraId="45E49617" w14:textId="0B9EF038">
      <w:pPr>
        <w:ind w:left="-20" w:right="-20"/>
        <w:rPr>
          <w:rFonts w:ascii="Calibri" w:hAnsi="Calibri" w:eastAsia="Calibri" w:cs="Calibri"/>
          <w:i/>
          <w:iCs/>
        </w:rPr>
      </w:pPr>
    </w:p>
    <w:p w:rsidR="185A08F2" w:rsidP="185A08F2" w:rsidRDefault="185A08F2" w14:paraId="38468861" w14:textId="2EA88A89">
      <w:pPr>
        <w:ind w:left="-20" w:right="-20"/>
        <w:rPr>
          <w:rFonts w:ascii="Calibri" w:hAnsi="Calibri" w:eastAsia="Calibri" w:cs="Calibri"/>
          <w:i/>
          <w:iCs/>
        </w:rPr>
      </w:pPr>
    </w:p>
    <w:p w:rsidR="185A08F2" w:rsidP="185A08F2" w:rsidRDefault="185A08F2" w14:paraId="55D40BCD" w14:textId="567569C1">
      <w:pPr>
        <w:ind w:left="-20" w:right="-20"/>
        <w:rPr>
          <w:rFonts w:ascii="Calibri" w:hAnsi="Calibri" w:eastAsia="Calibri" w:cs="Calibri"/>
          <w:i/>
          <w:iCs/>
        </w:rPr>
      </w:pPr>
    </w:p>
    <w:p w:rsidR="185A08F2" w:rsidP="185A08F2" w:rsidRDefault="185A08F2" w14:paraId="27DBE43D" w14:textId="680D04BA">
      <w:pPr>
        <w:ind w:left="-20" w:right="-20"/>
        <w:rPr>
          <w:rFonts w:ascii="Calibri" w:hAnsi="Calibri" w:eastAsia="Calibri" w:cs="Calibri"/>
          <w:i/>
          <w:iCs/>
        </w:rPr>
      </w:pPr>
    </w:p>
    <w:p w:rsidR="185A08F2" w:rsidP="185A08F2" w:rsidRDefault="185A08F2" w14:paraId="6BB843B6" w14:textId="79087EBB">
      <w:pPr>
        <w:ind w:left="-20" w:right="-20"/>
        <w:rPr>
          <w:rFonts w:ascii="Calibri" w:hAnsi="Calibri" w:eastAsia="Calibri" w:cs="Calibri"/>
          <w:i/>
          <w:iCs/>
        </w:rPr>
      </w:pPr>
    </w:p>
    <w:p w:rsidR="185A08F2" w:rsidP="185A08F2" w:rsidRDefault="185A08F2" w14:paraId="4B53D4C5" w14:textId="3BD03201">
      <w:pPr>
        <w:ind w:left="-20" w:right="-20"/>
        <w:rPr>
          <w:rFonts w:ascii="Calibri" w:hAnsi="Calibri" w:eastAsia="Calibri" w:cs="Calibri"/>
          <w:i/>
          <w:iCs/>
        </w:rPr>
      </w:pPr>
    </w:p>
    <w:p w:rsidR="185A08F2" w:rsidP="185A08F2" w:rsidRDefault="185A08F2" w14:paraId="3B42B819" w14:textId="4BB8BF58">
      <w:pPr>
        <w:ind w:left="-20" w:right="-20"/>
        <w:rPr>
          <w:rFonts w:ascii="Calibri" w:hAnsi="Calibri" w:eastAsia="Calibri" w:cs="Calibri"/>
          <w:i/>
          <w:iCs/>
        </w:rPr>
      </w:pPr>
    </w:p>
    <w:p w:rsidR="185A08F2" w:rsidP="185A08F2" w:rsidRDefault="185A08F2" w14:paraId="5D83F734" w14:textId="0AD38637">
      <w:pPr>
        <w:ind w:left="-20" w:right="-20"/>
        <w:rPr>
          <w:rFonts w:ascii="Calibri" w:hAnsi="Calibri" w:eastAsia="Calibri" w:cs="Calibri"/>
          <w:i/>
          <w:iCs/>
        </w:rPr>
      </w:pPr>
    </w:p>
    <w:p w:rsidR="185A08F2" w:rsidP="185A08F2" w:rsidRDefault="185A08F2" w14:paraId="145D9183" w14:textId="276320F5">
      <w:pPr>
        <w:ind w:left="-20" w:right="-20"/>
        <w:rPr>
          <w:rFonts w:ascii="Calibri" w:hAnsi="Calibri" w:eastAsia="Calibri" w:cs="Calibri"/>
          <w:i/>
          <w:iCs/>
        </w:rPr>
      </w:pPr>
    </w:p>
    <w:p w:rsidR="185A08F2" w:rsidP="185A08F2" w:rsidRDefault="185A08F2" w14:paraId="3D07AAAB" w14:textId="1CBF54D2">
      <w:pPr>
        <w:ind w:left="-20" w:right="-20"/>
        <w:rPr>
          <w:rFonts w:ascii="Calibri" w:hAnsi="Calibri" w:eastAsia="Calibri" w:cs="Calibri"/>
          <w:i/>
          <w:iCs/>
        </w:rPr>
      </w:pPr>
    </w:p>
    <w:p w:rsidR="185A08F2" w:rsidP="185A08F2" w:rsidRDefault="185A08F2" w14:paraId="774C8734" w14:textId="33102E22">
      <w:pPr>
        <w:ind w:left="-20" w:right="-20"/>
        <w:rPr>
          <w:rFonts w:ascii="Calibri" w:hAnsi="Calibri" w:eastAsia="Calibri" w:cs="Calibri"/>
          <w:i/>
          <w:iCs/>
        </w:rPr>
      </w:pPr>
    </w:p>
    <w:p w:rsidR="185A08F2" w:rsidP="185A08F2" w:rsidRDefault="185A08F2" w14:paraId="6ABCF6E4" w14:textId="0DA9709F">
      <w:pPr>
        <w:ind w:left="-20" w:right="-20"/>
        <w:rPr>
          <w:rFonts w:ascii="Calibri" w:hAnsi="Calibri" w:eastAsia="Calibri" w:cs="Calibri"/>
          <w:i/>
          <w:iCs/>
        </w:rPr>
      </w:pPr>
    </w:p>
    <w:p w:rsidR="185A08F2" w:rsidP="185A08F2" w:rsidRDefault="185A08F2" w14:paraId="399B9D8D" w14:textId="78550112">
      <w:pPr>
        <w:ind w:left="-20" w:right="-20"/>
        <w:rPr>
          <w:rFonts w:ascii="Calibri" w:hAnsi="Calibri" w:eastAsia="Calibri" w:cs="Calibri"/>
          <w:i/>
          <w:iCs/>
        </w:rPr>
      </w:pPr>
    </w:p>
    <w:p w:rsidR="185A08F2" w:rsidP="185A08F2" w:rsidRDefault="185A08F2" w14:paraId="2DF84BA7" w14:textId="20D2EF34">
      <w:pPr>
        <w:ind w:left="-20" w:right="-20"/>
        <w:rPr>
          <w:rFonts w:ascii="Calibri" w:hAnsi="Calibri" w:eastAsia="Calibri" w:cs="Calibri"/>
          <w:i/>
          <w:iCs/>
        </w:rPr>
      </w:pPr>
    </w:p>
    <w:p w:rsidR="185A08F2" w:rsidP="185A08F2" w:rsidRDefault="185A08F2" w14:paraId="01EED011" w14:textId="339FE4E2">
      <w:pPr>
        <w:ind w:left="-20" w:right="-20"/>
        <w:rPr>
          <w:rFonts w:ascii="Calibri" w:hAnsi="Calibri" w:eastAsia="Calibri" w:cs="Calibri"/>
          <w:i/>
          <w:iCs/>
        </w:rPr>
      </w:pPr>
    </w:p>
    <w:p w:rsidR="185A08F2" w:rsidP="185A08F2" w:rsidRDefault="185A08F2" w14:paraId="0D694749" w14:textId="7A2B0A90">
      <w:pPr>
        <w:rPr>
          <w:rFonts w:ascii="Calibri" w:hAnsi="Calibri" w:eastAsia="Calibri" w:cs="Calibri"/>
          <w:highlight w:val="yellow"/>
        </w:rPr>
      </w:pPr>
    </w:p>
    <w:p w:rsidR="1B885C5D" w:rsidP="1B885C5D" w:rsidRDefault="1B885C5D" w14:paraId="303FBA3A" w14:textId="5D7CF7DE">
      <w:pPr>
        <w:rPr>
          <w:rFonts w:ascii="Calibri" w:hAnsi="Calibri" w:eastAsia="Calibri" w:cs="Calibri"/>
          <w:highlight w:val="yellow"/>
        </w:rPr>
      </w:pPr>
    </w:p>
    <w:p w:rsidR="1B885C5D" w:rsidP="1B885C5D" w:rsidRDefault="1B885C5D" w14:paraId="2A6C02C9" w14:textId="2F4A64ED">
      <w:pPr>
        <w:rPr>
          <w:rFonts w:ascii="Calibri" w:hAnsi="Calibri" w:eastAsia="Calibri" w:cs="Calibri"/>
          <w:highlight w:val="yellow"/>
        </w:rPr>
      </w:pPr>
    </w:p>
    <w:p w:rsidR="1B885C5D" w:rsidP="1B885C5D" w:rsidRDefault="1B885C5D" w14:paraId="461ACF29" w14:textId="469D66D1">
      <w:pPr>
        <w:rPr>
          <w:rFonts w:ascii="Calibri" w:hAnsi="Calibri" w:eastAsia="Calibri" w:cs="Calibri"/>
          <w:highlight w:val="yellow"/>
        </w:rPr>
      </w:pPr>
    </w:p>
    <w:p w:rsidR="1B885C5D" w:rsidP="1B885C5D" w:rsidRDefault="1B885C5D" w14:paraId="5EAE4CCB" w14:textId="784BD246">
      <w:pPr>
        <w:rPr>
          <w:rFonts w:ascii="Calibri" w:hAnsi="Calibri" w:eastAsia="Calibri" w:cs="Calibri"/>
          <w:highlight w:val="yellow"/>
        </w:rPr>
      </w:pPr>
    </w:p>
    <w:p w:rsidR="4A7809C4" w:rsidP="185A08F2" w:rsidRDefault="4A7809C4" w14:paraId="12ED93B7" w14:textId="41B0E468">
      <w:pPr>
        <w:rPr>
          <w:rFonts w:ascii="Calibri" w:hAnsi="Calibri" w:eastAsia="Calibri" w:cs="Calibri"/>
          <w:highlight w:val="yellow"/>
        </w:rPr>
      </w:pPr>
      <w:r w:rsidRPr="185A08F2">
        <w:rPr>
          <w:rFonts w:ascii="Calibri" w:hAnsi="Calibri" w:eastAsia="Calibri" w:cs="Calibri"/>
          <w:highlight w:val="yellow"/>
        </w:rPr>
        <w:t>Reference list</w:t>
      </w:r>
    </w:p>
    <w:p w:rsidR="527B2BC1" w:rsidP="185A08F2" w:rsidRDefault="527B2BC1" w14:paraId="2BDE8B63" w14:textId="20C1447C">
      <w:pPr>
        <w:rPr>
          <w:rFonts w:ascii="Calibri" w:hAnsi="Calibri" w:eastAsia="Calibri" w:cs="Calibri"/>
        </w:rPr>
      </w:pPr>
      <w:proofErr w:type="spellStart"/>
      <w:r w:rsidRPr="185A08F2">
        <w:rPr>
          <w:rFonts w:ascii="Calibri" w:hAnsi="Calibri" w:eastAsia="Calibri" w:cs="Calibri"/>
        </w:rPr>
        <w:t>Maculan</w:t>
      </w:r>
      <w:proofErr w:type="spellEnd"/>
      <w:r w:rsidRPr="185A08F2">
        <w:rPr>
          <w:rFonts w:ascii="Calibri" w:hAnsi="Calibri" w:eastAsia="Calibri" w:cs="Calibri"/>
        </w:rPr>
        <w:t xml:space="preserve">, E., &amp; Gil </w:t>
      </w:r>
      <w:bookmarkStart w:name="_Int_sgqM0eBz" w:id="15"/>
      <w:proofErr w:type="spellStart"/>
      <w:r w:rsidRPr="185A08F2">
        <w:rPr>
          <w:rFonts w:ascii="Calibri" w:hAnsi="Calibri" w:eastAsia="Calibri" w:cs="Calibri"/>
        </w:rPr>
        <w:t>Gil</w:t>
      </w:r>
      <w:bookmarkEnd w:id="15"/>
      <w:proofErr w:type="spellEnd"/>
      <w:r w:rsidRPr="185A08F2">
        <w:rPr>
          <w:rFonts w:ascii="Calibri" w:hAnsi="Calibri" w:eastAsia="Calibri" w:cs="Calibri"/>
        </w:rPr>
        <w:t xml:space="preserve">, A. (2020). The Rationale and Purposes of Criminal Law and Punishment in Transitional Contexts. </w:t>
      </w:r>
      <w:r w:rsidRPr="185A08F2">
        <w:rPr>
          <w:rFonts w:ascii="Calibri" w:hAnsi="Calibri" w:eastAsia="Calibri" w:cs="Calibri"/>
          <w:i/>
          <w:iCs/>
        </w:rPr>
        <w:t>Oxford Journal of Legal Studies</w:t>
      </w:r>
      <w:r w:rsidRPr="185A08F2">
        <w:rPr>
          <w:rFonts w:ascii="Calibri" w:hAnsi="Calibri" w:eastAsia="Calibri" w:cs="Calibri"/>
        </w:rPr>
        <w:t xml:space="preserve">, </w:t>
      </w:r>
      <w:r w:rsidRPr="185A08F2">
        <w:rPr>
          <w:rFonts w:ascii="Calibri" w:hAnsi="Calibri" w:eastAsia="Calibri" w:cs="Calibri"/>
          <w:i/>
          <w:iCs/>
        </w:rPr>
        <w:t>40</w:t>
      </w:r>
      <w:r w:rsidRPr="185A08F2">
        <w:rPr>
          <w:rFonts w:ascii="Calibri" w:hAnsi="Calibri" w:eastAsia="Calibri" w:cs="Calibri"/>
        </w:rPr>
        <w:t xml:space="preserve">(1), 132-157. </w:t>
      </w:r>
      <w:r w:rsidRPr="185A08F2" w:rsidR="40A2374A">
        <w:rPr>
          <w:rFonts w:ascii="Calibri" w:hAnsi="Calibri" w:eastAsia="Calibri" w:cs="Calibri"/>
        </w:rPr>
        <w:t xml:space="preserve">Available at: </w:t>
      </w:r>
      <w:hyperlink r:id="rId8">
        <w:r w:rsidRPr="185A08F2">
          <w:rPr>
            <w:rStyle w:val="Hyperlink"/>
            <w:rFonts w:ascii="Calibri" w:hAnsi="Calibri" w:eastAsia="Calibri" w:cs="Calibri"/>
            <w:color w:val="auto"/>
          </w:rPr>
          <w:t>https://doi.org/10.1093/ojls/gqz033</w:t>
        </w:r>
      </w:hyperlink>
      <w:r w:rsidRPr="185A08F2">
        <w:rPr>
          <w:rFonts w:ascii="Calibri" w:hAnsi="Calibri" w:eastAsia="Calibri" w:cs="Calibri"/>
        </w:rPr>
        <w:t xml:space="preserve"> (Assessed: 28</w:t>
      </w:r>
      <w:r w:rsidRPr="185A08F2">
        <w:rPr>
          <w:rFonts w:ascii="Calibri" w:hAnsi="Calibri" w:eastAsia="Calibri" w:cs="Calibri"/>
          <w:vertAlign w:val="superscript"/>
        </w:rPr>
        <w:t>th</w:t>
      </w:r>
      <w:r w:rsidRPr="185A08F2">
        <w:rPr>
          <w:rFonts w:ascii="Calibri" w:hAnsi="Calibri" w:eastAsia="Calibri" w:cs="Calibri"/>
        </w:rPr>
        <w:t xml:space="preserve"> February 2024)</w:t>
      </w:r>
    </w:p>
    <w:p w:rsidR="185A08F2" w:rsidP="185A08F2" w:rsidRDefault="185A08F2" w14:paraId="7A2D5D17" w14:textId="7347A867">
      <w:pPr>
        <w:rPr>
          <w:rFonts w:ascii="Calibri" w:hAnsi="Calibri" w:eastAsia="Calibri" w:cs="Calibri"/>
        </w:rPr>
      </w:pPr>
    </w:p>
    <w:p w:rsidR="527B2BC1" w:rsidP="185A08F2" w:rsidRDefault="527B2BC1" w14:paraId="564DC23F" w14:textId="0299CC7C">
      <w:pPr>
        <w:rPr>
          <w:rFonts w:ascii="Calibri" w:hAnsi="Calibri" w:eastAsia="Calibri" w:cs="Calibri"/>
        </w:rPr>
      </w:pPr>
      <w:proofErr w:type="spellStart"/>
      <w:r w:rsidRPr="185A08F2">
        <w:rPr>
          <w:rFonts w:ascii="Calibri" w:hAnsi="Calibri" w:eastAsia="Calibri" w:cs="Calibri"/>
        </w:rPr>
        <w:t>Eugenicos</w:t>
      </w:r>
      <w:proofErr w:type="spellEnd"/>
      <w:r w:rsidRPr="185A08F2">
        <w:rPr>
          <w:rFonts w:ascii="Calibri" w:hAnsi="Calibri" w:eastAsia="Calibri" w:cs="Calibri"/>
        </w:rPr>
        <w:t xml:space="preserve">, M. (2017). Should We Reform the Offences Against the Person Act 1861? </w:t>
      </w:r>
      <w:r w:rsidRPr="185A08F2">
        <w:rPr>
          <w:rFonts w:ascii="Calibri" w:hAnsi="Calibri" w:eastAsia="Calibri" w:cs="Calibri"/>
          <w:i/>
          <w:iCs/>
        </w:rPr>
        <w:t>The Journal of Criminal Law</w:t>
      </w:r>
      <w:r w:rsidRPr="185A08F2">
        <w:rPr>
          <w:rFonts w:ascii="Calibri" w:hAnsi="Calibri" w:eastAsia="Calibri" w:cs="Calibri"/>
        </w:rPr>
        <w:t>.</w:t>
      </w:r>
      <w:r w:rsidRPr="185A08F2" w:rsidR="191E382F">
        <w:rPr>
          <w:rFonts w:ascii="Calibri" w:hAnsi="Calibri" w:eastAsia="Calibri" w:cs="Calibri"/>
        </w:rPr>
        <w:t xml:space="preserve"> Available at:</w:t>
      </w:r>
      <w:r w:rsidRPr="185A08F2">
        <w:rPr>
          <w:rFonts w:ascii="Calibri" w:hAnsi="Calibri" w:eastAsia="Calibri" w:cs="Calibri"/>
        </w:rPr>
        <w:t xml:space="preserve"> </w:t>
      </w:r>
      <w:hyperlink r:id="rId9">
        <w:r w:rsidRPr="185A08F2">
          <w:rPr>
            <w:rStyle w:val="Hyperlink"/>
            <w:rFonts w:ascii="Calibri" w:hAnsi="Calibri" w:eastAsia="Calibri" w:cs="Calibri"/>
            <w:color w:val="auto"/>
          </w:rPr>
          <w:t>https://doi.org/10.1177/0022018316685478</w:t>
        </w:r>
      </w:hyperlink>
      <w:r w:rsidRPr="185A08F2">
        <w:rPr>
          <w:rFonts w:ascii="Calibri" w:hAnsi="Calibri" w:eastAsia="Calibri" w:cs="Calibri"/>
        </w:rPr>
        <w:t xml:space="preserve"> (Assessed: 28</w:t>
      </w:r>
      <w:r w:rsidRPr="185A08F2">
        <w:rPr>
          <w:rFonts w:ascii="Calibri" w:hAnsi="Calibri" w:eastAsia="Calibri" w:cs="Calibri"/>
          <w:vertAlign w:val="superscript"/>
        </w:rPr>
        <w:t>th</w:t>
      </w:r>
      <w:r w:rsidRPr="185A08F2">
        <w:rPr>
          <w:rFonts w:ascii="Calibri" w:hAnsi="Calibri" w:eastAsia="Calibri" w:cs="Calibri"/>
        </w:rPr>
        <w:t xml:space="preserve"> February 2024)</w:t>
      </w:r>
    </w:p>
    <w:p w:rsidR="185A08F2" w:rsidP="185A08F2" w:rsidRDefault="185A08F2" w14:paraId="6D0CDF63" w14:textId="0786F3DD">
      <w:pPr>
        <w:rPr>
          <w:rFonts w:ascii="Calibri" w:hAnsi="Calibri" w:eastAsia="Calibri" w:cs="Calibri"/>
        </w:rPr>
      </w:pPr>
    </w:p>
    <w:p w:rsidR="21FB89BF" w:rsidP="185A08F2" w:rsidRDefault="21FB89BF" w14:paraId="40E92ED3" w14:textId="1C567470">
      <w:pPr>
        <w:rPr>
          <w:rFonts w:ascii="Calibri" w:hAnsi="Calibri" w:eastAsia="Calibri" w:cs="Calibri"/>
        </w:rPr>
      </w:pPr>
      <w:r w:rsidRPr="185A08F2">
        <w:rPr>
          <w:rFonts w:ascii="Calibri" w:hAnsi="Calibri" w:eastAsia="Calibri" w:cs="Calibri"/>
        </w:rPr>
        <w:t xml:space="preserve">Law Commission. </w:t>
      </w:r>
      <w:r w:rsidRPr="185A08F2" w:rsidR="11AC7B20">
        <w:rPr>
          <w:rFonts w:ascii="Calibri" w:hAnsi="Calibri" w:eastAsia="Calibri" w:cs="Calibri"/>
        </w:rPr>
        <w:t>(2015</w:t>
      </w:r>
      <w:r w:rsidRPr="185A08F2">
        <w:rPr>
          <w:rFonts w:ascii="Calibri" w:hAnsi="Calibri" w:eastAsia="Calibri" w:cs="Calibri"/>
        </w:rPr>
        <w:t xml:space="preserve">). </w:t>
      </w:r>
      <w:r w:rsidRPr="185A08F2">
        <w:rPr>
          <w:rFonts w:ascii="Calibri" w:hAnsi="Calibri" w:eastAsia="Calibri" w:cs="Calibri"/>
          <w:i/>
          <w:iCs/>
        </w:rPr>
        <w:t>Reform of Offenses Against the Person</w:t>
      </w:r>
      <w:r w:rsidRPr="185A08F2">
        <w:rPr>
          <w:rFonts w:ascii="Calibri" w:hAnsi="Calibri" w:eastAsia="Calibri" w:cs="Calibri"/>
        </w:rPr>
        <w:t>.</w:t>
      </w:r>
      <w:r w:rsidRPr="185A08F2" w:rsidR="65B726F8">
        <w:rPr>
          <w:rFonts w:ascii="Calibri" w:hAnsi="Calibri" w:eastAsia="Calibri" w:cs="Calibri"/>
        </w:rPr>
        <w:t xml:space="preserve"> Available at:</w:t>
      </w:r>
      <w:r w:rsidRPr="185A08F2">
        <w:rPr>
          <w:rFonts w:ascii="Calibri" w:hAnsi="Calibri" w:eastAsia="Calibri" w:cs="Calibri"/>
        </w:rPr>
        <w:t xml:space="preserve"> </w:t>
      </w:r>
      <w:hyperlink r:id="rId10">
        <w:r w:rsidRPr="185A08F2">
          <w:rPr>
            <w:rStyle w:val="Hyperlink"/>
            <w:rFonts w:ascii="Calibri" w:hAnsi="Calibri" w:eastAsia="Calibri" w:cs="Calibri"/>
            <w:color w:val="auto"/>
          </w:rPr>
          <w:t>https://www.lawcom.gov.uk/app/uploads/2015/11/lc361_offences_against_the_person_summary_new.pdf</w:t>
        </w:r>
      </w:hyperlink>
      <w:r w:rsidRPr="185A08F2" w:rsidR="4E765E97">
        <w:rPr>
          <w:rFonts w:ascii="Calibri" w:hAnsi="Calibri" w:eastAsia="Calibri" w:cs="Calibri"/>
        </w:rPr>
        <w:t xml:space="preserve"> (Assessed: </w:t>
      </w:r>
      <w:r w:rsidRPr="185A08F2" w:rsidR="37E6FC62">
        <w:rPr>
          <w:rFonts w:ascii="Calibri" w:hAnsi="Calibri" w:eastAsia="Calibri" w:cs="Calibri"/>
        </w:rPr>
        <w:t>29</w:t>
      </w:r>
      <w:r w:rsidRPr="185A08F2" w:rsidR="37E6FC62">
        <w:rPr>
          <w:rFonts w:ascii="Calibri" w:hAnsi="Calibri" w:eastAsia="Calibri" w:cs="Calibri"/>
          <w:vertAlign w:val="superscript"/>
        </w:rPr>
        <w:t>th</w:t>
      </w:r>
      <w:r w:rsidRPr="185A08F2" w:rsidR="37E6FC62">
        <w:rPr>
          <w:rFonts w:ascii="Calibri" w:hAnsi="Calibri" w:eastAsia="Calibri" w:cs="Calibri"/>
        </w:rPr>
        <w:t xml:space="preserve"> February</w:t>
      </w:r>
      <w:r w:rsidRPr="185A08F2" w:rsidR="4E765E97">
        <w:rPr>
          <w:rFonts w:ascii="Calibri" w:hAnsi="Calibri" w:eastAsia="Calibri" w:cs="Calibri"/>
        </w:rPr>
        <w:t xml:space="preserve"> 2024)</w:t>
      </w:r>
    </w:p>
    <w:p w:rsidRPr="00D26BE1" w:rsidR="21FB89BF" w:rsidP="185A08F2" w:rsidRDefault="21FB89BF" w14:paraId="44EEBF88" w14:textId="7AFDF8C2">
      <w:pPr>
        <w:rPr>
          <w:rFonts w:ascii="Calibri" w:hAnsi="Calibri" w:eastAsia="Calibri" w:cs="Calibri"/>
          <w:lang w:val="it-IT"/>
        </w:rPr>
      </w:pPr>
      <w:r w:rsidRPr="185A08F2">
        <w:rPr>
          <w:rFonts w:ascii="Calibri" w:hAnsi="Calibri" w:eastAsia="Calibri" w:cs="Calibri"/>
        </w:rPr>
        <w:t xml:space="preserve">Law Commission. (2014). Reform of Offences Against the Person: A Scooping Consulting Paper. </w:t>
      </w:r>
      <w:proofErr w:type="spellStart"/>
      <w:r w:rsidRPr="00D26BE1">
        <w:rPr>
          <w:rFonts w:ascii="Calibri" w:hAnsi="Calibri" w:eastAsia="Calibri" w:cs="Calibri"/>
          <w:i/>
          <w:iCs/>
          <w:lang w:val="it-IT"/>
        </w:rPr>
        <w:t>Consultation</w:t>
      </w:r>
      <w:proofErr w:type="spellEnd"/>
      <w:r w:rsidRPr="00D26BE1">
        <w:rPr>
          <w:rFonts w:ascii="Calibri" w:hAnsi="Calibri" w:eastAsia="Calibri" w:cs="Calibri"/>
          <w:i/>
          <w:iCs/>
          <w:lang w:val="it-IT"/>
        </w:rPr>
        <w:t xml:space="preserve"> Paper No 17</w:t>
      </w:r>
      <w:r w:rsidRPr="00D26BE1">
        <w:rPr>
          <w:rFonts w:ascii="Calibri" w:hAnsi="Calibri" w:eastAsia="Calibri" w:cs="Calibri"/>
          <w:lang w:val="it-IT"/>
        </w:rPr>
        <w:t xml:space="preserve">. </w:t>
      </w:r>
      <w:hyperlink r:id="rId11">
        <w:r w:rsidRPr="00D26BE1">
          <w:rPr>
            <w:rStyle w:val="Hyperlink"/>
            <w:rFonts w:ascii="Calibri" w:hAnsi="Calibri" w:eastAsia="Calibri" w:cs="Calibri"/>
            <w:color w:val="auto"/>
            <w:lang w:val="it-IT"/>
          </w:rPr>
          <w:t>https://www.lawcom.gov.uk/app/uploads/2015/06/cp217_offences_against_the_person.pdf</w:t>
        </w:r>
      </w:hyperlink>
    </w:p>
    <w:p w:rsidR="28C901BA" w:rsidP="185A08F2" w:rsidRDefault="28C901BA" w14:paraId="038CC133" w14:textId="53535D7D">
      <w:pPr>
        <w:rPr>
          <w:rFonts w:ascii="Calibri" w:hAnsi="Calibri" w:eastAsia="Calibri" w:cs="Calibri"/>
        </w:rPr>
      </w:pPr>
      <w:proofErr w:type="spellStart"/>
      <w:r w:rsidRPr="00D26BE1">
        <w:rPr>
          <w:rFonts w:ascii="Calibri" w:hAnsi="Calibri" w:eastAsia="Calibri" w:cs="Calibri"/>
          <w:lang w:val="it-IT"/>
        </w:rPr>
        <w:t>Lawtons</w:t>
      </w:r>
      <w:proofErr w:type="spellEnd"/>
      <w:r w:rsidRPr="00D26BE1" w:rsidR="21FB89BF">
        <w:rPr>
          <w:rFonts w:ascii="Calibri" w:hAnsi="Calibri" w:eastAsia="Calibri" w:cs="Calibri"/>
          <w:lang w:val="it-IT"/>
        </w:rPr>
        <w:t xml:space="preserve"> Solicitors. </w:t>
      </w:r>
      <w:r w:rsidRPr="185A08F2" w:rsidR="21FB89BF">
        <w:rPr>
          <w:rFonts w:ascii="Calibri" w:hAnsi="Calibri" w:eastAsia="Calibri" w:cs="Calibri"/>
        </w:rPr>
        <w:t xml:space="preserve">(2023). </w:t>
      </w:r>
      <w:r w:rsidRPr="185A08F2" w:rsidR="21FB89BF">
        <w:rPr>
          <w:rFonts w:ascii="Calibri" w:hAnsi="Calibri" w:eastAsia="Calibri" w:cs="Calibri"/>
          <w:i/>
          <w:iCs/>
        </w:rPr>
        <w:t>ABH vs. GBH: What is the Difference?</w:t>
      </w:r>
      <w:r w:rsidRPr="185A08F2" w:rsidR="21FB89BF">
        <w:rPr>
          <w:rFonts w:ascii="Calibri" w:hAnsi="Calibri" w:eastAsia="Calibri" w:cs="Calibri"/>
        </w:rPr>
        <w:t xml:space="preserve"> </w:t>
      </w:r>
      <w:r w:rsidRPr="185A08F2" w:rsidR="6A99D561">
        <w:rPr>
          <w:rFonts w:ascii="Calibri" w:hAnsi="Calibri" w:eastAsia="Calibri" w:cs="Calibri"/>
        </w:rPr>
        <w:t xml:space="preserve">Available at: </w:t>
      </w:r>
      <w:hyperlink r:id="rId12">
        <w:r w:rsidRPr="185A08F2" w:rsidR="21FB89BF">
          <w:rPr>
            <w:rStyle w:val="Hyperlink"/>
            <w:rFonts w:ascii="Calibri" w:hAnsi="Calibri" w:eastAsia="Calibri" w:cs="Calibri"/>
            <w:color w:val="auto"/>
          </w:rPr>
          <w:t>https://www.lawtonslaw.co.uk/resources/abh-vs-gbh-which-is-the-more-serious-offence/</w:t>
        </w:r>
        <w:r w:rsidRPr="185A08F2" w:rsidR="1E2B9AFA">
          <w:rPr>
            <w:rStyle w:val="Hyperlink"/>
            <w:rFonts w:ascii="Calibri" w:hAnsi="Calibri" w:eastAsia="Calibri" w:cs="Calibri"/>
            <w:color w:val="auto"/>
          </w:rPr>
          <w:t>(</w:t>
        </w:r>
      </w:hyperlink>
      <w:r w:rsidRPr="185A08F2" w:rsidR="1E2B9AFA">
        <w:rPr>
          <w:rFonts w:ascii="Calibri" w:hAnsi="Calibri" w:eastAsia="Calibri" w:cs="Calibri"/>
        </w:rPr>
        <w:t xml:space="preserve"> Assessed on: 3</w:t>
      </w:r>
      <w:r w:rsidRPr="185A08F2" w:rsidR="1E2B9AFA">
        <w:rPr>
          <w:rFonts w:ascii="Calibri" w:hAnsi="Calibri" w:eastAsia="Calibri" w:cs="Calibri"/>
          <w:vertAlign w:val="superscript"/>
        </w:rPr>
        <w:t>rd</w:t>
      </w:r>
      <w:r w:rsidRPr="185A08F2" w:rsidR="1E2B9AFA">
        <w:rPr>
          <w:rFonts w:ascii="Calibri" w:hAnsi="Calibri" w:eastAsia="Calibri" w:cs="Calibri"/>
        </w:rPr>
        <w:t xml:space="preserve"> March 2024)</w:t>
      </w:r>
    </w:p>
    <w:p w:rsidR="21FB89BF" w:rsidP="185A08F2" w:rsidRDefault="21FB89BF" w14:paraId="14789B83" w14:textId="4B39B837">
      <w:pPr>
        <w:rPr>
          <w:rFonts w:ascii="Calibri" w:hAnsi="Calibri" w:eastAsia="Calibri" w:cs="Calibri"/>
        </w:rPr>
      </w:pPr>
      <w:commentRangeStart w:id="16"/>
      <w:r w:rsidRPr="185A08F2">
        <w:rPr>
          <w:rFonts w:ascii="Calibri" w:hAnsi="Calibri" w:eastAsia="Calibri" w:cs="Calibri"/>
        </w:rPr>
        <w:t>Legislation</w:t>
      </w:r>
      <w:r w:rsidRPr="185A08F2" w:rsidR="634B5CAA">
        <w:rPr>
          <w:rFonts w:ascii="Calibri" w:hAnsi="Calibri" w:eastAsia="Calibri" w:cs="Calibri"/>
        </w:rPr>
        <w:t xml:space="preserve"> </w:t>
      </w:r>
      <w:r w:rsidRPr="185A08F2">
        <w:rPr>
          <w:rFonts w:ascii="Calibri" w:hAnsi="Calibri" w:eastAsia="Calibri" w:cs="Calibri"/>
        </w:rPr>
        <w:t>(</w:t>
      </w:r>
      <w:r w:rsidRPr="185A08F2" w:rsidR="7DA24F40">
        <w:rPr>
          <w:rFonts w:ascii="Calibri" w:hAnsi="Calibri" w:eastAsia="Calibri" w:cs="Calibri"/>
        </w:rPr>
        <w:t>2023)</w:t>
      </w:r>
      <w:r w:rsidRPr="185A08F2">
        <w:rPr>
          <w:rFonts w:ascii="Calibri" w:hAnsi="Calibri" w:eastAsia="Calibri" w:cs="Calibri"/>
        </w:rPr>
        <w:t xml:space="preserve">. </w:t>
      </w:r>
      <w:r w:rsidRPr="185A08F2">
        <w:rPr>
          <w:rFonts w:ascii="Calibri" w:hAnsi="Calibri" w:eastAsia="Calibri" w:cs="Calibri"/>
          <w:i/>
          <w:iCs/>
        </w:rPr>
        <w:t>Offenses against the Person Act 1861</w:t>
      </w:r>
      <w:r w:rsidRPr="185A08F2">
        <w:rPr>
          <w:rFonts w:ascii="Calibri" w:hAnsi="Calibri" w:eastAsia="Calibri" w:cs="Calibri"/>
        </w:rPr>
        <w:t xml:space="preserve">: Section 47 </w:t>
      </w:r>
      <w:hyperlink r:id="rId13">
        <w:r w:rsidRPr="185A08F2">
          <w:rPr>
            <w:rStyle w:val="Hyperlink"/>
            <w:rFonts w:ascii="Calibri" w:hAnsi="Calibri" w:eastAsia="Calibri" w:cs="Calibri"/>
            <w:color w:val="auto"/>
          </w:rPr>
          <w:t>https://www.legislation.gov.uk/ukpga/Vict/24-25/100/section/47</w:t>
        </w:r>
      </w:hyperlink>
    </w:p>
    <w:p w:rsidR="21FB89BF" w:rsidP="185A08F2" w:rsidRDefault="21FB89BF" w14:paraId="0D98CA6D" w14:textId="47718FC0">
      <w:pPr>
        <w:rPr>
          <w:rFonts w:ascii="Calibri" w:hAnsi="Calibri" w:eastAsia="Calibri" w:cs="Calibri"/>
        </w:rPr>
      </w:pPr>
      <w:r w:rsidRPr="185A08F2">
        <w:rPr>
          <w:rFonts w:ascii="Calibri" w:hAnsi="Calibri" w:eastAsia="Calibri" w:cs="Calibri"/>
        </w:rPr>
        <w:t>Legislation</w:t>
      </w:r>
      <w:r w:rsidRPr="185A08F2" w:rsidR="4B4371F5">
        <w:rPr>
          <w:rFonts w:ascii="Calibri" w:hAnsi="Calibri" w:eastAsia="Calibri" w:cs="Calibri"/>
        </w:rPr>
        <w:t xml:space="preserve"> </w:t>
      </w:r>
      <w:r w:rsidRPr="185A08F2">
        <w:rPr>
          <w:rFonts w:ascii="Calibri" w:hAnsi="Calibri" w:eastAsia="Calibri" w:cs="Calibri"/>
        </w:rPr>
        <w:t xml:space="preserve">(2023). </w:t>
      </w:r>
      <w:r w:rsidRPr="185A08F2">
        <w:rPr>
          <w:rFonts w:ascii="Calibri" w:hAnsi="Calibri" w:eastAsia="Calibri" w:cs="Calibri"/>
          <w:i/>
          <w:iCs/>
        </w:rPr>
        <w:t>Offenses against the Person Act 1861</w:t>
      </w:r>
      <w:r w:rsidRPr="185A08F2">
        <w:rPr>
          <w:rFonts w:ascii="Calibri" w:hAnsi="Calibri" w:eastAsia="Calibri" w:cs="Calibri"/>
        </w:rPr>
        <w:t xml:space="preserve">: Section 18  </w:t>
      </w:r>
      <w:hyperlink r:id="rId14">
        <w:r w:rsidRPr="185A08F2">
          <w:rPr>
            <w:rStyle w:val="Hyperlink"/>
            <w:rFonts w:ascii="Calibri" w:hAnsi="Calibri" w:eastAsia="Calibri" w:cs="Calibri"/>
            <w:color w:val="auto"/>
          </w:rPr>
          <w:t>https://www.legislation.gov.uk/ukpga/Vict/24-25/100/section/18</w:t>
        </w:r>
      </w:hyperlink>
    </w:p>
    <w:p w:rsidR="21FB89BF" w:rsidP="185A08F2" w:rsidRDefault="21FB89BF" w14:paraId="1C6D6771" w14:textId="1F9B06FE">
      <w:pPr>
        <w:rPr>
          <w:rFonts w:ascii="Calibri" w:hAnsi="Calibri" w:eastAsia="Calibri" w:cs="Calibri"/>
        </w:rPr>
      </w:pPr>
      <w:r w:rsidRPr="185A08F2">
        <w:rPr>
          <w:rFonts w:ascii="Calibri" w:hAnsi="Calibri" w:eastAsia="Calibri" w:cs="Calibri"/>
        </w:rPr>
        <w:t xml:space="preserve">Legislation (2023). </w:t>
      </w:r>
      <w:r w:rsidRPr="185A08F2">
        <w:rPr>
          <w:rFonts w:ascii="Calibri" w:hAnsi="Calibri" w:eastAsia="Calibri" w:cs="Calibri"/>
          <w:i/>
          <w:iCs/>
        </w:rPr>
        <w:t>Offenses against the Person Act 1861: Section 20</w:t>
      </w:r>
      <w:r w:rsidRPr="185A08F2">
        <w:rPr>
          <w:rFonts w:ascii="Calibri" w:hAnsi="Calibri" w:eastAsia="Calibri" w:cs="Calibri"/>
        </w:rPr>
        <w:t xml:space="preserve"> </w:t>
      </w:r>
      <w:r w:rsidRPr="185A08F2" w:rsidR="1085316A">
        <w:rPr>
          <w:rFonts w:ascii="Calibri" w:hAnsi="Calibri" w:eastAsia="Calibri" w:cs="Calibri"/>
        </w:rPr>
        <w:t xml:space="preserve">Available at: </w:t>
      </w:r>
      <w:hyperlink r:id="rId15">
        <w:r w:rsidRPr="185A08F2">
          <w:rPr>
            <w:rStyle w:val="Hyperlink"/>
            <w:rFonts w:ascii="Calibri" w:hAnsi="Calibri" w:eastAsia="Calibri" w:cs="Calibri"/>
            <w:color w:val="auto"/>
          </w:rPr>
          <w:t>https://www.legislation.gov.uk/ukpga/Vict/24-25/100/section/20</w:t>
        </w:r>
      </w:hyperlink>
      <w:r w:rsidRPr="185A08F2" w:rsidR="24E9C42B">
        <w:rPr>
          <w:rFonts w:ascii="Calibri" w:hAnsi="Calibri" w:eastAsia="Calibri" w:cs="Calibri"/>
        </w:rPr>
        <w:t xml:space="preserve"> (assessed on: </w:t>
      </w:r>
      <w:r w:rsidRPr="185A08F2" w:rsidR="577C3D4D">
        <w:rPr>
          <w:rFonts w:ascii="Calibri" w:hAnsi="Calibri" w:eastAsia="Calibri" w:cs="Calibri"/>
        </w:rPr>
        <w:t>3</w:t>
      </w:r>
      <w:r w:rsidRPr="185A08F2" w:rsidR="577C3D4D">
        <w:rPr>
          <w:rFonts w:ascii="Calibri" w:hAnsi="Calibri" w:eastAsia="Calibri" w:cs="Calibri"/>
          <w:vertAlign w:val="superscript"/>
        </w:rPr>
        <w:t>rd</w:t>
      </w:r>
      <w:r w:rsidRPr="185A08F2" w:rsidR="577C3D4D">
        <w:rPr>
          <w:rFonts w:ascii="Calibri" w:hAnsi="Calibri" w:eastAsia="Calibri" w:cs="Calibri"/>
        </w:rPr>
        <w:t xml:space="preserve"> March 2024)</w:t>
      </w:r>
      <w:commentRangeEnd w:id="16"/>
      <w:r w:rsidR="009C364F">
        <w:rPr>
          <w:rStyle w:val="CommentReference"/>
        </w:rPr>
        <w:commentReference w:id="16"/>
      </w:r>
    </w:p>
    <w:p w:rsidR="21FB89BF" w:rsidP="185A08F2" w:rsidRDefault="21FB89BF" w14:paraId="79607025" w14:textId="7746114D">
      <w:pPr>
        <w:rPr>
          <w:rFonts w:ascii="Calibri" w:hAnsi="Calibri" w:eastAsia="Calibri" w:cs="Calibri"/>
        </w:rPr>
      </w:pPr>
      <w:commentRangeStart w:id="17"/>
      <w:r w:rsidRPr="185A08F2">
        <w:rPr>
          <w:rFonts w:ascii="Calibri" w:hAnsi="Calibri" w:eastAsia="Calibri" w:cs="Calibri"/>
        </w:rPr>
        <w:t xml:space="preserve">Stuart Miller. (2023). </w:t>
      </w:r>
      <w:r w:rsidRPr="185A08F2">
        <w:rPr>
          <w:rFonts w:ascii="Calibri" w:hAnsi="Calibri" w:eastAsia="Calibri" w:cs="Calibri"/>
          <w:i/>
          <w:iCs/>
        </w:rPr>
        <w:t>What is the Sentence for Actual Bodily Harm in 2023?</w:t>
      </w:r>
      <w:r w:rsidRPr="185A08F2">
        <w:rPr>
          <w:rFonts w:ascii="Calibri" w:hAnsi="Calibri" w:eastAsia="Calibri" w:cs="Calibri"/>
        </w:rPr>
        <w:t xml:space="preserve"> </w:t>
      </w:r>
      <w:r w:rsidRPr="185A08F2" w:rsidR="123A3321">
        <w:rPr>
          <w:rFonts w:ascii="Calibri" w:hAnsi="Calibri" w:eastAsia="Calibri" w:cs="Calibri"/>
        </w:rPr>
        <w:t>Available at:</w:t>
      </w:r>
      <w:hyperlink r:id="rId16">
        <w:r w:rsidRPr="185A08F2">
          <w:rPr>
            <w:rStyle w:val="Hyperlink"/>
            <w:rFonts w:ascii="Calibri" w:hAnsi="Calibri" w:eastAsia="Calibri" w:cs="Calibri"/>
            <w:color w:val="auto"/>
          </w:rPr>
          <w:t>https://www.stuartmillersolicitors.co.uk/sentences/sentence-for-actual-bodily-harm-offences/</w:t>
        </w:r>
      </w:hyperlink>
      <w:r w:rsidRPr="185A08F2" w:rsidR="56EAC89A">
        <w:rPr>
          <w:rFonts w:ascii="Calibri" w:hAnsi="Calibri" w:eastAsia="Calibri" w:cs="Calibri"/>
        </w:rPr>
        <w:t xml:space="preserve"> (Assessed on</w:t>
      </w:r>
      <w:r w:rsidRPr="185A08F2" w:rsidR="5D1B5B99">
        <w:rPr>
          <w:rFonts w:ascii="Calibri" w:hAnsi="Calibri" w:eastAsia="Calibri" w:cs="Calibri"/>
        </w:rPr>
        <w:t>:</w:t>
      </w:r>
      <w:r w:rsidRPr="185A08F2" w:rsidR="56EAC89A">
        <w:rPr>
          <w:rFonts w:ascii="Calibri" w:hAnsi="Calibri" w:eastAsia="Calibri" w:cs="Calibri"/>
        </w:rPr>
        <w:t xml:space="preserve"> 4</w:t>
      </w:r>
      <w:r w:rsidRPr="185A08F2" w:rsidR="56EAC89A">
        <w:rPr>
          <w:rFonts w:ascii="Calibri" w:hAnsi="Calibri" w:eastAsia="Calibri" w:cs="Calibri"/>
          <w:vertAlign w:val="superscript"/>
        </w:rPr>
        <w:t>th</w:t>
      </w:r>
      <w:r w:rsidRPr="185A08F2" w:rsidR="56EAC89A">
        <w:rPr>
          <w:rFonts w:ascii="Calibri" w:hAnsi="Calibri" w:eastAsia="Calibri" w:cs="Calibri"/>
        </w:rPr>
        <w:t xml:space="preserve"> March 2024)</w:t>
      </w:r>
      <w:commentRangeEnd w:id="17"/>
      <w:r w:rsidR="009C364F">
        <w:rPr>
          <w:rStyle w:val="CommentReference"/>
        </w:rPr>
        <w:commentReference w:id="17"/>
      </w:r>
    </w:p>
    <w:p w:rsidR="21FB89BF" w:rsidP="185A08F2" w:rsidRDefault="21FB89BF" w14:paraId="15A525C1" w14:textId="4121215D">
      <w:pPr>
        <w:rPr>
          <w:rFonts w:ascii="Calibri" w:hAnsi="Calibri" w:eastAsia="Calibri" w:cs="Calibri"/>
        </w:rPr>
      </w:pPr>
      <w:commentRangeStart w:id="18"/>
      <w:r w:rsidRPr="185A08F2">
        <w:rPr>
          <w:rFonts w:ascii="Calibri" w:hAnsi="Calibri" w:eastAsia="Calibri" w:cs="Calibri"/>
        </w:rPr>
        <w:t xml:space="preserve">The Criminal Bar Association of England and Wales. (2021). </w:t>
      </w:r>
      <w:r w:rsidRPr="185A08F2">
        <w:rPr>
          <w:rFonts w:ascii="Calibri" w:hAnsi="Calibri" w:eastAsia="Calibri" w:cs="Calibri"/>
          <w:i/>
          <w:iCs/>
        </w:rPr>
        <w:t>CBA Response to the Sentencing Council’s Assault Sentencing Consultation from 16th April 2020 to 15</w:t>
      </w:r>
      <w:r w:rsidRPr="185A08F2">
        <w:rPr>
          <w:rFonts w:ascii="Calibri" w:hAnsi="Calibri" w:eastAsia="Calibri" w:cs="Calibri"/>
          <w:i/>
          <w:iCs/>
          <w:vertAlign w:val="superscript"/>
        </w:rPr>
        <w:t>t</w:t>
      </w:r>
      <w:r w:rsidRPr="185A08F2" w:rsidR="2FA550F7">
        <w:rPr>
          <w:rFonts w:ascii="Calibri" w:hAnsi="Calibri" w:eastAsia="Calibri" w:cs="Calibri"/>
          <w:i/>
          <w:iCs/>
          <w:vertAlign w:val="superscript"/>
        </w:rPr>
        <w:t>h</w:t>
      </w:r>
      <w:r w:rsidRPr="185A08F2" w:rsidR="2FA550F7">
        <w:rPr>
          <w:rFonts w:ascii="Calibri" w:hAnsi="Calibri" w:eastAsia="Calibri" w:cs="Calibri"/>
          <w:i/>
          <w:iCs/>
        </w:rPr>
        <w:t xml:space="preserve"> </w:t>
      </w:r>
      <w:r w:rsidRPr="185A08F2" w:rsidR="0EF7C390">
        <w:rPr>
          <w:rFonts w:ascii="Calibri" w:hAnsi="Calibri" w:eastAsia="Calibri" w:cs="Calibri"/>
          <w:i/>
          <w:iCs/>
        </w:rPr>
        <w:t>September</w:t>
      </w:r>
      <w:r w:rsidRPr="185A08F2">
        <w:rPr>
          <w:rFonts w:ascii="Calibri" w:hAnsi="Calibri" w:eastAsia="Calibri" w:cs="Calibri"/>
          <w:i/>
          <w:iCs/>
        </w:rPr>
        <w:t xml:space="preserve"> 2020</w:t>
      </w:r>
      <w:r w:rsidRPr="185A08F2">
        <w:rPr>
          <w:rFonts w:ascii="Calibri" w:hAnsi="Calibri" w:eastAsia="Calibri" w:cs="Calibri"/>
        </w:rPr>
        <w:t xml:space="preserve">. </w:t>
      </w:r>
      <w:r w:rsidRPr="185A08F2" w:rsidR="71006BC5">
        <w:rPr>
          <w:rFonts w:ascii="Calibri" w:hAnsi="Calibri" w:eastAsia="Calibri" w:cs="Calibri"/>
        </w:rPr>
        <w:lastRenderedPageBreak/>
        <w:t xml:space="preserve">Available at: </w:t>
      </w:r>
      <w:hyperlink r:id="rId17">
        <w:r w:rsidRPr="185A08F2">
          <w:rPr>
            <w:rStyle w:val="Hyperlink"/>
            <w:rFonts w:ascii="Calibri" w:hAnsi="Calibri" w:eastAsia="Calibri" w:cs="Calibri"/>
            <w:color w:val="auto"/>
          </w:rPr>
          <w:t>https://www.criminalbar.com/wp-content/uploads/2020/09/Sentencing-Guidelines-Council-Assault-Guidelines-2020.pdf</w:t>
        </w:r>
      </w:hyperlink>
      <w:r w:rsidRPr="185A08F2" w:rsidR="401CC7B5">
        <w:rPr>
          <w:rFonts w:ascii="Calibri" w:hAnsi="Calibri" w:eastAsia="Calibri" w:cs="Calibri"/>
        </w:rPr>
        <w:t xml:space="preserve"> (Assessed on: 3</w:t>
      </w:r>
      <w:r w:rsidRPr="185A08F2" w:rsidR="401CC7B5">
        <w:rPr>
          <w:rFonts w:ascii="Calibri" w:hAnsi="Calibri" w:eastAsia="Calibri" w:cs="Calibri"/>
          <w:vertAlign w:val="superscript"/>
        </w:rPr>
        <w:t>rd</w:t>
      </w:r>
      <w:r w:rsidRPr="185A08F2" w:rsidR="401CC7B5">
        <w:rPr>
          <w:rFonts w:ascii="Calibri" w:hAnsi="Calibri" w:eastAsia="Calibri" w:cs="Calibri"/>
        </w:rPr>
        <w:t xml:space="preserve"> March 2024)</w:t>
      </w:r>
      <w:commentRangeEnd w:id="18"/>
      <w:r w:rsidR="009C364F">
        <w:rPr>
          <w:rStyle w:val="CommentReference"/>
        </w:rPr>
        <w:commentReference w:id="18"/>
      </w:r>
    </w:p>
    <w:p w:rsidR="185A08F2" w:rsidP="185A08F2" w:rsidRDefault="185A08F2" w14:paraId="7D56184D" w14:textId="572C793E">
      <w:pPr>
        <w:rPr>
          <w:rFonts w:ascii="Aptos" w:hAnsi="Aptos" w:eastAsia="Aptos" w:cs="Aptos"/>
        </w:rPr>
      </w:pPr>
    </w:p>
    <w:sectPr w:rsidR="185A08F2">
      <w:pgSz w:w="12240" w:h="15840" w:orient="portrait"/>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nitials="LK" w:author="Laura Knight" w:date="2024-03-07T13:13:00Z" w:id="2">
    <w:p w:rsidR="009033EE" w:rsidP="009033EE" w:rsidRDefault="009033EE" w14:paraId="5C119E7A" w14:textId="77777777">
      <w:pPr>
        <w:pStyle w:val="CommentText"/>
      </w:pPr>
      <w:r>
        <w:rPr>
          <w:rStyle w:val="CommentReference"/>
        </w:rPr>
        <w:annotationRef/>
      </w:r>
      <w:r>
        <w:t>You must offer supporting citations throughout your introduction as well.</w:t>
      </w:r>
    </w:p>
  </w:comment>
  <w:comment w:initials="LK" w:author="Laura Knight" w:date="2024-03-07T13:17:00Z" w:id="6">
    <w:p w:rsidR="00416CC3" w:rsidP="00416CC3" w:rsidRDefault="00416CC3" w14:paraId="51270632" w14:textId="77777777">
      <w:pPr>
        <w:pStyle w:val="CommentText"/>
      </w:pPr>
      <w:r>
        <w:rPr>
          <w:rStyle w:val="CommentReference"/>
        </w:rPr>
        <w:annotationRef/>
      </w:r>
      <w:r>
        <w:t>Before stating what the Law Commission propose in terms of recommendations, it would be worthwhile outlining the flaws of the legislation first. For example, how does the OAPA 1861 fail to address technological advancements?</w:t>
      </w:r>
    </w:p>
  </w:comment>
  <w:comment w:initials="LK" w:author="Laura Knight" w:date="2024-03-07T13:20:00Z" w:id="7">
    <w:p w:rsidR="00AA2FEA" w:rsidP="00AA2FEA" w:rsidRDefault="00AA2FEA" w14:paraId="0FEF1479" w14:textId="77777777">
      <w:pPr>
        <w:pStyle w:val="CommentText"/>
      </w:pPr>
      <w:r>
        <w:rPr>
          <w:rStyle w:val="CommentReference"/>
        </w:rPr>
        <w:annotationRef/>
      </w:r>
      <w:r>
        <w:t>Where would this replacement happen? Is it in terms of S.47 Actual bodily harm and s.18 and 20 Grievous bodily harm? You need to make this clearer here.</w:t>
      </w:r>
    </w:p>
    <w:p w:rsidR="00AA2FEA" w:rsidP="00AA2FEA" w:rsidRDefault="00AA2FEA" w14:paraId="61F12366" w14:textId="77777777">
      <w:pPr>
        <w:pStyle w:val="CommentText"/>
      </w:pPr>
      <w:r>
        <w:t>Also, where is your supporting evidence?</w:t>
      </w:r>
    </w:p>
    <w:p w:rsidR="00AA2FEA" w:rsidP="00AA2FEA" w:rsidRDefault="00AA2FEA" w14:paraId="6E354412" w14:textId="77777777">
      <w:pPr>
        <w:pStyle w:val="CommentText"/>
      </w:pPr>
      <w:r>
        <w:t xml:space="preserve">Please make sure you offer frequent in-text citations throughout the paper. </w:t>
      </w:r>
    </w:p>
  </w:comment>
  <w:comment w:initials="LK" w:author="Laura Knight" w:date="2024-03-07T13:32:00Z" w:id="11">
    <w:p w:rsidR="00A54A9C" w:rsidP="00A54A9C" w:rsidRDefault="00A54A9C" w14:paraId="10B64737" w14:textId="77777777">
      <w:pPr>
        <w:pStyle w:val="CommentText"/>
      </w:pPr>
      <w:r>
        <w:rPr>
          <w:rStyle w:val="CommentReference"/>
        </w:rPr>
        <w:annotationRef/>
      </w:r>
      <w:r>
        <w:t>You are making some valid points here but the discussion lacks credibility. You must ensure you are supporting your work with in-text citations throughout in order to 1. make your work credible 2. to demonstrate the engagement with literature.</w:t>
      </w:r>
    </w:p>
  </w:comment>
  <w:comment w:initials="LK" w:author="Laura Knight" w:date="2024-03-07T13:33:00Z" w:id="14">
    <w:p w:rsidR="00E44111" w:rsidP="00E44111" w:rsidRDefault="00E44111" w14:paraId="62BDF62B" w14:textId="77777777">
      <w:pPr>
        <w:pStyle w:val="CommentText"/>
      </w:pPr>
      <w:r>
        <w:rPr>
          <w:rStyle w:val="CommentReference"/>
        </w:rPr>
        <w:annotationRef/>
      </w:r>
      <w:r>
        <w:t xml:space="preserve">You have mentioned the differing severities previously so try and link all the discussion on this topic together rather than separating it. </w:t>
      </w:r>
    </w:p>
  </w:comment>
  <w:comment w:initials="LK" w:author="Laura Knight" w:date="2024-03-07T13:34:00Z" w:id="16">
    <w:p w:rsidR="009C364F" w:rsidP="009C364F" w:rsidRDefault="009C364F" w14:paraId="2743E825" w14:textId="77777777">
      <w:pPr>
        <w:pStyle w:val="CommentText"/>
      </w:pPr>
      <w:r>
        <w:rPr>
          <w:rStyle w:val="CommentReference"/>
        </w:rPr>
        <w:annotationRef/>
      </w:r>
      <w:r>
        <w:t>Please list all legislation and cases in a separate list to academic literature.</w:t>
      </w:r>
    </w:p>
  </w:comment>
  <w:comment w:initials="LK" w:author="Laura Knight" w:date="2024-03-07T13:34:00Z" w:id="17">
    <w:p w:rsidR="009C364F" w:rsidP="009C364F" w:rsidRDefault="009C364F" w14:paraId="2E6D8A61" w14:textId="77777777">
      <w:pPr>
        <w:pStyle w:val="CommentText"/>
      </w:pPr>
      <w:r>
        <w:rPr>
          <w:rStyle w:val="CommentReference"/>
        </w:rPr>
        <w:annotationRef/>
      </w:r>
      <w:r>
        <w:t xml:space="preserve">Please avoid solicitors websites as they are not credible sources for academic writing. </w:t>
      </w:r>
    </w:p>
  </w:comment>
  <w:comment w:initials="LK" w:author="Laura Knight" w:date="2024-03-07T13:35:00Z" w:id="18">
    <w:p w:rsidR="009C364F" w:rsidP="009C364F" w:rsidRDefault="009C364F" w14:paraId="200540FE" w14:textId="77777777">
      <w:pPr>
        <w:pStyle w:val="CommentText"/>
      </w:pPr>
      <w:r>
        <w:rPr>
          <w:rStyle w:val="CommentReference"/>
        </w:rPr>
        <w:annotationRef/>
      </w:r>
      <w:r>
        <w:t>You must ensure that your reference list corresponds with your intext citations - you have not cited this source in the main text.</w:t>
      </w:r>
    </w:p>
  </w:comment>
</w:comments>
</file>

<file path=word/commentsExtended.xml><?xml version="1.0" encoding="utf-8"?>
<w15:commentsEx xmlns:mc="http://schemas.openxmlformats.org/markup-compatibility/2006" xmlns:w15="http://schemas.microsoft.com/office/word/2012/wordml" mc:Ignorable="w15">
  <w15:commentEx w15:done="0" w15:paraId="5C119E7A"/>
  <w15:commentEx w15:done="0" w15:paraId="51270632"/>
  <w15:commentEx w15:done="0" w15:paraId="6E354412"/>
  <w15:commentEx w15:done="0" w15:paraId="10B64737"/>
  <w15:commentEx w15:done="0" w15:paraId="62BDF62B"/>
  <w15:commentEx w15:done="0" w15:paraId="2743E825"/>
  <w15:commentEx w15:done="0" w15:paraId="2E6D8A61"/>
  <w15:commentEx w15:done="0" w15:paraId="200540FE"/>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5FC7023A" w16cex:dateUtc="2024-03-07T13:13:00Z"/>
  <w16cex:commentExtensible w16cex:durableId="6B142AC7" w16cex:dateUtc="2024-03-07T13:17:00Z"/>
  <w16cex:commentExtensible w16cex:durableId="4AFF7E42" w16cex:dateUtc="2024-03-07T13:20:00Z"/>
  <w16cex:commentExtensible w16cex:durableId="5DFECA43" w16cex:dateUtc="2024-03-07T13:32:00Z"/>
  <w16cex:commentExtensible w16cex:durableId="7E255E02" w16cex:dateUtc="2024-03-07T13:33:00Z"/>
  <w16cex:commentExtensible w16cex:durableId="78CBC874" w16cex:dateUtc="2024-03-07T13:34:00Z"/>
  <w16cex:commentExtensible w16cex:durableId="1A150A53" w16cex:dateUtc="2024-03-07T13:34:00Z"/>
  <w16cex:commentExtensible w16cex:durableId="36475151" w16cex:dateUtc="2024-03-07T13:35:00Z"/>
</w16cex:commentsExtensible>
</file>

<file path=word/commentsIds.xml><?xml version="1.0" encoding="utf-8"?>
<w16cid:commentsIds xmlns:mc="http://schemas.openxmlformats.org/markup-compatibility/2006" xmlns:w16cid="http://schemas.microsoft.com/office/word/2016/wordml/cid" mc:Ignorable="w16cid">
  <w16cid:commentId w16cid:paraId="5C119E7A" w16cid:durableId="5FC7023A"/>
  <w16cid:commentId w16cid:paraId="51270632" w16cid:durableId="6B142AC7"/>
  <w16cid:commentId w16cid:paraId="6E354412" w16cid:durableId="4AFF7E42"/>
  <w16cid:commentId w16cid:paraId="10B64737" w16cid:durableId="5DFECA43"/>
  <w16cid:commentId w16cid:paraId="62BDF62B" w16cid:durableId="7E255E02"/>
  <w16cid:commentId w16cid:paraId="2743E825" w16cid:durableId="78CBC874"/>
  <w16cid:commentId w16cid:paraId="2E6D8A61" w16cid:durableId="1A150A53"/>
  <w16cid:commentId w16cid:paraId="200540FE" w16cid:durableId="36475151"/>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AnfoOoU5OWX725" int2:id="iOwdgirH">
      <int2:state int2:value="Rejected" int2:type="AugLoop_Text_Critique"/>
    </int2:textHash>
    <int2:textHash int2:hashCode="cb90vA0CaweeSX" int2:id="xxfYiQzl">
      <int2:state int2:value="Rejected" int2:type="AugLoop_Text_Critique"/>
    </int2:textHash>
    <int2:bookmark int2:bookmarkName="_Int_mnUoGZrp" int2:invalidationBookmarkName="" int2:hashCode="NI05U0peijW6DW" int2:id="H9VEaDSd">
      <int2:state int2:value="Rejected" int2:type="AugLoop_Text_Critique"/>
    </int2:bookmark>
    <int2:bookmark int2:bookmarkName="_Int_sgqM0eBz" int2:invalidationBookmarkName="" int2:hashCode="NI05U0peijW6DW" int2:id="F1Ss7ufM">
      <int2:state int2:value="Rejected" int2:type="AugLoop_Text_Critique"/>
    </int2:bookmark>
  </int2:observations>
  <int2:intelligenceSettings/>
  <int2:onDemandWorkflows/>
</int2:intelligence>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aura Knight">
    <w15:presenceInfo w15:providerId="AD" w15:userId="S::laura.knight@uwtsd.ac.uk::fcc6b1b8-7f69-4c06-9fd3-1a1553b3cd9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2AEEB66"/>
    <w:rsid w:val="00416CC3"/>
    <w:rsid w:val="009033EE"/>
    <w:rsid w:val="009C364F"/>
    <w:rsid w:val="00A54A9C"/>
    <w:rsid w:val="00AA2FEA"/>
    <w:rsid w:val="00B526C0"/>
    <w:rsid w:val="00D26BE1"/>
    <w:rsid w:val="00E44111"/>
    <w:rsid w:val="00F1157D"/>
    <w:rsid w:val="00FA0198"/>
    <w:rsid w:val="014EC208"/>
    <w:rsid w:val="0190D524"/>
    <w:rsid w:val="01C9A01E"/>
    <w:rsid w:val="03F7F43F"/>
    <w:rsid w:val="043F7641"/>
    <w:rsid w:val="04B9C3D3"/>
    <w:rsid w:val="050E85A0"/>
    <w:rsid w:val="051479ED"/>
    <w:rsid w:val="05374329"/>
    <w:rsid w:val="0587B689"/>
    <w:rsid w:val="061939FA"/>
    <w:rsid w:val="075B9E2E"/>
    <w:rsid w:val="07749991"/>
    <w:rsid w:val="08B96907"/>
    <w:rsid w:val="09C2E258"/>
    <w:rsid w:val="0A2C593C"/>
    <w:rsid w:val="0AAE684E"/>
    <w:rsid w:val="0B7D0893"/>
    <w:rsid w:val="0BE1724F"/>
    <w:rsid w:val="0CC67BD4"/>
    <w:rsid w:val="0DEA475A"/>
    <w:rsid w:val="0EF7C390"/>
    <w:rsid w:val="105AD7AD"/>
    <w:rsid w:val="1085316A"/>
    <w:rsid w:val="10D4A379"/>
    <w:rsid w:val="11AC7B20"/>
    <w:rsid w:val="123A3321"/>
    <w:rsid w:val="12A43346"/>
    <w:rsid w:val="143C48DB"/>
    <w:rsid w:val="1455673A"/>
    <w:rsid w:val="15555479"/>
    <w:rsid w:val="1591BA59"/>
    <w:rsid w:val="15B15E6F"/>
    <w:rsid w:val="164E9B7F"/>
    <w:rsid w:val="185A08F2"/>
    <w:rsid w:val="191E382F"/>
    <w:rsid w:val="19667F62"/>
    <w:rsid w:val="1B885C5D"/>
    <w:rsid w:val="1DBC1D8C"/>
    <w:rsid w:val="1E2B9AFA"/>
    <w:rsid w:val="1EFC36BF"/>
    <w:rsid w:val="1FE5C979"/>
    <w:rsid w:val="20947702"/>
    <w:rsid w:val="20A9A69E"/>
    <w:rsid w:val="21513EDB"/>
    <w:rsid w:val="21F2CC9B"/>
    <w:rsid w:val="21FB89BF"/>
    <w:rsid w:val="23059F26"/>
    <w:rsid w:val="2392B8AB"/>
    <w:rsid w:val="24E9C42B"/>
    <w:rsid w:val="26E7468F"/>
    <w:rsid w:val="27055066"/>
    <w:rsid w:val="27914884"/>
    <w:rsid w:val="2875351D"/>
    <w:rsid w:val="28C901BA"/>
    <w:rsid w:val="28E4A5AF"/>
    <w:rsid w:val="295A9225"/>
    <w:rsid w:val="296F6BA8"/>
    <w:rsid w:val="2A3CF128"/>
    <w:rsid w:val="2AE2BA0E"/>
    <w:rsid w:val="2AE52B89"/>
    <w:rsid w:val="2AF12522"/>
    <w:rsid w:val="2BC088A9"/>
    <w:rsid w:val="2C7E8A6F"/>
    <w:rsid w:val="2CDFD342"/>
    <w:rsid w:val="2DA0445F"/>
    <w:rsid w:val="2DAE9B63"/>
    <w:rsid w:val="2E00C53E"/>
    <w:rsid w:val="2E013C71"/>
    <w:rsid w:val="2EA9B1F0"/>
    <w:rsid w:val="2FA550F7"/>
    <w:rsid w:val="30581356"/>
    <w:rsid w:val="3163E277"/>
    <w:rsid w:val="3167862B"/>
    <w:rsid w:val="3188C580"/>
    <w:rsid w:val="31D48D0E"/>
    <w:rsid w:val="32EA31E7"/>
    <w:rsid w:val="33FF58B0"/>
    <w:rsid w:val="34C06642"/>
    <w:rsid w:val="35488C65"/>
    <w:rsid w:val="37D67925"/>
    <w:rsid w:val="37E6FC62"/>
    <w:rsid w:val="381F0681"/>
    <w:rsid w:val="3A1FD00D"/>
    <w:rsid w:val="3A2698BD"/>
    <w:rsid w:val="3A5828D1"/>
    <w:rsid w:val="3ABD3889"/>
    <w:rsid w:val="3B2B5A22"/>
    <w:rsid w:val="3D03D760"/>
    <w:rsid w:val="3D701074"/>
    <w:rsid w:val="3D7DB3E3"/>
    <w:rsid w:val="3E962422"/>
    <w:rsid w:val="3ED6AACF"/>
    <w:rsid w:val="3EDBBAE9"/>
    <w:rsid w:val="401CC7B5"/>
    <w:rsid w:val="40528008"/>
    <w:rsid w:val="405A637A"/>
    <w:rsid w:val="408535ED"/>
    <w:rsid w:val="40A2374A"/>
    <w:rsid w:val="40B554A5"/>
    <w:rsid w:val="41305EF4"/>
    <w:rsid w:val="41822387"/>
    <w:rsid w:val="4191F086"/>
    <w:rsid w:val="41DD0586"/>
    <w:rsid w:val="4211F507"/>
    <w:rsid w:val="422D565F"/>
    <w:rsid w:val="42AEEB66"/>
    <w:rsid w:val="442B53EB"/>
    <w:rsid w:val="442C9BBA"/>
    <w:rsid w:val="44BE1F2B"/>
    <w:rsid w:val="4542575F"/>
    <w:rsid w:val="458584A0"/>
    <w:rsid w:val="45BC2E68"/>
    <w:rsid w:val="4609B1D4"/>
    <w:rsid w:val="497784BB"/>
    <w:rsid w:val="49A4ACB9"/>
    <w:rsid w:val="4A7809C4"/>
    <w:rsid w:val="4B0D2069"/>
    <w:rsid w:val="4B1A5467"/>
    <w:rsid w:val="4B34B94C"/>
    <w:rsid w:val="4B4371F5"/>
    <w:rsid w:val="4CA5DBAA"/>
    <w:rsid w:val="4CE5F959"/>
    <w:rsid w:val="4E658F8B"/>
    <w:rsid w:val="4E765E97"/>
    <w:rsid w:val="4E9D7295"/>
    <w:rsid w:val="4EAC5955"/>
    <w:rsid w:val="4EAE52A5"/>
    <w:rsid w:val="4F6B12BF"/>
    <w:rsid w:val="502536FF"/>
    <w:rsid w:val="5051D5C4"/>
    <w:rsid w:val="508AC69F"/>
    <w:rsid w:val="50A4ACA3"/>
    <w:rsid w:val="50B82563"/>
    <w:rsid w:val="50BC293C"/>
    <w:rsid w:val="519D304D"/>
    <w:rsid w:val="52407D04"/>
    <w:rsid w:val="527B2BC1"/>
    <w:rsid w:val="52BBB20D"/>
    <w:rsid w:val="5396E737"/>
    <w:rsid w:val="53B9677D"/>
    <w:rsid w:val="53CAE436"/>
    <w:rsid w:val="540B06B7"/>
    <w:rsid w:val="5410441B"/>
    <w:rsid w:val="54F4B58E"/>
    <w:rsid w:val="558FB77A"/>
    <w:rsid w:val="560109A2"/>
    <w:rsid w:val="56EAC89A"/>
    <w:rsid w:val="56F44B8A"/>
    <w:rsid w:val="577C3D4D"/>
    <w:rsid w:val="57FE5836"/>
    <w:rsid w:val="58901BEB"/>
    <w:rsid w:val="5A213857"/>
    <w:rsid w:val="5A2BEC4C"/>
    <w:rsid w:val="5B4CF54B"/>
    <w:rsid w:val="5BC7BB34"/>
    <w:rsid w:val="5BDF0285"/>
    <w:rsid w:val="5C584F35"/>
    <w:rsid w:val="5D1B5B99"/>
    <w:rsid w:val="5DD3A5E7"/>
    <w:rsid w:val="5F0AD456"/>
    <w:rsid w:val="5F26ED92"/>
    <w:rsid w:val="6023E23F"/>
    <w:rsid w:val="6198C502"/>
    <w:rsid w:val="6259C7FC"/>
    <w:rsid w:val="625BADB1"/>
    <w:rsid w:val="625E8E54"/>
    <w:rsid w:val="6269AF49"/>
    <w:rsid w:val="6346C202"/>
    <w:rsid w:val="634B5CAA"/>
    <w:rsid w:val="652639C9"/>
    <w:rsid w:val="65B726F8"/>
    <w:rsid w:val="65E16D8C"/>
    <w:rsid w:val="664110EA"/>
    <w:rsid w:val="6644DEF9"/>
    <w:rsid w:val="67D3AE9F"/>
    <w:rsid w:val="680C0539"/>
    <w:rsid w:val="686DE303"/>
    <w:rsid w:val="6903D221"/>
    <w:rsid w:val="69BF4CB6"/>
    <w:rsid w:val="69DD5C48"/>
    <w:rsid w:val="69E8029B"/>
    <w:rsid w:val="6A49FD9C"/>
    <w:rsid w:val="6A787C5D"/>
    <w:rsid w:val="6A99D561"/>
    <w:rsid w:val="6D1BA377"/>
    <w:rsid w:val="6F29A80D"/>
    <w:rsid w:val="6F7313A5"/>
    <w:rsid w:val="71006BC5"/>
    <w:rsid w:val="722C1632"/>
    <w:rsid w:val="726C5559"/>
    <w:rsid w:val="737687BF"/>
    <w:rsid w:val="73944721"/>
    <w:rsid w:val="750B3EBB"/>
    <w:rsid w:val="75209935"/>
    <w:rsid w:val="7563B6F4"/>
    <w:rsid w:val="75667BEF"/>
    <w:rsid w:val="76CBE7E3"/>
    <w:rsid w:val="771A09B6"/>
    <w:rsid w:val="7867B844"/>
    <w:rsid w:val="7871D1DA"/>
    <w:rsid w:val="793A09D1"/>
    <w:rsid w:val="79BE8E38"/>
    <w:rsid w:val="79D16F0B"/>
    <w:rsid w:val="7AB3CE0E"/>
    <w:rsid w:val="7ABB82E5"/>
    <w:rsid w:val="7B59FE92"/>
    <w:rsid w:val="7C00CDD8"/>
    <w:rsid w:val="7CDC48F6"/>
    <w:rsid w:val="7CF62EFA"/>
    <w:rsid w:val="7DA24F40"/>
    <w:rsid w:val="7FF504C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EEB66"/>
  <w15:chartTrackingRefBased/>
  <w15:docId w15:val="{8ED7EC44-8F8B-4E0A-B8C6-28BD2AED1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185A08F2"/>
    <w:rPr>
      <w:lang w:val="en-GB"/>
    </w:rPr>
  </w:style>
  <w:style w:type="paragraph" w:styleId="Heading1">
    <w:name w:val="heading 1"/>
    <w:basedOn w:val="Normal"/>
    <w:next w:val="Normal"/>
    <w:link w:val="Heading1Char"/>
    <w:uiPriority w:val="9"/>
    <w:qFormat/>
    <w:rsid w:val="185A08F2"/>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185A08F2"/>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185A08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185A08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185A08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185A08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185A08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185A08F2"/>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185A08F2"/>
    <w:pPr>
      <w:keepNext/>
      <w:keepLines/>
      <w:spacing w:after="0"/>
      <w:outlineLvl w:val="8"/>
    </w:pPr>
    <w:rPr>
      <w:rFonts w:eastAsiaTheme="majorEastAsia" w:cstheme="majorBidi"/>
      <w:color w:val="272727"/>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rsid w:val="185A08F2"/>
    <w:pPr>
      <w:spacing w:after="80" w:line="240" w:lineRule="auto"/>
      <w:contextualSpacing/>
    </w:pPr>
    <w:rPr>
      <w:rFonts w:asciiTheme="majorHAnsi" w:hAnsiTheme="majorHAnsi" w:eastAsiaTheme="majorEastAsia" w:cstheme="majorBidi"/>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sid w:val="185A08F2"/>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rsid w:val="185A08F2"/>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rsid w:val="185A08F2"/>
    <w:pP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185A08F2"/>
    <w:pPr>
      <w:ind w:left="720"/>
      <w:contextualSpacing/>
    </w:pPr>
  </w:style>
  <w:style w:type="paragraph" w:styleId="TOC1">
    <w:name w:val="toc 1"/>
    <w:basedOn w:val="Normal"/>
    <w:next w:val="Normal"/>
    <w:uiPriority w:val="39"/>
    <w:unhideWhenUsed/>
    <w:rsid w:val="185A08F2"/>
    <w:pPr>
      <w:spacing w:after="100"/>
    </w:pPr>
  </w:style>
  <w:style w:type="paragraph" w:styleId="TOC2">
    <w:name w:val="toc 2"/>
    <w:basedOn w:val="Normal"/>
    <w:next w:val="Normal"/>
    <w:uiPriority w:val="39"/>
    <w:unhideWhenUsed/>
    <w:rsid w:val="185A08F2"/>
    <w:pPr>
      <w:spacing w:after="100"/>
      <w:ind w:left="220"/>
    </w:pPr>
  </w:style>
  <w:style w:type="paragraph" w:styleId="TOC3">
    <w:name w:val="toc 3"/>
    <w:basedOn w:val="Normal"/>
    <w:next w:val="Normal"/>
    <w:uiPriority w:val="39"/>
    <w:unhideWhenUsed/>
    <w:rsid w:val="185A08F2"/>
    <w:pPr>
      <w:spacing w:after="100"/>
      <w:ind w:left="440"/>
    </w:pPr>
  </w:style>
  <w:style w:type="paragraph" w:styleId="TOC4">
    <w:name w:val="toc 4"/>
    <w:basedOn w:val="Normal"/>
    <w:next w:val="Normal"/>
    <w:uiPriority w:val="39"/>
    <w:unhideWhenUsed/>
    <w:rsid w:val="185A08F2"/>
    <w:pPr>
      <w:spacing w:after="100"/>
      <w:ind w:left="660"/>
    </w:pPr>
  </w:style>
  <w:style w:type="paragraph" w:styleId="TOC5">
    <w:name w:val="toc 5"/>
    <w:basedOn w:val="Normal"/>
    <w:next w:val="Normal"/>
    <w:uiPriority w:val="39"/>
    <w:unhideWhenUsed/>
    <w:rsid w:val="185A08F2"/>
    <w:pPr>
      <w:spacing w:after="100"/>
      <w:ind w:left="880"/>
    </w:pPr>
  </w:style>
  <w:style w:type="paragraph" w:styleId="TOC6">
    <w:name w:val="toc 6"/>
    <w:basedOn w:val="Normal"/>
    <w:next w:val="Normal"/>
    <w:uiPriority w:val="39"/>
    <w:unhideWhenUsed/>
    <w:rsid w:val="185A08F2"/>
    <w:pPr>
      <w:spacing w:after="100"/>
      <w:ind w:left="1100"/>
    </w:pPr>
  </w:style>
  <w:style w:type="paragraph" w:styleId="TOC7">
    <w:name w:val="toc 7"/>
    <w:basedOn w:val="Normal"/>
    <w:next w:val="Normal"/>
    <w:uiPriority w:val="39"/>
    <w:unhideWhenUsed/>
    <w:rsid w:val="185A08F2"/>
    <w:pPr>
      <w:spacing w:after="100"/>
      <w:ind w:left="1320"/>
    </w:pPr>
  </w:style>
  <w:style w:type="paragraph" w:styleId="TOC8">
    <w:name w:val="toc 8"/>
    <w:basedOn w:val="Normal"/>
    <w:next w:val="Normal"/>
    <w:uiPriority w:val="39"/>
    <w:unhideWhenUsed/>
    <w:rsid w:val="185A08F2"/>
    <w:pPr>
      <w:spacing w:after="100"/>
      <w:ind w:left="1540"/>
    </w:pPr>
  </w:style>
  <w:style w:type="paragraph" w:styleId="TOC9">
    <w:name w:val="toc 9"/>
    <w:basedOn w:val="Normal"/>
    <w:next w:val="Normal"/>
    <w:uiPriority w:val="39"/>
    <w:unhideWhenUsed/>
    <w:rsid w:val="185A08F2"/>
    <w:pPr>
      <w:spacing w:after="100"/>
      <w:ind w:left="1760"/>
    </w:pPr>
  </w:style>
  <w:style w:type="paragraph" w:styleId="EndnoteText">
    <w:name w:val="endnote text"/>
    <w:basedOn w:val="Normal"/>
    <w:uiPriority w:val="99"/>
    <w:semiHidden/>
    <w:unhideWhenUsed/>
    <w:rsid w:val="185A08F2"/>
    <w:pPr>
      <w:spacing w:after="0" w:line="240" w:lineRule="auto"/>
    </w:pPr>
    <w:rPr>
      <w:sz w:val="20"/>
      <w:szCs w:val="20"/>
    </w:rPr>
  </w:style>
  <w:style w:type="paragraph" w:styleId="Footer">
    <w:name w:val="footer"/>
    <w:basedOn w:val="Normal"/>
    <w:uiPriority w:val="99"/>
    <w:unhideWhenUsed/>
    <w:rsid w:val="185A08F2"/>
    <w:pPr>
      <w:tabs>
        <w:tab w:val="center" w:pos="4680"/>
        <w:tab w:val="right" w:pos="9360"/>
      </w:tabs>
      <w:spacing w:after="0" w:line="240" w:lineRule="auto"/>
    </w:pPr>
  </w:style>
  <w:style w:type="paragraph" w:styleId="FootnoteText">
    <w:name w:val="footnote text"/>
    <w:basedOn w:val="Normal"/>
    <w:uiPriority w:val="99"/>
    <w:semiHidden/>
    <w:unhideWhenUsed/>
    <w:rsid w:val="185A08F2"/>
    <w:pPr>
      <w:spacing w:after="0" w:line="240" w:lineRule="auto"/>
    </w:pPr>
    <w:rPr>
      <w:sz w:val="20"/>
      <w:szCs w:val="20"/>
    </w:rPr>
  </w:style>
  <w:style w:type="paragraph" w:styleId="Header">
    <w:name w:val="header"/>
    <w:basedOn w:val="Normal"/>
    <w:uiPriority w:val="99"/>
    <w:unhideWhenUsed/>
    <w:rsid w:val="185A08F2"/>
    <w:pPr>
      <w:tabs>
        <w:tab w:val="center" w:pos="4680"/>
        <w:tab w:val="right" w:pos="9360"/>
      </w:tabs>
      <w:spacing w:after="0" w:line="240" w:lineRule="auto"/>
    </w:pPr>
  </w:style>
  <w:style w:type="character" w:styleId="Hyperlink">
    <w:name w:val="Hyperlink"/>
    <w:basedOn w:val="DefaultParagraphFont"/>
    <w:uiPriority w:val="99"/>
    <w:unhideWhenUsed/>
    <w:rPr>
      <w:color w:val="467886" w:themeColor="hyperlink"/>
      <w:u w:val="single"/>
    </w:rPr>
  </w:style>
  <w:style w:type="character" w:styleId="CommentReference">
    <w:name w:val="annotation reference"/>
    <w:basedOn w:val="DefaultParagraphFont"/>
    <w:uiPriority w:val="99"/>
    <w:semiHidden/>
    <w:unhideWhenUsed/>
    <w:rsid w:val="00D26BE1"/>
    <w:rPr>
      <w:sz w:val="16"/>
      <w:szCs w:val="16"/>
    </w:rPr>
  </w:style>
  <w:style w:type="paragraph" w:styleId="CommentText">
    <w:name w:val="annotation text"/>
    <w:basedOn w:val="Normal"/>
    <w:link w:val="CommentTextChar"/>
    <w:uiPriority w:val="99"/>
    <w:unhideWhenUsed/>
    <w:rsid w:val="00D26BE1"/>
    <w:pPr>
      <w:spacing w:line="240" w:lineRule="auto"/>
    </w:pPr>
    <w:rPr>
      <w:sz w:val="20"/>
      <w:szCs w:val="20"/>
    </w:rPr>
  </w:style>
  <w:style w:type="character" w:styleId="CommentTextChar" w:customStyle="1">
    <w:name w:val="Comment Text Char"/>
    <w:basedOn w:val="DefaultParagraphFont"/>
    <w:link w:val="CommentText"/>
    <w:uiPriority w:val="99"/>
    <w:rsid w:val="00D26BE1"/>
    <w:rPr>
      <w:sz w:val="20"/>
      <w:szCs w:val="20"/>
      <w:lang w:val="en-GB"/>
    </w:rPr>
  </w:style>
  <w:style w:type="paragraph" w:styleId="CommentSubject">
    <w:name w:val="annotation subject"/>
    <w:basedOn w:val="CommentText"/>
    <w:next w:val="CommentText"/>
    <w:link w:val="CommentSubjectChar"/>
    <w:uiPriority w:val="99"/>
    <w:semiHidden/>
    <w:unhideWhenUsed/>
    <w:rsid w:val="00D26BE1"/>
    <w:rPr>
      <w:b/>
      <w:bCs/>
    </w:rPr>
  </w:style>
  <w:style w:type="character" w:styleId="CommentSubjectChar" w:customStyle="1">
    <w:name w:val="Comment Subject Char"/>
    <w:basedOn w:val="CommentTextChar"/>
    <w:link w:val="CommentSubject"/>
    <w:uiPriority w:val="99"/>
    <w:semiHidden/>
    <w:rsid w:val="00D26BE1"/>
    <w:rPr>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93/ojls/gqz033" TargetMode="External"/><Relationship Id="rId13" Type="http://schemas.openxmlformats.org/officeDocument/2006/relationships/hyperlink" Target="https://www.legislation.gov.uk/ukpga/Vict/24-25/100/section/47" TargetMode="External"/><Relationship Id="rId18" Type="http://schemas.openxmlformats.org/officeDocument/2006/relationships/fontTable" Target="fontTable.xml"/><Relationship Id="rId3" Type="http://schemas.openxmlformats.org/officeDocument/2006/relationships/webSettings" Target="webSettings.xml"/><Relationship Id="rId21" Type="http://schemas.microsoft.com/office/2020/10/relationships/intelligence" Target="intelligence2.xml"/><Relationship Id="rId7" Type="http://schemas.microsoft.com/office/2018/08/relationships/commentsExtensible" Target="commentsExtensible.xml"/><Relationship Id="rId12" Type="http://schemas.openxmlformats.org/officeDocument/2006/relationships/hyperlink" Target="https://www.lawtonslaw.co.uk/resources/abh-vs-gbh-which-is-the-more-serious-offence/(" TargetMode="External"/><Relationship Id="rId17" Type="http://schemas.openxmlformats.org/officeDocument/2006/relationships/hyperlink" Target="https://www.criminalbar.com/wp-content/uploads/2020/09/Sentencing-Guidelines-Council-Assault-Guidelines-2020.pdf" TargetMode="External"/><Relationship Id="rId2" Type="http://schemas.openxmlformats.org/officeDocument/2006/relationships/settings" Target="settings.xml"/><Relationship Id="rId16" Type="http://schemas.openxmlformats.org/officeDocument/2006/relationships/hyperlink" Target="https://www.stuartmillersolicitors.co.uk/sentences/sentence-for-actual-bodily-harm-offences/" TargetMode="External"/><Relationship Id="rId20" Type="http://schemas.openxmlformats.org/officeDocument/2006/relationships/theme" Target="theme/theme1.xml"/><Relationship Id="rId1" Type="http://schemas.openxmlformats.org/officeDocument/2006/relationships/styles" Target="styles.xml"/><Relationship Id="rId6" Type="http://schemas.microsoft.com/office/2016/09/relationships/commentsIds" Target="commentsIds.xml"/><Relationship Id="rId11" Type="http://schemas.openxmlformats.org/officeDocument/2006/relationships/hyperlink" Target="https://www.lawcom.gov.uk/app/uploads/2015/06/cp217_offences_against_the_person.pdf" TargetMode="External"/><Relationship Id="rId5" Type="http://schemas.microsoft.com/office/2011/relationships/commentsExtended" Target="commentsExtended.xml"/><Relationship Id="rId15" Type="http://schemas.openxmlformats.org/officeDocument/2006/relationships/hyperlink" Target="https://www.legislation.gov.uk/ukpga/Vict/24-25/100/section/20" TargetMode="External"/><Relationship Id="rId10" Type="http://schemas.openxmlformats.org/officeDocument/2006/relationships/hyperlink" Target="https://www.lawcom.gov.uk/app/uploads/2015/11/lc361_offences_against_the_person_summary_new.pdf" TargetMode="External"/><Relationship Id="rId19" Type="http://schemas.microsoft.com/office/2011/relationships/people" Target="people.xml"/><Relationship Id="rId4" Type="http://schemas.openxmlformats.org/officeDocument/2006/relationships/comments" Target="comments.xml"/><Relationship Id="rId9" Type="http://schemas.openxmlformats.org/officeDocument/2006/relationships/hyperlink" Target="https://doi.org/10.1177/0022018316685478" TargetMode="External"/><Relationship Id="rId14" Type="http://schemas.openxmlformats.org/officeDocument/2006/relationships/hyperlink" Target="https://www.legislation.gov.uk/ukpga/Vict/24-25/100/section/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Leighann Boswarthack (2317252)</dc:creator>
  <keywords/>
  <dc:description/>
  <lastModifiedBy>Leighann Boswarthack (2317252)</lastModifiedBy>
  <revision>12</revision>
  <dcterms:created xsi:type="dcterms:W3CDTF">2024-03-07T13:08:00.0000000Z</dcterms:created>
  <dcterms:modified xsi:type="dcterms:W3CDTF">2024-03-08T12:39:12.7979019Z</dcterms:modified>
</coreProperties>
</file>