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Detailed Benchmark Comparison and Explanation</w:t>
      </w:r>
    </w:p>
    <w:p>
      <w:pPr>
        <w:pStyle w:val="Heading2"/>
      </w:pPr>
      <w:r>
        <w:t>ROE</w:t>
      </w:r>
    </w:p>
    <w:p>
      <w:r>
        <w:t>ROE measures how effectively a company generates profit from shareholders' investment.</w:t>
      </w:r>
    </w:p>
    <w:p>
      <w:r>
        <w:t>Benchmark Analysis:</w:t>
        <w:br/>
        <w:t>Greene King reported a negative ROE (-5.8%), indicating a net loss and poor return for shareholders. JD Wetherspoon achieved 12.18%, Mitchells &amp; Butlers 6.35%, and Marston's 2.70%. Compared with these companies, Greene King significantly underperformed. The results suggest Greene King needs to improve profitability, reduce unnecessary costs, and increase returns for investors.</w:t>
      </w:r>
    </w:p>
    <w:p>
      <w:pPr>
        <w:pStyle w:val="Heading2"/>
      </w:pPr>
      <w:r>
        <w:t>ROA</w:t>
      </w:r>
    </w:p>
    <w:p>
      <w:r>
        <w:t>ROA evaluates how efficiently assets generate profit.</w:t>
      </w:r>
    </w:p>
    <w:p>
      <w:r>
        <w:t>Benchmark Analysis:</w:t>
        <w:br/>
        <w:t>Greene King's ROA of -2.8% shows assets were not generating positive earnings. Mitchells &amp; Butlers (2.97%) and JD Wetherspoon (2.52%) used their assets much more efficiently, while Marston's achieved 0.75%. Greene King should improve asset utilisation and operational efficiency.</w:t>
      </w:r>
    </w:p>
    <w:p>
      <w:pPr>
        <w:pStyle w:val="Heading2"/>
      </w:pPr>
      <w:r>
        <w:t>P/E</w:t>
      </w:r>
    </w:p>
    <w:p>
      <w:r>
        <w:t>The P/E ratio reflects investor expectations based on earnings.</w:t>
      </w:r>
    </w:p>
    <w:p>
      <w:r>
        <w:t>Benchmark Analysis:</w:t>
        <w:br/>
        <w:t>Because Greene King recorded a loss, its P/E ratio was negative and not meaningful for valuation. JD Wetherspoon and Mitchells &amp; Butlers had positive P/E ratios, reflecting stronger earnings and investor confidence. Greene King should focus on restoring profitability before market valuation improves.</w:t>
      </w:r>
    </w:p>
    <w:p>
      <w:pPr>
        <w:pStyle w:val="Heading2"/>
      </w:pPr>
      <w:r>
        <w:t>Operating Cash Flow Ratio</w:t>
      </w:r>
    </w:p>
    <w:p>
      <w:r>
        <w:t>This ratio measures the ability to pay current liabilities using operating cash flow.</w:t>
      </w:r>
    </w:p>
    <w:p>
      <w:r>
        <w:t>Benchmark Analysis:</w:t>
        <w:br/>
        <w:t>Greene King's ratio (0.14) was well below competitors, indicating weaker liquidity. JD Wetherspoon had the strongest ratio (0.48). Improving operating cash flow would strengthen Greene King's financial stability.</w:t>
      </w:r>
    </w:p>
    <w:p>
      <w:pPr>
        <w:pStyle w:val="Heading2"/>
      </w:pPr>
      <w:r>
        <w:t>Free Cash Flow Margin</w:t>
      </w:r>
    </w:p>
    <w:p>
      <w:r>
        <w:t>Free Cash Flow Margin measures how much free cash is generated from sales.</w:t>
      </w:r>
    </w:p>
    <w:p>
      <w:r>
        <w:t>Benchmark Analysis:</w:t>
        <w:br/>
        <w:t>Greene King's margin of approximately 0.5% was substantially below competitors. This suggests limited cash available for expansion, debt reduction, or dividends. Better cost control and stronger operating performance could improve free cash flow.</w:t>
      </w:r>
    </w:p>
    <w:p>
      <w:pPr>
        <w:pStyle w:val="Heading2"/>
      </w:pPr>
      <w:r>
        <w:t>Overall Benchmark Evaluation</w:t>
      </w:r>
    </w:p>
    <w:p>
      <w:r>
        <w:t>Overall, Greene King performed below its major competitors across most benchmark ratios. Negative profitability ratios, weak cash generation, and lower liquidity indicate financial challenges during the period. In contrast, JD Wetherspoon consistently showed the strongest performance, while Mitchells &amp; Butlers also achieved healthy profitability and efficiency. Greene King should prioritise increasing revenue, improving cost efficiency, strengthening operating cash flow, and making better use of assets. These improvements would help the company move closer to industry benchmarks and improve long-term financial performance.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