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5A35" w:rsidRDefault="00705A35">
      <w:pPr>
        <w:rPr>
          <w:rFonts w:cs="Times New Roman"/>
          <w:color w:val="000000" w:themeColor="text1"/>
        </w:rPr>
      </w:pPr>
    </w:p>
    <w:p w:rsidR="00705A35" w:rsidRDefault="00705A35">
      <w:pPr>
        <w:rPr>
          <w:rFonts w:cs="Times New Roman"/>
          <w:color w:val="000000" w:themeColor="text1"/>
        </w:rPr>
      </w:pPr>
    </w:p>
    <w:p w:rsidR="00705A35" w:rsidRDefault="00705A35">
      <w:pPr>
        <w:rPr>
          <w:rFonts w:cs="Times New Roman"/>
          <w:color w:val="000000" w:themeColor="text1"/>
        </w:rPr>
      </w:pPr>
    </w:p>
    <w:p w:rsidR="00D7594C" w:rsidRDefault="00D7594C" w:rsidP="00705A35">
      <w:pPr>
        <w:jc w:val="center"/>
        <w:rPr>
          <w:rFonts w:cs="Times New Roman"/>
          <w:b/>
          <w:color w:val="000000" w:themeColor="text1"/>
        </w:rPr>
      </w:pPr>
      <w:r>
        <w:rPr>
          <w:rFonts w:cs="Times New Roman"/>
          <w:b/>
          <w:color w:val="000000" w:themeColor="text1"/>
        </w:rPr>
        <w:t xml:space="preserve">Florin Constantin </w:t>
      </w:r>
      <w:proofErr w:type="spellStart"/>
      <w:r>
        <w:rPr>
          <w:rFonts w:cs="Times New Roman"/>
          <w:b/>
          <w:color w:val="000000" w:themeColor="text1"/>
        </w:rPr>
        <w:t>Macovei</w:t>
      </w:r>
      <w:proofErr w:type="spellEnd"/>
      <w:r>
        <w:rPr>
          <w:rFonts w:cs="Times New Roman"/>
          <w:b/>
          <w:color w:val="000000" w:themeColor="text1"/>
        </w:rPr>
        <w:t>, 2132426</w:t>
      </w:r>
    </w:p>
    <w:p w:rsidR="00705A35" w:rsidRPr="00CF6B2D" w:rsidRDefault="00D7594C" w:rsidP="00705A35">
      <w:pPr>
        <w:jc w:val="center"/>
        <w:rPr>
          <w:rFonts w:cs="Times New Roman"/>
          <w:b/>
          <w:color w:val="000000" w:themeColor="text1"/>
        </w:rPr>
      </w:pPr>
      <w:r w:rsidRPr="00CF6B2D">
        <w:rPr>
          <w:rFonts w:cs="Times New Roman"/>
          <w:b/>
          <w:color w:val="000000" w:themeColor="text1"/>
        </w:rPr>
        <w:t xml:space="preserve">Module Code: </w:t>
      </w:r>
      <w:bookmarkStart w:id="0" w:name="_GoBack"/>
      <w:bookmarkEnd w:id="0"/>
      <w:r w:rsidRPr="00CF6B2D">
        <w:rPr>
          <w:rFonts w:cs="Times New Roman"/>
          <w:b/>
          <w:color w:val="000000" w:themeColor="text1"/>
        </w:rPr>
        <w:t>BMPL4009</w:t>
      </w:r>
    </w:p>
    <w:p w:rsidR="00705A35" w:rsidRPr="00CF6B2D" w:rsidRDefault="00D7594C" w:rsidP="00705A35">
      <w:pPr>
        <w:jc w:val="center"/>
        <w:rPr>
          <w:rFonts w:cs="Times New Roman"/>
          <w:b/>
          <w:color w:val="000000" w:themeColor="text1"/>
        </w:rPr>
      </w:pPr>
      <w:r w:rsidRPr="00CF6B2D">
        <w:rPr>
          <w:rFonts w:cs="Times New Roman"/>
          <w:b/>
          <w:color w:val="000000" w:themeColor="text1"/>
        </w:rPr>
        <w:t>Module Title: Criminal law – Assignment 1</w:t>
      </w:r>
    </w:p>
    <w:p w:rsidR="00705A35" w:rsidRPr="00CF6B2D" w:rsidRDefault="00D7594C" w:rsidP="00705A35">
      <w:pPr>
        <w:jc w:val="center"/>
        <w:rPr>
          <w:rFonts w:cs="Times New Roman"/>
          <w:b/>
          <w:color w:val="000000" w:themeColor="text1"/>
        </w:rPr>
      </w:pPr>
      <w:r w:rsidRPr="00CF6B2D">
        <w:rPr>
          <w:rFonts w:cs="Times New Roman"/>
          <w:b/>
          <w:color w:val="000000" w:themeColor="text1"/>
        </w:rPr>
        <w:t>Assignment Title: Liability by Omission</w:t>
      </w:r>
    </w:p>
    <w:p w:rsidR="00A72DF9" w:rsidRDefault="00D7594C" w:rsidP="00705A35">
      <w:pPr>
        <w:jc w:val="center"/>
        <w:rPr>
          <w:rFonts w:eastAsiaTheme="majorEastAsia" w:cs="Times New Roman"/>
          <w:b/>
          <w:bCs/>
          <w:color w:val="000000" w:themeColor="text1"/>
          <w:szCs w:val="28"/>
        </w:rPr>
      </w:pPr>
      <w:r w:rsidRPr="00CF6B2D">
        <w:rPr>
          <w:rFonts w:cs="Times New Roman"/>
          <w:b/>
          <w:color w:val="000000" w:themeColor="text1"/>
        </w:rPr>
        <w:t>Word Count: 1500 words</w:t>
      </w:r>
      <w:r>
        <w:rPr>
          <w:rFonts w:cs="Times New Roman"/>
          <w:color w:val="000000" w:themeColor="text1"/>
        </w:rPr>
        <w:br w:type="page"/>
      </w:r>
    </w:p>
    <w:p w:rsidR="00A72DF9" w:rsidRPr="00A72DF9" w:rsidRDefault="00D7594C" w:rsidP="00A72DF9">
      <w:pPr>
        <w:pStyle w:val="TOC1"/>
        <w:rPr>
          <w:b/>
        </w:rPr>
      </w:pPr>
      <w:r>
        <w:rPr>
          <w:b/>
        </w:rPr>
        <w:lastRenderedPageBreak/>
        <w:t>Table of Contents</w:t>
      </w:r>
    </w:p>
    <w:p w:rsidR="00A72DF9" w:rsidRDefault="00D7594C" w:rsidP="00A72DF9">
      <w:pPr>
        <w:pStyle w:val="TOC1"/>
        <w:rPr>
          <w:noProof/>
        </w:rPr>
      </w:pPr>
      <w:r>
        <w:rPr>
          <w:rFonts w:cs="Times New Roman"/>
        </w:rPr>
        <w:fldChar w:fldCharType="begin"/>
      </w:r>
      <w:r>
        <w:rPr>
          <w:rFonts w:cs="Times New Roman"/>
        </w:rPr>
        <w:instrText xml:space="preserve"> TOC \o "1-3" \h \z \u </w:instrText>
      </w:r>
      <w:r>
        <w:rPr>
          <w:rFonts w:cs="Times New Roman"/>
        </w:rPr>
        <w:fldChar w:fldCharType="separate"/>
      </w:r>
      <w:hyperlink w:anchor="_Toc118385208" w:history="1">
        <w:r w:rsidRPr="00F6329F">
          <w:rPr>
            <w:rStyle w:val="Hyperlink"/>
            <w:rFonts w:cs="Times New Roman"/>
            <w:noProof/>
          </w:rPr>
          <w:t>1</w:t>
        </w:r>
        <w:r>
          <w:rPr>
            <w:noProof/>
          </w:rPr>
          <w:tab/>
        </w:r>
        <w:r w:rsidRPr="00F6329F">
          <w:rPr>
            <w:rStyle w:val="Hyperlink"/>
            <w:rFonts w:cs="Times New Roman"/>
            <w:noProof/>
          </w:rPr>
          <w:t>Introduction</w:t>
        </w:r>
        <w:r>
          <w:rPr>
            <w:noProof/>
            <w:webHidden/>
          </w:rPr>
          <w:tab/>
        </w:r>
        <w:r>
          <w:rPr>
            <w:noProof/>
            <w:webHidden/>
          </w:rPr>
          <w:fldChar w:fldCharType="begin"/>
        </w:r>
        <w:r>
          <w:rPr>
            <w:noProof/>
            <w:webHidden/>
          </w:rPr>
          <w:instrText xml:space="preserve"> PAGEREF _Toc118385208 \h </w:instrText>
        </w:r>
        <w:r>
          <w:rPr>
            <w:noProof/>
            <w:webHidden/>
          </w:rPr>
        </w:r>
        <w:r>
          <w:rPr>
            <w:noProof/>
            <w:webHidden/>
          </w:rPr>
          <w:fldChar w:fldCharType="separate"/>
        </w:r>
        <w:r>
          <w:rPr>
            <w:noProof/>
            <w:webHidden/>
          </w:rPr>
          <w:t>3</w:t>
        </w:r>
        <w:r>
          <w:rPr>
            <w:noProof/>
            <w:webHidden/>
          </w:rPr>
          <w:fldChar w:fldCharType="end"/>
        </w:r>
      </w:hyperlink>
    </w:p>
    <w:p w:rsidR="00A72DF9" w:rsidRDefault="005C185D" w:rsidP="00A72DF9">
      <w:pPr>
        <w:pStyle w:val="TOC1"/>
        <w:rPr>
          <w:noProof/>
        </w:rPr>
      </w:pPr>
      <w:hyperlink w:anchor="_Toc118385209" w:history="1">
        <w:r w:rsidR="00D7594C" w:rsidRPr="00F6329F">
          <w:rPr>
            <w:rStyle w:val="Hyperlink"/>
            <w:rFonts w:cs="Times New Roman"/>
            <w:noProof/>
          </w:rPr>
          <w:t>2</w:t>
        </w:r>
        <w:r w:rsidR="00D7594C">
          <w:rPr>
            <w:noProof/>
          </w:rPr>
          <w:tab/>
        </w:r>
        <w:r w:rsidR="00D7594C" w:rsidRPr="00F6329F">
          <w:rPr>
            <w:rStyle w:val="Hyperlink"/>
            <w:rFonts w:cs="Times New Roman"/>
            <w:noProof/>
          </w:rPr>
          <w:t>Criminal Liability will be Upheld for Failing to Act</w:t>
        </w:r>
        <w:r w:rsidR="00D7594C">
          <w:rPr>
            <w:noProof/>
            <w:webHidden/>
          </w:rPr>
          <w:tab/>
        </w:r>
        <w:r w:rsidR="00D7594C">
          <w:rPr>
            <w:noProof/>
            <w:webHidden/>
          </w:rPr>
          <w:fldChar w:fldCharType="begin"/>
        </w:r>
        <w:r w:rsidR="00D7594C">
          <w:rPr>
            <w:noProof/>
            <w:webHidden/>
          </w:rPr>
          <w:instrText xml:space="preserve"> PAGEREF _Toc118385209 \h </w:instrText>
        </w:r>
        <w:r w:rsidR="00D7594C">
          <w:rPr>
            <w:noProof/>
            <w:webHidden/>
          </w:rPr>
        </w:r>
        <w:r w:rsidR="00D7594C">
          <w:rPr>
            <w:noProof/>
            <w:webHidden/>
          </w:rPr>
          <w:fldChar w:fldCharType="separate"/>
        </w:r>
        <w:r w:rsidR="00D7594C">
          <w:rPr>
            <w:noProof/>
            <w:webHidden/>
          </w:rPr>
          <w:t>3</w:t>
        </w:r>
        <w:r w:rsidR="00D7594C">
          <w:rPr>
            <w:noProof/>
            <w:webHidden/>
          </w:rPr>
          <w:fldChar w:fldCharType="end"/>
        </w:r>
      </w:hyperlink>
    </w:p>
    <w:p w:rsidR="00A72DF9" w:rsidRDefault="005C185D" w:rsidP="00A72DF9">
      <w:pPr>
        <w:pStyle w:val="TOC1"/>
        <w:rPr>
          <w:noProof/>
        </w:rPr>
      </w:pPr>
      <w:hyperlink w:anchor="_Toc118385210" w:history="1">
        <w:r w:rsidR="00D7594C" w:rsidRPr="00F6329F">
          <w:rPr>
            <w:rStyle w:val="Hyperlink"/>
            <w:rFonts w:cs="Times New Roman"/>
            <w:noProof/>
          </w:rPr>
          <w:t>3</w:t>
        </w:r>
        <w:r w:rsidR="00D7594C">
          <w:rPr>
            <w:noProof/>
          </w:rPr>
          <w:tab/>
        </w:r>
        <w:r w:rsidR="00D7594C" w:rsidRPr="00F6329F">
          <w:rPr>
            <w:rStyle w:val="Hyperlink"/>
            <w:rFonts w:cs="Times New Roman"/>
            <w:noProof/>
          </w:rPr>
          <w:t>Conclusion</w:t>
        </w:r>
        <w:r w:rsidR="00D7594C">
          <w:rPr>
            <w:noProof/>
            <w:webHidden/>
          </w:rPr>
          <w:tab/>
        </w:r>
        <w:r w:rsidR="00D7594C">
          <w:rPr>
            <w:noProof/>
            <w:webHidden/>
          </w:rPr>
          <w:fldChar w:fldCharType="begin"/>
        </w:r>
        <w:r w:rsidR="00D7594C">
          <w:rPr>
            <w:noProof/>
            <w:webHidden/>
          </w:rPr>
          <w:instrText xml:space="preserve"> PAGEREF _Toc118385210 \h </w:instrText>
        </w:r>
        <w:r w:rsidR="00D7594C">
          <w:rPr>
            <w:noProof/>
            <w:webHidden/>
          </w:rPr>
        </w:r>
        <w:r w:rsidR="00D7594C">
          <w:rPr>
            <w:noProof/>
            <w:webHidden/>
          </w:rPr>
          <w:fldChar w:fldCharType="separate"/>
        </w:r>
        <w:r w:rsidR="00D7594C">
          <w:rPr>
            <w:noProof/>
            <w:webHidden/>
          </w:rPr>
          <w:t>6</w:t>
        </w:r>
        <w:r w:rsidR="00D7594C">
          <w:rPr>
            <w:noProof/>
            <w:webHidden/>
          </w:rPr>
          <w:fldChar w:fldCharType="end"/>
        </w:r>
      </w:hyperlink>
    </w:p>
    <w:p w:rsidR="00A72DF9" w:rsidRDefault="005C185D" w:rsidP="00A72DF9">
      <w:pPr>
        <w:pStyle w:val="TOC1"/>
        <w:rPr>
          <w:noProof/>
        </w:rPr>
      </w:pPr>
      <w:hyperlink w:anchor="_Toc118385211" w:history="1">
        <w:r w:rsidR="00D7594C" w:rsidRPr="00F6329F">
          <w:rPr>
            <w:rStyle w:val="Hyperlink"/>
            <w:rFonts w:cs="Times New Roman"/>
            <w:noProof/>
          </w:rPr>
          <w:t>4</w:t>
        </w:r>
        <w:r w:rsidR="00D7594C">
          <w:rPr>
            <w:noProof/>
          </w:rPr>
          <w:tab/>
        </w:r>
        <w:r w:rsidR="00D7594C" w:rsidRPr="00F6329F">
          <w:rPr>
            <w:rStyle w:val="Hyperlink"/>
            <w:rFonts w:cs="Times New Roman"/>
            <w:noProof/>
          </w:rPr>
          <w:t>References</w:t>
        </w:r>
        <w:r w:rsidR="00D7594C">
          <w:rPr>
            <w:noProof/>
            <w:webHidden/>
          </w:rPr>
          <w:tab/>
        </w:r>
        <w:r w:rsidR="00D7594C">
          <w:rPr>
            <w:noProof/>
            <w:webHidden/>
          </w:rPr>
          <w:fldChar w:fldCharType="begin"/>
        </w:r>
        <w:r w:rsidR="00D7594C">
          <w:rPr>
            <w:noProof/>
            <w:webHidden/>
          </w:rPr>
          <w:instrText xml:space="preserve"> PAGEREF _Toc118385211 \h </w:instrText>
        </w:r>
        <w:r w:rsidR="00D7594C">
          <w:rPr>
            <w:noProof/>
            <w:webHidden/>
          </w:rPr>
        </w:r>
        <w:r w:rsidR="00D7594C">
          <w:rPr>
            <w:noProof/>
            <w:webHidden/>
          </w:rPr>
          <w:fldChar w:fldCharType="separate"/>
        </w:r>
        <w:r w:rsidR="00D7594C">
          <w:rPr>
            <w:noProof/>
            <w:webHidden/>
          </w:rPr>
          <w:t>7</w:t>
        </w:r>
        <w:r w:rsidR="00D7594C">
          <w:rPr>
            <w:noProof/>
            <w:webHidden/>
          </w:rPr>
          <w:fldChar w:fldCharType="end"/>
        </w:r>
      </w:hyperlink>
    </w:p>
    <w:p w:rsidR="00A72DF9" w:rsidRDefault="00D7594C">
      <w:pPr>
        <w:rPr>
          <w:rFonts w:eastAsiaTheme="majorEastAsia" w:cs="Times New Roman"/>
          <w:b/>
          <w:bCs/>
          <w:color w:val="000000" w:themeColor="text1"/>
          <w:szCs w:val="28"/>
        </w:rPr>
      </w:pPr>
      <w:r>
        <w:rPr>
          <w:rFonts w:cs="Times New Roman"/>
          <w:color w:val="000000" w:themeColor="text1"/>
        </w:rPr>
        <w:fldChar w:fldCharType="end"/>
      </w:r>
      <w:r>
        <w:rPr>
          <w:rFonts w:cs="Times New Roman"/>
          <w:color w:val="000000" w:themeColor="text1"/>
        </w:rPr>
        <w:br w:type="page"/>
      </w:r>
    </w:p>
    <w:p w:rsidR="002A05ED" w:rsidRDefault="00D7594C" w:rsidP="001F2E91">
      <w:pPr>
        <w:pStyle w:val="Heading1"/>
        <w:rPr>
          <w:rFonts w:ascii="Times New Roman" w:hAnsi="Times New Roman" w:cs="Times New Roman"/>
          <w:color w:val="000000" w:themeColor="text1"/>
          <w:sz w:val="24"/>
        </w:rPr>
      </w:pPr>
      <w:bookmarkStart w:id="1" w:name="_Toc118385208"/>
      <w:r>
        <w:rPr>
          <w:rFonts w:ascii="Times New Roman" w:hAnsi="Times New Roman" w:cs="Times New Roman"/>
          <w:color w:val="000000" w:themeColor="text1"/>
          <w:sz w:val="24"/>
        </w:rPr>
        <w:lastRenderedPageBreak/>
        <w:t>Introduction</w:t>
      </w:r>
      <w:bookmarkEnd w:id="1"/>
      <w:r>
        <w:rPr>
          <w:rFonts w:ascii="Times New Roman" w:hAnsi="Times New Roman" w:cs="Times New Roman"/>
          <w:color w:val="000000" w:themeColor="text1"/>
          <w:sz w:val="24"/>
        </w:rPr>
        <w:t xml:space="preserve"> </w:t>
      </w:r>
    </w:p>
    <w:p w:rsidR="00367434" w:rsidRPr="002E689E" w:rsidRDefault="00D7594C" w:rsidP="00367434">
      <w:r>
        <w:t xml:space="preserve">Chances are that in an individual lifetime, they will experience criminal activity, whether indirectly </w:t>
      </w:r>
      <w:r w:rsidR="00B33644">
        <w:t xml:space="preserve">or directly. </w:t>
      </w:r>
      <w:r w:rsidR="00A25CA3">
        <w:t xml:space="preserve">Crime is considered an unlawful act that causes psychological or physical damage or harm to property. </w:t>
      </w:r>
      <w:r w:rsidR="002E689E">
        <w:t>The offences are of various types, and some crimes involve manslaughter and murder, assault and sexual offences.</w:t>
      </w:r>
      <w:r w:rsidR="00DB684F">
        <w:t xml:space="preserve"> </w:t>
      </w:r>
      <w:r w:rsidR="00455D9F">
        <w:t xml:space="preserve">If an individual is criminally liable, then they are responsible for breaking a regulation, whether it be actual or potential responsibility. </w:t>
      </w:r>
      <w:r w:rsidR="00D16D05">
        <w:t xml:space="preserve">This assignment will describe criminal liability and what crime failure to act is associated with. </w:t>
      </w:r>
      <w:r w:rsidR="00A519BC">
        <w:t>The assignment will further describe criminal law and crimes that</w:t>
      </w:r>
      <w:r w:rsidR="00CD590E">
        <w:t xml:space="preserve"> are committed due to omission. For enhanced understanding, case laws would also be described in the assessment. </w:t>
      </w:r>
    </w:p>
    <w:p w:rsidR="001F2E91" w:rsidRDefault="00D7594C" w:rsidP="001F2E91">
      <w:pPr>
        <w:pStyle w:val="Heading1"/>
        <w:rPr>
          <w:rFonts w:ascii="Times New Roman" w:hAnsi="Times New Roman" w:cs="Times New Roman"/>
          <w:color w:val="000000" w:themeColor="text1"/>
          <w:sz w:val="24"/>
        </w:rPr>
      </w:pPr>
      <w:bookmarkStart w:id="2" w:name="_Toc118385209"/>
      <w:r w:rsidRPr="001F2E91">
        <w:rPr>
          <w:rFonts w:ascii="Times New Roman" w:hAnsi="Times New Roman" w:cs="Times New Roman"/>
          <w:color w:val="000000" w:themeColor="text1"/>
          <w:sz w:val="24"/>
        </w:rPr>
        <w:t>Criminal Liability will be Uphe</w:t>
      </w:r>
      <w:r w:rsidR="00894AD9">
        <w:rPr>
          <w:rFonts w:ascii="Times New Roman" w:hAnsi="Times New Roman" w:cs="Times New Roman"/>
          <w:color w:val="000000" w:themeColor="text1"/>
          <w:sz w:val="24"/>
        </w:rPr>
        <w:t>ld for Failing to Act</w:t>
      </w:r>
      <w:bookmarkEnd w:id="2"/>
    </w:p>
    <w:p w:rsidR="00894AD9" w:rsidRDefault="00D7594C" w:rsidP="00894AD9">
      <w:r>
        <w:t xml:space="preserve">According to </w:t>
      </w:r>
      <w:r w:rsidR="00AE4AAE">
        <w:t>Chuasanga</w:t>
      </w:r>
      <w:r w:rsidR="00AE4AAE" w:rsidRPr="00281770">
        <w:t xml:space="preserve"> and Victoria</w:t>
      </w:r>
      <w:r w:rsidR="00AE4AAE">
        <w:t xml:space="preserve"> </w:t>
      </w:r>
      <w:r>
        <w:t>(</w:t>
      </w:r>
      <w:r w:rsidR="00AE4AAE">
        <w:t>2019</w:t>
      </w:r>
      <w:r>
        <w:t xml:space="preserve">), criminal liability is to identify whether an individual will be charged and sentenced. </w:t>
      </w:r>
      <w:r w:rsidR="006532FD">
        <w:t>Criminal liability consists of two main element</w:t>
      </w:r>
      <w:r w:rsidR="009B224C">
        <w:t xml:space="preserve">s, which are mental and physical. These are also known as mens rea and actus reus. </w:t>
      </w:r>
      <w:r w:rsidR="00D91515">
        <w:t xml:space="preserve">If it is proven in Court that liability is found, then it is believed by the government that an individual has committed a crime. </w:t>
      </w:r>
      <w:r w:rsidR="00806FD5">
        <w:t xml:space="preserve">The person would be held responsible for their actions, and they will be sentenced and prosecuted in Court. </w:t>
      </w:r>
      <w:r w:rsidR="000830F8" w:rsidRPr="000830F8">
        <w:t>Stone and Dobinson [1977]</w:t>
      </w:r>
      <w:r w:rsidR="000830F8">
        <w:t xml:space="preserve"> is a case in which the accused were held liable for Fanny's death. They were responsible for anorexia and mental health illness of Fanny but allowed her condition to worsen, which led towards her death</w:t>
      </w:r>
      <w:r w:rsidR="007E349F">
        <w:t xml:space="preserve"> (</w:t>
      </w:r>
      <w:r w:rsidR="00AE4AAE" w:rsidRPr="00937C2A">
        <w:t>Griffith</w:t>
      </w:r>
      <w:r w:rsidR="00AE4AAE">
        <w:t>, 2018</w:t>
      </w:r>
      <w:r w:rsidR="007E349F">
        <w:t>)</w:t>
      </w:r>
      <w:r w:rsidR="000830F8">
        <w:t xml:space="preserve">. </w:t>
      </w:r>
      <w:r w:rsidR="00C251C8">
        <w:t xml:space="preserve">They were found liable by the Court and were convicted as they failed to perform their duty to act </w:t>
      </w:r>
      <w:r w:rsidR="00FD5FB9">
        <w:t xml:space="preserve">as Fanny was their family. </w:t>
      </w:r>
      <w:r w:rsidR="00EF3DB7">
        <w:t xml:space="preserve">This case shows actus reus, and they failed to care for her, which led them towards being liable for </w:t>
      </w:r>
      <w:r w:rsidR="00514588">
        <w:t>manslaughter</w:t>
      </w:r>
      <w:r w:rsidR="00EF3DB7">
        <w:t xml:space="preserve">. </w:t>
      </w:r>
      <w:r w:rsidR="009F49A2">
        <w:t xml:space="preserve">Criminal liability </w:t>
      </w:r>
      <w:r w:rsidR="00AD37E5">
        <w:t xml:space="preserve">is when an individual is held responsible for breaching a regulation. This liability involves a responsibility that Stone had for taking care of his sister but failed, due to which he and his mistress was charged with manslaughter. </w:t>
      </w:r>
    </w:p>
    <w:p w:rsidR="006118B8" w:rsidRPr="002F7629" w:rsidRDefault="00D7594C" w:rsidP="00894AD9">
      <w:r>
        <w:t xml:space="preserve">As explained by </w:t>
      </w:r>
      <w:r w:rsidR="001232BC" w:rsidRPr="002526EC">
        <w:t>Ferzan</w:t>
      </w:r>
      <w:r w:rsidR="001232BC">
        <w:t xml:space="preserve"> </w:t>
      </w:r>
      <w:r>
        <w:t>(</w:t>
      </w:r>
      <w:r w:rsidR="001232BC">
        <w:t>2018</w:t>
      </w:r>
      <w:r>
        <w:t xml:space="preserve">), an omission in criminal law involves actus reus and offers rise to liability when the regulation imposes a duty to act, and the accused have breached that duty. </w:t>
      </w:r>
      <w:r w:rsidR="001C2CBA">
        <w:t xml:space="preserve">Actus reus is described as a guilty act which is an unlawful act or omission of that action has taken place. </w:t>
      </w:r>
      <w:r w:rsidR="006E1777">
        <w:t xml:space="preserve">Criminal liability is projected as an act of failure when the defendant has the duty to act and is ably capable of doing it. </w:t>
      </w:r>
      <w:r w:rsidR="00983459" w:rsidRPr="00983459">
        <w:t>Dytham [1979]</w:t>
      </w:r>
      <w:r w:rsidR="00983459">
        <w:t xml:space="preserve"> is a case in which the officer was liable for neglecting their duty even after witnessing an attack. </w:t>
      </w:r>
      <w:r w:rsidR="006A003A">
        <w:t xml:space="preserve">The officer was under the oath of protection </w:t>
      </w:r>
      <w:r w:rsidR="006A003A">
        <w:lastRenderedPageBreak/>
        <w:t>but performed an act of Perjury</w:t>
      </w:r>
      <w:r w:rsidR="00BB0FE5">
        <w:t xml:space="preserve"> (</w:t>
      </w:r>
      <w:r w:rsidR="001232BC" w:rsidRPr="00727EB5">
        <w:t>Kemeys</w:t>
      </w:r>
      <w:r w:rsidR="001232BC">
        <w:t>, 2019</w:t>
      </w:r>
      <w:r w:rsidR="00BB0FE5">
        <w:t>)</w:t>
      </w:r>
      <w:r w:rsidR="006A003A">
        <w:t xml:space="preserve">. The victim was being kicked and beaten to death outside a nightclub, but the officer did not provide any help or intervene. Due to this reason, the accused was charged with misconduct and dealt with liability for omission. </w:t>
      </w:r>
      <w:r w:rsidR="002F7629">
        <w:t>The criminal omission is failing to perform a legal duty when Dytham had the capacity to stop the victim from dying but did not take any effective measures to stop the crime.</w:t>
      </w:r>
    </w:p>
    <w:p w:rsidR="00806665" w:rsidRDefault="00D7594C" w:rsidP="00894AD9">
      <w:r>
        <w:t xml:space="preserve">However, </w:t>
      </w:r>
      <w:r w:rsidR="001232BC">
        <w:t>Hevelke</w:t>
      </w:r>
      <w:r w:rsidR="001232BC" w:rsidRPr="001566B0">
        <w:t xml:space="preserve"> and Nida-Rümelin</w:t>
      </w:r>
      <w:r w:rsidR="001232BC">
        <w:t xml:space="preserve"> </w:t>
      </w:r>
      <w:r>
        <w:t>(</w:t>
      </w:r>
      <w:r w:rsidR="001232BC">
        <w:t>2015</w:t>
      </w:r>
      <w:r>
        <w:t xml:space="preserve">) stated that </w:t>
      </w:r>
      <w:r w:rsidR="003D7F25">
        <w:t xml:space="preserve">a duty to act is considered a legal responsibility and needs an individual to take appropriate steps </w:t>
      </w:r>
      <w:r w:rsidR="0036270B">
        <w:t xml:space="preserve">to prevent harm to another individual. </w:t>
      </w:r>
      <w:r w:rsidR="00945997">
        <w:t xml:space="preserve">In the Personal Injury Law of the UK, a person is held to a standard of care for preventing harm or injury. </w:t>
      </w:r>
      <w:r w:rsidR="000473B1">
        <w:t xml:space="preserve">An omission is considered punishable if there is a legal duty found on a person to act positively. </w:t>
      </w:r>
      <w:r w:rsidR="007C0B90">
        <w:t xml:space="preserve">A legal duty is different from moral duty. </w:t>
      </w:r>
      <w:r w:rsidR="0091189E">
        <w:t xml:space="preserve">The general rule is that an individual is under a legal duty to act positively if the lawful convictions of society require him. </w:t>
      </w:r>
      <w:r w:rsidR="00407A9F">
        <w:t xml:space="preserve">For the understanding of the duty to act, </w:t>
      </w:r>
      <w:r w:rsidR="00407A9F" w:rsidRPr="00407A9F">
        <w:t>Willoughby [2005]</w:t>
      </w:r>
      <w:r w:rsidR="00407A9F">
        <w:t xml:space="preserve"> can be taken as an example. This case shows gross negligence manslaughter. The accused burned their pub down to avoid mortgage, but an individual died, due to which the judge convicted him of manslaughter as he had a duty to care but chose to omit it, which caused a person to die</w:t>
      </w:r>
      <w:r w:rsidR="00BB0FE5">
        <w:t xml:space="preserve"> (</w:t>
      </w:r>
      <w:r w:rsidR="001232BC" w:rsidRPr="00587734">
        <w:t>Leung</w:t>
      </w:r>
      <w:r w:rsidR="001232BC">
        <w:t>, 2021</w:t>
      </w:r>
      <w:r w:rsidR="00BB0FE5">
        <w:t>)</w:t>
      </w:r>
      <w:r w:rsidR="00407A9F">
        <w:t xml:space="preserve">. </w:t>
      </w:r>
      <w:r w:rsidR="00203F77">
        <w:t xml:space="preserve">The negligence that was shown by Willoughby led him to face legal consequences. </w:t>
      </w:r>
      <w:r w:rsidR="00893256">
        <w:t xml:space="preserve">Before burning the building down, the defendant could have a look if any individual </w:t>
      </w:r>
      <w:r w:rsidR="00A13740">
        <w:t xml:space="preserve">is inside the building and would be able to save that person. </w:t>
      </w:r>
      <w:r w:rsidR="00D7399E">
        <w:t xml:space="preserve">Due to omission of duty to act, the defendant was convicted. </w:t>
      </w:r>
    </w:p>
    <w:p w:rsidR="001A59E7" w:rsidRPr="00A05158" w:rsidRDefault="00D7594C" w:rsidP="00894AD9">
      <w:r w:rsidRPr="005D67D1">
        <w:t>Child</w:t>
      </w:r>
      <w:r>
        <w:t xml:space="preserve"> </w:t>
      </w:r>
      <w:r w:rsidR="00CF6B2D">
        <w:t>(</w:t>
      </w:r>
      <w:r>
        <w:t>2016</w:t>
      </w:r>
      <w:r w:rsidR="00CF6B2D">
        <w:t>) identified that requirements for a crime that is being committed by omission, vital requirements of crime are mens r</w:t>
      </w:r>
      <w:r w:rsidR="00602500">
        <w:t>ea and actus reus</w:t>
      </w:r>
      <w:r w:rsidR="00CF6B2D">
        <w:t xml:space="preserve">. The act can be any voluntary behaviour of an individual. </w:t>
      </w:r>
      <w:r w:rsidR="0074709B">
        <w:t xml:space="preserve">An act of omission involves denigration, scapegoating, ignoring, verbal abuse, or belittling so that the person can generate a sense of worthlessness, helplessness and self-esteem. </w:t>
      </w:r>
      <w:r w:rsidR="003E7B8D">
        <w:t xml:space="preserve">A crime of omission is basically homicide which is committed by omission when an individual is in a position where the person fails to prevent damage by omitting to act despite being responsible for legal duty. </w:t>
      </w:r>
      <w:r w:rsidR="00183B65" w:rsidRPr="00183B65">
        <w:t>Hood [2004]</w:t>
      </w:r>
      <w:r w:rsidR="00183B65">
        <w:t xml:space="preserve"> is a case which shows omission to act, although the defendant was the husband but failed to acquire proper help for his wife. The defendant was sentenced for the manslaughter of her wife due to gross negligence as he knew that the wife had osteoporosis and diabetes. </w:t>
      </w:r>
      <w:r w:rsidR="00A05158">
        <w:t>Hood was responsible for the care of his wide but failed in doing it. Under Criminal law, he breached his duty due to negligence which led his wife to die</w:t>
      </w:r>
      <w:r>
        <w:t xml:space="preserve"> </w:t>
      </w:r>
      <w:r>
        <w:lastRenderedPageBreak/>
        <w:t>(</w:t>
      </w:r>
      <w:r w:rsidRPr="0074651D">
        <w:t>Townsend</w:t>
      </w:r>
      <w:r>
        <w:t>, 2019)</w:t>
      </w:r>
      <w:r w:rsidR="00A05158">
        <w:t>.</w:t>
      </w:r>
      <w:r w:rsidR="00150ED2">
        <w:t xml:space="preserve"> It can also be assessed that even knowing about the condition of his wife, Hood intentionally let her suffer and committed a crime by omission. </w:t>
      </w:r>
    </w:p>
    <w:p w:rsidR="000614CF" w:rsidRDefault="00D7594C" w:rsidP="00894AD9">
      <w:r>
        <w:t>Lagioia</w:t>
      </w:r>
      <w:r w:rsidRPr="0082787B">
        <w:t xml:space="preserve"> and Sartor</w:t>
      </w:r>
      <w:r>
        <w:t xml:space="preserve"> </w:t>
      </w:r>
      <w:r w:rsidR="00CF6B2D">
        <w:t>(</w:t>
      </w:r>
      <w:r>
        <w:t>2020</w:t>
      </w:r>
      <w:r w:rsidR="00CF6B2D">
        <w:t xml:space="preserve">) pointed out that statutory duties are considered those duties where failure occurs in abiding by regulation incurs criminal liability. </w:t>
      </w:r>
      <w:r w:rsidR="009A113C">
        <w:t xml:space="preserve">Similarly, </w:t>
      </w:r>
      <w:r w:rsidR="001D2327" w:rsidRPr="00E74760">
        <w:t>Sreenivasan</w:t>
      </w:r>
      <w:r w:rsidR="001D2327">
        <w:t xml:space="preserve"> </w:t>
      </w:r>
      <w:r w:rsidR="009A113C">
        <w:t>(</w:t>
      </w:r>
      <w:r w:rsidR="001D2327">
        <w:t>2017</w:t>
      </w:r>
      <w:r w:rsidR="009A113C">
        <w:t xml:space="preserve">) stated that contractual duty is when an individual owes a duty to act. </w:t>
      </w:r>
      <w:r w:rsidR="009A113C" w:rsidRPr="009A113C">
        <w:t>Pittwood [1902]</w:t>
      </w:r>
      <w:r w:rsidR="009A113C">
        <w:t xml:space="preserve"> demonstrate how an accused who was employed at a railway company as a man responsible for managing the railway crossing was found liable for the cartman's death due to a collision with the train. </w:t>
      </w:r>
      <w:r w:rsidR="002B29F1">
        <w:t>The accused did not carry the contractual duty to make sure that the crossing gate was closed</w:t>
      </w:r>
      <w:r w:rsidR="00BB0FE5">
        <w:t xml:space="preserve"> (</w:t>
      </w:r>
      <w:r w:rsidR="001D2327" w:rsidRPr="00D2592E">
        <w:t>Colvin</w:t>
      </w:r>
      <w:r w:rsidR="001D2327">
        <w:t>, 2015</w:t>
      </w:r>
      <w:r w:rsidR="00BB0FE5">
        <w:t>)</w:t>
      </w:r>
      <w:r w:rsidR="002B29F1">
        <w:t xml:space="preserve">. This case shows that the defendant developed a dangerous situation and failed to fulfil their duty. </w:t>
      </w:r>
      <w:r w:rsidR="002B29F1" w:rsidRPr="002B29F1">
        <w:t>Miller [1983]</w:t>
      </w:r>
      <w:r w:rsidR="002B29F1">
        <w:t xml:space="preserve"> </w:t>
      </w:r>
      <w:r w:rsidR="00024AD4">
        <w:t>is another case in which the accused developed a dangerous situation. he had the duty of calling a fire brigade and taking effective steps in putting the fire out when he knew that he was the cause of that fire. Due to this reason, the Court found him liable for omission</w:t>
      </w:r>
      <w:r w:rsidR="00BB0FE5">
        <w:t xml:space="preserve"> (</w:t>
      </w:r>
      <w:r w:rsidR="00013636">
        <w:t>Chua</w:t>
      </w:r>
      <w:r w:rsidR="001D2327" w:rsidRPr="0081631A">
        <w:t xml:space="preserve"> and Liu</w:t>
      </w:r>
      <w:r w:rsidR="001D2327">
        <w:t>, 2016</w:t>
      </w:r>
      <w:r w:rsidR="00BB0FE5">
        <w:t>)</w:t>
      </w:r>
      <w:r w:rsidR="00024AD4">
        <w:t xml:space="preserve">. </w:t>
      </w:r>
    </w:p>
    <w:p w:rsidR="00DA7714" w:rsidRDefault="00D7594C" w:rsidP="00894AD9">
      <w:r>
        <w:t xml:space="preserve">A duty to stop mostly occurs in healthcare services. For instance, doctor stops their duty to care for the betterment of the patient. </w:t>
      </w:r>
      <w:r w:rsidR="003C16A9" w:rsidRPr="003C16A9">
        <w:t>Airedale NHS Trust v Bland [1993]</w:t>
      </w:r>
      <w:r w:rsidR="003C16A9">
        <w:t xml:space="preserve"> is a case in which the House of Lords took the decision to stop nasogastric hydration and feeding from a young man that is in a PVS. </w:t>
      </w:r>
      <w:r w:rsidR="009825B5">
        <w:t>The patient is in a persistent vegetative state and cannot provide consent for medical treatment</w:t>
      </w:r>
      <w:r w:rsidR="00BB0FE5">
        <w:t xml:space="preserve"> (</w:t>
      </w:r>
      <w:r w:rsidR="00013636" w:rsidRPr="009B4D0F">
        <w:t>Griffith</w:t>
      </w:r>
      <w:r w:rsidR="00013636">
        <w:t>, 2015</w:t>
      </w:r>
      <w:r w:rsidR="00BB0FE5">
        <w:t>)</w:t>
      </w:r>
      <w:r w:rsidR="009825B5">
        <w:t xml:space="preserve">. </w:t>
      </w:r>
      <w:r w:rsidR="00A2286E">
        <w:t xml:space="preserve">This requires the healthcare professional to act in the interest of the patient and stop their duty to care. </w:t>
      </w:r>
      <w:r w:rsidR="00184640">
        <w:t xml:space="preserve">In cases like this, the duty to stop occurs; otherwise, it is considered an omission. </w:t>
      </w:r>
      <w:r w:rsidR="00CE4BF3">
        <w:t>Omission liability can impact the duty to act and inte</w:t>
      </w:r>
      <w:r w:rsidR="002F6EFC">
        <w:t xml:space="preserve">rfere with the autonomy of a person. The decision that the House of Lords took was due to the fact that the patient was suffering from brain damage, and removing treatment can be considered a positive act. </w:t>
      </w:r>
    </w:p>
    <w:p w:rsidR="00184640" w:rsidRPr="006532FD" w:rsidRDefault="00D7594C" w:rsidP="00894AD9">
      <w:r>
        <w:t xml:space="preserve">In the view of </w:t>
      </w:r>
      <w:r w:rsidR="00954CE3">
        <w:t>Savulescu</w:t>
      </w:r>
      <w:r w:rsidR="00954CE3" w:rsidRPr="000D6260">
        <w:t xml:space="preserve"> and Cameron</w:t>
      </w:r>
      <w:r w:rsidR="00954CE3">
        <w:t xml:space="preserve"> </w:t>
      </w:r>
      <w:r>
        <w:t>(</w:t>
      </w:r>
      <w:r w:rsidR="00954CE3">
        <w:t>2020</w:t>
      </w:r>
      <w:r>
        <w:t xml:space="preserve">), the general duty to act imposes an unfair burden on people and is restrictive for their daily life. </w:t>
      </w:r>
      <w:r w:rsidR="00677CA7">
        <w:t xml:space="preserve">This act is recognized as a responsibility by law. Duty to act provides disabled people with the benefit of care. This act saves an individual from the risks of putting their lives in danger. </w:t>
      </w:r>
      <w:r w:rsidR="00CE5177">
        <w:t xml:space="preserve">The drawback o duty to act is that it is not flexible and is quite complex, and the person who is responsible for it needs to make sure that they are fulfilling their responsibility or else they can be convicted due to omission. </w:t>
      </w:r>
    </w:p>
    <w:p w:rsidR="001F2E91" w:rsidRDefault="00D7594C" w:rsidP="001F2E91">
      <w:pPr>
        <w:pStyle w:val="Heading1"/>
        <w:rPr>
          <w:rFonts w:ascii="Times New Roman" w:hAnsi="Times New Roman" w:cs="Times New Roman"/>
          <w:color w:val="000000" w:themeColor="text1"/>
          <w:sz w:val="24"/>
        </w:rPr>
      </w:pPr>
      <w:bookmarkStart w:id="3" w:name="_Toc118385210"/>
      <w:r>
        <w:rPr>
          <w:rFonts w:ascii="Times New Roman" w:hAnsi="Times New Roman" w:cs="Times New Roman"/>
          <w:color w:val="000000" w:themeColor="text1"/>
          <w:sz w:val="24"/>
        </w:rPr>
        <w:lastRenderedPageBreak/>
        <w:t>Conclusion</w:t>
      </w:r>
      <w:bookmarkEnd w:id="3"/>
      <w:r>
        <w:rPr>
          <w:rFonts w:ascii="Times New Roman" w:hAnsi="Times New Roman" w:cs="Times New Roman"/>
          <w:color w:val="000000" w:themeColor="text1"/>
          <w:sz w:val="24"/>
        </w:rPr>
        <w:t xml:space="preserve"> </w:t>
      </w:r>
    </w:p>
    <w:p w:rsidR="00596813" w:rsidRDefault="00D7594C" w:rsidP="004A4A5E">
      <w:r>
        <w:t xml:space="preserve">It can be summarized from the above discussion that </w:t>
      </w:r>
      <w:r w:rsidR="00E01EAC">
        <w:t xml:space="preserve">criminal liability is to assess whether a person will be convicted for breaching the law. </w:t>
      </w:r>
      <w:r w:rsidR="004D5F6A">
        <w:t>Omission in criminal law includes actus reus and mens rea, which offer rise to lia</w:t>
      </w:r>
      <w:r w:rsidR="0044454D">
        <w:t xml:space="preserve">bility and impose a duty to act, but the defendant has breached it. The </w:t>
      </w:r>
      <w:r w:rsidR="00A132CD">
        <w:t xml:space="preserve">duty to act is a lawful responsibility that requires the person to take effective steps to prevent danger. </w:t>
      </w:r>
      <w:r w:rsidR="00692CE7">
        <w:t>A vital requirement for a crime that is committed by omission is mens rea and actus reus.</w:t>
      </w:r>
      <w:r w:rsidR="00046BBB">
        <w:t xml:space="preserve"> The action can be a voluntary behaviour of a person. </w:t>
      </w:r>
      <w:r w:rsidR="006322B3">
        <w:t xml:space="preserve">The case laws that are described in this assignment provide a better understanding of when criminal liability is upheld for failing to act. </w:t>
      </w:r>
    </w:p>
    <w:p w:rsidR="00596813" w:rsidRDefault="00D7594C">
      <w:r>
        <w:br w:type="page"/>
      </w:r>
    </w:p>
    <w:p w:rsidR="004A4A5E" w:rsidRPr="00596813" w:rsidRDefault="00D7594C" w:rsidP="00596813">
      <w:pPr>
        <w:pStyle w:val="Heading1"/>
        <w:rPr>
          <w:rFonts w:ascii="Times New Roman" w:hAnsi="Times New Roman" w:cs="Times New Roman"/>
          <w:color w:val="000000" w:themeColor="text1"/>
          <w:sz w:val="24"/>
        </w:rPr>
      </w:pPr>
      <w:bookmarkStart w:id="4" w:name="_Toc118385211"/>
      <w:r w:rsidRPr="00596813">
        <w:rPr>
          <w:rFonts w:ascii="Times New Roman" w:hAnsi="Times New Roman" w:cs="Times New Roman"/>
          <w:color w:val="000000" w:themeColor="text1"/>
          <w:sz w:val="24"/>
        </w:rPr>
        <w:lastRenderedPageBreak/>
        <w:t>References</w:t>
      </w:r>
      <w:bookmarkEnd w:id="4"/>
    </w:p>
    <w:p w:rsidR="00A72DF9" w:rsidRDefault="00D7594C" w:rsidP="00A72DF9">
      <w:pPr>
        <w:ind w:left="720" w:hanging="720"/>
      </w:pPr>
      <w:r w:rsidRPr="005D67D1">
        <w:t>Child, J., 2016. Teaching the elements of crimes. In The Teaching of Criminal Law (pp. 34-45). Routledge.</w:t>
      </w:r>
    </w:p>
    <w:p w:rsidR="00A72DF9" w:rsidRDefault="00D7594C" w:rsidP="00A72DF9">
      <w:pPr>
        <w:ind w:left="720" w:hanging="720"/>
      </w:pPr>
      <w:r w:rsidRPr="0081631A">
        <w:t>Chua, C. and Liu, H.T., 2016. Joint Enterprise Liability as Omissions. The Journal of Criminal Law, 80(2), pp.138-148.</w:t>
      </w:r>
    </w:p>
    <w:p w:rsidR="00A72DF9" w:rsidRDefault="00D7594C" w:rsidP="00A72DF9">
      <w:pPr>
        <w:ind w:left="720" w:hanging="720"/>
      </w:pPr>
      <w:r w:rsidRPr="00281770">
        <w:t>Chuasanga, A. and Victoria, O.A., 2019. Legal Principles Under Criminal Law in Indonesia Dan Thailand. Jurnal Daulat Hukum, 2(1), pp.131-138.</w:t>
      </w:r>
    </w:p>
    <w:p w:rsidR="00A72DF9" w:rsidRDefault="00D7594C" w:rsidP="00A72DF9">
      <w:pPr>
        <w:ind w:left="720" w:hanging="720"/>
      </w:pPr>
      <w:r w:rsidRPr="00D2592E">
        <w:t>Colvin, V., 2015. Plea bargaining and miscarriage of justice: A case study of the prosecution of Gabe Watson, the so-called'honeymoon killer'. </w:t>
      </w:r>
      <w:r w:rsidRPr="00D2592E">
        <w:rPr>
          <w:i/>
          <w:iCs/>
        </w:rPr>
        <w:t>University of Queensland Law Journal, The</w:t>
      </w:r>
      <w:r w:rsidRPr="00D2592E">
        <w:t>, </w:t>
      </w:r>
      <w:r w:rsidRPr="00D2592E">
        <w:rPr>
          <w:i/>
          <w:iCs/>
        </w:rPr>
        <w:t>34</w:t>
      </w:r>
      <w:r w:rsidRPr="00D2592E">
        <w:t>(1), pp.71-98.</w:t>
      </w:r>
    </w:p>
    <w:p w:rsidR="00A72DF9" w:rsidRDefault="00D7594C" w:rsidP="00A72DF9">
      <w:pPr>
        <w:ind w:left="720" w:hanging="720"/>
      </w:pPr>
      <w:r w:rsidRPr="002526EC">
        <w:t>Ferzan, K.K., 2018. Probing the Depths of the Responsible Corporate Officer’s Duty. Criminal Law and Philosophy, 12(3), pp.455-469.</w:t>
      </w:r>
    </w:p>
    <w:p w:rsidR="00A72DF9" w:rsidRDefault="00D7594C" w:rsidP="00A72DF9">
      <w:pPr>
        <w:ind w:left="720" w:hanging="720"/>
      </w:pPr>
      <w:r w:rsidRPr="009B4D0F">
        <w:t>Griffith, R., 2015. Withdrawing or withholding life-sustaining treatment. British Journal of Cardiac Nursing, 10(6), pp.304-305.</w:t>
      </w:r>
    </w:p>
    <w:p w:rsidR="00A72DF9" w:rsidRDefault="00D7594C" w:rsidP="00A72DF9">
      <w:pPr>
        <w:ind w:left="720" w:hanging="720"/>
      </w:pPr>
      <w:r w:rsidRPr="00937C2A">
        <w:t>Griffith, R., 2018. Neglect by carers. British Journal of Community Nursing, 23(8), pp.407-409.</w:t>
      </w:r>
    </w:p>
    <w:p w:rsidR="00A72DF9" w:rsidRDefault="00D7594C" w:rsidP="00A72DF9">
      <w:pPr>
        <w:ind w:left="720" w:hanging="720"/>
      </w:pPr>
      <w:r w:rsidRPr="001566B0">
        <w:t>Hevelke, A. and Nida-Rümelin, J., 2015. Responsibility for crashes of autonomous vehicles: An ethical analysis. Science and engineering ethics, 21(3), pp.619-630.</w:t>
      </w:r>
    </w:p>
    <w:p w:rsidR="00A72DF9" w:rsidRDefault="00D7594C" w:rsidP="00A72DF9">
      <w:pPr>
        <w:ind w:left="720" w:hanging="720"/>
      </w:pPr>
      <w:r w:rsidRPr="00727EB5">
        <w:t>Kemeys, J., 2019. Criminal Law: Question &amp; Answer. Pearson UK.</w:t>
      </w:r>
    </w:p>
    <w:p w:rsidR="00A72DF9" w:rsidRDefault="00D7594C" w:rsidP="00A72DF9">
      <w:pPr>
        <w:ind w:left="720" w:hanging="720"/>
      </w:pPr>
      <w:r w:rsidRPr="0082787B">
        <w:t>Lagioia, F. and Sartor, G., 2020. Ai systems under criminal law: a legal analysis and a regulatory perspective. Philosophy &amp; Technology, 33(3), pp.433-465.</w:t>
      </w:r>
    </w:p>
    <w:p w:rsidR="00A72DF9" w:rsidRDefault="00D7594C" w:rsidP="00A72DF9">
      <w:pPr>
        <w:ind w:left="720" w:hanging="720"/>
      </w:pPr>
      <w:r w:rsidRPr="00587734">
        <w:t>Leung, S.Y.C., 2021. Objectivity v Subjectivity—Gross Negligence Manslaughter Revisited: HKSAR v Mak Wan Ling (2019) 22 HKCFAR 321. The Journal of Criminal Law, 85(5), pp.409-412.</w:t>
      </w:r>
    </w:p>
    <w:p w:rsidR="00A72DF9" w:rsidRPr="00281770" w:rsidRDefault="00D7594C" w:rsidP="00A72DF9">
      <w:pPr>
        <w:ind w:left="720" w:hanging="720"/>
      </w:pPr>
      <w:r w:rsidRPr="000D6260">
        <w:t>Savulescu, J. and Cameron, J., 2020. Why lockdown of the elderly is not ageist and why levelling down equality is wrong. Journal of Medical Ethics, 46(11), pp.717-721.</w:t>
      </w:r>
    </w:p>
    <w:p w:rsidR="00A72DF9" w:rsidRDefault="00D7594C" w:rsidP="00A72DF9">
      <w:pPr>
        <w:ind w:left="720" w:hanging="720"/>
      </w:pPr>
      <w:r w:rsidRPr="00E74760">
        <w:t>Sreenivasan, G., 2017. Duties and Their Direction 1. In Rights: Concepts and Contexts (pp. 345-374). Routledge.</w:t>
      </w:r>
    </w:p>
    <w:p w:rsidR="00A72DF9" w:rsidRDefault="00D7594C" w:rsidP="00A72DF9">
      <w:pPr>
        <w:ind w:left="720" w:hanging="720"/>
      </w:pPr>
      <w:r w:rsidRPr="0074651D">
        <w:lastRenderedPageBreak/>
        <w:t>Townsend, R., 2019. End-of-life care. Applied Paramedic Law, Ethics and Professionalism: Australia and New Zealand, p.156.</w:t>
      </w:r>
    </w:p>
    <w:p w:rsidR="00596813" w:rsidRPr="00596813" w:rsidRDefault="00596813" w:rsidP="00596813"/>
    <w:sectPr w:rsidR="00596813" w:rsidRPr="00596813" w:rsidSect="00CD22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F66FD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4"/>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A686B"/>
    <w:rsid w:val="0000239F"/>
    <w:rsid w:val="000118E5"/>
    <w:rsid w:val="00013636"/>
    <w:rsid w:val="00024AD4"/>
    <w:rsid w:val="00046BBB"/>
    <w:rsid w:val="000473B1"/>
    <w:rsid w:val="00057C7D"/>
    <w:rsid w:val="000614CF"/>
    <w:rsid w:val="0007412C"/>
    <w:rsid w:val="000830F8"/>
    <w:rsid w:val="000D6260"/>
    <w:rsid w:val="001232BC"/>
    <w:rsid w:val="00150ED2"/>
    <w:rsid w:val="001566B0"/>
    <w:rsid w:val="00157906"/>
    <w:rsid w:val="00183B65"/>
    <w:rsid w:val="00184640"/>
    <w:rsid w:val="001A59E7"/>
    <w:rsid w:val="001C2CBA"/>
    <w:rsid w:val="001D2327"/>
    <w:rsid w:val="001F2E91"/>
    <w:rsid w:val="00203F77"/>
    <w:rsid w:val="002526EC"/>
    <w:rsid w:val="00281770"/>
    <w:rsid w:val="002A05ED"/>
    <w:rsid w:val="002B29F1"/>
    <w:rsid w:val="002C759A"/>
    <w:rsid w:val="002E1118"/>
    <w:rsid w:val="002E689E"/>
    <w:rsid w:val="002F6EFC"/>
    <w:rsid w:val="002F7629"/>
    <w:rsid w:val="0036270B"/>
    <w:rsid w:val="00367434"/>
    <w:rsid w:val="003A7247"/>
    <w:rsid w:val="003C16A9"/>
    <w:rsid w:val="003D7F25"/>
    <w:rsid w:val="003E7B8D"/>
    <w:rsid w:val="00407A9F"/>
    <w:rsid w:val="00415F92"/>
    <w:rsid w:val="0044454D"/>
    <w:rsid w:val="00455D9F"/>
    <w:rsid w:val="00495512"/>
    <w:rsid w:val="004A4A5E"/>
    <w:rsid w:val="004A7C8E"/>
    <w:rsid w:val="004D5F6A"/>
    <w:rsid w:val="00514588"/>
    <w:rsid w:val="005401F7"/>
    <w:rsid w:val="00587734"/>
    <w:rsid w:val="00596813"/>
    <w:rsid w:val="005B5679"/>
    <w:rsid w:val="005C185D"/>
    <w:rsid w:val="005D27F0"/>
    <w:rsid w:val="005D67D1"/>
    <w:rsid w:val="00602500"/>
    <w:rsid w:val="006118B8"/>
    <w:rsid w:val="006322B3"/>
    <w:rsid w:val="006532FD"/>
    <w:rsid w:val="00677CA7"/>
    <w:rsid w:val="00692CE7"/>
    <w:rsid w:val="006A003A"/>
    <w:rsid w:val="006E1777"/>
    <w:rsid w:val="00705A35"/>
    <w:rsid w:val="00727EB5"/>
    <w:rsid w:val="0074651D"/>
    <w:rsid w:val="0074709B"/>
    <w:rsid w:val="007C0B90"/>
    <w:rsid w:val="007E349F"/>
    <w:rsid w:val="00806665"/>
    <w:rsid w:val="00806FD5"/>
    <w:rsid w:val="0081631A"/>
    <w:rsid w:val="0082787B"/>
    <w:rsid w:val="00893256"/>
    <w:rsid w:val="00894AD9"/>
    <w:rsid w:val="008D4916"/>
    <w:rsid w:val="0091189E"/>
    <w:rsid w:val="00915514"/>
    <w:rsid w:val="00937C2A"/>
    <w:rsid w:val="00945997"/>
    <w:rsid w:val="009533FF"/>
    <w:rsid w:val="00954CE3"/>
    <w:rsid w:val="009825B5"/>
    <w:rsid w:val="00983459"/>
    <w:rsid w:val="009A113C"/>
    <w:rsid w:val="009B224C"/>
    <w:rsid w:val="009B4D0F"/>
    <w:rsid w:val="009F49A2"/>
    <w:rsid w:val="00A05158"/>
    <w:rsid w:val="00A132CD"/>
    <w:rsid w:val="00A13740"/>
    <w:rsid w:val="00A2236B"/>
    <w:rsid w:val="00A2286E"/>
    <w:rsid w:val="00A25CA3"/>
    <w:rsid w:val="00A42B72"/>
    <w:rsid w:val="00A519BC"/>
    <w:rsid w:val="00A72DF9"/>
    <w:rsid w:val="00A92BFF"/>
    <w:rsid w:val="00AA686B"/>
    <w:rsid w:val="00AD37E5"/>
    <w:rsid w:val="00AE4AAE"/>
    <w:rsid w:val="00B33644"/>
    <w:rsid w:val="00BB0FE5"/>
    <w:rsid w:val="00C14DED"/>
    <w:rsid w:val="00C251C8"/>
    <w:rsid w:val="00CD22DB"/>
    <w:rsid w:val="00CD590E"/>
    <w:rsid w:val="00CE4BF3"/>
    <w:rsid w:val="00CE5177"/>
    <w:rsid w:val="00CF6B2D"/>
    <w:rsid w:val="00D16D05"/>
    <w:rsid w:val="00D2592E"/>
    <w:rsid w:val="00D7399E"/>
    <w:rsid w:val="00D7594C"/>
    <w:rsid w:val="00D91515"/>
    <w:rsid w:val="00DA7620"/>
    <w:rsid w:val="00DA7714"/>
    <w:rsid w:val="00DB684F"/>
    <w:rsid w:val="00E01EAC"/>
    <w:rsid w:val="00E4087F"/>
    <w:rsid w:val="00E74760"/>
    <w:rsid w:val="00EE4899"/>
    <w:rsid w:val="00EF3DB7"/>
    <w:rsid w:val="00F002DA"/>
    <w:rsid w:val="00F07F11"/>
    <w:rsid w:val="00F44C6E"/>
    <w:rsid w:val="00F6329F"/>
    <w:rsid w:val="00FD5F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A810782"/>
  <w15:docId w15:val="{267F12D9-3429-4D49-9E4F-21E099380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D22DB"/>
  </w:style>
  <w:style w:type="paragraph" w:styleId="Heading1">
    <w:name w:val="heading 1"/>
    <w:basedOn w:val="Normal"/>
    <w:next w:val="Normal"/>
    <w:link w:val="Heading1Char"/>
    <w:uiPriority w:val="9"/>
    <w:qFormat/>
    <w:rsid w:val="001F2E91"/>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1F2E91"/>
    <w:pPr>
      <w:keepNext/>
      <w:keepLines/>
      <w:numPr>
        <w:ilvl w:val="1"/>
        <w:numId w:val="1"/>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1F2E91"/>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1F2E91"/>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1F2E91"/>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1F2E91"/>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F2E91"/>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F2E91"/>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F2E91"/>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2E9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1F2E9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1F2E9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1F2E9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1F2E91"/>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1F2E91"/>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1F2E9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F2E9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F2E91"/>
    <w:rPr>
      <w:rFonts w:asciiTheme="majorHAnsi" w:eastAsiaTheme="majorEastAsia" w:hAnsiTheme="majorHAnsi" w:cstheme="majorBidi"/>
      <w:i/>
      <w:iCs/>
      <w:color w:val="404040" w:themeColor="text1" w:themeTint="BF"/>
      <w:sz w:val="20"/>
      <w:szCs w:val="20"/>
    </w:rPr>
  </w:style>
  <w:style w:type="paragraph" w:styleId="TOC1">
    <w:name w:val="toc 1"/>
    <w:basedOn w:val="Normal"/>
    <w:next w:val="Normal"/>
    <w:autoRedefine/>
    <w:uiPriority w:val="39"/>
    <w:unhideWhenUsed/>
    <w:rsid w:val="00A72DF9"/>
    <w:pPr>
      <w:tabs>
        <w:tab w:val="left" w:pos="440"/>
        <w:tab w:val="right" w:leader="dot" w:pos="9350"/>
      </w:tabs>
      <w:spacing w:after="100"/>
      <w:jc w:val="center"/>
    </w:pPr>
  </w:style>
  <w:style w:type="character" w:styleId="Hyperlink">
    <w:name w:val="Hyperlink"/>
    <w:basedOn w:val="DefaultParagraphFont"/>
    <w:uiPriority w:val="99"/>
    <w:unhideWhenUsed/>
    <w:rsid w:val="00A72D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9256B2-E539-1F45-BDCC-49A929B62B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8</Pages>
  <Words>1657</Words>
  <Characters>9446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Mariyum</dc:creator>
  <cp:lastModifiedBy>Microsoft Office User</cp:lastModifiedBy>
  <cp:revision>109</cp:revision>
  <dcterms:created xsi:type="dcterms:W3CDTF">2022-11-03T07:48:00Z</dcterms:created>
  <dcterms:modified xsi:type="dcterms:W3CDTF">2022-11-10T21:03:00Z</dcterms:modified>
</cp:coreProperties>
</file>