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24D7D" w:rsidRPr="008E1F80" w:rsidRDefault="00824D7D">
      <w:pPr>
        <w:spacing w:line="360" w:lineRule="auto"/>
        <w:jc w:val="both"/>
        <w:rPr>
          <w:sz w:val="24"/>
          <w:szCs w:val="24"/>
          <w:lang w:val="en-GB"/>
        </w:rPr>
      </w:pPr>
    </w:p>
    <w:p w:rsidR="00A435A3" w:rsidRPr="008E1F80" w:rsidRDefault="00A435A3">
      <w:pPr>
        <w:spacing w:line="360" w:lineRule="auto"/>
        <w:jc w:val="both"/>
        <w:rPr>
          <w:sz w:val="24"/>
          <w:szCs w:val="24"/>
          <w:lang w:val="en-GB"/>
        </w:rPr>
      </w:pPr>
    </w:p>
    <w:p w:rsidR="00A435A3" w:rsidRPr="008E1F80" w:rsidRDefault="00A435A3">
      <w:pPr>
        <w:spacing w:line="360" w:lineRule="auto"/>
        <w:jc w:val="both"/>
        <w:rPr>
          <w:sz w:val="24"/>
          <w:szCs w:val="24"/>
          <w:lang w:val="en-GB"/>
        </w:rPr>
      </w:pPr>
      <w:r w:rsidRPr="008E1F80">
        <w:rPr>
          <w:noProof/>
          <w:lang w:val="en-GB"/>
        </w:rPr>
        <w:drawing>
          <wp:inline distT="0" distB="0" distL="0" distR="0" wp14:anchorId="3C721917" wp14:editId="00396A44">
            <wp:extent cx="2087880" cy="82296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087880" cy="822960"/>
                    </a:xfrm>
                    <a:prstGeom prst="rect">
                      <a:avLst/>
                    </a:prstGeom>
                  </pic:spPr>
                </pic:pic>
              </a:graphicData>
            </a:graphic>
          </wp:inline>
        </w:drawing>
      </w:r>
    </w:p>
    <w:tbl>
      <w:tblPr>
        <w:tblStyle w:val="a"/>
        <w:tblW w:w="9375"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694"/>
        <w:gridCol w:w="2361"/>
        <w:gridCol w:w="2160"/>
        <w:gridCol w:w="2160"/>
      </w:tblGrid>
      <w:tr w:rsidR="00824D7D" w:rsidRPr="008E1F80" w:rsidTr="00B6624E">
        <w:trPr>
          <w:trHeight w:val="510"/>
        </w:trPr>
        <w:tc>
          <w:tcPr>
            <w:tcW w:w="2694" w:type="dxa"/>
            <w:tcBorders>
              <w:top w:val="single" w:sz="8" w:space="0" w:color="000000"/>
              <w:left w:val="single" w:sz="8" w:space="0" w:color="000000"/>
              <w:bottom w:val="single" w:sz="8" w:space="0" w:color="000000"/>
              <w:right w:val="single" w:sz="8" w:space="0" w:color="000000"/>
            </w:tcBorders>
            <w:shd w:val="clear" w:color="auto" w:fill="D9D9D9"/>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Student name:</w:t>
            </w:r>
          </w:p>
        </w:tc>
        <w:tc>
          <w:tcPr>
            <w:tcW w:w="2361" w:type="dxa"/>
            <w:tcBorders>
              <w:top w:val="single" w:sz="8" w:space="0" w:color="000000"/>
              <w:bottom w:val="single" w:sz="8" w:space="0" w:color="000000"/>
              <w:right w:val="single" w:sz="8" w:space="0" w:color="000000"/>
            </w:tcBorders>
            <w:tcMar>
              <w:top w:w="0" w:type="dxa"/>
              <w:left w:w="100" w:type="dxa"/>
              <w:bottom w:w="0" w:type="dxa"/>
              <w:right w:w="100" w:type="dxa"/>
            </w:tcMar>
          </w:tcPr>
          <w:p w:rsidR="00824D7D" w:rsidRPr="008E1F80" w:rsidRDefault="009969E6">
            <w:pPr>
              <w:spacing w:before="120" w:after="120" w:line="360" w:lineRule="auto"/>
              <w:ind w:left="400"/>
              <w:jc w:val="both"/>
              <w:rPr>
                <w:b/>
                <w:bCs/>
                <w:sz w:val="24"/>
                <w:szCs w:val="24"/>
                <w:lang w:val="en-GB"/>
              </w:rPr>
            </w:pPr>
            <w:r>
              <w:rPr>
                <w:b/>
                <w:bCs/>
                <w:sz w:val="24"/>
                <w:szCs w:val="24"/>
                <w:lang w:val="en-GB"/>
              </w:rPr>
              <w:t>Nidhi Dipakkumar Chitaliya</w:t>
            </w:r>
          </w:p>
        </w:tc>
        <w:tc>
          <w:tcPr>
            <w:tcW w:w="2160" w:type="dxa"/>
            <w:tcBorders>
              <w:top w:val="single" w:sz="8" w:space="0" w:color="000000"/>
              <w:bottom w:val="single" w:sz="8" w:space="0" w:color="000000"/>
              <w:right w:val="single" w:sz="8" w:space="0" w:color="000000"/>
            </w:tcBorders>
            <w:shd w:val="clear" w:color="auto" w:fill="D9D9D9"/>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Student ID number:</w:t>
            </w:r>
          </w:p>
        </w:tc>
        <w:tc>
          <w:tcPr>
            <w:tcW w:w="2160" w:type="dxa"/>
            <w:tcBorders>
              <w:top w:val="single" w:sz="8" w:space="0" w:color="000000"/>
              <w:bottom w:val="single" w:sz="8" w:space="0" w:color="000000"/>
              <w:right w:val="single" w:sz="8" w:space="0" w:color="000000"/>
            </w:tcBorders>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 xml:space="preserve"> </w:t>
            </w:r>
            <w:r w:rsidR="009969E6">
              <w:rPr>
                <w:b/>
                <w:bCs/>
                <w:sz w:val="24"/>
                <w:szCs w:val="24"/>
                <w:lang w:val="en-GB"/>
              </w:rPr>
              <w:t>2432183</w:t>
            </w:r>
          </w:p>
        </w:tc>
      </w:tr>
      <w:tr w:rsidR="00824D7D" w:rsidRPr="008E1F80" w:rsidTr="00B6624E">
        <w:trPr>
          <w:trHeight w:val="510"/>
        </w:trPr>
        <w:tc>
          <w:tcPr>
            <w:tcW w:w="2694" w:type="dxa"/>
            <w:tcBorders>
              <w:left w:val="single" w:sz="8" w:space="0" w:color="000000"/>
              <w:bottom w:val="single" w:sz="8" w:space="0" w:color="000000"/>
              <w:right w:val="single" w:sz="8" w:space="0" w:color="000000"/>
            </w:tcBorders>
            <w:shd w:val="clear" w:color="auto" w:fill="D9D9D9"/>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Programme:</w:t>
            </w:r>
          </w:p>
        </w:tc>
        <w:tc>
          <w:tcPr>
            <w:tcW w:w="6681" w:type="dxa"/>
            <w:gridSpan w:val="3"/>
            <w:tcBorders>
              <w:bottom w:val="single" w:sz="8" w:space="0" w:color="000000"/>
              <w:right w:val="single" w:sz="8" w:space="0" w:color="000000"/>
            </w:tcBorders>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Master of Business Administration</w:t>
            </w:r>
          </w:p>
        </w:tc>
      </w:tr>
      <w:tr w:rsidR="00824D7D" w:rsidRPr="008E1F80" w:rsidTr="00B6624E">
        <w:trPr>
          <w:trHeight w:val="510"/>
        </w:trPr>
        <w:tc>
          <w:tcPr>
            <w:tcW w:w="2694" w:type="dxa"/>
            <w:tcBorders>
              <w:left w:val="single" w:sz="8" w:space="0" w:color="000000"/>
              <w:bottom w:val="single" w:sz="8" w:space="0" w:color="000000"/>
              <w:right w:val="single" w:sz="8" w:space="0" w:color="000000"/>
            </w:tcBorders>
            <w:shd w:val="clear" w:color="auto" w:fill="D9D9D9"/>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Module:</w:t>
            </w:r>
          </w:p>
        </w:tc>
        <w:tc>
          <w:tcPr>
            <w:tcW w:w="6681" w:type="dxa"/>
            <w:gridSpan w:val="3"/>
            <w:tcBorders>
              <w:bottom w:val="single" w:sz="8" w:space="0" w:color="000000"/>
              <w:right w:val="single" w:sz="8" w:space="0" w:color="000000"/>
            </w:tcBorders>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International Business Concepts</w:t>
            </w:r>
          </w:p>
        </w:tc>
      </w:tr>
      <w:tr w:rsidR="00B6624E" w:rsidRPr="008E1F80" w:rsidTr="00B6624E">
        <w:trPr>
          <w:trHeight w:val="825"/>
        </w:trPr>
        <w:tc>
          <w:tcPr>
            <w:tcW w:w="2694" w:type="dxa"/>
            <w:tcBorders>
              <w:left w:val="single" w:sz="8" w:space="0" w:color="000000"/>
              <w:bottom w:val="single" w:sz="8" w:space="0" w:color="000000"/>
              <w:right w:val="single" w:sz="8" w:space="0" w:color="000000"/>
            </w:tcBorders>
            <w:shd w:val="clear" w:color="auto" w:fill="D9D9D9"/>
            <w:tcMar>
              <w:top w:w="0" w:type="dxa"/>
              <w:left w:w="100" w:type="dxa"/>
              <w:bottom w:w="0" w:type="dxa"/>
              <w:right w:w="100" w:type="dxa"/>
            </w:tcMar>
          </w:tcPr>
          <w:p w:rsidR="00B6624E" w:rsidRPr="008E1F80" w:rsidRDefault="00B6624E">
            <w:pPr>
              <w:spacing w:before="120" w:after="120" w:line="360" w:lineRule="auto"/>
              <w:ind w:left="400"/>
              <w:jc w:val="both"/>
              <w:rPr>
                <w:b/>
                <w:bCs/>
                <w:sz w:val="24"/>
                <w:szCs w:val="24"/>
                <w:lang w:val="en-GB"/>
              </w:rPr>
            </w:pPr>
            <w:r w:rsidRPr="008E1F80">
              <w:rPr>
                <w:b/>
                <w:bCs/>
                <w:sz w:val="24"/>
                <w:szCs w:val="24"/>
                <w:lang w:val="en-GB"/>
              </w:rPr>
              <w:t>Module code:</w:t>
            </w:r>
          </w:p>
        </w:tc>
        <w:tc>
          <w:tcPr>
            <w:tcW w:w="6681" w:type="dxa"/>
            <w:gridSpan w:val="3"/>
            <w:tcBorders>
              <w:bottom w:val="single" w:sz="8" w:space="0" w:color="000000"/>
              <w:right w:val="single" w:sz="8" w:space="0" w:color="000000"/>
            </w:tcBorders>
            <w:tcMar>
              <w:top w:w="0" w:type="dxa"/>
              <w:left w:w="100" w:type="dxa"/>
              <w:bottom w:w="0" w:type="dxa"/>
              <w:right w:w="100" w:type="dxa"/>
            </w:tcMar>
          </w:tcPr>
          <w:p w:rsidR="00B6624E" w:rsidRPr="008E1F80" w:rsidRDefault="00B6624E">
            <w:pPr>
              <w:spacing w:before="120" w:after="120" w:line="360" w:lineRule="auto"/>
              <w:ind w:left="400"/>
              <w:jc w:val="both"/>
              <w:rPr>
                <w:b/>
                <w:bCs/>
                <w:sz w:val="24"/>
                <w:szCs w:val="24"/>
                <w:lang w:val="en-GB"/>
              </w:rPr>
            </w:pPr>
            <w:r w:rsidRPr="008E1F80">
              <w:rPr>
                <w:b/>
                <w:bCs/>
                <w:sz w:val="24"/>
                <w:szCs w:val="24"/>
                <w:lang w:val="en-GB"/>
              </w:rPr>
              <w:t>LCMB7034</w:t>
            </w:r>
            <w:bookmarkStart w:id="0" w:name="_xanqszk6nlw" w:colFirst="0" w:colLast="0"/>
            <w:bookmarkEnd w:id="0"/>
          </w:p>
        </w:tc>
      </w:tr>
      <w:tr w:rsidR="00824D7D" w:rsidRPr="008E1F80" w:rsidTr="00B6624E">
        <w:trPr>
          <w:trHeight w:val="765"/>
        </w:trPr>
        <w:tc>
          <w:tcPr>
            <w:tcW w:w="2694" w:type="dxa"/>
            <w:tcBorders>
              <w:left w:val="single" w:sz="8" w:space="0" w:color="000000"/>
              <w:bottom w:val="single" w:sz="8" w:space="0" w:color="000000"/>
              <w:right w:val="single" w:sz="8" w:space="0" w:color="000000"/>
            </w:tcBorders>
            <w:shd w:val="clear" w:color="auto" w:fill="D9D9D9"/>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Assignment Title:</w:t>
            </w:r>
          </w:p>
        </w:tc>
        <w:tc>
          <w:tcPr>
            <w:tcW w:w="6681" w:type="dxa"/>
            <w:gridSpan w:val="3"/>
            <w:tcBorders>
              <w:bottom w:val="single" w:sz="8" w:space="0" w:color="000000"/>
              <w:right w:val="single" w:sz="8" w:space="0" w:color="000000"/>
            </w:tcBorders>
            <w:tcMar>
              <w:top w:w="0" w:type="dxa"/>
              <w:left w:w="100" w:type="dxa"/>
              <w:bottom w:w="0" w:type="dxa"/>
              <w:right w:w="100" w:type="dxa"/>
            </w:tcMar>
          </w:tcPr>
          <w:p w:rsidR="00824D7D" w:rsidRPr="008E1F80" w:rsidRDefault="00130925">
            <w:pPr>
              <w:spacing w:before="120" w:after="120" w:line="360" w:lineRule="auto"/>
              <w:ind w:left="400"/>
              <w:jc w:val="both"/>
              <w:rPr>
                <w:b/>
                <w:bCs/>
                <w:sz w:val="24"/>
                <w:szCs w:val="24"/>
                <w:lang w:val="en-GB"/>
              </w:rPr>
            </w:pPr>
            <w:r w:rsidRPr="008E1F80">
              <w:rPr>
                <w:b/>
                <w:bCs/>
                <w:sz w:val="24"/>
                <w:szCs w:val="24"/>
                <w:lang w:val="en-GB"/>
              </w:rPr>
              <w:t>Report</w:t>
            </w:r>
          </w:p>
        </w:tc>
      </w:tr>
    </w:tbl>
    <w:p w:rsidR="00824D7D" w:rsidRPr="008E1F80" w:rsidRDefault="00824D7D">
      <w:pPr>
        <w:spacing w:line="360" w:lineRule="auto"/>
        <w:jc w:val="both"/>
        <w:rPr>
          <w:sz w:val="24"/>
          <w:szCs w:val="24"/>
          <w:lang w:val="en-GB"/>
        </w:rPr>
      </w:pPr>
    </w:p>
    <w:p w:rsidR="00824D7D" w:rsidRPr="008E1F80" w:rsidRDefault="00824D7D">
      <w:pPr>
        <w:spacing w:line="360" w:lineRule="auto"/>
        <w:jc w:val="both"/>
        <w:rPr>
          <w:sz w:val="24"/>
          <w:szCs w:val="24"/>
          <w:lang w:val="en-GB"/>
        </w:rPr>
      </w:pPr>
    </w:p>
    <w:p w:rsidR="00B6624E" w:rsidRPr="008E1F80" w:rsidRDefault="00130925">
      <w:pPr>
        <w:spacing w:line="360" w:lineRule="auto"/>
        <w:jc w:val="both"/>
        <w:rPr>
          <w:sz w:val="24"/>
          <w:szCs w:val="24"/>
          <w:lang w:val="en-GB"/>
        </w:rPr>
      </w:pPr>
      <w:r w:rsidRPr="008E1F80">
        <w:rPr>
          <w:lang w:val="en-GB"/>
        </w:rPr>
        <w:br w:type="page"/>
      </w:r>
    </w:p>
    <w:sdt>
      <w:sdtPr>
        <w:rPr>
          <w:rFonts w:ascii="Arial" w:eastAsia="Arial" w:hAnsi="Arial" w:cs="Arial"/>
          <w:b w:val="0"/>
          <w:bCs w:val="0"/>
          <w:color w:val="auto"/>
          <w:sz w:val="22"/>
          <w:szCs w:val="22"/>
          <w:lang w:val="en" w:eastAsia="en-IN"/>
        </w:rPr>
        <w:id w:val="-837538021"/>
        <w:docPartObj>
          <w:docPartGallery w:val="Table of Contents"/>
          <w:docPartUnique/>
        </w:docPartObj>
      </w:sdtPr>
      <w:sdtEndPr>
        <w:rPr>
          <w:noProof/>
        </w:rPr>
      </w:sdtEndPr>
      <w:sdtContent>
        <w:p w:rsidR="00B6624E" w:rsidRPr="0026516C" w:rsidRDefault="00B6624E" w:rsidP="0026516C">
          <w:pPr>
            <w:pStyle w:val="TOCHeading"/>
            <w:spacing w:line="360" w:lineRule="auto"/>
            <w:jc w:val="center"/>
            <w:rPr>
              <w:rFonts w:ascii="Arial" w:hAnsi="Arial" w:cs="Arial"/>
              <w:color w:val="000000" w:themeColor="text1"/>
              <w:sz w:val="24"/>
              <w:szCs w:val="24"/>
            </w:rPr>
          </w:pPr>
          <w:r w:rsidRPr="0026516C">
            <w:rPr>
              <w:rFonts w:ascii="Arial" w:hAnsi="Arial" w:cs="Arial"/>
              <w:color w:val="000000" w:themeColor="text1"/>
              <w:sz w:val="24"/>
              <w:szCs w:val="24"/>
            </w:rPr>
            <w:t>Table of Contents</w:t>
          </w:r>
        </w:p>
        <w:p w:rsidR="00B6624E" w:rsidRPr="0026516C" w:rsidRDefault="00B6624E" w:rsidP="0026516C">
          <w:pPr>
            <w:pStyle w:val="TOC1"/>
            <w:tabs>
              <w:tab w:val="right" w:leader="dot" w:pos="9350"/>
            </w:tabs>
            <w:spacing w:line="360" w:lineRule="auto"/>
            <w:jc w:val="both"/>
            <w:rPr>
              <w:noProof/>
              <w:color w:val="000000" w:themeColor="text1"/>
              <w:sz w:val="24"/>
              <w:szCs w:val="24"/>
            </w:rPr>
          </w:pPr>
          <w:r w:rsidRPr="0026516C">
            <w:rPr>
              <w:color w:val="000000" w:themeColor="text1"/>
              <w:sz w:val="24"/>
              <w:szCs w:val="24"/>
            </w:rPr>
            <w:fldChar w:fldCharType="begin"/>
          </w:r>
          <w:r w:rsidRPr="0026516C">
            <w:rPr>
              <w:color w:val="000000" w:themeColor="text1"/>
              <w:sz w:val="24"/>
              <w:szCs w:val="24"/>
            </w:rPr>
            <w:instrText xml:space="preserve"> TOC \o "1-3" \h \z \u </w:instrText>
          </w:r>
          <w:r w:rsidRPr="0026516C">
            <w:rPr>
              <w:color w:val="000000" w:themeColor="text1"/>
              <w:sz w:val="24"/>
              <w:szCs w:val="24"/>
            </w:rPr>
            <w:fldChar w:fldCharType="separate"/>
          </w:r>
          <w:hyperlink w:anchor="_Toc213778821" w:history="1">
            <w:r w:rsidRPr="0026516C">
              <w:rPr>
                <w:rStyle w:val="Hyperlink"/>
                <w:noProof/>
                <w:color w:val="000000" w:themeColor="text1"/>
                <w:sz w:val="24"/>
                <w:szCs w:val="24"/>
                <w:lang w:val="en-GB"/>
              </w:rPr>
              <w:t>1.    Introduction to the report</w:t>
            </w:r>
            <w:r w:rsidRPr="0026516C">
              <w:rPr>
                <w:noProof/>
                <w:webHidden/>
                <w:color w:val="000000" w:themeColor="text1"/>
                <w:sz w:val="24"/>
                <w:szCs w:val="24"/>
              </w:rPr>
              <w:tab/>
            </w:r>
            <w:r w:rsidRPr="0026516C">
              <w:rPr>
                <w:noProof/>
                <w:webHidden/>
                <w:color w:val="000000" w:themeColor="text1"/>
                <w:sz w:val="24"/>
                <w:szCs w:val="24"/>
              </w:rPr>
              <w:fldChar w:fldCharType="begin"/>
            </w:r>
            <w:r w:rsidRPr="0026516C">
              <w:rPr>
                <w:noProof/>
                <w:webHidden/>
                <w:color w:val="000000" w:themeColor="text1"/>
                <w:sz w:val="24"/>
                <w:szCs w:val="24"/>
              </w:rPr>
              <w:instrText xml:space="preserve"> PAGEREF _Toc213778821 \h </w:instrText>
            </w:r>
            <w:r w:rsidRPr="0026516C">
              <w:rPr>
                <w:noProof/>
                <w:webHidden/>
                <w:color w:val="000000" w:themeColor="text1"/>
                <w:sz w:val="24"/>
                <w:szCs w:val="24"/>
              </w:rPr>
            </w:r>
            <w:r w:rsidRPr="0026516C">
              <w:rPr>
                <w:noProof/>
                <w:webHidden/>
                <w:color w:val="000000" w:themeColor="text1"/>
                <w:sz w:val="24"/>
                <w:szCs w:val="24"/>
              </w:rPr>
              <w:fldChar w:fldCharType="separate"/>
            </w:r>
            <w:r w:rsidRPr="0026516C">
              <w:rPr>
                <w:noProof/>
                <w:webHidden/>
                <w:color w:val="000000" w:themeColor="text1"/>
                <w:sz w:val="24"/>
                <w:szCs w:val="24"/>
              </w:rPr>
              <w:t>2</w:t>
            </w:r>
            <w:r w:rsidRPr="0026516C">
              <w:rPr>
                <w:noProof/>
                <w:webHidden/>
                <w:color w:val="000000" w:themeColor="text1"/>
                <w:sz w:val="24"/>
                <w:szCs w:val="24"/>
              </w:rPr>
              <w:fldChar w:fldCharType="end"/>
            </w:r>
          </w:hyperlink>
        </w:p>
        <w:p w:rsidR="00B6624E" w:rsidRPr="0026516C" w:rsidRDefault="00B6624E" w:rsidP="0026516C">
          <w:pPr>
            <w:pStyle w:val="TOC1"/>
            <w:tabs>
              <w:tab w:val="right" w:leader="dot" w:pos="9350"/>
            </w:tabs>
            <w:spacing w:line="360" w:lineRule="auto"/>
            <w:jc w:val="both"/>
            <w:rPr>
              <w:noProof/>
              <w:color w:val="000000" w:themeColor="text1"/>
              <w:sz w:val="24"/>
              <w:szCs w:val="24"/>
            </w:rPr>
          </w:pPr>
          <w:hyperlink w:anchor="_Toc213778822" w:history="1">
            <w:r w:rsidRPr="0026516C">
              <w:rPr>
                <w:rStyle w:val="Hyperlink"/>
                <w:noProof/>
                <w:color w:val="000000" w:themeColor="text1"/>
                <w:sz w:val="24"/>
                <w:szCs w:val="24"/>
                <w:lang w:val="en-GB"/>
              </w:rPr>
              <w:t>2.    Benefits and challenges of international operations</w:t>
            </w:r>
            <w:r w:rsidRPr="0026516C">
              <w:rPr>
                <w:noProof/>
                <w:webHidden/>
                <w:color w:val="000000" w:themeColor="text1"/>
                <w:sz w:val="24"/>
                <w:szCs w:val="24"/>
              </w:rPr>
              <w:tab/>
            </w:r>
            <w:r w:rsidRPr="0026516C">
              <w:rPr>
                <w:noProof/>
                <w:webHidden/>
                <w:color w:val="000000" w:themeColor="text1"/>
                <w:sz w:val="24"/>
                <w:szCs w:val="24"/>
              </w:rPr>
              <w:fldChar w:fldCharType="begin"/>
            </w:r>
            <w:r w:rsidRPr="0026516C">
              <w:rPr>
                <w:noProof/>
                <w:webHidden/>
                <w:color w:val="000000" w:themeColor="text1"/>
                <w:sz w:val="24"/>
                <w:szCs w:val="24"/>
              </w:rPr>
              <w:instrText xml:space="preserve"> PAGEREF _Toc213778822 \h </w:instrText>
            </w:r>
            <w:r w:rsidRPr="0026516C">
              <w:rPr>
                <w:noProof/>
                <w:webHidden/>
                <w:color w:val="000000" w:themeColor="text1"/>
                <w:sz w:val="24"/>
                <w:szCs w:val="24"/>
              </w:rPr>
            </w:r>
            <w:r w:rsidRPr="0026516C">
              <w:rPr>
                <w:noProof/>
                <w:webHidden/>
                <w:color w:val="000000" w:themeColor="text1"/>
                <w:sz w:val="24"/>
                <w:szCs w:val="24"/>
              </w:rPr>
              <w:fldChar w:fldCharType="separate"/>
            </w:r>
            <w:r w:rsidRPr="0026516C">
              <w:rPr>
                <w:noProof/>
                <w:webHidden/>
                <w:color w:val="000000" w:themeColor="text1"/>
                <w:sz w:val="24"/>
                <w:szCs w:val="24"/>
              </w:rPr>
              <w:t>2</w:t>
            </w:r>
            <w:r w:rsidRPr="0026516C">
              <w:rPr>
                <w:noProof/>
                <w:webHidden/>
                <w:color w:val="000000" w:themeColor="text1"/>
                <w:sz w:val="24"/>
                <w:szCs w:val="24"/>
              </w:rPr>
              <w:fldChar w:fldCharType="end"/>
            </w:r>
          </w:hyperlink>
        </w:p>
        <w:p w:rsidR="00B6624E" w:rsidRPr="0026516C" w:rsidRDefault="00B6624E" w:rsidP="0026516C">
          <w:pPr>
            <w:pStyle w:val="TOC1"/>
            <w:tabs>
              <w:tab w:val="right" w:leader="dot" w:pos="9350"/>
            </w:tabs>
            <w:spacing w:line="360" w:lineRule="auto"/>
            <w:jc w:val="both"/>
            <w:rPr>
              <w:noProof/>
              <w:color w:val="000000" w:themeColor="text1"/>
              <w:sz w:val="24"/>
              <w:szCs w:val="24"/>
            </w:rPr>
          </w:pPr>
          <w:hyperlink w:anchor="_Toc213778823" w:history="1">
            <w:r w:rsidRPr="0026516C">
              <w:rPr>
                <w:rStyle w:val="Hyperlink"/>
                <w:noProof/>
                <w:color w:val="000000" w:themeColor="text1"/>
                <w:sz w:val="24"/>
                <w:szCs w:val="24"/>
                <w:lang w:val="en-GB"/>
              </w:rPr>
              <w:t>3.    Critical analysis of OLI factors (Ownership, Location and Internalisation) impacts on the international market entry mode</w:t>
            </w:r>
            <w:r w:rsidRPr="0026516C">
              <w:rPr>
                <w:noProof/>
                <w:webHidden/>
                <w:color w:val="000000" w:themeColor="text1"/>
                <w:sz w:val="24"/>
                <w:szCs w:val="24"/>
              </w:rPr>
              <w:tab/>
            </w:r>
            <w:r w:rsidRPr="0026516C">
              <w:rPr>
                <w:noProof/>
                <w:webHidden/>
                <w:color w:val="000000" w:themeColor="text1"/>
                <w:sz w:val="24"/>
                <w:szCs w:val="24"/>
              </w:rPr>
              <w:fldChar w:fldCharType="begin"/>
            </w:r>
            <w:r w:rsidRPr="0026516C">
              <w:rPr>
                <w:noProof/>
                <w:webHidden/>
                <w:color w:val="000000" w:themeColor="text1"/>
                <w:sz w:val="24"/>
                <w:szCs w:val="24"/>
              </w:rPr>
              <w:instrText xml:space="preserve"> PAGEREF _Toc213778823 \h </w:instrText>
            </w:r>
            <w:r w:rsidRPr="0026516C">
              <w:rPr>
                <w:noProof/>
                <w:webHidden/>
                <w:color w:val="000000" w:themeColor="text1"/>
                <w:sz w:val="24"/>
                <w:szCs w:val="24"/>
              </w:rPr>
            </w:r>
            <w:r w:rsidRPr="0026516C">
              <w:rPr>
                <w:noProof/>
                <w:webHidden/>
                <w:color w:val="000000" w:themeColor="text1"/>
                <w:sz w:val="24"/>
                <w:szCs w:val="24"/>
              </w:rPr>
              <w:fldChar w:fldCharType="separate"/>
            </w:r>
            <w:r w:rsidRPr="0026516C">
              <w:rPr>
                <w:noProof/>
                <w:webHidden/>
                <w:color w:val="000000" w:themeColor="text1"/>
                <w:sz w:val="24"/>
                <w:szCs w:val="24"/>
              </w:rPr>
              <w:t>7</w:t>
            </w:r>
            <w:r w:rsidRPr="0026516C">
              <w:rPr>
                <w:noProof/>
                <w:webHidden/>
                <w:color w:val="000000" w:themeColor="text1"/>
                <w:sz w:val="24"/>
                <w:szCs w:val="24"/>
              </w:rPr>
              <w:fldChar w:fldCharType="end"/>
            </w:r>
          </w:hyperlink>
        </w:p>
        <w:p w:rsidR="00B6624E" w:rsidRPr="0026516C" w:rsidRDefault="00B6624E" w:rsidP="0026516C">
          <w:pPr>
            <w:pStyle w:val="TOC1"/>
            <w:tabs>
              <w:tab w:val="right" w:leader="dot" w:pos="9350"/>
            </w:tabs>
            <w:spacing w:line="360" w:lineRule="auto"/>
            <w:jc w:val="both"/>
            <w:rPr>
              <w:noProof/>
              <w:color w:val="000000" w:themeColor="text1"/>
              <w:sz w:val="24"/>
              <w:szCs w:val="24"/>
            </w:rPr>
          </w:pPr>
          <w:hyperlink w:anchor="_Toc213778824" w:history="1">
            <w:r w:rsidRPr="0026516C">
              <w:rPr>
                <w:rStyle w:val="Hyperlink"/>
                <w:noProof/>
                <w:color w:val="000000" w:themeColor="text1"/>
                <w:sz w:val="24"/>
                <w:szCs w:val="24"/>
                <w:lang w:val="en-GB"/>
              </w:rPr>
              <w:t>4.    Critical evaluation of cultural differences between the UK and emerging economies Brazil, India and impact upon market entry strategy and its potential for success in that market</w:t>
            </w:r>
            <w:r w:rsidRPr="0026516C">
              <w:rPr>
                <w:noProof/>
                <w:webHidden/>
                <w:color w:val="000000" w:themeColor="text1"/>
                <w:sz w:val="24"/>
                <w:szCs w:val="24"/>
              </w:rPr>
              <w:tab/>
            </w:r>
            <w:r w:rsidRPr="0026516C">
              <w:rPr>
                <w:noProof/>
                <w:webHidden/>
                <w:color w:val="000000" w:themeColor="text1"/>
                <w:sz w:val="24"/>
                <w:szCs w:val="24"/>
              </w:rPr>
              <w:fldChar w:fldCharType="begin"/>
            </w:r>
            <w:r w:rsidRPr="0026516C">
              <w:rPr>
                <w:noProof/>
                <w:webHidden/>
                <w:color w:val="000000" w:themeColor="text1"/>
                <w:sz w:val="24"/>
                <w:szCs w:val="24"/>
              </w:rPr>
              <w:instrText xml:space="preserve"> PAGEREF _Toc213778824 \h </w:instrText>
            </w:r>
            <w:r w:rsidRPr="0026516C">
              <w:rPr>
                <w:noProof/>
                <w:webHidden/>
                <w:color w:val="000000" w:themeColor="text1"/>
                <w:sz w:val="24"/>
                <w:szCs w:val="24"/>
              </w:rPr>
            </w:r>
            <w:r w:rsidRPr="0026516C">
              <w:rPr>
                <w:noProof/>
                <w:webHidden/>
                <w:color w:val="000000" w:themeColor="text1"/>
                <w:sz w:val="24"/>
                <w:szCs w:val="24"/>
              </w:rPr>
              <w:fldChar w:fldCharType="separate"/>
            </w:r>
            <w:r w:rsidRPr="0026516C">
              <w:rPr>
                <w:noProof/>
                <w:webHidden/>
                <w:color w:val="000000" w:themeColor="text1"/>
                <w:sz w:val="24"/>
                <w:szCs w:val="24"/>
              </w:rPr>
              <w:t>11</w:t>
            </w:r>
            <w:r w:rsidRPr="0026516C">
              <w:rPr>
                <w:noProof/>
                <w:webHidden/>
                <w:color w:val="000000" w:themeColor="text1"/>
                <w:sz w:val="24"/>
                <w:szCs w:val="24"/>
              </w:rPr>
              <w:fldChar w:fldCharType="end"/>
            </w:r>
          </w:hyperlink>
        </w:p>
        <w:p w:rsidR="00B6624E" w:rsidRPr="0026516C" w:rsidRDefault="00B6624E" w:rsidP="0026516C">
          <w:pPr>
            <w:pStyle w:val="TOC1"/>
            <w:tabs>
              <w:tab w:val="right" w:leader="dot" w:pos="9350"/>
            </w:tabs>
            <w:spacing w:line="360" w:lineRule="auto"/>
            <w:jc w:val="both"/>
            <w:rPr>
              <w:noProof/>
              <w:color w:val="000000" w:themeColor="text1"/>
              <w:sz w:val="24"/>
              <w:szCs w:val="24"/>
            </w:rPr>
          </w:pPr>
          <w:hyperlink w:anchor="_Toc213778825" w:history="1">
            <w:r w:rsidRPr="0026516C">
              <w:rPr>
                <w:rStyle w:val="Hyperlink"/>
                <w:noProof/>
                <w:color w:val="000000" w:themeColor="text1"/>
                <w:sz w:val="24"/>
                <w:szCs w:val="24"/>
                <w:lang w:val="en-GB"/>
              </w:rPr>
              <w:t>5.    Critical recommendation of the three major adjustments of AstraZeneca as per their Standard Operating Procedures (SOPs) to ensure success in India and Brazil</w:t>
            </w:r>
            <w:r w:rsidRPr="0026516C">
              <w:rPr>
                <w:noProof/>
                <w:webHidden/>
                <w:color w:val="000000" w:themeColor="text1"/>
                <w:sz w:val="24"/>
                <w:szCs w:val="24"/>
              </w:rPr>
              <w:tab/>
            </w:r>
            <w:r w:rsidRPr="0026516C">
              <w:rPr>
                <w:noProof/>
                <w:webHidden/>
                <w:color w:val="000000" w:themeColor="text1"/>
                <w:sz w:val="24"/>
                <w:szCs w:val="24"/>
              </w:rPr>
              <w:fldChar w:fldCharType="begin"/>
            </w:r>
            <w:r w:rsidRPr="0026516C">
              <w:rPr>
                <w:noProof/>
                <w:webHidden/>
                <w:color w:val="000000" w:themeColor="text1"/>
                <w:sz w:val="24"/>
                <w:szCs w:val="24"/>
              </w:rPr>
              <w:instrText xml:space="preserve"> PAGEREF _Toc213778825 \h </w:instrText>
            </w:r>
            <w:r w:rsidRPr="0026516C">
              <w:rPr>
                <w:noProof/>
                <w:webHidden/>
                <w:color w:val="000000" w:themeColor="text1"/>
                <w:sz w:val="24"/>
                <w:szCs w:val="24"/>
              </w:rPr>
            </w:r>
            <w:r w:rsidRPr="0026516C">
              <w:rPr>
                <w:noProof/>
                <w:webHidden/>
                <w:color w:val="000000" w:themeColor="text1"/>
                <w:sz w:val="24"/>
                <w:szCs w:val="24"/>
              </w:rPr>
              <w:fldChar w:fldCharType="separate"/>
            </w:r>
            <w:r w:rsidRPr="0026516C">
              <w:rPr>
                <w:noProof/>
                <w:webHidden/>
                <w:color w:val="000000" w:themeColor="text1"/>
                <w:sz w:val="24"/>
                <w:szCs w:val="24"/>
              </w:rPr>
              <w:t>14</w:t>
            </w:r>
            <w:r w:rsidRPr="0026516C">
              <w:rPr>
                <w:noProof/>
                <w:webHidden/>
                <w:color w:val="000000" w:themeColor="text1"/>
                <w:sz w:val="24"/>
                <w:szCs w:val="24"/>
              </w:rPr>
              <w:fldChar w:fldCharType="end"/>
            </w:r>
          </w:hyperlink>
        </w:p>
        <w:p w:rsidR="00B6624E" w:rsidRPr="0026516C" w:rsidRDefault="00B6624E" w:rsidP="0026516C">
          <w:pPr>
            <w:pStyle w:val="TOC1"/>
            <w:tabs>
              <w:tab w:val="right" w:leader="dot" w:pos="9350"/>
            </w:tabs>
            <w:spacing w:line="360" w:lineRule="auto"/>
            <w:jc w:val="both"/>
            <w:rPr>
              <w:noProof/>
              <w:color w:val="000000" w:themeColor="text1"/>
              <w:sz w:val="24"/>
              <w:szCs w:val="24"/>
            </w:rPr>
          </w:pPr>
          <w:hyperlink w:anchor="_Toc213778826" w:history="1">
            <w:r w:rsidRPr="0026516C">
              <w:rPr>
                <w:rStyle w:val="Hyperlink"/>
                <w:noProof/>
                <w:color w:val="000000" w:themeColor="text1"/>
                <w:sz w:val="24"/>
                <w:szCs w:val="24"/>
                <w:lang w:val="en-GB"/>
              </w:rPr>
              <w:t>6.    Conclusion to the report</w:t>
            </w:r>
            <w:r w:rsidRPr="0026516C">
              <w:rPr>
                <w:noProof/>
                <w:webHidden/>
                <w:color w:val="000000" w:themeColor="text1"/>
                <w:sz w:val="24"/>
                <w:szCs w:val="24"/>
              </w:rPr>
              <w:tab/>
            </w:r>
            <w:r w:rsidRPr="0026516C">
              <w:rPr>
                <w:noProof/>
                <w:webHidden/>
                <w:color w:val="000000" w:themeColor="text1"/>
                <w:sz w:val="24"/>
                <w:szCs w:val="24"/>
              </w:rPr>
              <w:fldChar w:fldCharType="begin"/>
            </w:r>
            <w:r w:rsidRPr="0026516C">
              <w:rPr>
                <w:noProof/>
                <w:webHidden/>
                <w:color w:val="000000" w:themeColor="text1"/>
                <w:sz w:val="24"/>
                <w:szCs w:val="24"/>
              </w:rPr>
              <w:instrText xml:space="preserve"> PAGEREF _Toc213778826 \h </w:instrText>
            </w:r>
            <w:r w:rsidRPr="0026516C">
              <w:rPr>
                <w:noProof/>
                <w:webHidden/>
                <w:color w:val="000000" w:themeColor="text1"/>
                <w:sz w:val="24"/>
                <w:szCs w:val="24"/>
              </w:rPr>
            </w:r>
            <w:r w:rsidRPr="0026516C">
              <w:rPr>
                <w:noProof/>
                <w:webHidden/>
                <w:color w:val="000000" w:themeColor="text1"/>
                <w:sz w:val="24"/>
                <w:szCs w:val="24"/>
              </w:rPr>
              <w:fldChar w:fldCharType="separate"/>
            </w:r>
            <w:r w:rsidRPr="0026516C">
              <w:rPr>
                <w:noProof/>
                <w:webHidden/>
                <w:color w:val="000000" w:themeColor="text1"/>
                <w:sz w:val="24"/>
                <w:szCs w:val="24"/>
              </w:rPr>
              <w:t>18</w:t>
            </w:r>
            <w:r w:rsidRPr="0026516C">
              <w:rPr>
                <w:noProof/>
                <w:webHidden/>
                <w:color w:val="000000" w:themeColor="text1"/>
                <w:sz w:val="24"/>
                <w:szCs w:val="24"/>
              </w:rPr>
              <w:fldChar w:fldCharType="end"/>
            </w:r>
          </w:hyperlink>
        </w:p>
        <w:p w:rsidR="00B6624E" w:rsidRPr="0026516C" w:rsidRDefault="00B6624E" w:rsidP="0026516C">
          <w:pPr>
            <w:pStyle w:val="TOC1"/>
            <w:tabs>
              <w:tab w:val="right" w:leader="dot" w:pos="9350"/>
            </w:tabs>
            <w:spacing w:line="360" w:lineRule="auto"/>
            <w:jc w:val="both"/>
            <w:rPr>
              <w:noProof/>
              <w:color w:val="000000" w:themeColor="text1"/>
              <w:sz w:val="24"/>
              <w:szCs w:val="24"/>
            </w:rPr>
          </w:pPr>
          <w:hyperlink w:anchor="_Toc213778827" w:history="1">
            <w:r w:rsidRPr="0026516C">
              <w:rPr>
                <w:rStyle w:val="Hyperlink"/>
                <w:noProof/>
                <w:color w:val="000000" w:themeColor="text1"/>
                <w:sz w:val="24"/>
                <w:szCs w:val="24"/>
                <w:lang w:val="en-GB"/>
              </w:rPr>
              <w:t>Reference list</w:t>
            </w:r>
            <w:r w:rsidRPr="0026516C">
              <w:rPr>
                <w:noProof/>
                <w:webHidden/>
                <w:color w:val="000000" w:themeColor="text1"/>
                <w:sz w:val="24"/>
                <w:szCs w:val="24"/>
              </w:rPr>
              <w:tab/>
            </w:r>
            <w:r w:rsidRPr="0026516C">
              <w:rPr>
                <w:noProof/>
                <w:webHidden/>
                <w:color w:val="000000" w:themeColor="text1"/>
                <w:sz w:val="24"/>
                <w:szCs w:val="24"/>
              </w:rPr>
              <w:fldChar w:fldCharType="begin"/>
            </w:r>
            <w:r w:rsidRPr="0026516C">
              <w:rPr>
                <w:noProof/>
                <w:webHidden/>
                <w:color w:val="000000" w:themeColor="text1"/>
                <w:sz w:val="24"/>
                <w:szCs w:val="24"/>
              </w:rPr>
              <w:instrText xml:space="preserve"> PAGEREF _Toc213778827 \h </w:instrText>
            </w:r>
            <w:r w:rsidRPr="0026516C">
              <w:rPr>
                <w:noProof/>
                <w:webHidden/>
                <w:color w:val="000000" w:themeColor="text1"/>
                <w:sz w:val="24"/>
                <w:szCs w:val="24"/>
              </w:rPr>
            </w:r>
            <w:r w:rsidRPr="0026516C">
              <w:rPr>
                <w:noProof/>
                <w:webHidden/>
                <w:color w:val="000000" w:themeColor="text1"/>
                <w:sz w:val="24"/>
                <w:szCs w:val="24"/>
              </w:rPr>
              <w:fldChar w:fldCharType="separate"/>
            </w:r>
            <w:r w:rsidRPr="0026516C">
              <w:rPr>
                <w:noProof/>
                <w:webHidden/>
                <w:color w:val="000000" w:themeColor="text1"/>
                <w:sz w:val="24"/>
                <w:szCs w:val="24"/>
              </w:rPr>
              <w:t>20</w:t>
            </w:r>
            <w:r w:rsidRPr="0026516C">
              <w:rPr>
                <w:noProof/>
                <w:webHidden/>
                <w:color w:val="000000" w:themeColor="text1"/>
                <w:sz w:val="24"/>
                <w:szCs w:val="24"/>
              </w:rPr>
              <w:fldChar w:fldCharType="end"/>
            </w:r>
          </w:hyperlink>
        </w:p>
        <w:p w:rsidR="00B6624E" w:rsidRDefault="00B6624E" w:rsidP="0026516C">
          <w:pPr>
            <w:spacing w:line="360" w:lineRule="auto"/>
            <w:jc w:val="both"/>
          </w:pPr>
          <w:r w:rsidRPr="0026516C">
            <w:rPr>
              <w:b/>
              <w:bCs/>
              <w:noProof/>
              <w:color w:val="000000" w:themeColor="text1"/>
              <w:sz w:val="24"/>
              <w:szCs w:val="24"/>
            </w:rPr>
            <w:fldChar w:fldCharType="end"/>
          </w:r>
        </w:p>
      </w:sdtContent>
    </w:sdt>
    <w:p w:rsidR="00B6624E" w:rsidRDefault="00B6624E">
      <w:pPr>
        <w:rPr>
          <w:sz w:val="24"/>
          <w:szCs w:val="24"/>
          <w:lang w:val="en-GB"/>
        </w:rPr>
      </w:pPr>
      <w:r>
        <w:rPr>
          <w:sz w:val="24"/>
          <w:szCs w:val="24"/>
          <w:lang w:val="en-GB"/>
        </w:rPr>
        <w:br w:type="page"/>
      </w:r>
    </w:p>
    <w:p w:rsidR="00824D7D" w:rsidRPr="008E1F80" w:rsidRDefault="00824D7D">
      <w:pPr>
        <w:spacing w:line="360" w:lineRule="auto"/>
        <w:jc w:val="both"/>
        <w:rPr>
          <w:sz w:val="24"/>
          <w:szCs w:val="24"/>
          <w:lang w:val="en-GB"/>
        </w:rPr>
      </w:pPr>
    </w:p>
    <w:p w:rsidR="00824D7D" w:rsidRPr="008E1F80" w:rsidRDefault="00130925" w:rsidP="00917C98">
      <w:pPr>
        <w:pStyle w:val="Heading1"/>
        <w:rPr>
          <w:lang w:val="en-GB"/>
        </w:rPr>
      </w:pPr>
      <w:bookmarkStart w:id="1" w:name="_Toc213778821"/>
      <w:r w:rsidRPr="008E1F80">
        <w:rPr>
          <w:lang w:val="en-GB"/>
        </w:rPr>
        <w:t>1.    Introduction to the report</w:t>
      </w:r>
      <w:bookmarkEnd w:id="1"/>
      <w:r w:rsidRPr="008E1F80">
        <w:rPr>
          <w:lang w:val="en-GB"/>
        </w:rPr>
        <w:t xml:space="preserve"> </w:t>
      </w:r>
    </w:p>
    <w:p w:rsidR="00824D7D" w:rsidRPr="008E1F80" w:rsidRDefault="00130925" w:rsidP="008E1F80">
      <w:pPr>
        <w:spacing w:line="360" w:lineRule="auto"/>
        <w:jc w:val="both"/>
        <w:rPr>
          <w:sz w:val="24"/>
          <w:szCs w:val="24"/>
          <w:lang w:val="en-GB"/>
        </w:rPr>
      </w:pPr>
      <w:r w:rsidRPr="008E1F80">
        <w:rPr>
          <w:sz w:val="24"/>
          <w:szCs w:val="24"/>
          <w:lang w:val="en-GB"/>
        </w:rPr>
        <w:t>The report will discuss the international business operation of AstraZeneca with a particular consideration of the operations of the company in the emerging economies of India and Brazil. AstraZeneca is a multinational biopharmaceutical corporation that has its headquarters in the United Kingdom and has researched-based strategy and high therapeutic profile in the treatment of oncology, cardiovascular, respiratory, and immunology. The report evaluates why AstraZeneca can be described as a multinational corporation, its global value chain structure, and entry modes used in different markets. Moreover, it critically analyses the strategic implication of the Ownership-Location-Internalisation (OLI) framework in the process of shaping the expansion to India and Brazil of AstraZeneca. The market behaviour, the relationships with stakeholders and the organisational adaptation are investigated in terms of the cultural factors to determine the prospective success of the company. On the basis of this analysis, the report will suggest operational changes that are needed to enhance integration and performance of AstraZeneca in these emerging markets.</w:t>
      </w:r>
    </w:p>
    <w:p w:rsidR="00824D7D" w:rsidRPr="008E1F80" w:rsidRDefault="00130925" w:rsidP="00917C98">
      <w:pPr>
        <w:pStyle w:val="Heading1"/>
        <w:rPr>
          <w:lang w:val="en-GB"/>
        </w:rPr>
      </w:pPr>
      <w:bookmarkStart w:id="2" w:name="_Toc213778822"/>
      <w:r w:rsidRPr="008E1F80">
        <w:rPr>
          <w:lang w:val="en-GB"/>
        </w:rPr>
        <w:t>2.    Benefits and challenges of international operations</w:t>
      </w:r>
      <w:bookmarkEnd w:id="2"/>
      <w:r w:rsidRPr="008E1F80">
        <w:rPr>
          <w:lang w:val="en-GB"/>
        </w:rPr>
        <w:t xml:space="preserve"> </w:t>
      </w:r>
    </w:p>
    <w:p w:rsidR="00824D7D" w:rsidRPr="008E1F80" w:rsidRDefault="000F3923">
      <w:pPr>
        <w:spacing w:line="360" w:lineRule="auto"/>
        <w:jc w:val="both"/>
        <w:rPr>
          <w:b/>
          <w:bCs/>
          <w:i/>
          <w:iCs/>
          <w:sz w:val="24"/>
          <w:szCs w:val="24"/>
          <w:lang w:val="en-GB"/>
        </w:rPr>
      </w:pPr>
      <w:r>
        <w:rPr>
          <w:sz w:val="24"/>
          <w:szCs w:val="24"/>
          <w:lang w:val="en-GB"/>
        </w:rPr>
        <w:t xml:space="preserve">a. </w:t>
      </w:r>
      <w:r>
        <w:rPr>
          <w:b/>
          <w:bCs/>
          <w:i/>
          <w:iCs/>
          <w:sz w:val="24"/>
          <w:szCs w:val="24"/>
          <w:lang w:val="en-GB"/>
        </w:rPr>
        <w:t>Explaining AstraZ</w:t>
      </w:r>
      <w:r w:rsidR="00130925" w:rsidRPr="008E1F80">
        <w:rPr>
          <w:b/>
          <w:bCs/>
          <w:i/>
          <w:iCs/>
          <w:sz w:val="24"/>
          <w:szCs w:val="24"/>
          <w:lang w:val="en-GB"/>
        </w:rPr>
        <w:t>eneca as designated MNC</w:t>
      </w:r>
    </w:p>
    <w:p w:rsidR="00824D7D" w:rsidRPr="008E1F80" w:rsidRDefault="00130925">
      <w:pPr>
        <w:spacing w:line="360" w:lineRule="auto"/>
        <w:jc w:val="both"/>
        <w:rPr>
          <w:sz w:val="24"/>
          <w:szCs w:val="24"/>
          <w:lang w:val="en-GB"/>
        </w:rPr>
      </w:pPr>
      <w:r w:rsidRPr="008E1F80">
        <w:rPr>
          <w:sz w:val="24"/>
          <w:szCs w:val="24"/>
          <w:lang w:val="en-GB"/>
        </w:rPr>
        <w:t>AstraZeneca can be described as a multinational corporation due to the fact that it operates, invests and sells activities on a very global level. To illustrate this, the company reported operations and consolidated financial performance across dozens of markets with total revenues of $45.8bn in 2023 and 54.1bn in 2024 which is a display of scale and cross-border business integration (</w:t>
      </w:r>
      <w:proofErr w:type="spellStart"/>
      <w:r w:rsidRPr="008E1F80">
        <w:rPr>
          <w:sz w:val="24"/>
          <w:szCs w:val="24"/>
          <w:lang w:val="en-GB"/>
        </w:rPr>
        <w:t>Astrazeneca</w:t>
      </w:r>
      <w:proofErr w:type="spellEnd"/>
      <w:r w:rsidRPr="008E1F80">
        <w:rPr>
          <w:sz w:val="24"/>
          <w:szCs w:val="24"/>
          <w:lang w:val="en-GB"/>
        </w:rPr>
        <w:t xml:space="preserve">, 2024). This scale is indicative of a global presence of research, manufacturing and commercial facilities. The annual and sustainability reports of AstraZeneca show clearly that its R&amp;D locations, manufacturing facilities and commercial subsidiaries are spread over the various continents (AstraZeneca, 2025). The company specifically lumps together all of its business operations into its reporting. India is a major sourcing and operational support centre particularly due to the AstraZeneca Global Capability Centre in Chennai </w:t>
      </w:r>
      <w:r w:rsidRPr="008E1F80">
        <w:rPr>
          <w:sz w:val="24"/>
          <w:szCs w:val="24"/>
          <w:lang w:val="en-GB"/>
        </w:rPr>
        <w:lastRenderedPageBreak/>
        <w:t>that handles the supply chain analytics, digital operations and regulatory documents (</w:t>
      </w:r>
      <w:proofErr w:type="spellStart"/>
      <w:r w:rsidRPr="008E1F80">
        <w:rPr>
          <w:sz w:val="24"/>
          <w:szCs w:val="24"/>
          <w:lang w:val="en-GB"/>
        </w:rPr>
        <w:t>astrazeneca</w:t>
      </w:r>
      <w:proofErr w:type="spellEnd"/>
      <w:r w:rsidRPr="008E1F80">
        <w:rPr>
          <w:sz w:val="24"/>
          <w:szCs w:val="24"/>
          <w:lang w:val="en-GB"/>
        </w:rPr>
        <w:t xml:space="preserve">, 2024). </w:t>
      </w:r>
    </w:p>
    <w:p w:rsidR="00824D7D" w:rsidRPr="008E1F80" w:rsidRDefault="00130925">
      <w:pPr>
        <w:spacing w:line="360" w:lineRule="auto"/>
        <w:jc w:val="both"/>
        <w:rPr>
          <w:sz w:val="24"/>
          <w:szCs w:val="24"/>
          <w:lang w:val="en-GB"/>
        </w:rPr>
      </w:pPr>
      <w:r w:rsidRPr="008E1F80">
        <w:rPr>
          <w:sz w:val="24"/>
          <w:szCs w:val="24"/>
          <w:lang w:val="en-GB"/>
        </w:rPr>
        <w:t xml:space="preserve">In Brazil, the firm collaborates with domestic biopharmaceutical institutes to produce and pack drugs to facilitate national self-sufficiency in the provision of pharma, which is a response to the local health industrial policies (Zhang </w:t>
      </w:r>
      <w:r w:rsidRPr="008E1F80">
        <w:rPr>
          <w:i/>
          <w:iCs/>
          <w:sz w:val="24"/>
          <w:szCs w:val="24"/>
          <w:lang w:val="en-GB"/>
        </w:rPr>
        <w:t>et al.</w:t>
      </w:r>
      <w:r w:rsidRPr="008E1F80">
        <w:rPr>
          <w:sz w:val="24"/>
          <w:szCs w:val="24"/>
          <w:lang w:val="en-GB"/>
        </w:rPr>
        <w:t xml:space="preserve"> 2023). In sales and distribution, the USA is the largest pharmaceutical revenue market of AstraZeneca, which is supported by the oncology and cardiovascular products. The UK market is smaller although a strategically significant market in relation to NHS partnerships and early product adoption. India is an emerging market with a high rate of growth and AstraZeneca is concentrating on the non-communicable diseases and the strategies of affordability, whereas Brazil is a major Latin American market where the company collaborates with the public health programmes. In financial allocation and strategic planning, they are centrally located in the UK but investment inflows are promulgating manufacturing growth in the USA, digital capacity in India and market in Brazil (AstraZeneca, 2025). This allocation of R&amp;D, production, sourcing and sales between developed and emerging economies in the interpretation proves the transnational value chain format of AstraZeneca that allows it to use scientific capabilities in the UK and USA, operational efficiency in India, and market potential in Brazil to globalise optimally.</w:t>
      </w:r>
    </w:p>
    <w:p w:rsidR="00824D7D" w:rsidRPr="008E1F80" w:rsidRDefault="00130925">
      <w:pPr>
        <w:spacing w:line="360" w:lineRule="auto"/>
        <w:jc w:val="center"/>
        <w:rPr>
          <w:sz w:val="24"/>
          <w:szCs w:val="24"/>
          <w:lang w:val="en-GB"/>
        </w:rPr>
      </w:pPr>
      <w:r w:rsidRPr="008E1F80">
        <w:rPr>
          <w:noProof/>
          <w:sz w:val="24"/>
          <w:szCs w:val="24"/>
          <w:lang w:val="en-GB"/>
        </w:rPr>
        <w:lastRenderedPageBreak/>
        <w:drawing>
          <wp:inline distT="114300" distB="114300" distL="114300" distR="114300" wp14:anchorId="7999FB6C" wp14:editId="234F482F">
            <wp:extent cx="5943600" cy="36703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670300"/>
                    </a:xfrm>
                    <a:prstGeom prst="rect">
                      <a:avLst/>
                    </a:prstGeom>
                    <a:ln w="12700">
                      <a:solidFill>
                        <a:srgbClr val="000000"/>
                      </a:solidFill>
                      <a:prstDash val="solid"/>
                    </a:ln>
                  </pic:spPr>
                </pic:pic>
              </a:graphicData>
            </a:graphic>
          </wp:inline>
        </w:drawing>
      </w:r>
    </w:p>
    <w:p w:rsidR="00824D7D" w:rsidRPr="008E1F80" w:rsidRDefault="00130925">
      <w:pPr>
        <w:spacing w:line="360" w:lineRule="auto"/>
        <w:jc w:val="center"/>
        <w:rPr>
          <w:b/>
          <w:bCs/>
          <w:sz w:val="24"/>
          <w:szCs w:val="24"/>
          <w:lang w:val="en-GB"/>
        </w:rPr>
      </w:pPr>
      <w:r w:rsidRPr="008E1F80">
        <w:rPr>
          <w:b/>
          <w:bCs/>
          <w:sz w:val="24"/>
          <w:szCs w:val="24"/>
          <w:lang w:val="en-GB"/>
        </w:rPr>
        <w:t>Figure 1: Worldwide financial overview of AstraZeneca</w:t>
      </w:r>
    </w:p>
    <w:p w:rsidR="00824D7D" w:rsidRPr="008E1F80" w:rsidRDefault="00130925">
      <w:pPr>
        <w:spacing w:line="360" w:lineRule="auto"/>
        <w:jc w:val="center"/>
        <w:rPr>
          <w:sz w:val="24"/>
          <w:szCs w:val="24"/>
          <w:lang w:val="en-GB"/>
        </w:rPr>
      </w:pPr>
      <w:r w:rsidRPr="008E1F80">
        <w:rPr>
          <w:sz w:val="24"/>
          <w:szCs w:val="24"/>
          <w:lang w:val="en-GB"/>
        </w:rPr>
        <w:t>(Source: AstraZeneca, 2025)</w:t>
      </w:r>
    </w:p>
    <w:p w:rsidR="00824D7D" w:rsidRPr="000F3923" w:rsidRDefault="000F3923">
      <w:pPr>
        <w:spacing w:line="360" w:lineRule="auto"/>
        <w:jc w:val="both"/>
        <w:rPr>
          <w:b/>
          <w:i/>
          <w:sz w:val="24"/>
          <w:szCs w:val="24"/>
          <w:lang w:val="en-GB"/>
        </w:rPr>
      </w:pPr>
      <w:r w:rsidRPr="000F3923">
        <w:rPr>
          <w:b/>
          <w:i/>
          <w:sz w:val="24"/>
          <w:szCs w:val="24"/>
          <w:lang w:val="en-GB"/>
        </w:rPr>
        <w:t xml:space="preserve">b. </w:t>
      </w:r>
      <w:r w:rsidR="00130925" w:rsidRPr="000F3923">
        <w:rPr>
          <w:b/>
          <w:i/>
          <w:sz w:val="24"/>
          <w:szCs w:val="24"/>
          <w:lang w:val="en-GB"/>
        </w:rPr>
        <w:t>Summarising AstraZeneca’s nature of global operations based on Value Chain analysis</w:t>
      </w:r>
    </w:p>
    <w:p w:rsidR="00824D7D" w:rsidRPr="008E1F80" w:rsidRDefault="00130925">
      <w:pPr>
        <w:spacing w:line="360" w:lineRule="auto"/>
        <w:jc w:val="both"/>
        <w:rPr>
          <w:sz w:val="24"/>
          <w:szCs w:val="24"/>
          <w:lang w:val="en-GB"/>
        </w:rPr>
      </w:pPr>
      <w:r w:rsidRPr="008E1F80">
        <w:rPr>
          <w:sz w:val="24"/>
          <w:szCs w:val="24"/>
          <w:lang w:val="en-GB"/>
        </w:rPr>
        <w:t>The global value chain of AstraZeneca is designed in major markets such as the UK, USA, India and Brazil, where each one of them has its strategic role. The UK has been a key point of innovation in terms of research and development, and Cambridge acts as the world headquarters of the firm in terms of scientific and commercial strategy (Astrazeneca.co.uk, 2022). There are also large R&amp;D centres of AstraZeneca in Gaithersburg, Maryland, USA, where biologics and immunotherapies are made, which means that the high-value scientific work is internationally decentralised in order to reach specialised talent and research ecosystems. The firm has a distributed manufacturing network in the area of sourcing and production. In the UK, there is also oncology and respiratory medicine advanced manufacturing, and in the USA, there are large-scale manufacturing centres of biologics (</w:t>
      </w:r>
      <w:proofErr w:type="spellStart"/>
      <w:r w:rsidRPr="008E1F80">
        <w:rPr>
          <w:sz w:val="24"/>
          <w:szCs w:val="24"/>
          <w:lang w:val="en-GB"/>
        </w:rPr>
        <w:t>astrazeneca</w:t>
      </w:r>
      <w:proofErr w:type="spellEnd"/>
      <w:r w:rsidRPr="008E1F80">
        <w:rPr>
          <w:sz w:val="24"/>
          <w:szCs w:val="24"/>
          <w:lang w:val="en-GB"/>
        </w:rPr>
        <w:t xml:space="preserve">, 2025). The input of India is a major sourcing base and support base of operations, particularly via the Global </w:t>
      </w:r>
      <w:r w:rsidRPr="008E1F80">
        <w:rPr>
          <w:sz w:val="24"/>
          <w:szCs w:val="24"/>
          <w:lang w:val="en-GB"/>
        </w:rPr>
        <w:lastRenderedPageBreak/>
        <w:t xml:space="preserve">Capability Centre in Chennai by AstraZeneca, where supply chain analytics, digital operations and regulatory documentation are handled. </w:t>
      </w:r>
    </w:p>
    <w:p w:rsidR="00824D7D" w:rsidRPr="008E1F80" w:rsidRDefault="00130925">
      <w:pPr>
        <w:spacing w:line="360" w:lineRule="auto"/>
        <w:jc w:val="both"/>
        <w:rPr>
          <w:sz w:val="24"/>
          <w:szCs w:val="24"/>
          <w:lang w:val="en-GB"/>
        </w:rPr>
      </w:pPr>
      <w:r w:rsidRPr="008E1F80">
        <w:rPr>
          <w:sz w:val="24"/>
          <w:szCs w:val="24"/>
          <w:lang w:val="en-GB"/>
        </w:rPr>
        <w:t xml:space="preserve">The company has collaborated with local biopharmaceutical institutions in Brazil to produce and package medicines to facilitate national self-sufficiency of pharma supply, which is a response to the local health industrial policy (Ruas </w:t>
      </w:r>
      <w:r w:rsidRPr="008E1F80">
        <w:rPr>
          <w:i/>
          <w:iCs/>
          <w:sz w:val="24"/>
          <w:szCs w:val="24"/>
          <w:lang w:val="en-GB"/>
        </w:rPr>
        <w:t>et al.</w:t>
      </w:r>
      <w:r w:rsidRPr="008E1F80">
        <w:rPr>
          <w:sz w:val="24"/>
          <w:szCs w:val="24"/>
          <w:lang w:val="en-GB"/>
        </w:rPr>
        <w:t xml:space="preserve"> 2025). The USA is the largest pharmaceutical market with revenues in the USA with oncology and cardiovascular products, which are the largest drivers of sales and distribution of AstraZeneca. The UK market is smaller yet important in the strategy of the NHS partnerships and adoption of the product. India is a rapidly developing emerging market where AstraZeneca targets the non-communicable diseases and affordability approaches, whereas Brazil is a major Latin American market where the company collaborates with the public health programmes. The UK is centralised in making decisions related to financing and strategic coordination, whilst the investment flows stimulate the growth of manufacturing in the USA, development of digital capabilities in India and market growth in Brazil.</w:t>
      </w:r>
      <w:r w:rsidR="007E028B">
        <w:rPr>
          <w:sz w:val="24"/>
          <w:szCs w:val="24"/>
          <w:lang w:val="en-GB"/>
        </w:rPr>
        <w:t xml:space="preserve"> </w:t>
      </w:r>
      <w:r w:rsidRPr="008E1F80">
        <w:rPr>
          <w:sz w:val="24"/>
          <w:szCs w:val="24"/>
          <w:lang w:val="en-GB"/>
        </w:rPr>
        <w:t>This is how R&amp;D, production, sourcing and sales are split between developed and emerging economies, which illustrates the transnational value chain structure of AstraZeneca, with scientific capacity in the UK and USA, operation efficiency in India, and market penetration in Brazil maximising global competitiveness.</w:t>
      </w:r>
    </w:p>
    <w:p w:rsidR="00824D7D" w:rsidRPr="008E1F80" w:rsidRDefault="00130925">
      <w:pPr>
        <w:spacing w:line="360" w:lineRule="auto"/>
        <w:jc w:val="center"/>
        <w:rPr>
          <w:sz w:val="24"/>
          <w:szCs w:val="24"/>
          <w:lang w:val="en-GB"/>
        </w:rPr>
      </w:pPr>
      <w:r w:rsidRPr="008E1F80">
        <w:rPr>
          <w:noProof/>
          <w:sz w:val="24"/>
          <w:szCs w:val="24"/>
          <w:lang w:val="en-GB"/>
        </w:rPr>
        <w:lastRenderedPageBreak/>
        <w:drawing>
          <wp:inline distT="114300" distB="114300" distL="114300" distR="114300" wp14:anchorId="339106EC" wp14:editId="5DC34906">
            <wp:extent cx="6147435" cy="3724275"/>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6147435" cy="3724275"/>
                    </a:xfrm>
                    <a:prstGeom prst="rect">
                      <a:avLst/>
                    </a:prstGeom>
                    <a:ln w="12700">
                      <a:solidFill>
                        <a:srgbClr val="000000"/>
                      </a:solidFill>
                      <a:prstDash val="solid"/>
                    </a:ln>
                  </pic:spPr>
                </pic:pic>
              </a:graphicData>
            </a:graphic>
          </wp:inline>
        </w:drawing>
      </w:r>
    </w:p>
    <w:p w:rsidR="00824D7D" w:rsidRPr="008E1F80" w:rsidRDefault="00130925">
      <w:pPr>
        <w:spacing w:line="360" w:lineRule="auto"/>
        <w:jc w:val="center"/>
        <w:rPr>
          <w:b/>
          <w:bCs/>
          <w:sz w:val="24"/>
          <w:szCs w:val="24"/>
          <w:lang w:val="en-GB"/>
        </w:rPr>
      </w:pPr>
      <w:r w:rsidRPr="008E1F80">
        <w:rPr>
          <w:b/>
          <w:bCs/>
          <w:sz w:val="24"/>
          <w:szCs w:val="24"/>
          <w:lang w:val="en-GB"/>
        </w:rPr>
        <w:t>Figure 2: Porter’s value chain analysis for AstraZeneca</w:t>
      </w:r>
    </w:p>
    <w:p w:rsidR="00824D7D" w:rsidRPr="00BE052E" w:rsidRDefault="00BE052E">
      <w:pPr>
        <w:spacing w:line="360" w:lineRule="auto"/>
        <w:jc w:val="both"/>
        <w:rPr>
          <w:b/>
          <w:i/>
          <w:sz w:val="24"/>
          <w:szCs w:val="24"/>
          <w:lang w:val="en-GB"/>
        </w:rPr>
      </w:pPr>
      <w:r>
        <w:rPr>
          <w:b/>
          <w:i/>
          <w:sz w:val="24"/>
          <w:szCs w:val="24"/>
          <w:lang w:val="en-GB"/>
        </w:rPr>
        <w:t xml:space="preserve">c. </w:t>
      </w:r>
      <w:r w:rsidR="00130925" w:rsidRPr="00BE052E">
        <w:rPr>
          <w:b/>
          <w:i/>
          <w:sz w:val="24"/>
          <w:szCs w:val="24"/>
          <w:lang w:val="en-GB"/>
        </w:rPr>
        <w:t xml:space="preserve">Analysing different dominant entry modes used by AstraZeneca </w:t>
      </w:r>
    </w:p>
    <w:p w:rsidR="00824D7D" w:rsidRPr="008E1F80" w:rsidRDefault="00130925">
      <w:pPr>
        <w:spacing w:line="360" w:lineRule="auto"/>
        <w:jc w:val="both"/>
        <w:rPr>
          <w:sz w:val="24"/>
          <w:szCs w:val="24"/>
          <w:lang w:val="en-GB"/>
        </w:rPr>
      </w:pPr>
      <w:r w:rsidRPr="008E1F80">
        <w:rPr>
          <w:sz w:val="24"/>
          <w:szCs w:val="24"/>
          <w:lang w:val="en-GB"/>
        </w:rPr>
        <w:t>AstraZeneca adopts a combination of entry modes based on the country-specific needs-based on strategic aspirations, government regulation and opportunities. AstraZeneca entered its home market in the UK in 1999 with the merger of Astra and Zeneca and their centralisation of corporate operations in Cambridge. Hence its entry into the UK markets is more a corporate base in terms of global strategy and funding that is, a base of corporate control. In the United States, AstraZeneca has principally employed acquisitions and major greenfield investment to gain access to markets and R&amp;D/manufacturing capacity landmark acquisitions. This includes the acquisition of MedImmune, and subsequent targeted biotech acquisitions (multi-billion dollar U.S. manufacturing/R&amp;D expansion plans) are evidence of an acquisition-based plus direct-investment strategy to entrench capabilities and distribution in the largest pharma market (</w:t>
      </w:r>
      <w:proofErr w:type="spellStart"/>
      <w:r w:rsidRPr="008E1F80">
        <w:rPr>
          <w:sz w:val="24"/>
          <w:szCs w:val="24"/>
          <w:lang w:val="en-GB"/>
        </w:rPr>
        <w:t>astrazeneca</w:t>
      </w:r>
      <w:proofErr w:type="spellEnd"/>
      <w:r w:rsidRPr="008E1F80">
        <w:rPr>
          <w:sz w:val="24"/>
          <w:szCs w:val="24"/>
          <w:lang w:val="en-GB"/>
        </w:rPr>
        <w:t xml:space="preserve">, 2015). </w:t>
      </w:r>
    </w:p>
    <w:p w:rsidR="00824D7D" w:rsidRPr="008E1F80" w:rsidRDefault="00130925">
      <w:pPr>
        <w:spacing w:line="360" w:lineRule="auto"/>
        <w:jc w:val="both"/>
        <w:rPr>
          <w:sz w:val="24"/>
          <w:szCs w:val="24"/>
          <w:lang w:val="en-GB"/>
        </w:rPr>
      </w:pPr>
      <w:r w:rsidRPr="008E1F80">
        <w:rPr>
          <w:sz w:val="24"/>
          <w:szCs w:val="24"/>
          <w:lang w:val="en-GB"/>
        </w:rPr>
        <w:t xml:space="preserve">In India, the company has entered and scaled through a local incorporated subsidiary plus production through licensing and technology-transfer alliances. The long-established Indian operating company manages local production, regulatory approvals </w:t>
      </w:r>
      <w:r w:rsidRPr="008E1F80">
        <w:rPr>
          <w:sz w:val="24"/>
          <w:szCs w:val="24"/>
          <w:lang w:val="en-GB"/>
        </w:rPr>
        <w:lastRenderedPageBreak/>
        <w:t xml:space="preserve">and commercialisation with the help of licensing and contract manufacturing to rapidly increase supply during the COVID-era with Serum Institute/contract manufacturers. Brazil AstraZeneca had used a combination of a local affiliate to sell and gain regulatory presence and technology-transfer and local production deals with </w:t>
      </w:r>
      <w:proofErr w:type="spellStart"/>
      <w:r w:rsidRPr="008E1F80">
        <w:rPr>
          <w:sz w:val="24"/>
          <w:szCs w:val="24"/>
          <w:lang w:val="en-GB"/>
        </w:rPr>
        <w:t>Fiocruz</w:t>
      </w:r>
      <w:proofErr w:type="spellEnd"/>
      <w:r w:rsidRPr="008E1F80">
        <w:rPr>
          <w:sz w:val="24"/>
          <w:szCs w:val="24"/>
          <w:lang w:val="en-GB"/>
        </w:rPr>
        <w:t xml:space="preserve"> among other local manufacturers during the COVID vaccine campaign and regionally customised manufacturing/supply deals to address the needs of public procurement and regulation (Dantas, Ferreira and Carlos, 2022). The predominant international mode of AstraZeneca is neither entering a particular mode nor a controlled-ownership model (subsidiaries and acquisitions), but a controlled-ownership model (subsidiaries and acquisitions) in addition to a strategic partnership and contract manufacturing where speed, regulatory alignment or local capacity will lead to optimal entry being through collaboration of both corporate and local flexibility in various national contexts.</w:t>
      </w:r>
    </w:p>
    <w:p w:rsidR="00824D7D" w:rsidRPr="00BE052E" w:rsidRDefault="00BE052E">
      <w:pPr>
        <w:spacing w:line="360" w:lineRule="auto"/>
        <w:jc w:val="both"/>
        <w:rPr>
          <w:b/>
          <w:i/>
          <w:sz w:val="24"/>
          <w:szCs w:val="24"/>
          <w:lang w:val="en-GB"/>
        </w:rPr>
      </w:pPr>
      <w:r>
        <w:rPr>
          <w:b/>
          <w:i/>
          <w:sz w:val="24"/>
          <w:szCs w:val="24"/>
          <w:lang w:val="en-GB"/>
        </w:rPr>
        <w:t xml:space="preserve">d. </w:t>
      </w:r>
      <w:r w:rsidR="00130925" w:rsidRPr="00BE052E">
        <w:rPr>
          <w:b/>
          <w:i/>
          <w:sz w:val="24"/>
          <w:szCs w:val="24"/>
          <w:lang w:val="en-GB"/>
        </w:rPr>
        <w:t>The key benefits obtained by the company from its international operations</w:t>
      </w:r>
    </w:p>
    <w:p w:rsidR="00824D7D" w:rsidRPr="008E1F80" w:rsidRDefault="00130925">
      <w:pPr>
        <w:spacing w:line="360" w:lineRule="auto"/>
        <w:jc w:val="both"/>
        <w:rPr>
          <w:sz w:val="24"/>
          <w:szCs w:val="24"/>
          <w:lang w:val="en-GB"/>
        </w:rPr>
      </w:pPr>
      <w:r w:rsidRPr="008E1F80">
        <w:rPr>
          <w:sz w:val="24"/>
          <w:szCs w:val="24"/>
          <w:lang w:val="en-GB"/>
        </w:rPr>
        <w:t>AstraZeneca global businesses provide significant strategic and financial gains that enhance global competitiveness of the firm. As an example, geographic revenue diversification provides AstraZeneca with strength, scale - with total revenue of $54.1bn reported in 2024 (</w:t>
      </w:r>
      <w:proofErr w:type="spellStart"/>
      <w:r w:rsidRPr="008E1F80">
        <w:rPr>
          <w:sz w:val="24"/>
          <w:szCs w:val="24"/>
          <w:lang w:val="en-GB"/>
        </w:rPr>
        <w:t>astrazeneca</w:t>
      </w:r>
      <w:proofErr w:type="spellEnd"/>
      <w:r w:rsidRPr="008E1F80">
        <w:rPr>
          <w:sz w:val="24"/>
          <w:szCs w:val="24"/>
          <w:lang w:val="en-GB"/>
        </w:rPr>
        <w:t>, 2024a). The US and Emerging Markets (including Brazil and India) constitute huge, dissimilar shares of revenue sales and showed how the global markets contribute materially to profitability and cash flow to underpin global R&amp;D and investment</w:t>
      </w:r>
      <w:r w:rsidRPr="008E1F80">
        <w:rPr>
          <w:sz w:val="24"/>
          <w:szCs w:val="24"/>
          <w:highlight w:val="white"/>
          <w:lang w:val="en-GB"/>
        </w:rPr>
        <w:t xml:space="preserve">. </w:t>
      </w:r>
      <w:r w:rsidR="00BE052E" w:rsidRPr="008E1F80">
        <w:rPr>
          <w:sz w:val="24"/>
          <w:szCs w:val="24"/>
          <w:highlight w:val="white"/>
          <w:lang w:val="en-GB"/>
        </w:rPr>
        <w:t>International manufacturing and alliances also improved the scale and resilience of supply</w:t>
      </w:r>
      <w:r w:rsidRPr="008E1F80">
        <w:rPr>
          <w:sz w:val="24"/>
          <w:szCs w:val="24"/>
          <w:highlight w:val="white"/>
          <w:lang w:val="en-GB"/>
        </w:rPr>
        <w:t xml:space="preserve">. The company and allies delivered multibillion doses of </w:t>
      </w:r>
      <w:proofErr w:type="spellStart"/>
      <w:r w:rsidRPr="008E1F80">
        <w:rPr>
          <w:sz w:val="24"/>
          <w:szCs w:val="24"/>
          <w:highlight w:val="white"/>
          <w:lang w:val="en-GB"/>
        </w:rPr>
        <w:t>Vaxzevira</w:t>
      </w:r>
      <w:proofErr w:type="spellEnd"/>
      <w:r w:rsidRPr="008E1F80">
        <w:rPr>
          <w:sz w:val="24"/>
          <w:szCs w:val="24"/>
          <w:highlight w:val="white"/>
          <w:lang w:val="en-GB"/>
        </w:rPr>
        <w:t xml:space="preserve"> dose to over 170 countries during the COVID-19 response (AstraZeneca, 2021). This shows how cross-border manufacturing and licensing could supply large quantities to lower and middle-income populations at a fast pace and sparing the healthcare systems of the world. T</w:t>
      </w:r>
      <w:r w:rsidRPr="008E1F80">
        <w:rPr>
          <w:sz w:val="24"/>
          <w:szCs w:val="24"/>
          <w:lang w:val="en-GB"/>
        </w:rPr>
        <w:t>he deployment of strategic assets in key domains of the world's developed markets creates capability that benefits the targeted capital investment which is about $300m cell-therapy facility in the US (</w:t>
      </w:r>
      <w:proofErr w:type="spellStart"/>
      <w:r w:rsidRPr="008E1F80">
        <w:rPr>
          <w:sz w:val="24"/>
          <w:szCs w:val="24"/>
          <w:lang w:val="en-GB"/>
        </w:rPr>
        <w:t>astrazeneca</w:t>
      </w:r>
      <w:proofErr w:type="spellEnd"/>
      <w:r w:rsidRPr="008E1F80">
        <w:rPr>
          <w:sz w:val="24"/>
          <w:szCs w:val="24"/>
          <w:lang w:val="en-GB"/>
        </w:rPr>
        <w:t xml:space="preserve">, 2025b). This increases manufacturing and clinical-development capacity, whereas regional research-and-development centres and local regulatory interface reduce the development-to-market timeframes and enhance market access. Lastly, the diversified cash flows along with international finance and tax structuring are supportive in a strong credit profile and </w:t>
      </w:r>
      <w:r w:rsidRPr="008E1F80">
        <w:rPr>
          <w:sz w:val="24"/>
          <w:szCs w:val="24"/>
          <w:lang w:val="en-GB"/>
        </w:rPr>
        <w:lastRenderedPageBreak/>
        <w:t>sustained R&amp;D investment, which allows AstraZeneca to re-invest in pipeline programmes and also acquire companies that enhance global presence (</w:t>
      </w:r>
      <w:proofErr w:type="spellStart"/>
      <w:r w:rsidRPr="008E1F80">
        <w:rPr>
          <w:sz w:val="24"/>
          <w:szCs w:val="24"/>
          <w:lang w:val="en-GB"/>
        </w:rPr>
        <w:t>Elsakka</w:t>
      </w:r>
      <w:proofErr w:type="spellEnd"/>
      <w:r w:rsidRPr="008E1F80">
        <w:rPr>
          <w:sz w:val="24"/>
          <w:szCs w:val="24"/>
          <w:lang w:val="en-GB"/>
        </w:rPr>
        <w:t xml:space="preserve"> </w:t>
      </w:r>
      <w:r w:rsidRPr="008E1F80">
        <w:rPr>
          <w:i/>
          <w:iCs/>
          <w:sz w:val="24"/>
          <w:szCs w:val="24"/>
          <w:lang w:val="en-GB"/>
        </w:rPr>
        <w:t>et al.</w:t>
      </w:r>
      <w:r w:rsidRPr="008E1F80">
        <w:rPr>
          <w:sz w:val="24"/>
          <w:szCs w:val="24"/>
          <w:lang w:val="en-GB"/>
        </w:rPr>
        <w:t xml:space="preserve"> 2025). </w:t>
      </w:r>
    </w:p>
    <w:p w:rsidR="00824D7D" w:rsidRPr="008E1F80" w:rsidRDefault="00130925">
      <w:pPr>
        <w:spacing w:line="360" w:lineRule="auto"/>
        <w:jc w:val="both"/>
        <w:rPr>
          <w:sz w:val="24"/>
          <w:szCs w:val="24"/>
          <w:lang w:val="en-GB"/>
        </w:rPr>
      </w:pPr>
      <w:r w:rsidRPr="008E1F80">
        <w:rPr>
          <w:sz w:val="24"/>
          <w:szCs w:val="24"/>
          <w:lang w:val="en-GB"/>
        </w:rPr>
        <w:t>These advantages in interpretation (diversification of revenues, speedy commercialisation, economies of scale through alliances, location-specific capability development and strong financial capacity) work together to make AstraZeneca more innovative, resilient and capable of delivering its medicines to patients in the UK, US, India and Brazil than were possible in a firm trapped domestically.</w:t>
      </w:r>
    </w:p>
    <w:p w:rsidR="00824D7D" w:rsidRPr="008E1F80" w:rsidRDefault="00130925">
      <w:pPr>
        <w:spacing w:line="360" w:lineRule="auto"/>
        <w:jc w:val="center"/>
        <w:rPr>
          <w:sz w:val="24"/>
          <w:szCs w:val="24"/>
          <w:lang w:val="en-GB"/>
        </w:rPr>
      </w:pPr>
      <w:r w:rsidRPr="008E1F80">
        <w:rPr>
          <w:noProof/>
          <w:sz w:val="24"/>
          <w:szCs w:val="24"/>
          <w:lang w:val="en-GB"/>
        </w:rPr>
        <w:drawing>
          <wp:inline distT="114300" distB="114300" distL="114300" distR="114300" wp14:anchorId="27D55B59" wp14:editId="3F1E3BF3">
            <wp:extent cx="5943600" cy="154940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1549400"/>
                    </a:xfrm>
                    <a:prstGeom prst="rect">
                      <a:avLst/>
                    </a:prstGeom>
                    <a:ln w="12700">
                      <a:solidFill>
                        <a:srgbClr val="000000"/>
                      </a:solidFill>
                      <a:prstDash val="solid"/>
                    </a:ln>
                  </pic:spPr>
                </pic:pic>
              </a:graphicData>
            </a:graphic>
          </wp:inline>
        </w:drawing>
      </w:r>
    </w:p>
    <w:p w:rsidR="00824D7D" w:rsidRPr="008E1F80" w:rsidRDefault="00130925">
      <w:pPr>
        <w:spacing w:line="360" w:lineRule="auto"/>
        <w:jc w:val="center"/>
        <w:rPr>
          <w:b/>
          <w:bCs/>
          <w:sz w:val="24"/>
          <w:szCs w:val="24"/>
          <w:lang w:val="en-GB"/>
        </w:rPr>
      </w:pPr>
      <w:r w:rsidRPr="008E1F80">
        <w:rPr>
          <w:b/>
          <w:bCs/>
          <w:sz w:val="24"/>
          <w:szCs w:val="24"/>
          <w:lang w:val="en-GB"/>
        </w:rPr>
        <w:t>Figure 3: AstraZeneca Q3, 2025 financial projections</w:t>
      </w:r>
    </w:p>
    <w:p w:rsidR="00824D7D" w:rsidRPr="008E1F80" w:rsidRDefault="00130925">
      <w:pPr>
        <w:spacing w:line="360" w:lineRule="auto"/>
        <w:jc w:val="center"/>
        <w:rPr>
          <w:sz w:val="24"/>
          <w:szCs w:val="24"/>
          <w:lang w:val="en-GB"/>
        </w:rPr>
      </w:pPr>
      <w:r w:rsidRPr="008E1F80">
        <w:rPr>
          <w:sz w:val="24"/>
          <w:szCs w:val="24"/>
          <w:lang w:val="en-GB"/>
        </w:rPr>
        <w:t xml:space="preserve">(Source: </w:t>
      </w:r>
      <w:proofErr w:type="spellStart"/>
      <w:r w:rsidRPr="008E1F80">
        <w:rPr>
          <w:sz w:val="24"/>
          <w:szCs w:val="24"/>
          <w:lang w:val="en-GB"/>
        </w:rPr>
        <w:t>astrazeneca</w:t>
      </w:r>
      <w:proofErr w:type="spellEnd"/>
      <w:r w:rsidRPr="008E1F80">
        <w:rPr>
          <w:sz w:val="24"/>
          <w:szCs w:val="24"/>
          <w:lang w:val="en-GB"/>
        </w:rPr>
        <w:t>, 2025b)</w:t>
      </w:r>
    </w:p>
    <w:p w:rsidR="00824D7D" w:rsidRPr="008E1F80" w:rsidRDefault="00130925" w:rsidP="00917C98">
      <w:pPr>
        <w:pStyle w:val="Heading1"/>
        <w:rPr>
          <w:lang w:val="en-GB"/>
        </w:rPr>
      </w:pPr>
      <w:bookmarkStart w:id="3" w:name="_Toc213778823"/>
      <w:r w:rsidRPr="008E1F80">
        <w:rPr>
          <w:lang w:val="en-GB"/>
        </w:rPr>
        <w:t>3.    Critical analysis of OLI f</w:t>
      </w:r>
      <w:r w:rsidR="00BE052E">
        <w:rPr>
          <w:lang w:val="en-GB"/>
        </w:rPr>
        <w:t xml:space="preserve">actors (Ownership, Location and </w:t>
      </w:r>
      <w:r w:rsidRPr="008E1F80">
        <w:rPr>
          <w:lang w:val="en-GB"/>
        </w:rPr>
        <w:t>Internalisation) impacts on the international market entry mode</w:t>
      </w:r>
      <w:bookmarkEnd w:id="3"/>
      <w:r w:rsidRPr="008E1F80">
        <w:rPr>
          <w:lang w:val="en-GB"/>
        </w:rPr>
        <w:t xml:space="preserve"> </w:t>
      </w:r>
    </w:p>
    <w:p w:rsidR="00824D7D" w:rsidRPr="008E1F80" w:rsidRDefault="00130925">
      <w:pPr>
        <w:spacing w:line="360" w:lineRule="auto"/>
        <w:jc w:val="both"/>
        <w:rPr>
          <w:sz w:val="24"/>
          <w:szCs w:val="24"/>
          <w:lang w:val="en-GB"/>
        </w:rPr>
      </w:pPr>
      <w:r w:rsidRPr="008E1F80">
        <w:rPr>
          <w:sz w:val="24"/>
          <w:szCs w:val="24"/>
          <w:lang w:val="en-GB"/>
        </w:rPr>
        <w:t>The OLI framework has a profound effect on internationalisation of AstraZeneca in the developing markets and this fact explains why the company uses both direct subsidiary activities and strategic alliances and technology-lodging agreements. The central ownership benefits of the company are that it has a great intellectual property base, a robust research pipeline, brand name and developed clinical trials management (</w:t>
      </w:r>
      <w:proofErr w:type="spellStart"/>
      <w:r w:rsidRPr="008E1F80">
        <w:rPr>
          <w:sz w:val="24"/>
          <w:szCs w:val="24"/>
          <w:lang w:val="en-GB"/>
        </w:rPr>
        <w:t>astrazeneca</w:t>
      </w:r>
      <w:proofErr w:type="spellEnd"/>
      <w:r w:rsidRPr="008E1F80">
        <w:rPr>
          <w:sz w:val="24"/>
          <w:szCs w:val="24"/>
          <w:lang w:val="en-GB"/>
        </w:rPr>
        <w:t>, 2024c). In the case of the emerging market operations, however, market specific structural factors of a particular firm, including domestic production capabilities, regulation, market size and healthcare delivery systems influence the decision made by the company between full internalisation and collaborative entry. These dynamics are well illustrated in the comparison between India and Brazil.</w:t>
      </w:r>
    </w:p>
    <w:p w:rsidR="00824D7D" w:rsidRPr="008E1F80" w:rsidRDefault="00130925">
      <w:pPr>
        <w:spacing w:line="360" w:lineRule="auto"/>
        <w:jc w:val="center"/>
        <w:rPr>
          <w:sz w:val="24"/>
          <w:szCs w:val="24"/>
          <w:lang w:val="en-GB"/>
        </w:rPr>
      </w:pPr>
      <w:r w:rsidRPr="008E1F80">
        <w:rPr>
          <w:noProof/>
          <w:sz w:val="24"/>
          <w:szCs w:val="24"/>
          <w:lang w:val="en-GB"/>
        </w:rPr>
        <w:lastRenderedPageBreak/>
        <w:drawing>
          <wp:inline distT="114300" distB="114300" distL="114300" distR="114300" wp14:anchorId="55923E01" wp14:editId="6661A2AC">
            <wp:extent cx="5676900" cy="27336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676900" cy="2733675"/>
                    </a:xfrm>
                    <a:prstGeom prst="rect">
                      <a:avLst/>
                    </a:prstGeom>
                    <a:ln w="12700">
                      <a:solidFill>
                        <a:srgbClr val="000000"/>
                      </a:solidFill>
                      <a:prstDash val="solid"/>
                    </a:ln>
                  </pic:spPr>
                </pic:pic>
              </a:graphicData>
            </a:graphic>
          </wp:inline>
        </w:drawing>
      </w:r>
    </w:p>
    <w:p w:rsidR="00824D7D" w:rsidRPr="00BE052E" w:rsidRDefault="00130925" w:rsidP="00BE052E">
      <w:pPr>
        <w:spacing w:line="360" w:lineRule="auto"/>
        <w:jc w:val="center"/>
        <w:rPr>
          <w:b/>
          <w:bCs/>
          <w:sz w:val="24"/>
          <w:szCs w:val="24"/>
          <w:lang w:val="en-GB"/>
        </w:rPr>
      </w:pPr>
      <w:r w:rsidRPr="008E1F80">
        <w:rPr>
          <w:b/>
          <w:bCs/>
          <w:sz w:val="24"/>
          <w:szCs w:val="24"/>
          <w:lang w:val="en-GB"/>
        </w:rPr>
        <w:t xml:space="preserve">Figure 4: OLI framework </w:t>
      </w:r>
    </w:p>
    <w:p w:rsidR="00824D7D" w:rsidRPr="008E1F80" w:rsidRDefault="00130925">
      <w:pPr>
        <w:spacing w:line="360" w:lineRule="auto"/>
        <w:jc w:val="both"/>
        <w:rPr>
          <w:b/>
          <w:bCs/>
          <w:i/>
          <w:iCs/>
          <w:sz w:val="24"/>
          <w:szCs w:val="24"/>
          <w:lang w:val="en-GB"/>
        </w:rPr>
      </w:pPr>
      <w:r w:rsidRPr="008E1F80">
        <w:rPr>
          <w:b/>
          <w:bCs/>
          <w:i/>
          <w:iCs/>
          <w:sz w:val="24"/>
          <w:szCs w:val="24"/>
          <w:lang w:val="en-GB"/>
        </w:rPr>
        <w:t>OLI in India</w:t>
      </w:r>
    </w:p>
    <w:p w:rsidR="00824D7D" w:rsidRPr="008E1F80" w:rsidRDefault="00130925">
      <w:pPr>
        <w:spacing w:line="360" w:lineRule="auto"/>
        <w:jc w:val="both"/>
        <w:rPr>
          <w:sz w:val="24"/>
          <w:szCs w:val="24"/>
          <w:lang w:val="en-GB"/>
        </w:rPr>
      </w:pPr>
      <w:r w:rsidRPr="008E1F80">
        <w:rPr>
          <w:i/>
          <w:iCs/>
          <w:sz w:val="24"/>
          <w:szCs w:val="24"/>
          <w:lang w:val="en-GB"/>
        </w:rPr>
        <w:t>Ownership Advantages</w:t>
      </w:r>
      <w:r w:rsidRPr="008E1F80">
        <w:rPr>
          <w:sz w:val="24"/>
          <w:szCs w:val="24"/>
          <w:lang w:val="en-GB"/>
        </w:rPr>
        <w:t>: AstraZeneca has benefited from the firm ownership advantages in its entry strategy in India, which consists of patent-protected products in treating cancer, cardiovascular and respiratory diseases, and proprietary technology in vaccines and biologic technology. The company has had a long-established commercial subsidiary, AstraZeneca Pharma India Ltd., that enables the company to exert its control of registering the product, branding and professional medical involvement (AstraZeneca, 2025a).</w:t>
      </w:r>
    </w:p>
    <w:p w:rsidR="00824D7D" w:rsidRPr="008E1F80" w:rsidRDefault="00130925">
      <w:pPr>
        <w:spacing w:line="360" w:lineRule="auto"/>
        <w:jc w:val="both"/>
        <w:rPr>
          <w:sz w:val="24"/>
          <w:szCs w:val="24"/>
          <w:lang w:val="en-GB"/>
        </w:rPr>
      </w:pPr>
      <w:r w:rsidRPr="008E1F80">
        <w:rPr>
          <w:i/>
          <w:iCs/>
          <w:sz w:val="24"/>
          <w:szCs w:val="24"/>
          <w:lang w:val="en-GB"/>
        </w:rPr>
        <w:t>Location Benefits:</w:t>
      </w:r>
      <w:r w:rsidRPr="008E1F80">
        <w:rPr>
          <w:sz w:val="24"/>
          <w:szCs w:val="24"/>
          <w:lang w:val="en-GB"/>
        </w:rPr>
        <w:t xml:space="preserve"> India has a large location benefit due to the affordability of its pharmaceutical manufacturing environment based in the world. India is the largest vaccine manufacturer in the world and largest exporters of generics (pib.gov, 2023). This benefit became the focus in the COVID-19 pandemic when the Serum Institute of India had the ability to produce vaccines on a large scale and comparatively cheap. India has also a competent pool of skilled workforce in regulatory documentation, data analytics and digital trials which AstraZeneca takes advantage of its Global Capability Centre in Chennai.</w:t>
      </w:r>
    </w:p>
    <w:p w:rsidR="00824D7D" w:rsidRPr="008E1F80" w:rsidRDefault="00130925">
      <w:pPr>
        <w:spacing w:line="360" w:lineRule="auto"/>
        <w:jc w:val="both"/>
        <w:rPr>
          <w:sz w:val="24"/>
          <w:szCs w:val="24"/>
          <w:lang w:val="en-GB"/>
        </w:rPr>
      </w:pPr>
      <w:r w:rsidRPr="008E1F80">
        <w:rPr>
          <w:i/>
          <w:iCs/>
          <w:sz w:val="24"/>
          <w:szCs w:val="24"/>
          <w:lang w:val="en-GB"/>
        </w:rPr>
        <w:t>Internalisation Decisions:</w:t>
      </w:r>
      <w:r w:rsidRPr="008E1F80">
        <w:rPr>
          <w:sz w:val="24"/>
          <w:szCs w:val="24"/>
          <w:lang w:val="en-GB"/>
        </w:rPr>
        <w:t xml:space="preserve"> Although AstraZeneca retained the rights of ownership of the technology of the vaccine and clinical data, it did not go all the way to internalisation of production. Rather, the company contracted on manufacturing with Serum Institute of </w:t>
      </w:r>
      <w:r w:rsidRPr="008E1F80">
        <w:rPr>
          <w:sz w:val="24"/>
          <w:szCs w:val="24"/>
          <w:lang w:val="en-GB"/>
        </w:rPr>
        <w:lastRenderedPageBreak/>
        <w:t>India (commercialised domestically as Covishield) (ddnews.gov, 2024). This move enabled AstraZeneca to quickly increase production and distribution in a sensitive market in terms of price. Internalisation manufacturing would have been cumbersome, more capital intensive as well as less attuned to Indian procurement traditions. Therefore, AstraZeneca adopted a mixed entry mode as a direct subsidiary in control by regulation/commercial and transfer of licensing in production and distribution. This is an OLI trend that guarantees ownership security, but internalisation is selectively relaxed to take advantage of the cost and capacity advantages in India.</w:t>
      </w:r>
    </w:p>
    <w:p w:rsidR="00824D7D" w:rsidRPr="008E1F80" w:rsidRDefault="00130925">
      <w:pPr>
        <w:spacing w:line="360" w:lineRule="auto"/>
        <w:jc w:val="both"/>
        <w:rPr>
          <w:b/>
          <w:bCs/>
          <w:i/>
          <w:iCs/>
          <w:sz w:val="24"/>
          <w:szCs w:val="24"/>
          <w:lang w:val="en-GB"/>
        </w:rPr>
      </w:pPr>
      <w:r w:rsidRPr="008E1F80">
        <w:rPr>
          <w:b/>
          <w:bCs/>
          <w:i/>
          <w:iCs/>
          <w:sz w:val="24"/>
          <w:szCs w:val="24"/>
          <w:lang w:val="en-GB"/>
        </w:rPr>
        <w:t>OLI in Brazil</w:t>
      </w:r>
    </w:p>
    <w:p w:rsidR="00824D7D" w:rsidRPr="008E1F80" w:rsidRDefault="00130925">
      <w:pPr>
        <w:spacing w:line="360" w:lineRule="auto"/>
        <w:jc w:val="both"/>
        <w:rPr>
          <w:sz w:val="24"/>
          <w:szCs w:val="24"/>
          <w:lang w:val="en-GB"/>
        </w:rPr>
      </w:pPr>
      <w:r w:rsidRPr="008E1F80">
        <w:rPr>
          <w:i/>
          <w:iCs/>
          <w:sz w:val="24"/>
          <w:szCs w:val="24"/>
          <w:lang w:val="en-GB"/>
        </w:rPr>
        <w:t>Ownership Benefits:</w:t>
      </w:r>
      <w:r w:rsidRPr="008E1F80">
        <w:rPr>
          <w:sz w:val="24"/>
          <w:szCs w:val="24"/>
          <w:lang w:val="en-GB"/>
        </w:rPr>
        <w:t xml:space="preserve"> AstraZeneca has its fundamental ownership benefits in Brazil in its patented drug portfolio and its global research and development resources. Nevertheless, the healthcare sector in Brazil in contrast to India is led by the state sector and is based on the procurement of the state sector which results in the necessity of companies to collaborate closely with the state institutions to provide extensive patient access (AstraZeneca, 2023). AstraZeneca thus has an affiliate in the country in charge of authorization to the market, clinical trials and government interaction.</w:t>
      </w:r>
    </w:p>
    <w:p w:rsidR="00824D7D" w:rsidRPr="008E1F80" w:rsidRDefault="00130925">
      <w:pPr>
        <w:spacing w:line="360" w:lineRule="auto"/>
        <w:jc w:val="both"/>
        <w:rPr>
          <w:sz w:val="24"/>
          <w:szCs w:val="24"/>
          <w:lang w:val="en-GB"/>
        </w:rPr>
      </w:pPr>
      <w:r w:rsidRPr="008E1F80">
        <w:rPr>
          <w:i/>
          <w:iCs/>
          <w:sz w:val="24"/>
          <w:szCs w:val="24"/>
          <w:lang w:val="en-GB"/>
        </w:rPr>
        <w:t>Location Advantages:</w:t>
      </w:r>
      <w:r w:rsidRPr="008E1F80">
        <w:rPr>
          <w:sz w:val="24"/>
          <w:szCs w:val="24"/>
          <w:lang w:val="en-GB"/>
        </w:rPr>
        <w:t xml:space="preserve"> Brazil has a large domestic market size and the presence of a public healthcare infrastructure (SUS) which is its location advantage. Nevertheless, historically, the domestic production of pharmaceuticals is limited in scale and technology, which is why Brazil is currently encouraging technology </w:t>
      </w:r>
      <w:proofErr w:type="spellStart"/>
      <w:r w:rsidRPr="008E1F80">
        <w:rPr>
          <w:sz w:val="24"/>
          <w:szCs w:val="24"/>
          <w:lang w:val="en-GB"/>
        </w:rPr>
        <w:t>transferration</w:t>
      </w:r>
      <w:proofErr w:type="spellEnd"/>
      <w:r w:rsidRPr="008E1F80">
        <w:rPr>
          <w:sz w:val="24"/>
          <w:szCs w:val="24"/>
          <w:lang w:val="en-GB"/>
        </w:rPr>
        <w:t xml:space="preserve"> to develop its capacity domestically (trade.gov, 2022). When AstraZeneca vaccine was developing, Brazil entered into a high-profile technology-transfer deal with </w:t>
      </w:r>
      <w:proofErr w:type="spellStart"/>
      <w:r w:rsidRPr="008E1F80">
        <w:rPr>
          <w:sz w:val="24"/>
          <w:szCs w:val="24"/>
          <w:lang w:val="en-GB"/>
        </w:rPr>
        <w:t>Fiocruz</w:t>
      </w:r>
      <w:proofErr w:type="spellEnd"/>
      <w:r w:rsidRPr="008E1F80">
        <w:rPr>
          <w:sz w:val="24"/>
          <w:szCs w:val="24"/>
          <w:lang w:val="en-GB"/>
        </w:rPr>
        <w:t xml:space="preserve"> (</w:t>
      </w:r>
      <w:proofErr w:type="spellStart"/>
      <w:r w:rsidRPr="008E1F80">
        <w:rPr>
          <w:sz w:val="24"/>
          <w:szCs w:val="24"/>
          <w:lang w:val="en-GB"/>
        </w:rPr>
        <w:t>Fundação</w:t>
      </w:r>
      <w:proofErr w:type="spellEnd"/>
      <w:r w:rsidRPr="008E1F80">
        <w:rPr>
          <w:sz w:val="24"/>
          <w:szCs w:val="24"/>
          <w:lang w:val="en-GB"/>
        </w:rPr>
        <w:t xml:space="preserve"> Oswaldo Cruz), allowing them to produce the vaccine locally and complete subsequent stages of the formulation, finishing, and subsequent full production. This enhanced the sovereignty of local supply which is one of the fundamental priorities of the Brazilian government.</w:t>
      </w:r>
    </w:p>
    <w:p w:rsidR="00824D7D" w:rsidRPr="008E1F80" w:rsidRDefault="00130925">
      <w:pPr>
        <w:spacing w:line="360" w:lineRule="auto"/>
        <w:jc w:val="both"/>
        <w:rPr>
          <w:sz w:val="24"/>
          <w:szCs w:val="24"/>
          <w:lang w:val="en-GB"/>
        </w:rPr>
      </w:pPr>
      <w:r w:rsidRPr="008E1F80">
        <w:rPr>
          <w:i/>
          <w:iCs/>
          <w:sz w:val="24"/>
          <w:szCs w:val="24"/>
          <w:lang w:val="en-GB"/>
        </w:rPr>
        <w:t>Internalisation Decisions:</w:t>
      </w:r>
      <w:r w:rsidRPr="008E1F80">
        <w:rPr>
          <w:sz w:val="24"/>
          <w:szCs w:val="24"/>
          <w:lang w:val="en-GB"/>
        </w:rPr>
        <w:t xml:space="preserve"> AstraZeneca failed to internalise manufacturing in Brazil even though it has the advantage of ownership. The company opted instead to adopt an arrangement of partnership and transfer of technology that was in line with the state. This minimized political and regulatory risk, guaranteed government backing to </w:t>
      </w:r>
      <w:r w:rsidRPr="008E1F80">
        <w:rPr>
          <w:sz w:val="24"/>
          <w:szCs w:val="24"/>
          <w:lang w:val="en-GB"/>
        </w:rPr>
        <w:lastRenderedPageBreak/>
        <w:t xml:space="preserve">procurement and maximized national legitimacy. Direct internalisation would have most probably been hampered by bureaucratic, financial and political obstacles </w:t>
      </w:r>
      <w:r w:rsidR="00BE052E">
        <w:rPr>
          <w:sz w:val="24"/>
          <w:szCs w:val="24"/>
          <w:lang w:val="en-GB"/>
        </w:rPr>
        <w:t xml:space="preserve">for the country </w:t>
      </w:r>
      <w:r w:rsidRPr="008E1F80">
        <w:rPr>
          <w:sz w:val="24"/>
          <w:szCs w:val="24"/>
          <w:lang w:val="en-GB"/>
        </w:rPr>
        <w:t>(Huang, Xie and Xu, 2024). Therefore, Brazil illustrates a case where internalisation advantage on the part of AstraZeneca is not as desirable and alliance is the most strategic. The entry mode has thus portrayed an institution-based collaborative model, which is motivated by location-specific conditions of policies.</w:t>
      </w:r>
    </w:p>
    <w:p w:rsidR="00824D7D" w:rsidRPr="008E1F80" w:rsidRDefault="00130925">
      <w:pPr>
        <w:spacing w:line="360" w:lineRule="auto"/>
        <w:jc w:val="both"/>
        <w:rPr>
          <w:sz w:val="24"/>
          <w:szCs w:val="24"/>
          <w:lang w:val="en-GB"/>
        </w:rPr>
      </w:pPr>
      <w:r w:rsidRPr="008E1F80">
        <w:rPr>
          <w:sz w:val="24"/>
          <w:szCs w:val="24"/>
          <w:lang w:val="en-GB"/>
        </w:rPr>
        <w:t>The analogy between India and Brazil illustrates that OLI factors are responsible for generating differentiated yet strategically consistent entry modes. AstraZeneca in both nations is safeguarding ownership benefits (patents, branding, clinical protocols). Nevertheless, the decision to de-internalise production and depend on local partners is influenced by location benefits, i.e. manufacturing scale in India and institutional capacity of public health in Brazil. This leads to a two-pronged approach for AstraZeneca in which it aims to retain strategic control where value is the most important (science, regulatory and brand). Along with this, moves or shares operational activities where local conditions are more effective through partnership. This establishes the fact that internationalisation of AstraZeneca is not universal, it is a process that is adapted in a systematic manner to the business environments of developing countries' markets, in terms of economy, industry and policy.</w:t>
      </w:r>
    </w:p>
    <w:p w:rsidR="00824D7D" w:rsidRPr="008E1F80" w:rsidRDefault="00130925" w:rsidP="00917C98">
      <w:pPr>
        <w:pStyle w:val="Heading1"/>
        <w:rPr>
          <w:lang w:val="en-GB"/>
        </w:rPr>
      </w:pPr>
      <w:bookmarkStart w:id="4" w:name="_Toc213778824"/>
      <w:r w:rsidRPr="008E1F80">
        <w:rPr>
          <w:lang w:val="en-GB"/>
        </w:rPr>
        <w:lastRenderedPageBreak/>
        <w:t>4.    Critical evaluation of cultural differences between the UK and emerging economies Brazil, India and impact upon market entry strategy and its potential for success in that market</w:t>
      </w:r>
      <w:bookmarkEnd w:id="4"/>
      <w:r w:rsidRPr="008E1F80">
        <w:rPr>
          <w:lang w:val="en-GB"/>
        </w:rPr>
        <w:t xml:space="preserve"> </w:t>
      </w:r>
    </w:p>
    <w:p w:rsidR="00824D7D" w:rsidRPr="008E1F80" w:rsidRDefault="00130925">
      <w:pPr>
        <w:spacing w:line="360" w:lineRule="auto"/>
        <w:jc w:val="center"/>
        <w:rPr>
          <w:sz w:val="24"/>
          <w:szCs w:val="24"/>
          <w:lang w:val="en-GB"/>
        </w:rPr>
      </w:pPr>
      <w:r w:rsidRPr="008E1F80">
        <w:rPr>
          <w:noProof/>
          <w:sz w:val="24"/>
          <w:szCs w:val="24"/>
          <w:lang w:val="en-GB"/>
        </w:rPr>
        <w:drawing>
          <wp:inline distT="114300" distB="114300" distL="114300" distR="114300" wp14:anchorId="3CA89D74" wp14:editId="2BAD303A">
            <wp:extent cx="5943600" cy="31623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162300"/>
                    </a:xfrm>
                    <a:prstGeom prst="rect">
                      <a:avLst/>
                    </a:prstGeom>
                    <a:ln w="12700">
                      <a:solidFill>
                        <a:srgbClr val="000000"/>
                      </a:solidFill>
                      <a:prstDash val="solid"/>
                    </a:ln>
                  </pic:spPr>
                </pic:pic>
              </a:graphicData>
            </a:graphic>
          </wp:inline>
        </w:drawing>
      </w:r>
    </w:p>
    <w:p w:rsidR="00824D7D" w:rsidRPr="008E1F80" w:rsidRDefault="00130925">
      <w:pPr>
        <w:spacing w:line="360" w:lineRule="auto"/>
        <w:jc w:val="center"/>
        <w:rPr>
          <w:b/>
          <w:bCs/>
          <w:sz w:val="24"/>
          <w:szCs w:val="24"/>
          <w:lang w:val="en-GB"/>
        </w:rPr>
      </w:pPr>
      <w:r w:rsidRPr="008E1F80">
        <w:rPr>
          <w:b/>
          <w:bCs/>
          <w:sz w:val="24"/>
          <w:szCs w:val="24"/>
          <w:lang w:val="en-GB"/>
        </w:rPr>
        <w:t>Figure 5: Hofstede country comparison tool</w:t>
      </w:r>
    </w:p>
    <w:p w:rsidR="00824D7D" w:rsidRPr="008E1F80" w:rsidRDefault="00130925">
      <w:pPr>
        <w:spacing w:line="360" w:lineRule="auto"/>
        <w:jc w:val="both"/>
        <w:rPr>
          <w:b/>
          <w:bCs/>
          <w:i/>
          <w:iCs/>
          <w:sz w:val="24"/>
          <w:szCs w:val="24"/>
          <w:lang w:val="en-GB"/>
        </w:rPr>
      </w:pPr>
      <w:r w:rsidRPr="008E1F80">
        <w:rPr>
          <w:b/>
          <w:bCs/>
          <w:i/>
          <w:iCs/>
          <w:sz w:val="24"/>
          <w:szCs w:val="24"/>
          <w:lang w:val="en-GB"/>
        </w:rPr>
        <w:t>India</w:t>
      </w:r>
    </w:p>
    <w:p w:rsidR="00824D7D" w:rsidRPr="008E1F80" w:rsidRDefault="00130925">
      <w:pPr>
        <w:spacing w:line="360" w:lineRule="auto"/>
        <w:jc w:val="both"/>
        <w:rPr>
          <w:sz w:val="24"/>
          <w:szCs w:val="24"/>
          <w:lang w:val="en-GB"/>
        </w:rPr>
      </w:pPr>
      <w:r w:rsidRPr="008E1F80">
        <w:rPr>
          <w:sz w:val="24"/>
          <w:szCs w:val="24"/>
          <w:lang w:val="en-GB"/>
        </w:rPr>
        <w:t>AstraZeneca needs to work around significant cultural disparities between its home base in the UK and India that will affect its market-entry strategy and possible success when entering the Indian market. India is a collectivist-oriented country that focuses on relationships and community, high power distance based on tolerance toward hierarchy. High and indirect communication-focused state that opposed the individualist lower-power-distance more direct-based communication style of the UK (Lin and Lou, 2024). Practically, it implies that such an approach of AstraZeneca as the deployment of global business services and R&amp;D hubs in Bengaluru where AstraZeneca has already invested ₹166 crores to grow its operation and build approximately 400 jobs, proves to be an acknowledgment of the significance of local talent and ecosystem (</w:t>
      </w:r>
      <w:proofErr w:type="spellStart"/>
      <w:r w:rsidRPr="008E1F80">
        <w:rPr>
          <w:sz w:val="24"/>
          <w:szCs w:val="24"/>
          <w:lang w:val="en-GB"/>
        </w:rPr>
        <w:t>economictimes.indiatimes</w:t>
      </w:r>
      <w:proofErr w:type="spellEnd"/>
      <w:r w:rsidRPr="008E1F80">
        <w:rPr>
          <w:sz w:val="24"/>
          <w:szCs w:val="24"/>
          <w:lang w:val="en-GB"/>
        </w:rPr>
        <w:t xml:space="preserve">, 2025). Nevertheless, the decision to leave manufacturing in its Indian plant (announced in 2023-24) is an indicator of a strategic change within the company, which could be associated with ideas of cost and cultural-organisation. </w:t>
      </w:r>
    </w:p>
    <w:p w:rsidR="00824D7D" w:rsidRPr="008E1F80" w:rsidRDefault="00130925">
      <w:pPr>
        <w:spacing w:line="360" w:lineRule="auto"/>
        <w:jc w:val="both"/>
        <w:rPr>
          <w:sz w:val="24"/>
          <w:szCs w:val="24"/>
          <w:lang w:val="en-GB"/>
        </w:rPr>
      </w:pPr>
      <w:r w:rsidRPr="008E1F80">
        <w:rPr>
          <w:sz w:val="24"/>
          <w:szCs w:val="24"/>
          <w:lang w:val="en-GB"/>
        </w:rPr>
        <w:lastRenderedPageBreak/>
        <w:t xml:space="preserve">In the view of market entry, the consideration of developing long-term relationships with healthcare professionals, government officials, and local partners is more critical in India than in the UK. Indian decision making is a typical example, </w:t>
      </w:r>
      <w:r w:rsidR="00917C98">
        <w:rPr>
          <w:sz w:val="24"/>
          <w:szCs w:val="24"/>
          <w:lang w:val="en-GB"/>
        </w:rPr>
        <w:t xml:space="preserve"> </w:t>
      </w:r>
      <w:r w:rsidRPr="008E1F80">
        <w:rPr>
          <w:sz w:val="24"/>
          <w:szCs w:val="24"/>
          <w:lang w:val="en-GB"/>
        </w:rPr>
        <w:t xml:space="preserve">where consultation is encouraged at the various levels of hierarchy and relationship on an established basis of </w:t>
      </w:r>
      <w:proofErr w:type="spellStart"/>
      <w:r w:rsidRPr="008E1F80">
        <w:rPr>
          <w:sz w:val="24"/>
          <w:szCs w:val="24"/>
          <w:lang w:val="en-GB"/>
        </w:rPr>
        <w:t>trust.The</w:t>
      </w:r>
      <w:proofErr w:type="spellEnd"/>
      <w:r w:rsidRPr="008E1F80">
        <w:rPr>
          <w:sz w:val="24"/>
          <w:szCs w:val="24"/>
          <w:lang w:val="en-GB"/>
        </w:rPr>
        <w:t xml:space="preserve"> adaptation of AstraZeneca is supported by localisation of the commercial activity, existence of global business services and site-leadership with a considerable amount of local experience where a site of Bengaluru has led more than 27 years Indian operations experience (</w:t>
      </w:r>
      <w:proofErr w:type="spellStart"/>
      <w:r w:rsidRPr="008E1F80">
        <w:rPr>
          <w:sz w:val="24"/>
          <w:szCs w:val="24"/>
          <w:lang w:val="en-GB"/>
        </w:rPr>
        <w:t>astrazeneca</w:t>
      </w:r>
      <w:proofErr w:type="spellEnd"/>
      <w:r w:rsidRPr="008E1F80">
        <w:rPr>
          <w:sz w:val="24"/>
          <w:szCs w:val="24"/>
          <w:lang w:val="en-GB"/>
        </w:rPr>
        <w:t>, 2025a).</w:t>
      </w:r>
    </w:p>
    <w:p w:rsidR="00824D7D" w:rsidRPr="008E1F80" w:rsidRDefault="00130925">
      <w:pPr>
        <w:spacing w:line="360" w:lineRule="auto"/>
        <w:jc w:val="both"/>
        <w:rPr>
          <w:sz w:val="24"/>
          <w:szCs w:val="24"/>
          <w:lang w:val="en-GB"/>
        </w:rPr>
      </w:pPr>
      <w:r w:rsidRPr="008E1F80">
        <w:rPr>
          <w:sz w:val="24"/>
          <w:szCs w:val="24"/>
          <w:lang w:val="en-GB"/>
        </w:rPr>
        <w:t>AstraZeneca should focus on partnership, local leadership, customized messages which would be not as direct as in the UK however, institutional legitimacy as the entry strategy in India. Lack of adaptation would reduce its innovative medicines adoption or localisation of services. The company has a higher potential to succeed in the market as it aligns its strategy with the culture of Indians.</w:t>
      </w:r>
    </w:p>
    <w:p w:rsidR="00824D7D" w:rsidRPr="008E1F80" w:rsidRDefault="00130925">
      <w:pPr>
        <w:spacing w:line="360" w:lineRule="auto"/>
        <w:jc w:val="both"/>
        <w:rPr>
          <w:sz w:val="24"/>
          <w:szCs w:val="24"/>
          <w:lang w:val="en-GB"/>
        </w:rPr>
      </w:pPr>
      <w:r w:rsidRPr="008E1F80">
        <w:rPr>
          <w:sz w:val="24"/>
          <w:szCs w:val="24"/>
          <w:highlight w:val="white"/>
          <w:lang w:val="en-GB"/>
        </w:rPr>
        <w:t>cultural traits of high power distance, collectivism and relational decision-making influence the way AstraZeneca should position its entry strategy and operational orientation in the market.</w:t>
      </w:r>
      <w:r w:rsidRPr="008E1F80">
        <w:rPr>
          <w:sz w:val="24"/>
          <w:szCs w:val="24"/>
          <w:lang w:val="en-GB"/>
        </w:rPr>
        <w:t xml:space="preserve"> The Indian organisational structures are based on hierarchy and trust networks rather than the low power distances and individualistic business environment common in the UK. It implies that the multi-level agreement and building of a long-term relationship might be necessary to make strategic decisions in hospitals, government health organizations, and procurement agencies and not direct negotiations (Kumar, 2023). The fact that AstraZeneca has invested in Bengaluru Global Business Services and R&amp;D hub shows that it understands the necessity of integrating itself into the local knowledge and talent network instead of being connected over long distances. Nevertheless, the withdrawal of recent periods in the local manufacturing process implies the tensions between the global rationalisation of costs and the cultural importance of the local presence. AstraZeneca needs to remain robust in terms of local leadership representation, jointly create scientific and educational programmes with clinicians, and have systematic dialogue with the regulators and state health authorities to thrive. By doing this, it builds trust in the institutions and helps the market to be sustainable.</w:t>
      </w:r>
    </w:p>
    <w:p w:rsidR="00824D7D" w:rsidRPr="008E1F80" w:rsidRDefault="00130925">
      <w:pPr>
        <w:spacing w:line="360" w:lineRule="auto"/>
        <w:jc w:val="both"/>
        <w:rPr>
          <w:b/>
          <w:bCs/>
          <w:i/>
          <w:iCs/>
          <w:sz w:val="24"/>
          <w:szCs w:val="24"/>
          <w:lang w:val="en-GB"/>
        </w:rPr>
      </w:pPr>
      <w:r w:rsidRPr="008E1F80">
        <w:rPr>
          <w:b/>
          <w:bCs/>
          <w:i/>
          <w:iCs/>
          <w:sz w:val="24"/>
          <w:szCs w:val="24"/>
          <w:lang w:val="en-GB"/>
        </w:rPr>
        <w:t>Brazil</w:t>
      </w:r>
    </w:p>
    <w:p w:rsidR="00824D7D" w:rsidRPr="008E1F80" w:rsidRDefault="00130925">
      <w:pPr>
        <w:spacing w:line="360" w:lineRule="auto"/>
        <w:jc w:val="both"/>
        <w:rPr>
          <w:sz w:val="24"/>
          <w:szCs w:val="24"/>
          <w:lang w:val="en-GB"/>
        </w:rPr>
      </w:pPr>
      <w:r w:rsidRPr="008E1F80">
        <w:rPr>
          <w:sz w:val="24"/>
          <w:szCs w:val="24"/>
          <w:lang w:val="en-GB"/>
        </w:rPr>
        <w:lastRenderedPageBreak/>
        <w:t>AstraZeneca entry is subject to cultural differences between UK and Brazil that may impact the strategy and success. Brazil has a greater score on uncertainty avoidance and power distance than the UK, and focuses on high interpersonal relationships, indirect communication and more flexible accounting of time and planning. This is indicated by the fact that AstraZeneca has a presence in Brazil in its commercial market. The manufacturing and distribution unit in Cotia, Sao Paulo spans an area of about 60000 m 2 and caters to an estimated 3.5 million patients in Brazil (</w:t>
      </w:r>
      <w:proofErr w:type="spellStart"/>
      <w:r w:rsidRPr="008E1F80">
        <w:rPr>
          <w:sz w:val="24"/>
          <w:szCs w:val="24"/>
          <w:lang w:val="en-GB"/>
        </w:rPr>
        <w:t>careers.astrazeneca</w:t>
      </w:r>
      <w:proofErr w:type="spellEnd"/>
      <w:r w:rsidRPr="008E1F80">
        <w:rPr>
          <w:sz w:val="24"/>
          <w:szCs w:val="24"/>
          <w:lang w:val="en-GB"/>
        </w:rPr>
        <w:t xml:space="preserve">, 2025). AstraZeneca Brazil understands the significance of local adaptation and points out such aspects as collaborative and friendly environment and inclusion and diversity programs that comply with Brazilian culture of focus on personal relations and communities. The pharmaceutical market in Brazil is vast and </w:t>
      </w:r>
      <w:r w:rsidR="00917C98" w:rsidRPr="008E1F80">
        <w:rPr>
          <w:sz w:val="24"/>
          <w:szCs w:val="24"/>
          <w:lang w:val="en-GB"/>
        </w:rPr>
        <w:t>expanding, this is the sixth largest market in the world,</w:t>
      </w:r>
      <w:r w:rsidRPr="008E1F80">
        <w:rPr>
          <w:sz w:val="24"/>
          <w:szCs w:val="24"/>
          <w:lang w:val="en-GB"/>
        </w:rPr>
        <w:t xml:space="preserve"> and the demand is on biologics and innovation. </w:t>
      </w:r>
    </w:p>
    <w:p w:rsidR="00824D7D" w:rsidRPr="008E1F80" w:rsidRDefault="00130925">
      <w:pPr>
        <w:spacing w:line="360" w:lineRule="auto"/>
        <w:jc w:val="both"/>
        <w:rPr>
          <w:sz w:val="24"/>
          <w:szCs w:val="24"/>
          <w:lang w:val="en-GB"/>
        </w:rPr>
      </w:pPr>
      <w:r w:rsidRPr="008E1F80">
        <w:rPr>
          <w:sz w:val="24"/>
          <w:szCs w:val="24"/>
          <w:lang w:val="en-GB"/>
        </w:rPr>
        <w:t xml:space="preserve">In the case of AstraZeneca, it implies that it is critical to build a powerful local </w:t>
      </w:r>
      <w:r w:rsidR="00917C98" w:rsidRPr="008E1F80">
        <w:rPr>
          <w:sz w:val="24"/>
          <w:szCs w:val="24"/>
          <w:lang w:val="en-GB"/>
        </w:rPr>
        <w:t>brand, collaborate with stakeholders in the healthcare system,</w:t>
      </w:r>
      <w:r w:rsidRPr="008E1F80">
        <w:rPr>
          <w:sz w:val="24"/>
          <w:szCs w:val="24"/>
          <w:lang w:val="en-GB"/>
        </w:rPr>
        <w:t xml:space="preserve"> and negotiate regulatory relations. </w:t>
      </w:r>
      <w:r w:rsidR="00917C98" w:rsidRPr="008E1F80">
        <w:rPr>
          <w:sz w:val="24"/>
          <w:szCs w:val="24"/>
          <w:lang w:val="en-GB"/>
        </w:rPr>
        <w:t>Close hierarchies and personal networks dominate the decision-making in Brazil</w:t>
      </w:r>
      <w:r w:rsidRPr="008E1F80">
        <w:rPr>
          <w:sz w:val="24"/>
          <w:szCs w:val="24"/>
          <w:lang w:val="en-GB"/>
        </w:rPr>
        <w:t>, so that AstraZeneca needs to invest in the local leadership, change communication and show its interest in the Brazilian healthcare ecosystem and not just apply the standard operating models of the UK market (</w:t>
      </w:r>
      <w:proofErr w:type="spellStart"/>
      <w:r w:rsidRPr="008E1F80">
        <w:rPr>
          <w:sz w:val="24"/>
          <w:szCs w:val="24"/>
          <w:lang w:val="en-GB"/>
        </w:rPr>
        <w:t>oecd</w:t>
      </w:r>
      <w:proofErr w:type="spellEnd"/>
      <w:r w:rsidRPr="008E1F80">
        <w:rPr>
          <w:sz w:val="24"/>
          <w:szCs w:val="24"/>
          <w:lang w:val="en-GB"/>
        </w:rPr>
        <w:t>, 2021).</w:t>
      </w:r>
    </w:p>
    <w:p w:rsidR="00824D7D" w:rsidRPr="008E1F80" w:rsidRDefault="00130925">
      <w:pPr>
        <w:spacing w:line="360" w:lineRule="auto"/>
        <w:jc w:val="both"/>
        <w:rPr>
          <w:sz w:val="24"/>
          <w:szCs w:val="24"/>
          <w:lang w:val="en-GB"/>
        </w:rPr>
      </w:pPr>
      <w:r w:rsidRPr="008E1F80">
        <w:rPr>
          <w:sz w:val="24"/>
          <w:szCs w:val="24"/>
          <w:lang w:val="en-GB"/>
        </w:rPr>
        <w:t>The Brazilian cultural differences are to make AstraZeneca use such a strategy that covers the focus of local embeddedness by investing in local manufacturing, developing long-term relationships and communicating with stakeholders on a localised basis. Failure to match Brazilian cultural situations, including underestimating personal relationship networks or using inflexible UK-style bureaucracy would be counterproductive to its market entry and performance. The company can increase its chances of successful market penetration and continued success by adopting the culture of Brazil, which relies on relationships, structural hierarchy, and network relationships.</w:t>
      </w:r>
    </w:p>
    <w:p w:rsidR="00824D7D" w:rsidRPr="008E1F80" w:rsidRDefault="00130925">
      <w:pPr>
        <w:spacing w:line="360" w:lineRule="auto"/>
        <w:jc w:val="both"/>
        <w:rPr>
          <w:b/>
          <w:bCs/>
          <w:i/>
          <w:iCs/>
          <w:sz w:val="24"/>
          <w:szCs w:val="24"/>
          <w:lang w:val="en-GB"/>
        </w:rPr>
      </w:pPr>
      <w:r w:rsidRPr="008E1F80">
        <w:rPr>
          <w:b/>
          <w:bCs/>
          <w:i/>
          <w:iCs/>
          <w:sz w:val="24"/>
          <w:szCs w:val="24"/>
          <w:lang w:val="en-GB"/>
        </w:rPr>
        <w:t>Critical comparison and analysis between the two scenario</w:t>
      </w:r>
    </w:p>
    <w:p w:rsidR="00824D7D" w:rsidRPr="008E1F80" w:rsidRDefault="00130925">
      <w:pPr>
        <w:spacing w:line="360" w:lineRule="auto"/>
        <w:jc w:val="both"/>
        <w:rPr>
          <w:sz w:val="24"/>
          <w:szCs w:val="24"/>
          <w:lang w:val="en-GB"/>
        </w:rPr>
      </w:pPr>
      <w:r w:rsidRPr="008E1F80">
        <w:rPr>
          <w:sz w:val="24"/>
          <w:szCs w:val="24"/>
          <w:lang w:val="en-GB"/>
        </w:rPr>
        <w:t xml:space="preserve">The cultural differences between the UK base of AstraZeneca and the target countries in both India and Brazil play a major role in not only the type of market entry strategy </w:t>
      </w:r>
      <w:r w:rsidRPr="008E1F80">
        <w:rPr>
          <w:sz w:val="24"/>
          <w:szCs w:val="24"/>
          <w:lang w:val="en-GB"/>
        </w:rPr>
        <w:lastRenderedPageBreak/>
        <w:t>used, but also the opportunity of success. The relationship based, hierarchical, collectivist culture in India requires localisation of leadership and the existence of strong institutional relationships whereas, the high power distance culture in Brazil necessitates investment in local manufacturing, community orientation, stakeholder involvement, and adaptive communication. The obvious investments of AstraZeneca (in Bengaluru in India; in Cotia in Brazil) indicate that the company is adapting to these cultures. Effective entry will be less reliant on wholesale UK model transplanting, and more through execution of strategies that are culturally attuned.</w:t>
      </w:r>
    </w:p>
    <w:p w:rsidR="00824D7D" w:rsidRPr="008E1F80" w:rsidRDefault="00130925" w:rsidP="00917C98">
      <w:pPr>
        <w:pStyle w:val="Heading1"/>
        <w:rPr>
          <w:lang w:val="en-GB"/>
        </w:rPr>
      </w:pPr>
      <w:bookmarkStart w:id="5" w:name="_Toc213778825"/>
      <w:r w:rsidRPr="008E1F80">
        <w:rPr>
          <w:lang w:val="en-GB"/>
        </w:rPr>
        <w:t>5.    Critical recommendation of the three major adjustments of AstraZeneca as per their Standard Operating Procedures (SOPs) to ensure success in India and Brazil</w:t>
      </w:r>
      <w:bookmarkEnd w:id="5"/>
      <w:r w:rsidRPr="008E1F80">
        <w:rPr>
          <w:lang w:val="en-GB"/>
        </w:rPr>
        <w:t xml:space="preserve"> </w:t>
      </w:r>
    </w:p>
    <w:p w:rsidR="00824D7D" w:rsidRPr="008E1F80" w:rsidRDefault="00130925">
      <w:pPr>
        <w:spacing w:line="360" w:lineRule="auto"/>
        <w:jc w:val="both"/>
        <w:rPr>
          <w:b/>
          <w:bCs/>
          <w:i/>
          <w:iCs/>
          <w:sz w:val="24"/>
          <w:szCs w:val="24"/>
          <w:lang w:val="en-GB"/>
        </w:rPr>
      </w:pPr>
      <w:r w:rsidRPr="008E1F80">
        <w:rPr>
          <w:b/>
          <w:bCs/>
          <w:i/>
          <w:iCs/>
          <w:sz w:val="24"/>
          <w:szCs w:val="24"/>
          <w:lang w:val="en-GB"/>
        </w:rPr>
        <w:t>Indian context</w:t>
      </w:r>
    </w:p>
    <w:p w:rsidR="00824D7D" w:rsidRPr="008E1F80" w:rsidRDefault="00130925">
      <w:pPr>
        <w:spacing w:line="360" w:lineRule="auto"/>
        <w:jc w:val="both"/>
        <w:rPr>
          <w:i/>
          <w:iCs/>
          <w:sz w:val="24"/>
          <w:szCs w:val="24"/>
          <w:lang w:val="en-GB"/>
        </w:rPr>
      </w:pPr>
      <w:r w:rsidRPr="008E1F80">
        <w:rPr>
          <w:i/>
          <w:iCs/>
          <w:sz w:val="24"/>
          <w:szCs w:val="24"/>
          <w:lang w:val="en-GB"/>
        </w:rPr>
        <w:t>1. Localised stakeholder-engagement/ regulatory liaison SOPs</w:t>
      </w:r>
    </w:p>
    <w:p w:rsidR="00824D7D" w:rsidRPr="008E1F80" w:rsidRDefault="00130925">
      <w:pPr>
        <w:spacing w:line="360" w:lineRule="auto"/>
        <w:jc w:val="both"/>
        <w:rPr>
          <w:sz w:val="24"/>
          <w:szCs w:val="24"/>
          <w:lang w:val="en-GB"/>
        </w:rPr>
      </w:pPr>
      <w:r w:rsidRPr="008E1F80">
        <w:rPr>
          <w:sz w:val="24"/>
          <w:szCs w:val="24"/>
          <w:lang w:val="en-GB"/>
        </w:rPr>
        <w:t>AstraZeneca ought to institutionalise SOPs mandating systematic, repetitive interaction with central as well as state health authorities, networks of hospitals, along with the key opinion leaders (</w:t>
      </w:r>
      <w:proofErr w:type="spellStart"/>
      <w:r w:rsidRPr="008E1F80">
        <w:rPr>
          <w:sz w:val="24"/>
          <w:szCs w:val="24"/>
          <w:lang w:val="en-GB"/>
        </w:rPr>
        <w:t>astrazeneca</w:t>
      </w:r>
      <w:proofErr w:type="spellEnd"/>
      <w:r w:rsidRPr="008E1F80">
        <w:rPr>
          <w:sz w:val="24"/>
          <w:szCs w:val="24"/>
          <w:lang w:val="en-GB"/>
        </w:rPr>
        <w:t xml:space="preserve">, 2024a). The regulatory nature of India and the relationships that formulation requires to be included in formulary entails intricate federal regulation and that proactive, written liaison decreases approval time and gives rise to trust. In practice, the SOP must specify quarterly regulatory review meetings, local regulatory heads per state, and standardized documentation on proposals to establish a partnership with a local company which has become a common practice at AstraZeneca since it has an investment in a Bangalore hub that seeks to strengthen local R&amp;D and regulatory potential. </w:t>
      </w:r>
    </w:p>
    <w:p w:rsidR="00824D7D" w:rsidRPr="008E1F80" w:rsidRDefault="00130925">
      <w:pPr>
        <w:spacing w:line="360" w:lineRule="auto"/>
        <w:jc w:val="both"/>
        <w:rPr>
          <w:i/>
          <w:iCs/>
          <w:sz w:val="24"/>
          <w:szCs w:val="24"/>
          <w:lang w:val="en-GB"/>
        </w:rPr>
      </w:pPr>
      <w:r w:rsidRPr="008E1F80">
        <w:rPr>
          <w:i/>
          <w:iCs/>
          <w:sz w:val="24"/>
          <w:szCs w:val="24"/>
          <w:lang w:val="en-GB"/>
        </w:rPr>
        <w:t>2. Localisation and contingency clauses in the adaptive manufacturing and supply-chain SOPs</w:t>
      </w:r>
    </w:p>
    <w:p w:rsidR="00824D7D" w:rsidRPr="008E1F80" w:rsidRDefault="00130925">
      <w:pPr>
        <w:spacing w:line="360" w:lineRule="auto"/>
        <w:ind w:hanging="360"/>
        <w:jc w:val="both"/>
        <w:rPr>
          <w:sz w:val="24"/>
          <w:szCs w:val="24"/>
          <w:lang w:val="en-GB"/>
        </w:rPr>
      </w:pPr>
      <w:r w:rsidRPr="008E1F80">
        <w:rPr>
          <w:sz w:val="24"/>
          <w:szCs w:val="24"/>
          <w:lang w:val="en-GB"/>
        </w:rPr>
        <w:t xml:space="preserve">    Considering the dynamic cost structures in India and strategic review of </w:t>
      </w:r>
      <w:r w:rsidR="00917C98">
        <w:rPr>
          <w:sz w:val="24"/>
          <w:szCs w:val="24"/>
          <w:lang w:val="en-GB"/>
        </w:rPr>
        <w:t xml:space="preserve">AstraZeneca that includes 2023 </w:t>
      </w:r>
      <w:r w:rsidRPr="008E1F80">
        <w:rPr>
          <w:sz w:val="24"/>
          <w:szCs w:val="24"/>
          <w:lang w:val="en-GB"/>
        </w:rPr>
        <w:t>decision to leave local production. Therefore, SOPs should formalise the criteria of when to localise production, outsource, or import, and have contingency plans of disruption of supplies (</w:t>
      </w:r>
      <w:proofErr w:type="spellStart"/>
      <w:r w:rsidRPr="008E1F80">
        <w:rPr>
          <w:sz w:val="24"/>
          <w:szCs w:val="24"/>
          <w:lang w:val="en-GB"/>
        </w:rPr>
        <w:t>linkedin</w:t>
      </w:r>
      <w:proofErr w:type="spellEnd"/>
      <w:r w:rsidRPr="008E1F80">
        <w:rPr>
          <w:sz w:val="24"/>
          <w:szCs w:val="24"/>
          <w:lang w:val="en-GB"/>
        </w:rPr>
        <w:t xml:space="preserve">, 2023). An example of this is having SOPs that establish thresholds (volume, cost, regulatory incentives) before local production is </w:t>
      </w:r>
      <w:r w:rsidRPr="008E1F80">
        <w:rPr>
          <w:sz w:val="24"/>
          <w:szCs w:val="24"/>
          <w:lang w:val="en-GB"/>
        </w:rPr>
        <w:lastRenderedPageBreak/>
        <w:t xml:space="preserve">initiated or sought in contract manufacturing and obliges technology-transfer playbooks to facilitate prompt scale-up in local contract manufacturing organisations. This is essential since the Indian market expands in terms of the pharmaceutical industry (approximately 9% in Q2 2024) and its intention to become a global R&amp;D/manufacturing </w:t>
      </w:r>
      <w:proofErr w:type="spellStart"/>
      <w:r w:rsidRPr="008E1F80">
        <w:rPr>
          <w:sz w:val="24"/>
          <w:szCs w:val="24"/>
          <w:lang w:val="en-GB"/>
        </w:rPr>
        <w:t>center</w:t>
      </w:r>
      <w:proofErr w:type="spellEnd"/>
      <w:r w:rsidRPr="008E1F80">
        <w:rPr>
          <w:sz w:val="24"/>
          <w:szCs w:val="24"/>
          <w:lang w:val="en-GB"/>
        </w:rPr>
        <w:t>, flexible sourcing is a commercially significant factor (Mukherjee, 2023).</w:t>
      </w:r>
    </w:p>
    <w:p w:rsidR="00824D7D" w:rsidRPr="008E1F80" w:rsidRDefault="00130925">
      <w:pPr>
        <w:spacing w:line="360" w:lineRule="auto"/>
        <w:jc w:val="both"/>
        <w:rPr>
          <w:i/>
          <w:iCs/>
          <w:sz w:val="24"/>
          <w:szCs w:val="24"/>
          <w:lang w:val="en-GB"/>
        </w:rPr>
      </w:pPr>
      <w:r w:rsidRPr="008E1F80">
        <w:rPr>
          <w:i/>
          <w:iCs/>
          <w:sz w:val="24"/>
          <w:szCs w:val="24"/>
          <w:lang w:val="en-GB"/>
        </w:rPr>
        <w:t>3. Commercially conscious SOPs that are sensitive to culture, relationship sales and ethics combined</w:t>
      </w:r>
    </w:p>
    <w:p w:rsidR="00824D7D" w:rsidRPr="008E1F80" w:rsidRDefault="00130925">
      <w:pPr>
        <w:spacing w:line="360" w:lineRule="auto"/>
        <w:jc w:val="both"/>
        <w:rPr>
          <w:sz w:val="24"/>
          <w:szCs w:val="24"/>
          <w:lang w:val="en-GB"/>
        </w:rPr>
      </w:pPr>
      <w:r w:rsidRPr="008E1F80">
        <w:rPr>
          <w:sz w:val="24"/>
          <w:szCs w:val="24"/>
          <w:lang w:val="en-GB"/>
        </w:rPr>
        <w:t xml:space="preserve">AstraZeneca will have to update commercial SOPs to integrate relationship-based sales activities (prolonged engagement process, multi-stakeholder approvals) and tough anti-bribery and adverse-event reporting policies. </w:t>
      </w:r>
      <w:r w:rsidR="00917C98" w:rsidRPr="008E1F80">
        <w:rPr>
          <w:sz w:val="24"/>
          <w:szCs w:val="24"/>
          <w:lang w:val="en-GB"/>
        </w:rPr>
        <w:t>Hierarchy review and relations (Mani et al. 2024) usually accompany the decision-making process in India</w:t>
      </w:r>
      <w:r w:rsidRPr="008E1F80">
        <w:rPr>
          <w:sz w:val="24"/>
          <w:szCs w:val="24"/>
          <w:lang w:val="en-GB"/>
        </w:rPr>
        <w:t>. Therefore, SOPs negotiation must involve multi-touch clinician engagement strategies, joint medical education courses, and compulsory records of interactions to guarantee the transparency and adherence. This change will maintain cultural fit and impact less reputational and regulatory risk-ensuring consistency with AstraZeneca global standards on compliance and local commercial aspirations.</w:t>
      </w:r>
    </w:p>
    <w:p w:rsidR="00824D7D" w:rsidRPr="008E1F80" w:rsidRDefault="00130925">
      <w:pPr>
        <w:spacing w:line="360" w:lineRule="auto"/>
        <w:jc w:val="both"/>
        <w:rPr>
          <w:i/>
          <w:iCs/>
          <w:sz w:val="24"/>
          <w:szCs w:val="24"/>
          <w:lang w:val="en-GB"/>
        </w:rPr>
      </w:pPr>
      <w:r w:rsidRPr="008E1F80">
        <w:rPr>
          <w:i/>
          <w:iCs/>
          <w:sz w:val="24"/>
          <w:szCs w:val="24"/>
          <w:lang w:val="en-GB"/>
        </w:rPr>
        <w:t>Analysis of the SOPs for India</w:t>
      </w:r>
    </w:p>
    <w:p w:rsidR="00824D7D" w:rsidRPr="008E1F80" w:rsidRDefault="00130925">
      <w:pPr>
        <w:spacing w:line="360" w:lineRule="auto"/>
        <w:jc w:val="both"/>
        <w:rPr>
          <w:sz w:val="24"/>
          <w:szCs w:val="24"/>
          <w:lang w:val="en-GB"/>
        </w:rPr>
      </w:pPr>
      <w:r w:rsidRPr="008E1F80">
        <w:rPr>
          <w:sz w:val="24"/>
          <w:szCs w:val="24"/>
          <w:lang w:val="en-GB"/>
        </w:rPr>
        <w:t>These SOPs would help AstraZeneca to match its ownership-specific resources based on global R&amp;D, brand, financing. The aspect of location which is based on a large talent base and growing market advantages in India, and internalize major activities selectively. The overall outcome must be better regulatory sailing, more robust supply chains and culturally competent business outreach enhancing access to markets without jeopardizing compliance.</w:t>
      </w:r>
    </w:p>
    <w:p w:rsidR="00824D7D" w:rsidRPr="008E1F80" w:rsidRDefault="00130925">
      <w:pPr>
        <w:spacing w:line="360" w:lineRule="auto"/>
        <w:jc w:val="both"/>
        <w:rPr>
          <w:b/>
          <w:bCs/>
          <w:i/>
          <w:iCs/>
          <w:sz w:val="24"/>
          <w:szCs w:val="24"/>
          <w:lang w:val="en-GB"/>
        </w:rPr>
      </w:pPr>
      <w:r w:rsidRPr="008E1F80">
        <w:rPr>
          <w:b/>
          <w:bCs/>
          <w:i/>
          <w:iCs/>
          <w:sz w:val="24"/>
          <w:szCs w:val="24"/>
          <w:lang w:val="en-GB"/>
        </w:rPr>
        <w:t xml:space="preserve">Brazil context </w:t>
      </w:r>
    </w:p>
    <w:p w:rsidR="00824D7D" w:rsidRPr="008E1F80" w:rsidRDefault="00130925">
      <w:pPr>
        <w:spacing w:line="360" w:lineRule="auto"/>
        <w:jc w:val="both"/>
        <w:rPr>
          <w:i/>
          <w:iCs/>
          <w:sz w:val="24"/>
          <w:szCs w:val="24"/>
          <w:lang w:val="en-GB"/>
        </w:rPr>
      </w:pPr>
      <w:r w:rsidRPr="008E1F80">
        <w:rPr>
          <w:i/>
          <w:iCs/>
          <w:sz w:val="24"/>
          <w:szCs w:val="24"/>
          <w:lang w:val="en-GB"/>
        </w:rPr>
        <w:t xml:space="preserve">1.  Local regulatory activity SOPs to HTA and public sector </w:t>
      </w:r>
    </w:p>
    <w:p w:rsidR="00824D7D" w:rsidRPr="008E1F80" w:rsidRDefault="00130925">
      <w:pPr>
        <w:spacing w:line="360" w:lineRule="auto"/>
        <w:jc w:val="both"/>
        <w:rPr>
          <w:sz w:val="24"/>
          <w:szCs w:val="24"/>
          <w:lang w:val="en-GB"/>
        </w:rPr>
      </w:pPr>
      <w:r w:rsidRPr="008E1F80">
        <w:rPr>
          <w:sz w:val="24"/>
          <w:szCs w:val="24"/>
          <w:lang w:val="en-GB"/>
        </w:rPr>
        <w:t xml:space="preserve">The local health technology assessment procedures and the public healthcare system in Brazil (SUS) requires SOPs that emphasise on early HTA evidence generation which includes pricing submission playbooks and formal engagement schedules with ANVISA and state buyers (Karoline </w:t>
      </w:r>
      <w:r w:rsidRPr="008E1F80">
        <w:rPr>
          <w:i/>
          <w:iCs/>
          <w:sz w:val="24"/>
          <w:szCs w:val="24"/>
          <w:lang w:val="en-GB"/>
        </w:rPr>
        <w:t>et al.</w:t>
      </w:r>
      <w:r w:rsidRPr="008E1F80">
        <w:rPr>
          <w:sz w:val="24"/>
          <w:szCs w:val="24"/>
          <w:lang w:val="en-GB"/>
        </w:rPr>
        <w:t xml:space="preserve"> 2019). The local presence and Cotia site of AstraZeneca highlight the strategic significance of Brazil, the reimbursement decisions have to be made faster, which will require health-economic modelling with local data </w:t>
      </w:r>
      <w:r w:rsidRPr="008E1F80">
        <w:rPr>
          <w:sz w:val="24"/>
          <w:szCs w:val="24"/>
          <w:lang w:val="en-GB"/>
        </w:rPr>
        <w:lastRenderedPageBreak/>
        <w:t>and a local payer-liaison policy. The high pharmaceutical market in Brazil (estimated at 35.6bn in 2023) is why fast reimbursement is important to business success (</w:t>
      </w:r>
      <w:proofErr w:type="spellStart"/>
      <w:r w:rsidRPr="008E1F80">
        <w:rPr>
          <w:sz w:val="24"/>
          <w:szCs w:val="24"/>
          <w:lang w:val="en-GB"/>
        </w:rPr>
        <w:t>careers.astrazeneca</w:t>
      </w:r>
      <w:proofErr w:type="spellEnd"/>
      <w:r w:rsidRPr="008E1F80">
        <w:rPr>
          <w:sz w:val="24"/>
          <w:szCs w:val="24"/>
          <w:lang w:val="en-GB"/>
        </w:rPr>
        <w:t>, 2025).</w:t>
      </w:r>
    </w:p>
    <w:p w:rsidR="00824D7D" w:rsidRPr="008E1F80" w:rsidRDefault="00130925">
      <w:pPr>
        <w:spacing w:line="360" w:lineRule="auto"/>
        <w:jc w:val="both"/>
        <w:rPr>
          <w:i/>
          <w:iCs/>
          <w:sz w:val="24"/>
          <w:szCs w:val="24"/>
          <w:lang w:val="en-GB"/>
        </w:rPr>
      </w:pPr>
      <w:r w:rsidRPr="008E1F80">
        <w:rPr>
          <w:i/>
          <w:iCs/>
          <w:sz w:val="24"/>
          <w:szCs w:val="24"/>
          <w:lang w:val="en-GB"/>
        </w:rPr>
        <w:t xml:space="preserve">2. localisation SOPs based on Manufacturing and packaging with capacity-utilisation indicators </w:t>
      </w:r>
    </w:p>
    <w:p w:rsidR="00824D7D" w:rsidRPr="008E1F80" w:rsidRDefault="00130925">
      <w:pPr>
        <w:spacing w:line="360" w:lineRule="auto"/>
        <w:jc w:val="both"/>
        <w:rPr>
          <w:sz w:val="24"/>
          <w:szCs w:val="24"/>
          <w:lang w:val="en-GB"/>
        </w:rPr>
      </w:pPr>
      <w:r w:rsidRPr="008E1F80">
        <w:rPr>
          <w:sz w:val="24"/>
          <w:szCs w:val="24"/>
          <w:lang w:val="en-GB"/>
        </w:rPr>
        <w:t>Since AstraZeneca has a 60,000 m</w:t>
      </w:r>
      <w:r w:rsidRPr="00917C98">
        <w:rPr>
          <w:sz w:val="32"/>
          <w:szCs w:val="24"/>
          <w:vertAlign w:val="superscript"/>
          <w:lang w:val="en-GB"/>
        </w:rPr>
        <w:t>2</w:t>
      </w:r>
      <w:r w:rsidRPr="008E1F80">
        <w:rPr>
          <w:sz w:val="24"/>
          <w:szCs w:val="24"/>
          <w:lang w:val="en-GB"/>
        </w:rPr>
        <w:t xml:space="preserve"> Cotia base (millions of pieces manufacturing and packaging), SOPs must institutionalise utilisation goals, local quality assurance, supplier-development initiatives that focus on Brazilian suppliers in supplying packaging material (</w:t>
      </w:r>
      <w:proofErr w:type="spellStart"/>
      <w:r w:rsidRPr="008E1F80">
        <w:rPr>
          <w:sz w:val="24"/>
          <w:szCs w:val="24"/>
          <w:lang w:val="en-GB"/>
        </w:rPr>
        <w:t>swedcham</w:t>
      </w:r>
      <w:proofErr w:type="spellEnd"/>
      <w:r w:rsidRPr="008E1F80">
        <w:rPr>
          <w:sz w:val="24"/>
          <w:szCs w:val="24"/>
          <w:lang w:val="en-GB"/>
        </w:rPr>
        <w:t>, 2023). Import dependence of AstraZeneca can reduce its reliance on imports by incorporating local procurement KPIs and supplier audit cycles within SOPs to signal its dedication to local industry, which is a significant indicator in Brazil, a relationship-oriented business environment. By integrating local procurement KPIs and supplier audit cycles into SOPs, AstraZeneca can reduce reliance on imports, reduce lead times, and convey its interest in the local industry, which is a key indicator in the Brazilian relationship-oriented business culture.</w:t>
      </w:r>
    </w:p>
    <w:p w:rsidR="00824D7D" w:rsidRPr="008E1F80" w:rsidRDefault="00130925">
      <w:pPr>
        <w:spacing w:line="360" w:lineRule="auto"/>
        <w:jc w:val="both"/>
        <w:rPr>
          <w:i/>
          <w:iCs/>
          <w:sz w:val="24"/>
          <w:szCs w:val="24"/>
          <w:lang w:val="en-GB"/>
        </w:rPr>
      </w:pPr>
      <w:r w:rsidRPr="008E1F80">
        <w:rPr>
          <w:i/>
          <w:iCs/>
          <w:sz w:val="24"/>
          <w:szCs w:val="24"/>
          <w:lang w:val="en-GB"/>
        </w:rPr>
        <w:t xml:space="preserve">3. Community along with workforce engagement SOPs relating to inclusion and CSR alignment </w:t>
      </w:r>
    </w:p>
    <w:p w:rsidR="00824D7D" w:rsidRPr="008E1F80" w:rsidRDefault="00130925">
      <w:pPr>
        <w:spacing w:line="360" w:lineRule="auto"/>
        <w:jc w:val="both"/>
        <w:rPr>
          <w:sz w:val="24"/>
          <w:szCs w:val="24"/>
          <w:lang w:val="en-GB"/>
        </w:rPr>
      </w:pPr>
      <w:r w:rsidRPr="008E1F80">
        <w:rPr>
          <w:sz w:val="24"/>
          <w:szCs w:val="24"/>
          <w:lang w:val="en-GB"/>
        </w:rPr>
        <w:t>AstraZeneca will need to reform SOPs to make the community health partnerships, local workforce upskilling aims, and internal culturally-sensitive communications requirements. This may be operationalised through being finalised by requiring all major projects to be assessed on their community health impacts. Local hires in manufacturing facilities to be set at a percentage rate and diverse and inclusion programmes to be documented as per Brazilian standards (</w:t>
      </w:r>
      <w:proofErr w:type="spellStart"/>
      <w:r w:rsidRPr="008E1F80">
        <w:rPr>
          <w:sz w:val="24"/>
          <w:szCs w:val="24"/>
          <w:lang w:val="en-GB"/>
        </w:rPr>
        <w:t>oecd</w:t>
      </w:r>
      <w:proofErr w:type="spellEnd"/>
      <w:r w:rsidRPr="008E1F80">
        <w:rPr>
          <w:sz w:val="24"/>
          <w:szCs w:val="24"/>
          <w:lang w:val="en-GB"/>
        </w:rPr>
        <w:t>, 2020). These measures solidify social permission to act and facilitate adoption via local trust- which is significant in situations when people to people networks promote uptake of products.</w:t>
      </w:r>
    </w:p>
    <w:p w:rsidR="00824D7D" w:rsidRPr="008E1F80" w:rsidRDefault="00130925">
      <w:pPr>
        <w:spacing w:line="360" w:lineRule="auto"/>
        <w:jc w:val="both"/>
        <w:rPr>
          <w:i/>
          <w:iCs/>
          <w:sz w:val="24"/>
          <w:szCs w:val="24"/>
          <w:lang w:val="en-GB"/>
        </w:rPr>
      </w:pPr>
      <w:r w:rsidRPr="008E1F80">
        <w:rPr>
          <w:i/>
          <w:iCs/>
          <w:sz w:val="24"/>
          <w:szCs w:val="24"/>
          <w:lang w:val="en-GB"/>
        </w:rPr>
        <w:t>Analysis of the SOPs for India</w:t>
      </w:r>
    </w:p>
    <w:p w:rsidR="00824D7D" w:rsidRPr="008E1F80" w:rsidRDefault="00130925">
      <w:pPr>
        <w:spacing w:line="360" w:lineRule="auto"/>
        <w:jc w:val="both"/>
        <w:rPr>
          <w:sz w:val="24"/>
          <w:szCs w:val="24"/>
          <w:lang w:val="en-GB"/>
        </w:rPr>
      </w:pPr>
      <w:r w:rsidRPr="008E1F80">
        <w:rPr>
          <w:sz w:val="24"/>
          <w:szCs w:val="24"/>
          <w:lang w:val="en-GB"/>
        </w:rPr>
        <w:t xml:space="preserve">The internalisation of location-specific requirements (regulatory, procurement, social expectations) and the exploitation of the ownership advantages of AstraZeneca based on manufacturing experience, financial resources, global regulatory experience in these SOP changes. The outcome must be quicker market entry, less wasteful local </w:t>
      </w:r>
      <w:r w:rsidRPr="008E1F80">
        <w:rPr>
          <w:sz w:val="24"/>
          <w:szCs w:val="24"/>
          <w:lang w:val="en-GB"/>
        </w:rPr>
        <w:lastRenderedPageBreak/>
        <w:t>manufacturing, and good social credibility enhancing the short-term business operations and long-term strategic integration in Brazil.</w:t>
      </w:r>
    </w:p>
    <w:p w:rsidR="00824D7D" w:rsidRPr="008E1F80" w:rsidRDefault="00130925">
      <w:pPr>
        <w:spacing w:line="360" w:lineRule="auto"/>
        <w:jc w:val="both"/>
        <w:rPr>
          <w:b/>
          <w:bCs/>
          <w:i/>
          <w:iCs/>
          <w:sz w:val="24"/>
          <w:szCs w:val="24"/>
          <w:lang w:val="en-GB"/>
        </w:rPr>
      </w:pPr>
      <w:r w:rsidRPr="008E1F80">
        <w:rPr>
          <w:b/>
          <w:bCs/>
          <w:i/>
          <w:iCs/>
          <w:sz w:val="24"/>
          <w:szCs w:val="24"/>
          <w:lang w:val="en-GB"/>
        </w:rPr>
        <w:t>Critical analysis of the SOPs for the two developing countries India and Brazil</w:t>
      </w:r>
    </w:p>
    <w:p w:rsidR="00824D7D" w:rsidRPr="008E1F80" w:rsidRDefault="00130925">
      <w:pPr>
        <w:spacing w:line="360" w:lineRule="auto"/>
        <w:jc w:val="both"/>
        <w:rPr>
          <w:sz w:val="24"/>
          <w:szCs w:val="24"/>
          <w:lang w:val="en-GB"/>
        </w:rPr>
      </w:pPr>
      <w:r w:rsidRPr="008E1F80">
        <w:rPr>
          <w:sz w:val="24"/>
          <w:szCs w:val="24"/>
          <w:lang w:val="en-GB"/>
        </w:rPr>
        <w:t>The three suggested changes to SOPs interact with adaptive manufacturing regulations which would be culturally-informed commercial, workforce along with community processes. The operational scale of AstraZeneca  along with OLI endowments into location specific activities that reduce transaction expenses and improves legitimacy in both nations.</w:t>
      </w:r>
    </w:p>
    <w:p w:rsidR="00824D7D" w:rsidRPr="008E1F80" w:rsidRDefault="00130925">
      <w:pPr>
        <w:spacing w:line="360" w:lineRule="auto"/>
        <w:jc w:val="both"/>
        <w:rPr>
          <w:sz w:val="24"/>
          <w:szCs w:val="24"/>
          <w:lang w:val="en-GB"/>
        </w:rPr>
      </w:pPr>
      <w:r w:rsidRPr="008E1F80">
        <w:rPr>
          <w:sz w:val="24"/>
          <w:szCs w:val="24"/>
          <w:lang w:val="en-GB"/>
        </w:rPr>
        <w:t>The need to undertake these steps is that they transform high level strategy into repeatable behaviours that are respectful of local cultures and institutional constraints without compromising global compliance and brand value. Overall, properly crafted SOP changes will enhance access to the markets, business resiliency, and reputational position of AstraZeneca in India and Brazil, which will facilitate sustainable expansion in two strategic emerging markets (UNCTAD, 2022).</w:t>
      </w:r>
      <w:r w:rsidRPr="008E1F80">
        <w:rPr>
          <w:sz w:val="24"/>
          <w:szCs w:val="24"/>
          <w:highlight w:val="white"/>
          <w:lang w:val="en-GB"/>
        </w:rPr>
        <w:t xml:space="preserve"> The suggested SOP changes of AstraZeneca in India and Brazil can be seen as an </w:t>
      </w:r>
      <w:r w:rsidR="00917C98" w:rsidRPr="008E1F80">
        <w:rPr>
          <w:sz w:val="24"/>
          <w:szCs w:val="24"/>
          <w:highlight w:val="white"/>
          <w:lang w:val="en-GB"/>
        </w:rPr>
        <w:t>endeavour</w:t>
      </w:r>
      <w:r w:rsidRPr="008E1F80">
        <w:rPr>
          <w:sz w:val="24"/>
          <w:szCs w:val="24"/>
          <w:highlight w:val="white"/>
          <w:lang w:val="en-GB"/>
        </w:rPr>
        <w:t xml:space="preserve"> to strike a balance between the global and the local; but their effectiveness is based on how effectively the company can operationalise the proposed changes in the different institutional pressures of the respective markets. The focus on regulatory involvement and culturally </w:t>
      </w:r>
      <w:r w:rsidRPr="008E1F80">
        <w:rPr>
          <w:sz w:val="24"/>
          <w:szCs w:val="24"/>
          <w:lang w:val="en-GB"/>
        </w:rPr>
        <w:t>sensitive business activities is in line with the cultural context of Indian healthcare decision-making, which is relational and hierarchical (Jain, 2023). However, it also poses the danger of additional administrative load and more extended stakeholder cycles that will not accelerate the market penetration in case not accompanied by the robust digital monitoring tools and open compliance controls. Likewise, the adaptive manufacturing SOPs are strategically viable since India has its cost benefits and pharmaceutical infrastructure is growing. However, AstraZeneca has a history of withdrawing out of local manufacturing, so contingency and outsourcing processes of the indirect chain need to be highly organized to prevent fragmentation of the supply chain.</w:t>
      </w:r>
    </w:p>
    <w:p w:rsidR="00824D7D" w:rsidRPr="008E1F80" w:rsidRDefault="00130925">
      <w:pPr>
        <w:spacing w:line="360" w:lineRule="auto"/>
        <w:jc w:val="both"/>
        <w:rPr>
          <w:sz w:val="24"/>
          <w:szCs w:val="24"/>
          <w:lang w:val="en-GB"/>
        </w:rPr>
      </w:pPr>
      <w:r w:rsidRPr="008E1F80">
        <w:rPr>
          <w:sz w:val="24"/>
          <w:szCs w:val="24"/>
          <w:lang w:val="en-GB"/>
        </w:rPr>
        <w:t xml:space="preserve">Localisation of manufacturing and packaging in Brazil, through the Cotia facility, will increase the social legitimacy of AstraZeneca, but dependency on a local supplier may bring inconsistency in quality provided that supplier development, and audit SOPS is not </w:t>
      </w:r>
      <w:r w:rsidRPr="008E1F80">
        <w:rPr>
          <w:sz w:val="24"/>
          <w:szCs w:val="24"/>
          <w:lang w:val="en-GB"/>
        </w:rPr>
        <w:lastRenderedPageBreak/>
        <w:t>strictly adhered to. In addition, Brazil has a dependency on purchasing in the public sector and the effect on the pricing results in pressures, but despite the recommended HTA-specific regulatory SOPs, AstraZeneca can continue to suffer time lag owing to bureaucratic variability at federal and state levels (</w:t>
      </w:r>
      <w:proofErr w:type="spellStart"/>
      <w:r w:rsidRPr="008E1F80">
        <w:rPr>
          <w:sz w:val="24"/>
          <w:szCs w:val="24"/>
          <w:lang w:val="en-GB"/>
        </w:rPr>
        <w:t>navlindaily</w:t>
      </w:r>
      <w:proofErr w:type="spellEnd"/>
      <w:r w:rsidRPr="008E1F80">
        <w:rPr>
          <w:sz w:val="24"/>
          <w:szCs w:val="24"/>
          <w:lang w:val="en-GB"/>
        </w:rPr>
        <w:t>, 2024). Community and workforce engagement SOPs in Brazil have a great potential to promote trust and also they align with the collectivist cultural orientation. However, implementation of these initiatives may need long term investment which may not yield commercial results easily after which the senior management will need to be disciplined in the implementation procedures (</w:t>
      </w:r>
      <w:proofErr w:type="spellStart"/>
      <w:r w:rsidRPr="008E1F80">
        <w:rPr>
          <w:sz w:val="24"/>
          <w:szCs w:val="24"/>
          <w:lang w:val="en-GB"/>
        </w:rPr>
        <w:t>thestrategyinstitute</w:t>
      </w:r>
      <w:proofErr w:type="spellEnd"/>
      <w:r w:rsidRPr="008E1F80">
        <w:rPr>
          <w:sz w:val="24"/>
          <w:szCs w:val="24"/>
          <w:lang w:val="en-GB"/>
        </w:rPr>
        <w:t>, 2025). This would be able to measure the initiatives and also be accountable to the community to ensure that the global compliance integrity is not compromised. All in all, the SOP adjustments are strategically correct, however, their success may take long before commercial result is realized and this is where the top management has to be disciplined</w:t>
      </w:r>
    </w:p>
    <w:p w:rsidR="00824D7D" w:rsidRPr="008E1F80" w:rsidRDefault="00130925" w:rsidP="00917C98">
      <w:pPr>
        <w:pStyle w:val="Heading1"/>
        <w:rPr>
          <w:lang w:val="en-GB"/>
        </w:rPr>
      </w:pPr>
      <w:bookmarkStart w:id="6" w:name="_Toc213778826"/>
      <w:r w:rsidRPr="008E1F80">
        <w:rPr>
          <w:lang w:val="en-GB"/>
        </w:rPr>
        <w:t>6.    Conclusion to the report</w:t>
      </w:r>
      <w:bookmarkEnd w:id="6"/>
      <w:r w:rsidRPr="008E1F80">
        <w:rPr>
          <w:lang w:val="en-GB"/>
        </w:rPr>
        <w:t xml:space="preserve"> </w:t>
      </w:r>
    </w:p>
    <w:p w:rsidR="00824D7D" w:rsidRPr="008E1F80" w:rsidRDefault="00130925">
      <w:pPr>
        <w:spacing w:line="360" w:lineRule="auto"/>
        <w:jc w:val="both"/>
        <w:rPr>
          <w:sz w:val="24"/>
          <w:szCs w:val="24"/>
          <w:lang w:val="en-GB"/>
        </w:rPr>
      </w:pPr>
      <w:r w:rsidRPr="008E1F80">
        <w:rPr>
          <w:sz w:val="24"/>
          <w:szCs w:val="24"/>
          <w:lang w:val="en-GB"/>
        </w:rPr>
        <w:t xml:space="preserve">In the analysis of the international operations of AstraZeneca it has been revealed that the expansion of the company into emerging economies like India and Brazil is conditioned by a strategic balance. The entitlement of balance </w:t>
      </w:r>
      <w:r w:rsidR="00917C98" w:rsidRPr="008E1F80">
        <w:rPr>
          <w:sz w:val="24"/>
          <w:szCs w:val="24"/>
          <w:lang w:val="en-GB"/>
        </w:rPr>
        <w:t>encompasses</w:t>
      </w:r>
      <w:r w:rsidRPr="008E1F80">
        <w:rPr>
          <w:sz w:val="24"/>
          <w:szCs w:val="24"/>
          <w:lang w:val="en-GB"/>
        </w:rPr>
        <w:t xml:space="preserve"> the global advantages and the necessity to adapt to the local conditions of the institutional and cultural framework. The OLI framework was used to illustrate that good ownership benefits especially in the areas of research capabilities, product innovation and financial resources allow AstraZeneca to compete effectively in any market. Simultaneously, regulatory compliance, product quality, and intellectual property, which plays an essential role in the pharmaceutical sector, is controlled due to the in-house capabilities of the company to internalise activities of critical value chains. Nevertheless, the location-specifics in India and Brazil necessitate operational and organisational actions to be differentiated.</w:t>
      </w:r>
    </w:p>
    <w:p w:rsidR="00824D7D" w:rsidRPr="008E1F80" w:rsidRDefault="00130925">
      <w:pPr>
        <w:spacing w:line="360" w:lineRule="auto"/>
        <w:jc w:val="both"/>
        <w:rPr>
          <w:sz w:val="24"/>
          <w:szCs w:val="24"/>
          <w:lang w:val="en-GB"/>
        </w:rPr>
      </w:pPr>
      <w:r w:rsidRPr="008E1F80">
        <w:rPr>
          <w:sz w:val="24"/>
          <w:szCs w:val="24"/>
          <w:lang w:val="en-GB"/>
        </w:rPr>
        <w:t xml:space="preserve">The cultural analysis has highlighted the necessity of relationships-oriented engagement, sensitivity to local decision-making standards, and active trust-establishment with regulatory and healthcare stakeholders. In line with this, the suggested SOP changes, i.e. regulatory liaison processes, flexible manufacturing and supply chain structure and culturally aligned commercial and workforce practices, </w:t>
      </w:r>
      <w:r w:rsidRPr="008E1F80">
        <w:rPr>
          <w:sz w:val="24"/>
          <w:szCs w:val="24"/>
          <w:lang w:val="en-GB"/>
        </w:rPr>
        <w:lastRenderedPageBreak/>
        <w:t>present viable solutions to increasing the embeddedness and long term legitimacy of AstraZeneca within every market.</w:t>
      </w:r>
    </w:p>
    <w:p w:rsidR="00824D7D" w:rsidRPr="008E1F80" w:rsidRDefault="00130925">
      <w:pPr>
        <w:spacing w:line="360" w:lineRule="auto"/>
        <w:jc w:val="both"/>
        <w:rPr>
          <w:sz w:val="24"/>
          <w:szCs w:val="24"/>
          <w:lang w:val="en-GB"/>
        </w:rPr>
      </w:pPr>
      <w:r w:rsidRPr="008E1F80">
        <w:rPr>
          <w:sz w:val="24"/>
          <w:szCs w:val="24"/>
          <w:lang w:val="en-GB"/>
        </w:rPr>
        <w:t>In general, the success of further operations of AstraZeneca in India and Brazil will lie in the ability of the company to translate these changes into regular and quantifiable habits. AstraZeneca can consolidate its competitive positioning, promote long-term healthcare service delivery, and establish itself as a globally engaged, locally sensitive biopharmaceutical leader by balancing the global capabilities with the local expectations.</w:t>
      </w:r>
    </w:p>
    <w:p w:rsidR="00824D7D" w:rsidRPr="008E1F80" w:rsidRDefault="00130925">
      <w:pPr>
        <w:spacing w:line="360" w:lineRule="auto"/>
        <w:jc w:val="both"/>
        <w:rPr>
          <w:sz w:val="24"/>
          <w:szCs w:val="24"/>
          <w:lang w:val="en-GB"/>
        </w:rPr>
      </w:pPr>
      <w:r w:rsidRPr="008E1F80">
        <w:rPr>
          <w:lang w:val="en-GB"/>
        </w:rPr>
        <w:br w:type="page"/>
      </w:r>
    </w:p>
    <w:p w:rsidR="00824D7D" w:rsidRPr="008E1F80" w:rsidRDefault="00130925" w:rsidP="00917C98">
      <w:pPr>
        <w:pStyle w:val="Heading1"/>
        <w:rPr>
          <w:lang w:val="en-GB"/>
        </w:rPr>
      </w:pPr>
      <w:bookmarkStart w:id="7" w:name="_owba7tu06y4c" w:colFirst="0" w:colLast="0"/>
      <w:bookmarkStart w:id="8" w:name="_Toc213778827"/>
      <w:bookmarkEnd w:id="7"/>
      <w:r w:rsidRPr="008E1F80">
        <w:rPr>
          <w:lang w:val="en-GB"/>
        </w:rPr>
        <w:lastRenderedPageBreak/>
        <w:t>Reference list</w:t>
      </w:r>
      <w:bookmarkEnd w:id="8"/>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AstraZeneca (2021). </w:t>
      </w:r>
      <w:r w:rsidRPr="00B1130A">
        <w:rPr>
          <w:rFonts w:eastAsia="Times New Roman"/>
          <w:i/>
          <w:iCs/>
          <w:sz w:val="24"/>
          <w:szCs w:val="24"/>
          <w:lang w:val="en-GB"/>
        </w:rPr>
        <w:t>Two billion doses of AstraZeneca’s COVID-19 vaccine supplied to countries across the world less than 12 months after first approval</w:t>
      </w:r>
      <w:r w:rsidRPr="00B1130A">
        <w:rPr>
          <w:rFonts w:eastAsia="Times New Roman"/>
          <w:sz w:val="24"/>
          <w:szCs w:val="24"/>
          <w:lang w:val="en-GB"/>
        </w:rPr>
        <w:t xml:space="preserve">. [online] www.astrazeneca.com. Available at: </w:t>
      </w:r>
      <w:hyperlink r:id="rId13" w:history="1">
        <w:r w:rsidR="007A1EF8" w:rsidRPr="00307B46">
          <w:rPr>
            <w:rStyle w:val="Hyperlink"/>
            <w:rFonts w:eastAsia="Times New Roman"/>
            <w:sz w:val="24"/>
            <w:szCs w:val="24"/>
            <w:lang w:val="en-GB"/>
          </w:rPr>
          <w:t>https://www.astrazeneca.com/media-centre/press-releases/2021/two-billion-doses-of-astrazenecas-covid-19-vaccine-supplied-to-countries-across-the-world-less-than-12-months-after-first-approval.html#</w:t>
        </w:r>
      </w:hyperlink>
      <w:r w:rsidRPr="00B1130A">
        <w:rPr>
          <w:rFonts w:eastAsia="Times New Roman"/>
          <w:sz w:val="24"/>
          <w:szCs w:val="24"/>
          <w:lang w:val="en-GB"/>
        </w:rPr>
        <w:t>.</w:t>
      </w:r>
      <w:r w:rsidR="007A1EF8">
        <w:rPr>
          <w:rFonts w:eastAsia="Times New Roman"/>
          <w:sz w:val="24"/>
          <w:szCs w:val="24"/>
          <w:lang w:val="en-GB"/>
        </w:rPr>
        <w:t xml:space="preserve"> [Accessed 1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AstraZeneca (2023). </w:t>
      </w:r>
      <w:r w:rsidRPr="00B1130A">
        <w:rPr>
          <w:rFonts w:eastAsia="Times New Roman"/>
          <w:i/>
          <w:iCs/>
          <w:sz w:val="24"/>
          <w:szCs w:val="24"/>
          <w:lang w:val="en-GB"/>
        </w:rPr>
        <w:t>Sustainability Report 2023</w:t>
      </w:r>
      <w:r w:rsidRPr="00B1130A">
        <w:rPr>
          <w:rFonts w:eastAsia="Times New Roman"/>
          <w:sz w:val="24"/>
          <w:szCs w:val="24"/>
          <w:lang w:val="en-GB"/>
        </w:rPr>
        <w:t xml:space="preserve">. [online] Available at: </w:t>
      </w:r>
      <w:hyperlink r:id="rId14" w:history="1">
        <w:r w:rsidR="007A1EF8" w:rsidRPr="00307B46">
          <w:rPr>
            <w:rStyle w:val="Hyperlink"/>
            <w:rFonts w:eastAsia="Times New Roman"/>
            <w:sz w:val="24"/>
            <w:szCs w:val="24"/>
            <w:lang w:val="en-GB"/>
          </w:rPr>
          <w:t>https://www.astrazeneca.com/content/dam/az/Sustainability/2024/pdf/Sustainability-Report-2023.pdf</w:t>
        </w:r>
      </w:hyperlink>
      <w:r w:rsidRPr="00B1130A">
        <w:rPr>
          <w:rFonts w:eastAsia="Times New Roman"/>
          <w:sz w:val="24"/>
          <w:szCs w:val="24"/>
          <w:lang w:val="en-GB"/>
        </w:rPr>
        <w:t>.</w:t>
      </w:r>
      <w:r w:rsidR="007A1EF8">
        <w:rPr>
          <w:rFonts w:eastAsia="Times New Roman"/>
          <w:sz w:val="24"/>
          <w:szCs w:val="24"/>
          <w:lang w:val="en-GB"/>
        </w:rPr>
        <w:t xml:space="preserve"> [Accessed 1</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AstraZeneca (2025a). </w:t>
      </w:r>
      <w:r w:rsidRPr="00B1130A">
        <w:rPr>
          <w:rFonts w:eastAsia="Times New Roman"/>
          <w:i/>
          <w:iCs/>
          <w:sz w:val="24"/>
          <w:szCs w:val="24"/>
          <w:lang w:val="en-GB"/>
        </w:rPr>
        <w:t xml:space="preserve">AstraZeneca India - Research-Based </w:t>
      </w:r>
      <w:proofErr w:type="spellStart"/>
      <w:r w:rsidRPr="00B1130A">
        <w:rPr>
          <w:rFonts w:eastAsia="Times New Roman"/>
          <w:i/>
          <w:iCs/>
          <w:sz w:val="24"/>
          <w:szCs w:val="24"/>
          <w:lang w:val="en-GB"/>
        </w:rPr>
        <w:t>BioPharmaceutical</w:t>
      </w:r>
      <w:proofErr w:type="spellEnd"/>
      <w:r w:rsidRPr="00B1130A">
        <w:rPr>
          <w:rFonts w:eastAsia="Times New Roman"/>
          <w:i/>
          <w:iCs/>
          <w:sz w:val="24"/>
          <w:szCs w:val="24"/>
          <w:lang w:val="en-GB"/>
        </w:rPr>
        <w:t xml:space="preserve"> Company</w:t>
      </w:r>
      <w:r w:rsidRPr="00B1130A">
        <w:rPr>
          <w:rFonts w:eastAsia="Times New Roman"/>
          <w:sz w:val="24"/>
          <w:szCs w:val="24"/>
          <w:lang w:val="en-GB"/>
        </w:rPr>
        <w:t xml:space="preserve">. [online] www.astrazeneca.in. Available at: </w:t>
      </w:r>
      <w:hyperlink r:id="rId15" w:history="1">
        <w:r w:rsidR="007A1EF8" w:rsidRPr="00307B46">
          <w:rPr>
            <w:rStyle w:val="Hyperlink"/>
            <w:rFonts w:eastAsia="Times New Roman"/>
            <w:sz w:val="24"/>
            <w:szCs w:val="24"/>
            <w:lang w:val="en-GB"/>
          </w:rPr>
          <w:t>https://www.astrazeneca.in/</w:t>
        </w:r>
      </w:hyperlink>
      <w:r w:rsidRPr="00B1130A">
        <w:rPr>
          <w:rFonts w:eastAsia="Times New Roman"/>
          <w:sz w:val="24"/>
          <w:szCs w:val="24"/>
          <w:lang w:val="en-GB"/>
        </w:rPr>
        <w:t>.</w:t>
      </w:r>
      <w:r w:rsidR="007A1EF8">
        <w:rPr>
          <w:rFonts w:eastAsia="Times New Roman"/>
          <w:sz w:val="24"/>
          <w:szCs w:val="24"/>
          <w:lang w:val="en-GB"/>
        </w:rPr>
        <w:t xml:space="preserve"> [Accessed 2</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AstraZeneca (2025b). </w:t>
      </w:r>
      <w:r w:rsidRPr="00B1130A">
        <w:rPr>
          <w:rFonts w:eastAsia="Times New Roman"/>
          <w:i/>
          <w:iCs/>
          <w:sz w:val="24"/>
          <w:szCs w:val="24"/>
          <w:lang w:val="en-GB"/>
        </w:rPr>
        <w:t>Our strategic R&amp;D centres</w:t>
      </w:r>
      <w:r w:rsidRPr="00B1130A">
        <w:rPr>
          <w:rFonts w:eastAsia="Times New Roman"/>
          <w:sz w:val="24"/>
          <w:szCs w:val="24"/>
          <w:lang w:val="en-GB"/>
        </w:rPr>
        <w:t xml:space="preserve">. [online] www.astrazeneca.com. Available at: </w:t>
      </w:r>
      <w:hyperlink r:id="rId16" w:history="1">
        <w:r w:rsidR="007A1EF8" w:rsidRPr="00307B46">
          <w:rPr>
            <w:rStyle w:val="Hyperlink"/>
            <w:rFonts w:eastAsia="Times New Roman"/>
            <w:sz w:val="24"/>
            <w:szCs w:val="24"/>
            <w:lang w:val="en-GB"/>
          </w:rPr>
          <w:t>https://www.astrazeneca.com/r-d/our-strategic-r-d-centres.html</w:t>
        </w:r>
      </w:hyperlink>
      <w:r w:rsidRPr="00B1130A">
        <w:rPr>
          <w:rFonts w:eastAsia="Times New Roman"/>
          <w:sz w:val="24"/>
          <w:szCs w:val="24"/>
          <w:lang w:val="en-GB"/>
        </w:rPr>
        <w:t>.</w:t>
      </w:r>
      <w:r w:rsidR="007A1EF8">
        <w:rPr>
          <w:rFonts w:eastAsia="Times New Roman"/>
          <w:sz w:val="24"/>
          <w:szCs w:val="24"/>
          <w:lang w:val="en-GB"/>
        </w:rPr>
        <w:t xml:space="preserve"> [Accessed 2</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Astrazeneca</w:t>
      </w:r>
      <w:proofErr w:type="spellEnd"/>
      <w:r w:rsidRPr="00B1130A">
        <w:rPr>
          <w:rFonts w:eastAsia="Times New Roman"/>
          <w:sz w:val="24"/>
          <w:szCs w:val="24"/>
          <w:lang w:val="en-GB"/>
        </w:rPr>
        <w:t xml:space="preserve"> (2024). </w:t>
      </w:r>
      <w:r w:rsidRPr="00B1130A">
        <w:rPr>
          <w:rFonts w:eastAsia="Times New Roman"/>
          <w:i/>
          <w:iCs/>
          <w:sz w:val="24"/>
          <w:szCs w:val="24"/>
          <w:lang w:val="en-GB"/>
        </w:rPr>
        <w:t>AstraZeneca at a Glance</w:t>
      </w:r>
      <w:r w:rsidRPr="00B1130A">
        <w:rPr>
          <w:rFonts w:eastAsia="Times New Roman"/>
          <w:sz w:val="24"/>
          <w:szCs w:val="24"/>
          <w:lang w:val="en-GB"/>
        </w:rPr>
        <w:t xml:space="preserve">. [online] Available at: </w:t>
      </w:r>
      <w:hyperlink r:id="rId17" w:history="1">
        <w:r w:rsidR="007A1EF8" w:rsidRPr="00307B46">
          <w:rPr>
            <w:rStyle w:val="Hyperlink"/>
            <w:rFonts w:eastAsia="Times New Roman"/>
            <w:sz w:val="24"/>
            <w:szCs w:val="24"/>
            <w:lang w:val="en-GB"/>
          </w:rPr>
          <w:t>https://www.astrazeneca.com/content/dam/az/Investor_Relations/annual-report-2024/pdf/AstraZeneca_AR_2024_At_A_Glance.pdf</w:t>
        </w:r>
      </w:hyperlink>
      <w:r w:rsidRPr="00B1130A">
        <w:rPr>
          <w:rFonts w:eastAsia="Times New Roman"/>
          <w:sz w:val="24"/>
          <w:szCs w:val="24"/>
          <w:lang w:val="en-GB"/>
        </w:rPr>
        <w:t>.</w:t>
      </w:r>
      <w:r w:rsidR="007A1EF8">
        <w:rPr>
          <w:rFonts w:eastAsia="Times New Roman"/>
          <w:sz w:val="24"/>
          <w:szCs w:val="24"/>
          <w:lang w:val="en-GB"/>
        </w:rPr>
        <w:t xml:space="preserve"> [Accessed 2</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astrazeneca</w:t>
      </w:r>
      <w:proofErr w:type="spellEnd"/>
      <w:r w:rsidRPr="00B1130A">
        <w:rPr>
          <w:rFonts w:eastAsia="Times New Roman"/>
          <w:sz w:val="24"/>
          <w:szCs w:val="24"/>
          <w:lang w:val="en-GB"/>
        </w:rPr>
        <w:t xml:space="preserve"> (2015). </w:t>
      </w:r>
      <w:r w:rsidRPr="00B1130A">
        <w:rPr>
          <w:rFonts w:eastAsia="Times New Roman"/>
          <w:i/>
          <w:iCs/>
          <w:sz w:val="24"/>
          <w:szCs w:val="24"/>
          <w:lang w:val="en-GB"/>
        </w:rPr>
        <w:t xml:space="preserve">MedImmune Completes Acquisition of </w:t>
      </w:r>
      <w:proofErr w:type="spellStart"/>
      <w:r w:rsidRPr="00B1130A">
        <w:rPr>
          <w:rFonts w:eastAsia="Times New Roman"/>
          <w:i/>
          <w:iCs/>
          <w:sz w:val="24"/>
          <w:szCs w:val="24"/>
          <w:lang w:val="en-GB"/>
        </w:rPr>
        <w:t>Amplimmune</w:t>
      </w:r>
      <w:proofErr w:type="spellEnd"/>
      <w:r w:rsidRPr="00B1130A">
        <w:rPr>
          <w:rFonts w:eastAsia="Times New Roman"/>
          <w:sz w:val="24"/>
          <w:szCs w:val="24"/>
          <w:lang w:val="en-GB"/>
        </w:rPr>
        <w:t>. [online] Astrazeneca.com. Available at: https://www.astrazeneca.com/media-centre/press-releases/2013/medimmune-amplimmune-aquisi</w:t>
      </w:r>
      <w:r w:rsidR="007A1EF8">
        <w:rPr>
          <w:rFonts w:eastAsia="Times New Roman"/>
          <w:sz w:val="24"/>
          <w:szCs w:val="24"/>
          <w:lang w:val="en-GB"/>
        </w:rPr>
        <w:t>tion-07102013.html# [Accessed 2</w:t>
      </w:r>
      <w:r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astrazeneca</w:t>
      </w:r>
      <w:proofErr w:type="spellEnd"/>
      <w:r w:rsidRPr="00B1130A">
        <w:rPr>
          <w:rFonts w:eastAsia="Times New Roman"/>
          <w:sz w:val="24"/>
          <w:szCs w:val="24"/>
          <w:lang w:val="en-GB"/>
        </w:rPr>
        <w:t xml:space="preserve"> (2024a). </w:t>
      </w:r>
      <w:r w:rsidRPr="00B1130A">
        <w:rPr>
          <w:rFonts w:eastAsia="Times New Roman"/>
          <w:i/>
          <w:iCs/>
          <w:sz w:val="24"/>
          <w:szCs w:val="24"/>
          <w:lang w:val="en-GB"/>
        </w:rPr>
        <w:t>An optimal process of MDT meetings (MDTMs), evaluation of MDTMs in practice, and a toolkit for implementation</w:t>
      </w:r>
      <w:r w:rsidRPr="00B1130A">
        <w:rPr>
          <w:rFonts w:eastAsia="Times New Roman"/>
          <w:sz w:val="24"/>
          <w:szCs w:val="24"/>
          <w:lang w:val="en-GB"/>
        </w:rPr>
        <w:t xml:space="preserve">. [online] Available at: </w:t>
      </w:r>
      <w:hyperlink r:id="rId18" w:history="1">
        <w:r w:rsidR="007A1EF8" w:rsidRPr="00307B46">
          <w:rPr>
            <w:rStyle w:val="Hyperlink"/>
            <w:rFonts w:eastAsia="Times New Roman"/>
            <w:sz w:val="24"/>
            <w:szCs w:val="24"/>
            <w:lang w:val="en-GB"/>
          </w:rPr>
          <w:t>https://www.astrazeneca.com/content/dam/az/PDF/2024/Good-practices-in-lung-cancer-MDTs.pdf</w:t>
        </w:r>
      </w:hyperlink>
      <w:r w:rsidRPr="00B1130A">
        <w:rPr>
          <w:rFonts w:eastAsia="Times New Roman"/>
          <w:sz w:val="24"/>
          <w:szCs w:val="24"/>
          <w:lang w:val="en-GB"/>
        </w:rPr>
        <w:t>.</w:t>
      </w:r>
      <w:r w:rsidR="007A1EF8">
        <w:rPr>
          <w:rFonts w:eastAsia="Times New Roman"/>
          <w:sz w:val="24"/>
          <w:szCs w:val="24"/>
          <w:lang w:val="en-GB"/>
        </w:rPr>
        <w:t xml:space="preserve"> [Accessed 2</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lastRenderedPageBreak/>
        <w:t>astrazeneca</w:t>
      </w:r>
      <w:proofErr w:type="spellEnd"/>
      <w:r w:rsidRPr="00B1130A">
        <w:rPr>
          <w:rFonts w:eastAsia="Times New Roman"/>
          <w:sz w:val="24"/>
          <w:szCs w:val="24"/>
          <w:lang w:val="en-GB"/>
        </w:rPr>
        <w:t xml:space="preserve"> (2024b). </w:t>
      </w:r>
      <w:r w:rsidRPr="00B1130A">
        <w:rPr>
          <w:rFonts w:eastAsia="Times New Roman"/>
          <w:i/>
          <w:iCs/>
          <w:sz w:val="24"/>
          <w:szCs w:val="24"/>
          <w:lang w:val="en-GB"/>
        </w:rPr>
        <w:t>Annual report 2024</w:t>
      </w:r>
      <w:r w:rsidRPr="00B1130A">
        <w:rPr>
          <w:rFonts w:eastAsia="Times New Roman"/>
          <w:sz w:val="24"/>
          <w:szCs w:val="24"/>
          <w:lang w:val="en-GB"/>
        </w:rPr>
        <w:t xml:space="preserve">. [online] Astrazeneca.com. Available at: </w:t>
      </w:r>
      <w:hyperlink r:id="rId19" w:history="1">
        <w:r w:rsidR="007A1EF8" w:rsidRPr="00307B46">
          <w:rPr>
            <w:rStyle w:val="Hyperlink"/>
            <w:rFonts w:eastAsia="Times New Roman"/>
            <w:sz w:val="24"/>
            <w:szCs w:val="24"/>
            <w:lang w:val="en-GB"/>
          </w:rPr>
          <w:t>https://www.astrazeneca.com/content/astraz/investor-relations/annual-reports/annual-report-2024.html</w:t>
        </w:r>
      </w:hyperlink>
      <w:r w:rsidRPr="00B1130A">
        <w:rPr>
          <w:rFonts w:eastAsia="Times New Roman"/>
          <w:sz w:val="24"/>
          <w:szCs w:val="24"/>
          <w:lang w:val="en-GB"/>
        </w:rPr>
        <w:t>.</w:t>
      </w:r>
      <w:r w:rsidR="007A1EF8">
        <w:rPr>
          <w:rFonts w:eastAsia="Times New Roman"/>
          <w:sz w:val="24"/>
          <w:szCs w:val="24"/>
          <w:lang w:val="en-GB"/>
        </w:rPr>
        <w:t xml:space="preserve"> [Accessed 2</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astrazeneca</w:t>
      </w:r>
      <w:proofErr w:type="spellEnd"/>
      <w:r w:rsidRPr="00B1130A">
        <w:rPr>
          <w:rFonts w:eastAsia="Times New Roman"/>
          <w:sz w:val="24"/>
          <w:szCs w:val="24"/>
          <w:lang w:val="en-GB"/>
        </w:rPr>
        <w:t xml:space="preserve"> (2024c). </w:t>
      </w:r>
      <w:r w:rsidRPr="00B1130A">
        <w:rPr>
          <w:rFonts w:eastAsia="Times New Roman"/>
          <w:i/>
          <w:iCs/>
          <w:sz w:val="24"/>
          <w:szCs w:val="24"/>
          <w:lang w:val="en-GB"/>
        </w:rPr>
        <w:t>AstraZeneca plans to invest Rs 250 crore to grow its Global Innovation and Technology Centre in India, bringing some 1,300 highly skilled roles by 2025</w:t>
      </w:r>
      <w:r w:rsidRPr="00B1130A">
        <w:rPr>
          <w:rFonts w:eastAsia="Times New Roman"/>
          <w:sz w:val="24"/>
          <w:szCs w:val="24"/>
          <w:lang w:val="en-GB"/>
        </w:rPr>
        <w:t xml:space="preserve">. [online] Astrazeneca.in. Available at: </w:t>
      </w:r>
      <w:hyperlink r:id="rId20" w:history="1">
        <w:r w:rsidR="007A1EF8" w:rsidRPr="00307B46">
          <w:rPr>
            <w:rStyle w:val="Hyperlink"/>
            <w:rFonts w:eastAsia="Times New Roman"/>
            <w:sz w:val="24"/>
            <w:szCs w:val="24"/>
            <w:lang w:val="en-GB"/>
          </w:rPr>
          <w:t>https://www.astrazeneca.in/media/press-releases/2024/astrazeneca-plans-to-invest-to-grow-its-gitc-in-india.html</w:t>
        </w:r>
      </w:hyperlink>
      <w:r w:rsidRPr="00B1130A">
        <w:rPr>
          <w:rFonts w:eastAsia="Times New Roman"/>
          <w:sz w:val="24"/>
          <w:szCs w:val="24"/>
          <w:lang w:val="en-GB"/>
        </w:rPr>
        <w:t>.</w:t>
      </w:r>
      <w:r w:rsidR="007A1EF8">
        <w:rPr>
          <w:rFonts w:eastAsia="Times New Roman"/>
          <w:sz w:val="24"/>
          <w:szCs w:val="24"/>
          <w:lang w:val="en-GB"/>
        </w:rPr>
        <w:t xml:space="preserve"> [Accessed 2</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astrazeneca</w:t>
      </w:r>
      <w:proofErr w:type="spellEnd"/>
      <w:r w:rsidRPr="00B1130A">
        <w:rPr>
          <w:rFonts w:eastAsia="Times New Roman"/>
          <w:sz w:val="24"/>
          <w:szCs w:val="24"/>
          <w:lang w:val="en-GB"/>
        </w:rPr>
        <w:t xml:space="preserve"> (2024d). </w:t>
      </w:r>
      <w:r w:rsidRPr="00B1130A">
        <w:rPr>
          <w:rFonts w:eastAsia="Times New Roman"/>
          <w:i/>
          <w:iCs/>
          <w:sz w:val="24"/>
          <w:szCs w:val="24"/>
          <w:lang w:val="en-GB"/>
        </w:rPr>
        <w:t>Our approach to clinical innovation</w:t>
      </w:r>
      <w:r w:rsidRPr="00B1130A">
        <w:rPr>
          <w:rFonts w:eastAsia="Times New Roman"/>
          <w:sz w:val="24"/>
          <w:szCs w:val="24"/>
          <w:lang w:val="en-GB"/>
        </w:rPr>
        <w:t xml:space="preserve">. [online] Astrazeneca.com. Available at: </w:t>
      </w:r>
      <w:hyperlink r:id="rId21" w:history="1">
        <w:r w:rsidR="007A1EF8" w:rsidRPr="00307B46">
          <w:rPr>
            <w:rStyle w:val="Hyperlink"/>
            <w:rFonts w:eastAsia="Times New Roman"/>
            <w:sz w:val="24"/>
            <w:szCs w:val="24"/>
            <w:lang w:val="en-GB"/>
          </w:rPr>
          <w:t>https://www.astrazeneca.com/r-d/clinical-innovation.html</w:t>
        </w:r>
      </w:hyperlink>
      <w:r w:rsidRPr="00B1130A">
        <w:rPr>
          <w:rFonts w:eastAsia="Times New Roman"/>
          <w:sz w:val="24"/>
          <w:szCs w:val="24"/>
          <w:lang w:val="en-GB"/>
        </w:rPr>
        <w:t>.</w:t>
      </w:r>
      <w:r w:rsidR="007A1EF8">
        <w:rPr>
          <w:rFonts w:eastAsia="Times New Roman"/>
          <w:sz w:val="24"/>
          <w:szCs w:val="24"/>
          <w:lang w:val="en-GB"/>
        </w:rPr>
        <w:t xml:space="preserve"> [Accessed 2</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astrazeneca</w:t>
      </w:r>
      <w:proofErr w:type="spellEnd"/>
      <w:r w:rsidRPr="00B1130A">
        <w:rPr>
          <w:rFonts w:eastAsia="Times New Roman"/>
          <w:sz w:val="24"/>
          <w:szCs w:val="24"/>
          <w:lang w:val="en-GB"/>
        </w:rPr>
        <w:t xml:space="preserve"> (2025a). </w:t>
      </w:r>
      <w:r w:rsidRPr="00B1130A">
        <w:rPr>
          <w:rFonts w:eastAsia="Times New Roman"/>
          <w:i/>
          <w:iCs/>
          <w:sz w:val="24"/>
          <w:szCs w:val="24"/>
          <w:lang w:val="en-GB"/>
        </w:rPr>
        <w:t>AstraZeneca expands Bangalore Global Hub in India with ₹166 Crore Investment, creating 400 Jobs to boost R&amp;D, global services and AI innovation</w:t>
      </w:r>
      <w:r w:rsidRPr="00B1130A">
        <w:rPr>
          <w:rFonts w:eastAsia="Times New Roman"/>
          <w:sz w:val="24"/>
          <w:szCs w:val="24"/>
          <w:lang w:val="en-GB"/>
        </w:rPr>
        <w:t xml:space="preserve">. [online] Astrazeneca.in. Available at: </w:t>
      </w:r>
      <w:hyperlink r:id="rId22" w:history="1">
        <w:r w:rsidR="007A1EF8" w:rsidRPr="00307B46">
          <w:rPr>
            <w:rStyle w:val="Hyperlink"/>
            <w:rFonts w:eastAsia="Times New Roman"/>
            <w:sz w:val="24"/>
            <w:szCs w:val="24"/>
            <w:lang w:val="en-GB"/>
          </w:rPr>
          <w:t>https://www.astrazeneca.in/media/press-releases/2025/astrazeneca-expands-bangalore-global-hub-in-india.html</w:t>
        </w:r>
      </w:hyperlink>
      <w:r w:rsidRPr="00B1130A">
        <w:rPr>
          <w:rFonts w:eastAsia="Times New Roman"/>
          <w:sz w:val="24"/>
          <w:szCs w:val="24"/>
          <w:lang w:val="en-GB"/>
        </w:rPr>
        <w:t>.</w:t>
      </w:r>
      <w:r w:rsidR="007A1EF8">
        <w:rPr>
          <w:rFonts w:eastAsia="Times New Roman"/>
          <w:sz w:val="24"/>
          <w:szCs w:val="24"/>
          <w:lang w:val="en-GB"/>
        </w:rPr>
        <w:t xml:space="preserve"> [Accessed 5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astrazeneca</w:t>
      </w:r>
      <w:proofErr w:type="spellEnd"/>
      <w:r w:rsidRPr="00B1130A">
        <w:rPr>
          <w:rFonts w:eastAsia="Times New Roman"/>
          <w:sz w:val="24"/>
          <w:szCs w:val="24"/>
          <w:lang w:val="en-GB"/>
        </w:rPr>
        <w:t xml:space="preserve"> (2025b). </w:t>
      </w:r>
      <w:r w:rsidRPr="00B1130A">
        <w:rPr>
          <w:rFonts w:eastAsia="Times New Roman"/>
          <w:i/>
          <w:iCs/>
          <w:sz w:val="24"/>
          <w:szCs w:val="24"/>
          <w:lang w:val="en-GB"/>
        </w:rPr>
        <w:t>AstraZeneca plans to invest $50 billion in America for medicines manufacturing and R&amp;D</w:t>
      </w:r>
      <w:r w:rsidRPr="00B1130A">
        <w:rPr>
          <w:rFonts w:eastAsia="Times New Roman"/>
          <w:sz w:val="24"/>
          <w:szCs w:val="24"/>
          <w:lang w:val="en-GB"/>
        </w:rPr>
        <w:t xml:space="preserve">. [online] Astrazeneca.com. Available at: </w:t>
      </w:r>
      <w:hyperlink r:id="rId23" w:history="1">
        <w:r w:rsidR="007A1EF8" w:rsidRPr="00307B46">
          <w:rPr>
            <w:rStyle w:val="Hyperlink"/>
            <w:rFonts w:eastAsia="Times New Roman"/>
            <w:sz w:val="24"/>
            <w:szCs w:val="24"/>
            <w:lang w:val="en-GB"/>
          </w:rPr>
          <w:t>https://www.astrazeneca.com/media-centre/press-releases/2025/astrazeneca-plans-to-invest-50bn-dollars-in-the-us.html</w:t>
        </w:r>
      </w:hyperlink>
      <w:r w:rsidRPr="00B1130A">
        <w:rPr>
          <w:rFonts w:eastAsia="Times New Roman"/>
          <w:sz w:val="24"/>
          <w:szCs w:val="24"/>
          <w:lang w:val="en-GB"/>
        </w:rPr>
        <w:t>.</w:t>
      </w:r>
      <w:r w:rsidR="007A1EF8">
        <w:rPr>
          <w:rFonts w:eastAsia="Times New Roman"/>
          <w:sz w:val="24"/>
          <w:szCs w:val="24"/>
          <w:lang w:val="en-GB"/>
        </w:rPr>
        <w:t xml:space="preserve"> [Accessed 5</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astrazeneca</w:t>
      </w:r>
      <w:proofErr w:type="spellEnd"/>
      <w:r w:rsidRPr="00B1130A">
        <w:rPr>
          <w:rFonts w:eastAsia="Times New Roman"/>
          <w:sz w:val="24"/>
          <w:szCs w:val="24"/>
          <w:lang w:val="en-GB"/>
        </w:rPr>
        <w:t xml:space="preserve"> (2025c). </w:t>
      </w:r>
      <w:r w:rsidRPr="00B1130A">
        <w:rPr>
          <w:rFonts w:eastAsia="Times New Roman"/>
          <w:i/>
          <w:iCs/>
          <w:sz w:val="24"/>
          <w:szCs w:val="24"/>
          <w:lang w:val="en-GB"/>
        </w:rPr>
        <w:t>AstraZeneca results: 9M and Q3 2025</w:t>
      </w:r>
      <w:r w:rsidRPr="00B1130A">
        <w:rPr>
          <w:rFonts w:eastAsia="Times New Roman"/>
          <w:sz w:val="24"/>
          <w:szCs w:val="24"/>
          <w:lang w:val="en-GB"/>
        </w:rPr>
        <w:t xml:space="preserve">. [online] Available at: </w:t>
      </w:r>
      <w:hyperlink r:id="rId24" w:history="1">
        <w:r w:rsidR="007A1EF8" w:rsidRPr="00307B46">
          <w:rPr>
            <w:rStyle w:val="Hyperlink"/>
            <w:rFonts w:eastAsia="Times New Roman"/>
            <w:sz w:val="24"/>
            <w:szCs w:val="24"/>
            <w:lang w:val="en-GB"/>
          </w:rPr>
          <w:t>https://www.astrazeneca.com/content/dam/az/PDF/2025/9m-q3/9M-and-Q3-2025-results-announcement.pdf</w:t>
        </w:r>
      </w:hyperlink>
      <w:r w:rsidR="007A1EF8">
        <w:rPr>
          <w:rFonts w:eastAsia="Times New Roman"/>
          <w:sz w:val="24"/>
          <w:szCs w:val="24"/>
          <w:lang w:val="en-GB"/>
        </w:rPr>
        <w:t>. [Accessed 5</w:t>
      </w:r>
      <w:r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Astrazeneca.co.uk. (2022). </w:t>
      </w:r>
      <w:r w:rsidRPr="00B1130A">
        <w:rPr>
          <w:rFonts w:eastAsia="Times New Roman"/>
          <w:i/>
          <w:iCs/>
          <w:sz w:val="24"/>
          <w:szCs w:val="24"/>
          <w:lang w:val="en-GB"/>
        </w:rPr>
        <w:t>AstraZeneca in Cambridge – Unlocking the power of science</w:t>
      </w:r>
      <w:r w:rsidRPr="00B1130A">
        <w:rPr>
          <w:rFonts w:eastAsia="Times New Roman"/>
          <w:sz w:val="24"/>
          <w:szCs w:val="24"/>
          <w:lang w:val="en-GB"/>
        </w:rPr>
        <w:t xml:space="preserve">. [online] Available at: </w:t>
      </w:r>
      <w:hyperlink r:id="rId25" w:history="1">
        <w:r w:rsidR="007A1EF8" w:rsidRPr="00307B46">
          <w:rPr>
            <w:rStyle w:val="Hyperlink"/>
            <w:rFonts w:eastAsia="Times New Roman"/>
            <w:sz w:val="24"/>
            <w:szCs w:val="24"/>
            <w:lang w:val="en-GB"/>
          </w:rPr>
          <w:t>https://www.astrazeneca.co.uk/about-us/uk-sites/cambridge</w:t>
        </w:r>
      </w:hyperlink>
      <w:r w:rsidR="007A1EF8">
        <w:rPr>
          <w:rFonts w:eastAsia="Times New Roman"/>
          <w:sz w:val="24"/>
          <w:szCs w:val="24"/>
          <w:lang w:val="en-GB"/>
        </w:rPr>
        <w:t>. [Accessed 5</w:t>
      </w:r>
      <w:r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lastRenderedPageBreak/>
        <w:t>careers.astrazeneca</w:t>
      </w:r>
      <w:proofErr w:type="spellEnd"/>
      <w:r w:rsidRPr="00B1130A">
        <w:rPr>
          <w:rFonts w:eastAsia="Times New Roman"/>
          <w:sz w:val="24"/>
          <w:szCs w:val="24"/>
          <w:lang w:val="en-GB"/>
        </w:rPr>
        <w:t xml:space="preserve"> (2025). </w:t>
      </w:r>
      <w:r w:rsidRPr="00B1130A">
        <w:rPr>
          <w:rFonts w:eastAsia="Times New Roman"/>
          <w:i/>
          <w:iCs/>
          <w:sz w:val="24"/>
          <w:szCs w:val="24"/>
          <w:lang w:val="en-GB"/>
        </w:rPr>
        <w:t>AstraZeneca in Brazil</w:t>
      </w:r>
      <w:r w:rsidRPr="00B1130A">
        <w:rPr>
          <w:rFonts w:eastAsia="Times New Roman"/>
          <w:sz w:val="24"/>
          <w:szCs w:val="24"/>
          <w:lang w:val="en-GB"/>
        </w:rPr>
        <w:t xml:space="preserve">. [online] careers.astrazeneca.com. Available at: </w:t>
      </w:r>
      <w:hyperlink r:id="rId26" w:history="1">
        <w:r w:rsidR="007A1EF8" w:rsidRPr="00307B46">
          <w:rPr>
            <w:rStyle w:val="Hyperlink"/>
            <w:rFonts w:eastAsia="Times New Roman"/>
            <w:sz w:val="24"/>
            <w:szCs w:val="24"/>
            <w:lang w:val="en-GB"/>
          </w:rPr>
          <w:t>https://careers.astrazeneca.com/brazil</w:t>
        </w:r>
      </w:hyperlink>
      <w:r w:rsidRPr="00B1130A">
        <w:rPr>
          <w:rFonts w:eastAsia="Times New Roman"/>
          <w:sz w:val="24"/>
          <w:szCs w:val="24"/>
          <w:lang w:val="en-GB"/>
        </w:rPr>
        <w:t>.</w:t>
      </w:r>
      <w:r w:rsidR="007A1EF8">
        <w:rPr>
          <w:rFonts w:eastAsia="Times New Roman"/>
          <w:sz w:val="24"/>
          <w:szCs w:val="24"/>
          <w:lang w:val="en-GB"/>
        </w:rPr>
        <w:t xml:space="preserve"> [Accessed 8</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Dantas, S.I., Ferreira, L. and Carlos, J. (2022). Technological order and technology transfer of the vaccine for COVID-19 in Brazil: a case study of the model used by AstraZeneca/Oxford and </w:t>
      </w:r>
      <w:proofErr w:type="spellStart"/>
      <w:r w:rsidRPr="00B1130A">
        <w:rPr>
          <w:rFonts w:eastAsia="Times New Roman"/>
          <w:sz w:val="24"/>
          <w:szCs w:val="24"/>
          <w:lang w:val="en-GB"/>
        </w:rPr>
        <w:t>Fiocruz</w:t>
      </w:r>
      <w:proofErr w:type="spellEnd"/>
      <w:r w:rsidRPr="00B1130A">
        <w:rPr>
          <w:rFonts w:eastAsia="Times New Roman"/>
          <w:sz w:val="24"/>
          <w:szCs w:val="24"/>
          <w:lang w:val="en-GB"/>
        </w:rPr>
        <w:t xml:space="preserve">. </w:t>
      </w:r>
      <w:proofErr w:type="spellStart"/>
      <w:r w:rsidRPr="00B1130A">
        <w:rPr>
          <w:rFonts w:eastAsia="Times New Roman"/>
          <w:i/>
          <w:iCs/>
          <w:sz w:val="24"/>
          <w:szCs w:val="24"/>
          <w:lang w:val="en-GB"/>
        </w:rPr>
        <w:t>Vigilância</w:t>
      </w:r>
      <w:proofErr w:type="spellEnd"/>
      <w:r w:rsidRPr="00B1130A">
        <w:rPr>
          <w:rFonts w:eastAsia="Times New Roman"/>
          <w:i/>
          <w:iCs/>
          <w:sz w:val="24"/>
          <w:szCs w:val="24"/>
          <w:lang w:val="en-GB"/>
        </w:rPr>
        <w:t xml:space="preserve"> </w:t>
      </w:r>
      <w:proofErr w:type="spellStart"/>
      <w:r w:rsidRPr="00B1130A">
        <w:rPr>
          <w:rFonts w:eastAsia="Times New Roman"/>
          <w:i/>
          <w:iCs/>
          <w:sz w:val="24"/>
          <w:szCs w:val="24"/>
          <w:lang w:val="en-GB"/>
        </w:rPr>
        <w:t>Sanitária</w:t>
      </w:r>
      <w:proofErr w:type="spellEnd"/>
      <w:r w:rsidRPr="00B1130A">
        <w:rPr>
          <w:rFonts w:eastAsia="Times New Roman"/>
          <w:i/>
          <w:iCs/>
          <w:sz w:val="24"/>
          <w:szCs w:val="24"/>
          <w:lang w:val="en-GB"/>
        </w:rPr>
        <w:t xml:space="preserve"> </w:t>
      </w:r>
      <w:proofErr w:type="spellStart"/>
      <w:r w:rsidRPr="00B1130A">
        <w:rPr>
          <w:rFonts w:eastAsia="Times New Roman"/>
          <w:i/>
          <w:iCs/>
          <w:sz w:val="24"/>
          <w:szCs w:val="24"/>
          <w:lang w:val="en-GB"/>
        </w:rPr>
        <w:t>em</w:t>
      </w:r>
      <w:proofErr w:type="spellEnd"/>
      <w:r w:rsidRPr="00B1130A">
        <w:rPr>
          <w:rFonts w:eastAsia="Times New Roman"/>
          <w:i/>
          <w:iCs/>
          <w:sz w:val="24"/>
          <w:szCs w:val="24"/>
          <w:lang w:val="en-GB"/>
        </w:rPr>
        <w:t xml:space="preserve"> Debate</w:t>
      </w:r>
      <w:r w:rsidRPr="00B1130A">
        <w:rPr>
          <w:rFonts w:eastAsia="Times New Roman"/>
          <w:sz w:val="24"/>
          <w:szCs w:val="24"/>
          <w:lang w:val="en-GB"/>
        </w:rPr>
        <w:t xml:space="preserve">, [online] 10(4), pp.57–68. Available at: </w:t>
      </w:r>
      <w:hyperlink r:id="rId27" w:history="1">
        <w:r w:rsidR="007A1EF8" w:rsidRPr="00307B46">
          <w:rPr>
            <w:rStyle w:val="Hyperlink"/>
            <w:rFonts w:eastAsia="Times New Roman"/>
            <w:sz w:val="24"/>
            <w:szCs w:val="24"/>
            <w:lang w:val="en-GB"/>
          </w:rPr>
          <w:t>https://www.redalyc.org/journal/5705/570575686008/html/</w:t>
        </w:r>
      </w:hyperlink>
      <w:r w:rsidR="007A1EF8">
        <w:rPr>
          <w:rFonts w:eastAsia="Times New Roman"/>
          <w:sz w:val="24"/>
          <w:szCs w:val="24"/>
          <w:lang w:val="en-GB"/>
        </w:rPr>
        <w:t>. [Accessed 10</w:t>
      </w:r>
      <w:r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ddnews.gov (2024). </w:t>
      </w:r>
      <w:r w:rsidRPr="00B1130A">
        <w:rPr>
          <w:rFonts w:eastAsia="Times New Roman"/>
          <w:i/>
          <w:iCs/>
          <w:sz w:val="24"/>
          <w:szCs w:val="24"/>
          <w:lang w:val="en-GB"/>
        </w:rPr>
        <w:t>AstraZeneca withdraws Covid vaccine globally, cites commercial reasons: Report</w:t>
      </w:r>
      <w:r w:rsidRPr="00B1130A">
        <w:rPr>
          <w:rFonts w:eastAsia="Times New Roman"/>
          <w:sz w:val="24"/>
          <w:szCs w:val="24"/>
          <w:lang w:val="en-GB"/>
        </w:rPr>
        <w:t xml:space="preserve">. [online] Available at: </w:t>
      </w:r>
      <w:hyperlink r:id="rId28" w:history="1">
        <w:r w:rsidR="007A1EF8" w:rsidRPr="00307B46">
          <w:rPr>
            <w:rStyle w:val="Hyperlink"/>
            <w:rFonts w:eastAsia="Times New Roman"/>
            <w:sz w:val="24"/>
            <w:szCs w:val="24"/>
            <w:lang w:val="en-GB"/>
          </w:rPr>
          <w:t>https://ddnews.gov.in/en/astrazeneca-withdraws-covid-vaccine-globally-cites-commercial-reasons-report/</w:t>
        </w:r>
      </w:hyperlink>
      <w:r w:rsidRPr="00B1130A">
        <w:rPr>
          <w:rFonts w:eastAsia="Times New Roman"/>
          <w:sz w:val="24"/>
          <w:szCs w:val="24"/>
          <w:lang w:val="en-GB"/>
        </w:rPr>
        <w:t>.</w:t>
      </w:r>
      <w:r w:rsidR="007A1EF8">
        <w:rPr>
          <w:rFonts w:eastAsia="Times New Roman"/>
          <w:sz w:val="24"/>
          <w:szCs w:val="24"/>
          <w:lang w:val="en-GB"/>
        </w:rPr>
        <w:t xml:space="preserve"> [Accessed 10</w:t>
      </w:r>
      <w:r w:rsidR="007A1EF8"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economictimes.indiatimes</w:t>
      </w:r>
      <w:proofErr w:type="spellEnd"/>
      <w:r w:rsidRPr="00B1130A">
        <w:rPr>
          <w:rFonts w:eastAsia="Times New Roman"/>
          <w:sz w:val="24"/>
          <w:szCs w:val="24"/>
          <w:lang w:val="en-GB"/>
        </w:rPr>
        <w:t xml:space="preserve"> (2025). </w:t>
      </w:r>
      <w:r w:rsidRPr="00B1130A">
        <w:rPr>
          <w:rFonts w:eastAsia="Times New Roman"/>
          <w:i/>
          <w:iCs/>
          <w:sz w:val="24"/>
          <w:szCs w:val="24"/>
          <w:lang w:val="en-GB"/>
        </w:rPr>
        <w:t>AstraZeneca expands Bengaluru global hub with Rs 166-cr investment</w:t>
      </w:r>
      <w:r w:rsidRPr="00B1130A">
        <w:rPr>
          <w:rFonts w:eastAsia="Times New Roman"/>
          <w:sz w:val="24"/>
          <w:szCs w:val="24"/>
          <w:lang w:val="en-GB"/>
        </w:rPr>
        <w:t xml:space="preserve">. [online] The Economic Times. Available at: </w:t>
      </w:r>
      <w:hyperlink r:id="rId29" w:history="1">
        <w:r w:rsidR="007A1EF8" w:rsidRPr="00307B46">
          <w:rPr>
            <w:rStyle w:val="Hyperlink"/>
            <w:rFonts w:eastAsia="Times New Roman"/>
            <w:sz w:val="24"/>
            <w:szCs w:val="24"/>
            <w:lang w:val="en-GB"/>
          </w:rPr>
          <w:t>https://economictimes.indiatimes.com/industry/healthcare/biotech/pharmaceuticals/astrazeneca-expands-bengaluru-global-hub-with-rs-166-crinvestment/articleshow/122092164.cms?from=mdr</w:t>
        </w:r>
      </w:hyperlink>
      <w:r w:rsidR="007A1EF8">
        <w:rPr>
          <w:rFonts w:eastAsia="Times New Roman"/>
          <w:sz w:val="24"/>
          <w:szCs w:val="24"/>
          <w:lang w:val="en-GB"/>
        </w:rPr>
        <w:t>.  [Accessed 10</w:t>
      </w:r>
      <w:r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Elsakka</w:t>
      </w:r>
      <w:proofErr w:type="spellEnd"/>
      <w:r w:rsidRPr="00B1130A">
        <w:rPr>
          <w:rFonts w:eastAsia="Times New Roman"/>
          <w:sz w:val="24"/>
          <w:szCs w:val="24"/>
          <w:lang w:val="en-GB"/>
        </w:rPr>
        <w:t xml:space="preserve">, F., </w:t>
      </w:r>
      <w:proofErr w:type="spellStart"/>
      <w:r w:rsidRPr="00B1130A">
        <w:rPr>
          <w:rFonts w:eastAsia="Times New Roman"/>
          <w:sz w:val="24"/>
          <w:szCs w:val="24"/>
          <w:lang w:val="en-GB"/>
        </w:rPr>
        <w:t>Alketbi</w:t>
      </w:r>
      <w:proofErr w:type="spellEnd"/>
      <w:r w:rsidRPr="00B1130A">
        <w:rPr>
          <w:rFonts w:eastAsia="Times New Roman"/>
          <w:sz w:val="24"/>
          <w:szCs w:val="24"/>
          <w:lang w:val="en-GB"/>
        </w:rPr>
        <w:t xml:space="preserve">, S.A., </w:t>
      </w:r>
      <w:proofErr w:type="spellStart"/>
      <w:r w:rsidRPr="00B1130A">
        <w:rPr>
          <w:rFonts w:eastAsia="Times New Roman"/>
          <w:sz w:val="24"/>
          <w:szCs w:val="24"/>
          <w:lang w:val="en-GB"/>
        </w:rPr>
        <w:t>Qanbour</w:t>
      </w:r>
      <w:proofErr w:type="spellEnd"/>
      <w:r w:rsidRPr="00B1130A">
        <w:rPr>
          <w:rFonts w:eastAsia="Times New Roman"/>
          <w:sz w:val="24"/>
          <w:szCs w:val="24"/>
          <w:lang w:val="en-GB"/>
        </w:rPr>
        <w:t xml:space="preserve">, D.S., </w:t>
      </w:r>
      <w:proofErr w:type="spellStart"/>
      <w:r w:rsidRPr="00B1130A">
        <w:rPr>
          <w:rFonts w:eastAsia="Times New Roman"/>
          <w:sz w:val="24"/>
          <w:szCs w:val="24"/>
          <w:lang w:val="en-GB"/>
        </w:rPr>
        <w:t>Alkilany</w:t>
      </w:r>
      <w:proofErr w:type="spellEnd"/>
      <w:r w:rsidRPr="00B1130A">
        <w:rPr>
          <w:rFonts w:eastAsia="Times New Roman"/>
          <w:sz w:val="24"/>
          <w:szCs w:val="24"/>
          <w:lang w:val="en-GB"/>
        </w:rPr>
        <w:t xml:space="preserve">, I. and </w:t>
      </w:r>
      <w:proofErr w:type="spellStart"/>
      <w:r w:rsidRPr="00B1130A">
        <w:rPr>
          <w:rFonts w:eastAsia="Times New Roman"/>
          <w:sz w:val="24"/>
          <w:szCs w:val="24"/>
          <w:lang w:val="en-GB"/>
        </w:rPr>
        <w:t>Nobanee</w:t>
      </w:r>
      <w:proofErr w:type="spellEnd"/>
      <w:r w:rsidRPr="00B1130A">
        <w:rPr>
          <w:rFonts w:eastAsia="Times New Roman"/>
          <w:sz w:val="24"/>
          <w:szCs w:val="24"/>
          <w:lang w:val="en-GB"/>
        </w:rPr>
        <w:t xml:space="preserve">, H. (2025). A Financial Analysis of Pfizer &amp; AstraZeneca and the Impact of Scandals on Financial Ratios. </w:t>
      </w:r>
      <w:r w:rsidRPr="00B1130A">
        <w:rPr>
          <w:rFonts w:eastAsia="Times New Roman"/>
          <w:i/>
          <w:iCs/>
          <w:sz w:val="24"/>
          <w:szCs w:val="24"/>
          <w:lang w:val="en-GB"/>
        </w:rPr>
        <w:t>SSRN Electronic Journal</w:t>
      </w:r>
      <w:r w:rsidRPr="00B1130A">
        <w:rPr>
          <w:rFonts w:eastAsia="Times New Roman"/>
          <w:sz w:val="24"/>
          <w:szCs w:val="24"/>
          <w:lang w:val="en-GB"/>
        </w:rPr>
        <w:t xml:space="preserve">.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://doi.org/10.2139/ssrn.5073862.</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Huang, S., Xie, W. and Xu, X. (2024). Bureaucracy-business relationship, corruption and the implications for marketization. </w:t>
      </w:r>
      <w:r w:rsidRPr="00B1130A">
        <w:rPr>
          <w:rFonts w:eastAsia="Times New Roman"/>
          <w:i/>
          <w:iCs/>
          <w:sz w:val="24"/>
          <w:szCs w:val="24"/>
          <w:lang w:val="en-GB"/>
        </w:rPr>
        <w:t>Journal of Comparative Economics</w:t>
      </w:r>
      <w:r w:rsidRPr="00B1130A">
        <w:rPr>
          <w:rFonts w:eastAsia="Times New Roman"/>
          <w:sz w:val="24"/>
          <w:szCs w:val="24"/>
          <w:lang w:val="en-GB"/>
        </w:rPr>
        <w:t xml:space="preserve">, [online] 52(3), pp.634–644.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://doi.org/10.1016/j.jce.2024.06.004.</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Jain, D. (2023). Regulation of Digital Healthcare in India: Ethical and Legal Challenges. </w:t>
      </w:r>
      <w:r w:rsidRPr="00B1130A">
        <w:rPr>
          <w:rFonts w:eastAsia="Times New Roman"/>
          <w:i/>
          <w:iCs/>
          <w:sz w:val="24"/>
          <w:szCs w:val="24"/>
          <w:lang w:val="en-GB"/>
        </w:rPr>
        <w:t>Healthcare</w:t>
      </w:r>
      <w:r w:rsidRPr="00B1130A">
        <w:rPr>
          <w:rFonts w:eastAsia="Times New Roman"/>
          <w:sz w:val="24"/>
          <w:szCs w:val="24"/>
          <w:lang w:val="en-GB"/>
        </w:rPr>
        <w:t xml:space="preserve">, [online] 11(6), p.911.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://doi.org/10.3390/healthcare11060911.</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Karoline, Maria, Otávio, J. and Silva (2019). Public engagement in health technology assessment in Brazil: the case of the Trastuzumab public consultation.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://doi.org/10.1186/s12913-019-4555-6.</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lastRenderedPageBreak/>
        <w:t xml:space="preserve">Kumar, A. (2023). The Transformation of The Indian Healthcare System. </w:t>
      </w:r>
      <w:r w:rsidRPr="00B1130A">
        <w:rPr>
          <w:rFonts w:eastAsia="Times New Roman"/>
          <w:i/>
          <w:iCs/>
          <w:sz w:val="24"/>
          <w:szCs w:val="24"/>
          <w:lang w:val="en-GB"/>
        </w:rPr>
        <w:t>Cureus</w:t>
      </w:r>
      <w:r w:rsidRPr="00B1130A">
        <w:rPr>
          <w:rFonts w:eastAsia="Times New Roman"/>
          <w:sz w:val="24"/>
          <w:szCs w:val="24"/>
          <w:lang w:val="en-GB"/>
        </w:rPr>
        <w:t xml:space="preserve">, [online] 15(5).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://doi.org/10.7759/cureus.39079.</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Lin, H. and Lou, L. (2024). A Study on Cross-Cultural Business Communication Based on Hofstede’s Cultural Dimensions Theory. </w:t>
      </w:r>
      <w:r w:rsidRPr="00B1130A">
        <w:rPr>
          <w:rFonts w:eastAsia="Times New Roman"/>
          <w:i/>
          <w:iCs/>
          <w:sz w:val="24"/>
          <w:szCs w:val="24"/>
          <w:lang w:val="en-GB"/>
        </w:rPr>
        <w:t>Open Journal of Social Sciences</w:t>
      </w:r>
      <w:r w:rsidRPr="00B1130A">
        <w:rPr>
          <w:rFonts w:eastAsia="Times New Roman"/>
          <w:sz w:val="24"/>
          <w:szCs w:val="24"/>
          <w:lang w:val="en-GB"/>
        </w:rPr>
        <w:t xml:space="preserve">, 12(09), pp.352–368.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://doi.org/10.4236/jss.2024.129021.</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linkedin</w:t>
      </w:r>
      <w:proofErr w:type="spellEnd"/>
      <w:r w:rsidRPr="00B1130A">
        <w:rPr>
          <w:rFonts w:eastAsia="Times New Roman"/>
          <w:sz w:val="24"/>
          <w:szCs w:val="24"/>
          <w:lang w:val="en-GB"/>
        </w:rPr>
        <w:t xml:space="preserve"> (2023). </w:t>
      </w:r>
      <w:r w:rsidRPr="00B1130A">
        <w:rPr>
          <w:rFonts w:eastAsia="Times New Roman"/>
          <w:i/>
          <w:iCs/>
          <w:sz w:val="24"/>
          <w:szCs w:val="24"/>
          <w:lang w:val="en-GB"/>
        </w:rPr>
        <w:t>Learn what to include in your contingency plan for supplier disruptions, such as how to identify critical suppliers, assess risks, develop alternatives, and monitor your plan.</w:t>
      </w:r>
      <w:r w:rsidRPr="00B1130A">
        <w:rPr>
          <w:rFonts w:eastAsia="Times New Roman"/>
          <w:sz w:val="24"/>
          <w:szCs w:val="24"/>
          <w:lang w:val="en-GB"/>
        </w:rPr>
        <w:t xml:space="preserve"> [online] Linkedin.com. Available at: </w:t>
      </w:r>
      <w:hyperlink r:id="rId30" w:history="1">
        <w:r w:rsidR="007A1EF8" w:rsidRPr="00307B46">
          <w:rPr>
            <w:rStyle w:val="Hyperlink"/>
            <w:rFonts w:eastAsia="Times New Roman"/>
            <w:sz w:val="24"/>
            <w:szCs w:val="24"/>
            <w:lang w:val="en-GB"/>
          </w:rPr>
          <w:t>https://www.linkedin.com/advice/3/what-should-you-include-contingency-plan-supplier-6ocvc</w:t>
        </w:r>
      </w:hyperlink>
      <w:r w:rsidR="007A1EF8">
        <w:rPr>
          <w:rFonts w:eastAsia="Times New Roman"/>
          <w:sz w:val="24"/>
          <w:szCs w:val="24"/>
          <w:lang w:val="en-GB"/>
        </w:rPr>
        <w:t>. [Accessed 10</w:t>
      </w:r>
      <w:r w:rsidRPr="00B1130A">
        <w:rPr>
          <w:rFonts w:eastAsia="Times New Roman"/>
          <w:sz w:val="24"/>
          <w:szCs w:val="24"/>
          <w:lang w:val="en-GB"/>
        </w:rPr>
        <w:t xml:space="preserve"> 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Mani, R.K., Bhatnagar, S., Savita Butola, Roop Gursahani, Mehta, D., </w:t>
      </w:r>
      <w:proofErr w:type="spellStart"/>
      <w:r w:rsidRPr="00B1130A">
        <w:rPr>
          <w:rFonts w:eastAsia="Times New Roman"/>
          <w:sz w:val="24"/>
          <w:szCs w:val="24"/>
          <w:lang w:val="en-GB"/>
        </w:rPr>
        <w:t>Srinagesh</w:t>
      </w:r>
      <w:proofErr w:type="spellEnd"/>
      <w:r w:rsidRPr="00B1130A">
        <w:rPr>
          <w:rFonts w:eastAsia="Times New Roman"/>
          <w:sz w:val="24"/>
          <w:szCs w:val="24"/>
          <w:lang w:val="en-GB"/>
        </w:rPr>
        <w:t xml:space="preserve"> Simha, </w:t>
      </w:r>
      <w:proofErr w:type="spellStart"/>
      <w:r w:rsidRPr="00B1130A">
        <w:rPr>
          <w:rFonts w:eastAsia="Times New Roman"/>
          <w:sz w:val="24"/>
          <w:szCs w:val="24"/>
          <w:lang w:val="en-GB"/>
        </w:rPr>
        <w:t>Divatia</w:t>
      </w:r>
      <w:proofErr w:type="spellEnd"/>
      <w:r w:rsidRPr="00B1130A">
        <w:rPr>
          <w:rFonts w:eastAsia="Times New Roman"/>
          <w:sz w:val="24"/>
          <w:szCs w:val="24"/>
          <w:lang w:val="en-GB"/>
        </w:rPr>
        <w:t xml:space="preserve">, J.V., Kumar, A., Iyer, S.K., Jayita Deodhar, Bhat, R.S., Salins, N., Thota, R.S., Mathur, R., Iyer, R.K., Gupta, S., Kulkarni, P., Sangeetha Murugan, Nasa, P. and </w:t>
      </w:r>
      <w:proofErr w:type="spellStart"/>
      <w:r w:rsidRPr="00B1130A">
        <w:rPr>
          <w:rFonts w:eastAsia="Times New Roman"/>
          <w:sz w:val="24"/>
          <w:szCs w:val="24"/>
          <w:lang w:val="en-GB"/>
        </w:rPr>
        <w:t>Myatra</w:t>
      </w:r>
      <w:proofErr w:type="spellEnd"/>
      <w:r w:rsidRPr="00B1130A">
        <w:rPr>
          <w:rFonts w:eastAsia="Times New Roman"/>
          <w:sz w:val="24"/>
          <w:szCs w:val="24"/>
          <w:lang w:val="en-GB"/>
        </w:rPr>
        <w:t xml:space="preserve">, S.N. (2024). Indian Society of Critical Care Medicine and Indian Association of Palliative Care Expert Consensus and Position Statements for End-of-life and Palliative Care in the Intensive Care Unit. </w:t>
      </w:r>
      <w:r w:rsidRPr="00B1130A">
        <w:rPr>
          <w:rFonts w:eastAsia="Times New Roman"/>
          <w:i/>
          <w:iCs/>
          <w:sz w:val="24"/>
          <w:szCs w:val="24"/>
          <w:lang w:val="en-GB"/>
        </w:rPr>
        <w:t>Indian journal of critical care medicine/Indian Journal of Critical Care Medicine</w:t>
      </w:r>
      <w:r w:rsidRPr="00B1130A">
        <w:rPr>
          <w:rFonts w:eastAsia="Times New Roman"/>
          <w:sz w:val="24"/>
          <w:szCs w:val="24"/>
          <w:lang w:val="en-GB"/>
        </w:rPr>
        <w:t xml:space="preserve">, 28(3), pp.200–250.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://doi.org/10.5005/jp-journals-10071-24661.</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Mukherjee, R. (2023). </w:t>
      </w:r>
      <w:r w:rsidRPr="00B1130A">
        <w:rPr>
          <w:rFonts w:eastAsia="Times New Roman"/>
          <w:i/>
          <w:iCs/>
          <w:sz w:val="24"/>
          <w:szCs w:val="24"/>
          <w:lang w:val="en-GB"/>
        </w:rPr>
        <w:t xml:space="preserve">AstraZeneca to exit India </w:t>
      </w:r>
      <w:proofErr w:type="spellStart"/>
      <w:r w:rsidRPr="00B1130A">
        <w:rPr>
          <w:rFonts w:eastAsia="Times New Roman"/>
          <w:i/>
          <w:iCs/>
          <w:sz w:val="24"/>
          <w:szCs w:val="24"/>
          <w:lang w:val="en-GB"/>
        </w:rPr>
        <w:t>mfg</w:t>
      </w:r>
      <w:proofErr w:type="spellEnd"/>
      <w:r w:rsidRPr="00B1130A">
        <w:rPr>
          <w:rFonts w:eastAsia="Times New Roman"/>
          <w:i/>
          <w:iCs/>
          <w:sz w:val="24"/>
          <w:szCs w:val="24"/>
          <w:lang w:val="en-GB"/>
        </w:rPr>
        <w:t xml:space="preserve"> as part of global review</w:t>
      </w:r>
      <w:r w:rsidRPr="00B1130A">
        <w:rPr>
          <w:rFonts w:eastAsia="Times New Roman"/>
          <w:sz w:val="24"/>
          <w:szCs w:val="24"/>
          <w:lang w:val="en-GB"/>
        </w:rPr>
        <w:t xml:space="preserve">. [online] The Times of India. Available at: </w:t>
      </w:r>
      <w:hyperlink r:id="rId31" w:history="1">
        <w:r w:rsidR="007A1EF8" w:rsidRPr="00307B46">
          <w:rPr>
            <w:rStyle w:val="Hyperlink"/>
            <w:rFonts w:eastAsia="Times New Roman"/>
            <w:sz w:val="24"/>
            <w:szCs w:val="24"/>
            <w:lang w:val="en-GB"/>
          </w:rPr>
          <w:t>https://timesofindia.indiatimes.com/city/delhi/astrazeneca-exit-manufacturing-india-global-review/articleshow/105275280.cms</w:t>
        </w:r>
      </w:hyperlink>
      <w:r w:rsidR="007A1EF8">
        <w:rPr>
          <w:rFonts w:eastAsia="Times New Roman"/>
          <w:sz w:val="24"/>
          <w:szCs w:val="24"/>
          <w:lang w:val="en-GB"/>
        </w:rPr>
        <w:t xml:space="preserve">. [Accessed 10 </w:t>
      </w:r>
      <w:r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navlindaily</w:t>
      </w:r>
      <w:proofErr w:type="spellEnd"/>
      <w:r w:rsidRPr="00B1130A">
        <w:rPr>
          <w:rFonts w:eastAsia="Times New Roman"/>
          <w:sz w:val="24"/>
          <w:szCs w:val="24"/>
          <w:lang w:val="en-GB"/>
        </w:rPr>
        <w:t xml:space="preserve"> (2024). </w:t>
      </w:r>
      <w:r w:rsidRPr="00B1130A">
        <w:rPr>
          <w:rFonts w:eastAsia="Times New Roman"/>
          <w:i/>
          <w:iCs/>
          <w:sz w:val="24"/>
          <w:szCs w:val="24"/>
          <w:lang w:val="en-GB"/>
        </w:rPr>
        <w:t>NAVLIN Insight: EUHTAR Mid-Year Recap</w:t>
      </w:r>
      <w:r w:rsidRPr="00B1130A">
        <w:rPr>
          <w:rFonts w:eastAsia="Times New Roman"/>
          <w:sz w:val="24"/>
          <w:szCs w:val="24"/>
          <w:lang w:val="en-GB"/>
        </w:rPr>
        <w:t xml:space="preserve">. [online] Available at: </w:t>
      </w:r>
      <w:hyperlink r:id="rId32" w:history="1">
        <w:r w:rsidR="007A1EF8" w:rsidRPr="00307B46">
          <w:rPr>
            <w:rStyle w:val="Hyperlink"/>
            <w:rFonts w:eastAsia="Times New Roman"/>
            <w:sz w:val="24"/>
            <w:szCs w:val="24"/>
            <w:lang w:val="en-GB"/>
          </w:rPr>
          <w:t>https://www.navlindaily.com/upload/newsletter/attachment/250702091601_NAVLIN_Insights_Newsletter___Issue_74.pdf</w:t>
        </w:r>
      </w:hyperlink>
      <w:r w:rsidR="007A1EF8">
        <w:rPr>
          <w:rFonts w:eastAsia="Times New Roman"/>
          <w:sz w:val="24"/>
          <w:szCs w:val="24"/>
          <w:lang w:val="en-GB"/>
        </w:rPr>
        <w:t xml:space="preserve">. [Accessed 10 </w:t>
      </w:r>
      <w:r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oecd</w:t>
      </w:r>
      <w:proofErr w:type="spellEnd"/>
      <w:r w:rsidRPr="00B1130A">
        <w:rPr>
          <w:rFonts w:eastAsia="Times New Roman"/>
          <w:sz w:val="24"/>
          <w:szCs w:val="24"/>
          <w:lang w:val="en-GB"/>
        </w:rPr>
        <w:t xml:space="preserve"> (2020). </w:t>
      </w:r>
      <w:r w:rsidRPr="00B1130A">
        <w:rPr>
          <w:rFonts w:eastAsia="Times New Roman"/>
          <w:i/>
          <w:iCs/>
          <w:sz w:val="24"/>
          <w:szCs w:val="24"/>
          <w:lang w:val="en-GB"/>
        </w:rPr>
        <w:t>Responsible Business Conduct Country Fact Sheet BRAZIL Responsible business conduct</w:t>
      </w:r>
      <w:r w:rsidRPr="00B1130A">
        <w:rPr>
          <w:rFonts w:eastAsia="Times New Roman"/>
          <w:sz w:val="24"/>
          <w:szCs w:val="24"/>
          <w:lang w:val="en-GB"/>
        </w:rPr>
        <w:t xml:space="preserve">. [online] Available at: </w:t>
      </w:r>
      <w:hyperlink r:id="rId33" w:history="1">
        <w:r w:rsidR="007A1EF8" w:rsidRPr="00307B46">
          <w:rPr>
            <w:rStyle w:val="Hyperlink"/>
            <w:rFonts w:eastAsia="Times New Roman"/>
            <w:sz w:val="24"/>
            <w:szCs w:val="24"/>
            <w:lang w:val="en-GB"/>
          </w:rPr>
          <w:t>https://www.oecd.org/content/dam/oecd/en/topics/policy-sub-issues/global-engagement-</w:t>
        </w:r>
        <w:r w:rsidR="007A1EF8" w:rsidRPr="00307B46">
          <w:rPr>
            <w:rStyle w:val="Hyperlink"/>
            <w:rFonts w:eastAsia="Times New Roman"/>
            <w:sz w:val="24"/>
            <w:szCs w:val="24"/>
            <w:lang w:val="en-GB"/>
          </w:rPr>
          <w:lastRenderedPageBreak/>
          <w:t>on-responsible-business-conduct/lac/rbc-country-fact-sheet-brazil.pdf</w:t>
        </w:r>
      </w:hyperlink>
      <w:r w:rsidRPr="00B1130A">
        <w:rPr>
          <w:rFonts w:eastAsia="Times New Roman"/>
          <w:sz w:val="24"/>
          <w:szCs w:val="24"/>
          <w:lang w:val="en-GB"/>
        </w:rPr>
        <w:t>.</w:t>
      </w:r>
      <w:r w:rsidR="007A1EF8">
        <w:rPr>
          <w:rFonts w:eastAsia="Times New Roman"/>
          <w:sz w:val="24"/>
          <w:szCs w:val="24"/>
          <w:lang w:val="en-GB"/>
        </w:rPr>
        <w:t xml:space="preserve"> [Accessed 10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oecd</w:t>
      </w:r>
      <w:proofErr w:type="spellEnd"/>
      <w:r w:rsidRPr="00B1130A">
        <w:rPr>
          <w:rFonts w:eastAsia="Times New Roman"/>
          <w:sz w:val="24"/>
          <w:szCs w:val="24"/>
          <w:lang w:val="en-GB"/>
        </w:rPr>
        <w:t xml:space="preserve"> (2021). </w:t>
      </w:r>
      <w:r w:rsidRPr="00B1130A">
        <w:rPr>
          <w:rFonts w:eastAsia="Times New Roman"/>
          <w:i/>
          <w:iCs/>
          <w:sz w:val="24"/>
          <w:szCs w:val="24"/>
          <w:lang w:val="en-GB"/>
        </w:rPr>
        <w:t>Perspectives on Global Development 2021 FROM PROTEST TO PROGRESS?</w:t>
      </w:r>
      <w:r w:rsidRPr="00B1130A">
        <w:rPr>
          <w:rFonts w:eastAsia="Times New Roman"/>
          <w:sz w:val="24"/>
          <w:szCs w:val="24"/>
          <w:lang w:val="en-GB"/>
        </w:rPr>
        <w:t xml:space="preserve"> [online] Available at: </w:t>
      </w:r>
      <w:hyperlink r:id="rId34" w:history="1">
        <w:r w:rsidR="007A1EF8" w:rsidRPr="00307B46">
          <w:rPr>
            <w:rStyle w:val="Hyperlink"/>
            <w:rFonts w:eastAsia="Times New Roman"/>
            <w:sz w:val="24"/>
            <w:szCs w:val="24"/>
            <w:lang w:val="en-GB"/>
          </w:rPr>
          <w:t>https://www.oecd.org/content/dam/oecd/en/publications/reports/2007/10/globalisation-and-regional-economies_g1gh83b4/9789264037809-en.pdf</w:t>
        </w:r>
      </w:hyperlink>
      <w:r w:rsidRPr="00B1130A">
        <w:rPr>
          <w:rFonts w:eastAsia="Times New Roman"/>
          <w:sz w:val="24"/>
          <w:szCs w:val="24"/>
          <w:lang w:val="en-GB"/>
        </w:rPr>
        <w:t>.</w:t>
      </w:r>
      <w:r w:rsidR="007A1EF8">
        <w:rPr>
          <w:rFonts w:eastAsia="Times New Roman"/>
          <w:sz w:val="24"/>
          <w:szCs w:val="24"/>
          <w:lang w:val="en-GB"/>
        </w:rPr>
        <w:t xml:space="preserve"> [Accessed 10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pib.gov (2023). </w:t>
      </w:r>
      <w:r w:rsidRPr="00B1130A">
        <w:rPr>
          <w:rFonts w:eastAsia="Times New Roman"/>
          <w:i/>
          <w:iCs/>
          <w:sz w:val="24"/>
          <w:szCs w:val="24"/>
          <w:lang w:val="en-GB"/>
        </w:rPr>
        <w:t>India’s Pharma Exports grow over 125% in last 9 years Investment of Rs. 21,861 Crore received under PLI Schemes</w:t>
      </w:r>
      <w:r w:rsidRPr="00B1130A">
        <w:rPr>
          <w:rFonts w:eastAsia="Times New Roman"/>
          <w:sz w:val="24"/>
          <w:szCs w:val="24"/>
          <w:lang w:val="en-GB"/>
        </w:rPr>
        <w:t xml:space="preserve">. [online] Pib.gov.in. Available at: </w:t>
      </w:r>
      <w:hyperlink r:id="rId35" w:history="1">
        <w:r w:rsidR="007A1EF8" w:rsidRPr="00307B46">
          <w:rPr>
            <w:rStyle w:val="Hyperlink"/>
            <w:rFonts w:eastAsia="Times New Roman"/>
            <w:sz w:val="24"/>
            <w:szCs w:val="24"/>
            <w:lang w:val="en-GB"/>
          </w:rPr>
          <w:t>https://www.pib.gov.in/PressReleasePage.aspx?PRID=1931918</w:t>
        </w:r>
      </w:hyperlink>
      <w:r w:rsidRPr="00B1130A">
        <w:rPr>
          <w:rFonts w:eastAsia="Times New Roman"/>
          <w:sz w:val="24"/>
          <w:szCs w:val="24"/>
          <w:lang w:val="en-GB"/>
        </w:rPr>
        <w:t>.</w:t>
      </w:r>
      <w:r w:rsidR="007A1EF8">
        <w:rPr>
          <w:rFonts w:eastAsia="Times New Roman"/>
          <w:sz w:val="24"/>
          <w:szCs w:val="24"/>
          <w:lang w:val="en-GB"/>
        </w:rPr>
        <w:t xml:space="preserve"> [Accessed 10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Ruas, C.M., Portela, R., Francisco, Alvares-Teodoro, J. and Kesselheim, A.S. (2025). Pharmaceutical access in Brazil: challenges and opportunities. </w:t>
      </w:r>
      <w:r w:rsidRPr="00B1130A">
        <w:rPr>
          <w:rFonts w:eastAsia="Times New Roman"/>
          <w:i/>
          <w:iCs/>
          <w:sz w:val="24"/>
          <w:szCs w:val="24"/>
          <w:lang w:val="en-GB"/>
        </w:rPr>
        <w:t>Globalization and Health</w:t>
      </w:r>
      <w:r w:rsidRPr="00B1130A">
        <w:rPr>
          <w:rFonts w:eastAsia="Times New Roman"/>
          <w:sz w:val="24"/>
          <w:szCs w:val="24"/>
          <w:lang w:val="en-GB"/>
        </w:rPr>
        <w:t xml:space="preserve">, [online] 21(1).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://doi.org/10.1186/s12992-025-01141-4.</w:t>
      </w:r>
      <w:r w:rsidR="007A1EF8">
        <w:rPr>
          <w:rFonts w:eastAsia="Times New Roman"/>
          <w:sz w:val="24"/>
          <w:szCs w:val="24"/>
          <w:lang w:val="en-GB"/>
        </w:rPr>
        <w:t xml:space="preserve"> </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swedcham</w:t>
      </w:r>
      <w:proofErr w:type="spellEnd"/>
      <w:r w:rsidRPr="00B1130A">
        <w:rPr>
          <w:rFonts w:eastAsia="Times New Roman"/>
          <w:sz w:val="24"/>
          <w:szCs w:val="24"/>
          <w:lang w:val="en-GB"/>
        </w:rPr>
        <w:t xml:space="preserve"> (2023). </w:t>
      </w:r>
      <w:r w:rsidRPr="00B1130A">
        <w:rPr>
          <w:rFonts w:eastAsia="Times New Roman"/>
          <w:i/>
          <w:iCs/>
          <w:sz w:val="24"/>
          <w:szCs w:val="24"/>
          <w:lang w:val="en-GB"/>
        </w:rPr>
        <w:t>A story of Passion</w:t>
      </w:r>
      <w:r w:rsidRPr="00B1130A">
        <w:rPr>
          <w:rFonts w:eastAsia="Times New Roman"/>
          <w:sz w:val="24"/>
          <w:szCs w:val="24"/>
          <w:lang w:val="en-GB"/>
        </w:rPr>
        <w:t xml:space="preserve">. [online] Available at: </w:t>
      </w:r>
      <w:hyperlink r:id="rId36" w:history="1">
        <w:r w:rsidR="007A1EF8" w:rsidRPr="00307B46">
          <w:rPr>
            <w:rStyle w:val="Hyperlink"/>
            <w:rFonts w:eastAsia="Times New Roman"/>
            <w:sz w:val="24"/>
            <w:szCs w:val="24"/>
            <w:lang w:val="en-GB"/>
          </w:rPr>
          <w:t>https://www.swedcham.com.br/publico/relatorio-diversos/A-Story-of-Passion-for-Business-and-People.pdf</w:t>
        </w:r>
      </w:hyperlink>
      <w:r w:rsidRPr="00B1130A">
        <w:rPr>
          <w:rFonts w:eastAsia="Times New Roman"/>
          <w:sz w:val="24"/>
          <w:szCs w:val="24"/>
          <w:lang w:val="en-GB"/>
        </w:rPr>
        <w:t>.</w:t>
      </w:r>
      <w:r w:rsidR="007A1EF8">
        <w:rPr>
          <w:rFonts w:eastAsia="Times New Roman"/>
          <w:sz w:val="24"/>
          <w:szCs w:val="24"/>
          <w:lang w:val="en-GB"/>
        </w:rPr>
        <w:t xml:space="preserve"> [Accessed 10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proofErr w:type="spellStart"/>
      <w:r w:rsidRPr="00B1130A">
        <w:rPr>
          <w:rFonts w:eastAsia="Times New Roman"/>
          <w:sz w:val="24"/>
          <w:szCs w:val="24"/>
          <w:lang w:val="en-GB"/>
        </w:rPr>
        <w:t>thestrategyinstitute</w:t>
      </w:r>
      <w:proofErr w:type="spellEnd"/>
      <w:r w:rsidRPr="00B1130A">
        <w:rPr>
          <w:rFonts w:eastAsia="Times New Roman"/>
          <w:sz w:val="24"/>
          <w:szCs w:val="24"/>
          <w:lang w:val="en-GB"/>
        </w:rPr>
        <w:t xml:space="preserve"> (2025). </w:t>
      </w:r>
      <w:r w:rsidRPr="00B1130A">
        <w:rPr>
          <w:rFonts w:eastAsia="Times New Roman"/>
          <w:i/>
          <w:iCs/>
          <w:sz w:val="24"/>
          <w:szCs w:val="24"/>
          <w:lang w:val="en-GB"/>
        </w:rPr>
        <w:t>Strategic initiatives: Key types, how to develop and execute them</w:t>
      </w:r>
      <w:r w:rsidRPr="00B1130A">
        <w:rPr>
          <w:rFonts w:eastAsia="Times New Roman"/>
          <w:sz w:val="24"/>
          <w:szCs w:val="24"/>
          <w:lang w:val="en-GB"/>
        </w:rPr>
        <w:t xml:space="preserve">. [online] Thestrategyinstitute.org. Available at: </w:t>
      </w:r>
      <w:hyperlink r:id="rId37" w:history="1">
        <w:r w:rsidR="007A1EF8" w:rsidRPr="00307B46">
          <w:rPr>
            <w:rStyle w:val="Hyperlink"/>
            <w:rFonts w:eastAsia="Times New Roman"/>
            <w:sz w:val="24"/>
            <w:szCs w:val="24"/>
            <w:lang w:val="en-GB"/>
          </w:rPr>
          <w:t>https://www.thestrategyinstitute.org/insights/strategic-initiatives-key-types-how-to-develop-and-execute-them</w:t>
        </w:r>
      </w:hyperlink>
      <w:r w:rsidRPr="00B1130A">
        <w:rPr>
          <w:rFonts w:eastAsia="Times New Roman"/>
          <w:sz w:val="24"/>
          <w:szCs w:val="24"/>
          <w:lang w:val="en-GB"/>
        </w:rPr>
        <w:t>.</w:t>
      </w:r>
      <w:r w:rsidR="007A1EF8">
        <w:rPr>
          <w:rFonts w:eastAsia="Times New Roman"/>
          <w:sz w:val="24"/>
          <w:szCs w:val="24"/>
          <w:lang w:val="en-GB"/>
        </w:rPr>
        <w:t xml:space="preserve"> [Accessed 10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trade.gov (2022). </w:t>
      </w:r>
      <w:r w:rsidRPr="00B1130A">
        <w:rPr>
          <w:rFonts w:eastAsia="Times New Roman"/>
          <w:i/>
          <w:iCs/>
          <w:sz w:val="24"/>
          <w:szCs w:val="24"/>
          <w:lang w:val="en-GB"/>
        </w:rPr>
        <w:t>Brazil - Healthcare</w:t>
      </w:r>
      <w:r w:rsidRPr="00B1130A">
        <w:rPr>
          <w:rFonts w:eastAsia="Times New Roman"/>
          <w:sz w:val="24"/>
          <w:szCs w:val="24"/>
          <w:lang w:val="en-GB"/>
        </w:rPr>
        <w:t xml:space="preserve">. [online] www.trade.gov. Available at: </w:t>
      </w:r>
      <w:hyperlink r:id="rId38" w:history="1">
        <w:r w:rsidR="007A1EF8" w:rsidRPr="00307B46">
          <w:rPr>
            <w:rStyle w:val="Hyperlink"/>
            <w:rFonts w:eastAsia="Times New Roman"/>
            <w:sz w:val="24"/>
            <w:szCs w:val="24"/>
            <w:lang w:val="en-GB"/>
          </w:rPr>
          <w:t>https://www.trade.gov/country-commercial-guides/brazil-healthcare</w:t>
        </w:r>
      </w:hyperlink>
      <w:r w:rsidRPr="00B1130A">
        <w:rPr>
          <w:rFonts w:eastAsia="Times New Roman"/>
          <w:sz w:val="24"/>
          <w:szCs w:val="24"/>
          <w:lang w:val="en-GB"/>
        </w:rPr>
        <w:t>.</w:t>
      </w:r>
      <w:r w:rsidR="007A1EF8">
        <w:rPr>
          <w:rFonts w:eastAsia="Times New Roman"/>
          <w:sz w:val="24"/>
          <w:szCs w:val="24"/>
          <w:lang w:val="en-GB"/>
        </w:rPr>
        <w:t xml:space="preserve"> [Accessed 10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t xml:space="preserve">UNCTAD (2022). </w:t>
      </w:r>
      <w:r w:rsidRPr="00B1130A">
        <w:rPr>
          <w:rFonts w:eastAsia="Times New Roman"/>
          <w:i/>
          <w:iCs/>
          <w:sz w:val="24"/>
          <w:szCs w:val="24"/>
          <w:lang w:val="en-GB"/>
        </w:rPr>
        <w:t>World Investment Report 2022</w:t>
      </w:r>
      <w:r w:rsidRPr="00B1130A">
        <w:rPr>
          <w:rFonts w:eastAsia="Times New Roman"/>
          <w:sz w:val="24"/>
          <w:szCs w:val="24"/>
          <w:lang w:val="en-GB"/>
        </w:rPr>
        <w:t xml:space="preserve">. [online] UNCTAD. Available at: </w:t>
      </w:r>
      <w:hyperlink r:id="rId39" w:history="1">
        <w:r w:rsidR="007A1EF8" w:rsidRPr="00307B46">
          <w:rPr>
            <w:rStyle w:val="Hyperlink"/>
            <w:rFonts w:eastAsia="Times New Roman"/>
            <w:sz w:val="24"/>
            <w:szCs w:val="24"/>
            <w:lang w:val="en-GB"/>
          </w:rPr>
          <w:t>https://unctad.org/system/files/official-document/wir2022_en.pdf</w:t>
        </w:r>
      </w:hyperlink>
      <w:r w:rsidRPr="00B1130A">
        <w:rPr>
          <w:rFonts w:eastAsia="Times New Roman"/>
          <w:sz w:val="24"/>
          <w:szCs w:val="24"/>
          <w:lang w:val="en-GB"/>
        </w:rPr>
        <w:t>.</w:t>
      </w:r>
      <w:r w:rsidR="007A1EF8">
        <w:rPr>
          <w:rFonts w:eastAsia="Times New Roman"/>
          <w:sz w:val="24"/>
          <w:szCs w:val="24"/>
          <w:lang w:val="en-GB"/>
        </w:rPr>
        <w:t xml:space="preserve"> [Accessed 10 </w:t>
      </w:r>
      <w:r w:rsidR="007A1EF8" w:rsidRPr="00B1130A">
        <w:rPr>
          <w:rFonts w:eastAsia="Times New Roman"/>
          <w:sz w:val="24"/>
          <w:szCs w:val="24"/>
          <w:lang w:val="en-GB"/>
        </w:rPr>
        <w:t>Nov. 2025].</w:t>
      </w:r>
    </w:p>
    <w:p w:rsidR="00824D7D" w:rsidRPr="00B1130A" w:rsidRDefault="00130925">
      <w:pPr>
        <w:spacing w:after="240" w:line="360" w:lineRule="auto"/>
        <w:jc w:val="both"/>
        <w:rPr>
          <w:rFonts w:eastAsia="Times New Roman"/>
          <w:sz w:val="24"/>
          <w:szCs w:val="24"/>
          <w:lang w:val="en-GB"/>
        </w:rPr>
      </w:pPr>
      <w:r w:rsidRPr="00B1130A">
        <w:rPr>
          <w:rFonts w:eastAsia="Times New Roman"/>
          <w:sz w:val="24"/>
          <w:szCs w:val="24"/>
          <w:lang w:val="en-GB"/>
        </w:rPr>
        <w:lastRenderedPageBreak/>
        <w:t xml:space="preserve">Zhang, Y., Li, H., Xu, X. and Henry Asante Antwi (2023). On the momentum toward vaccine self-sufficiency in the BRICS: an integrative review of the role of pharmaceutical entrepreneurship and innovation. </w:t>
      </w:r>
      <w:r w:rsidRPr="00B1130A">
        <w:rPr>
          <w:rFonts w:eastAsia="Times New Roman"/>
          <w:i/>
          <w:iCs/>
          <w:sz w:val="24"/>
          <w:szCs w:val="24"/>
          <w:lang w:val="en-GB"/>
        </w:rPr>
        <w:t>Frontiers in Public Health</w:t>
      </w:r>
      <w:r w:rsidRPr="00B1130A">
        <w:rPr>
          <w:rFonts w:eastAsia="Times New Roman"/>
          <w:sz w:val="24"/>
          <w:szCs w:val="24"/>
          <w:lang w:val="en-GB"/>
        </w:rPr>
        <w:t xml:space="preserve">, 11. </w:t>
      </w:r>
      <w:proofErr w:type="spellStart"/>
      <w:r w:rsidRPr="00B1130A">
        <w:rPr>
          <w:rFonts w:eastAsia="Times New Roman"/>
          <w:sz w:val="24"/>
          <w:szCs w:val="24"/>
          <w:lang w:val="en-GB"/>
        </w:rPr>
        <w:t>doi:https</w:t>
      </w:r>
      <w:proofErr w:type="spellEnd"/>
      <w:r w:rsidRPr="00B1130A">
        <w:rPr>
          <w:rFonts w:eastAsia="Times New Roman"/>
          <w:sz w:val="24"/>
          <w:szCs w:val="24"/>
          <w:lang w:val="en-GB"/>
        </w:rPr>
        <w:t>://doi.org/10.3389/fpubh.2023.1116092.</w:t>
      </w:r>
    </w:p>
    <w:p w:rsidR="00824D7D" w:rsidRPr="00B1130A" w:rsidRDefault="00824D7D">
      <w:pPr>
        <w:spacing w:line="360" w:lineRule="auto"/>
        <w:jc w:val="both"/>
        <w:rPr>
          <w:sz w:val="24"/>
          <w:szCs w:val="24"/>
          <w:lang w:val="en-GB"/>
        </w:rPr>
      </w:pPr>
    </w:p>
    <w:p w:rsidR="00824D7D" w:rsidRPr="00B1130A" w:rsidRDefault="00824D7D">
      <w:pPr>
        <w:spacing w:line="360" w:lineRule="auto"/>
        <w:jc w:val="both"/>
        <w:rPr>
          <w:sz w:val="24"/>
          <w:szCs w:val="24"/>
          <w:lang w:val="en-GB"/>
        </w:rPr>
      </w:pPr>
    </w:p>
    <w:p w:rsidR="00824D7D" w:rsidRPr="00B1130A" w:rsidRDefault="00824D7D">
      <w:pPr>
        <w:spacing w:line="360" w:lineRule="auto"/>
        <w:jc w:val="both"/>
        <w:rPr>
          <w:sz w:val="24"/>
          <w:szCs w:val="24"/>
          <w:lang w:val="en-GB"/>
        </w:rPr>
      </w:pPr>
    </w:p>
    <w:sectPr w:rsidR="00824D7D" w:rsidRPr="00B1130A">
      <w:footerReference w:type="default" r:id="rId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2201" w:rsidRDefault="00812201">
      <w:pPr>
        <w:spacing w:line="240" w:lineRule="auto"/>
      </w:pPr>
      <w:r>
        <w:separator/>
      </w:r>
    </w:p>
  </w:endnote>
  <w:endnote w:type="continuationSeparator" w:id="0">
    <w:p w:rsidR="00812201" w:rsidRDefault="008122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6AF5623-ADEA-4FF1-B78A-609BB21E9F6C}"/>
  </w:font>
  <w:font w:name="Calibri">
    <w:panose1 w:val="020F0502020204030204"/>
    <w:charset w:val="00"/>
    <w:family w:val="swiss"/>
    <w:pitch w:val="variable"/>
    <w:sig w:usb0="E4002EFF" w:usb1="C200247B" w:usb2="00000009" w:usb3="00000000" w:csb0="000001FF" w:csb1="00000000"/>
    <w:embedRegular r:id="rId2" w:fontKey="{FB70D2FC-213D-4E24-85B7-9538E3085656}"/>
    <w:embedBold r:id="rId3" w:fontKey="{00139C75-B6E4-4901-8E01-18EFF3140288}"/>
  </w:font>
  <w:font w:name="Cambria">
    <w:panose1 w:val="02040503050406030204"/>
    <w:charset w:val="00"/>
    <w:family w:val="roman"/>
    <w:pitch w:val="variable"/>
    <w:sig w:usb0="E00006FF" w:usb1="420024FF" w:usb2="02000000" w:usb3="00000000" w:csb0="0000019F" w:csb1="00000000"/>
    <w:embedRegular r:id="rId4" w:fontKey="{426587FF-ED4D-4B79-951C-8D0413F5E3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24D7D" w:rsidRDefault="00130925">
    <w:pPr>
      <w:jc w:val="right"/>
      <w:rPr>
        <w:sz w:val="20"/>
        <w:szCs w:val="20"/>
      </w:rPr>
    </w:pPr>
    <w:r>
      <w:rPr>
        <w:sz w:val="20"/>
        <w:szCs w:val="20"/>
      </w:rPr>
      <w:fldChar w:fldCharType="begin"/>
    </w:r>
    <w:r>
      <w:rPr>
        <w:sz w:val="20"/>
        <w:szCs w:val="20"/>
      </w:rPr>
      <w:instrText>PAGE</w:instrText>
    </w:r>
    <w:r>
      <w:rPr>
        <w:sz w:val="20"/>
        <w:szCs w:val="20"/>
      </w:rPr>
      <w:fldChar w:fldCharType="separate"/>
    </w:r>
    <w:r w:rsidR="0026516C">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2201" w:rsidRDefault="00812201">
      <w:pPr>
        <w:spacing w:line="240" w:lineRule="auto"/>
      </w:pPr>
      <w:r>
        <w:separator/>
      </w:r>
    </w:p>
  </w:footnote>
  <w:footnote w:type="continuationSeparator" w:id="0">
    <w:p w:rsidR="00812201" w:rsidRDefault="008122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D7D"/>
    <w:rsid w:val="000F3923"/>
    <w:rsid w:val="00130925"/>
    <w:rsid w:val="0026516C"/>
    <w:rsid w:val="007A1EF8"/>
    <w:rsid w:val="007E028B"/>
    <w:rsid w:val="00812201"/>
    <w:rsid w:val="00824D7D"/>
    <w:rsid w:val="008E1F80"/>
    <w:rsid w:val="00917C98"/>
    <w:rsid w:val="009969E6"/>
    <w:rsid w:val="00A059C9"/>
    <w:rsid w:val="00A435A3"/>
    <w:rsid w:val="00B1130A"/>
    <w:rsid w:val="00B6624E"/>
    <w:rsid w:val="00BE05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4AAB9"/>
  <w15:docId w15:val="{62908EEC-DAB4-4A7D-A6D3-A5ECF5E58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917C98"/>
    <w:pPr>
      <w:keepNext/>
      <w:keepLines/>
      <w:spacing w:after="120" w:line="360" w:lineRule="auto"/>
      <w:outlineLvl w:val="0"/>
    </w:pPr>
    <w:rPr>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A435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5A3"/>
    <w:rPr>
      <w:rFonts w:ascii="Tahoma" w:hAnsi="Tahoma" w:cs="Tahoma"/>
      <w:sz w:val="16"/>
      <w:szCs w:val="16"/>
    </w:rPr>
  </w:style>
  <w:style w:type="character" w:styleId="Hyperlink">
    <w:name w:val="Hyperlink"/>
    <w:basedOn w:val="DefaultParagraphFont"/>
    <w:uiPriority w:val="99"/>
    <w:unhideWhenUsed/>
    <w:rsid w:val="007A1EF8"/>
    <w:rPr>
      <w:color w:val="0000FF" w:themeColor="hyperlink"/>
      <w:u w:val="single"/>
    </w:rPr>
  </w:style>
  <w:style w:type="paragraph" w:styleId="TOCHeading">
    <w:name w:val="TOC Heading"/>
    <w:basedOn w:val="Heading1"/>
    <w:next w:val="Normal"/>
    <w:uiPriority w:val="39"/>
    <w:semiHidden/>
    <w:unhideWhenUsed/>
    <w:qFormat/>
    <w:rsid w:val="00B6624E"/>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B662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strazeneca.com/media-centre/press-releases/2021/two-billion-doses-of-astrazenecas-covid-19-vaccine-supplied-to-countries-across-the-world-less-than-12-months-after-first-approval.html" TargetMode="External"/><Relationship Id="rId18" Type="http://schemas.openxmlformats.org/officeDocument/2006/relationships/hyperlink" Target="https://www.astrazeneca.com/content/dam/az/PDF/2024/Good-practices-in-lung-cancer-MDTs.pdf" TargetMode="External"/><Relationship Id="rId26" Type="http://schemas.openxmlformats.org/officeDocument/2006/relationships/hyperlink" Target="https://careers.astrazeneca.com/brazil" TargetMode="External"/><Relationship Id="rId39" Type="http://schemas.openxmlformats.org/officeDocument/2006/relationships/hyperlink" Target="https://unctad.org/system/files/official-document/wir2022_en.pdf" TargetMode="External"/><Relationship Id="rId21" Type="http://schemas.openxmlformats.org/officeDocument/2006/relationships/hyperlink" Target="https://www.astrazeneca.com/r-d/clinical-innovation.html" TargetMode="External"/><Relationship Id="rId34" Type="http://schemas.openxmlformats.org/officeDocument/2006/relationships/hyperlink" Target="https://www.oecd.org/content/dam/oecd/en/publications/reports/2007/10/globalisation-and-regional-economies_g1gh83b4/9789264037809-en.pdf"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strazeneca.com/r-d/our-strategic-r-d-centres.html" TargetMode="External"/><Relationship Id="rId20" Type="http://schemas.openxmlformats.org/officeDocument/2006/relationships/hyperlink" Target="https://www.astrazeneca.in/media/press-releases/2024/astrazeneca-plans-to-invest-to-grow-its-gitc-in-india.html" TargetMode="External"/><Relationship Id="rId29" Type="http://schemas.openxmlformats.org/officeDocument/2006/relationships/hyperlink" Target="https://economictimes.indiatimes.com/industry/healthcare/biotech/pharmaceuticals/astrazeneca-expands-bengaluru-global-hub-with-rs-166-crinvestment/articleshow/122092164.cms?from=mdr"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strazeneca.com/content/dam/az/PDF/2025/9m-q3/9M-and-Q3-2025-results-announcement.pdf" TargetMode="External"/><Relationship Id="rId32" Type="http://schemas.openxmlformats.org/officeDocument/2006/relationships/hyperlink" Target="https://www.navlindaily.com/upload/newsletter/attachment/250702091601_NAVLIN_Insights_Newsletter___Issue_74.pdf" TargetMode="External"/><Relationship Id="rId37" Type="http://schemas.openxmlformats.org/officeDocument/2006/relationships/hyperlink" Target="https://www.thestrategyinstitute.org/insights/strategic-initiatives-key-types-how-to-develop-and-execute-them"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strazeneca.in/" TargetMode="External"/><Relationship Id="rId23" Type="http://schemas.openxmlformats.org/officeDocument/2006/relationships/hyperlink" Target="https://www.astrazeneca.com/media-centre/press-releases/2025/astrazeneca-plans-to-invest-50bn-dollars-in-the-us.html" TargetMode="External"/><Relationship Id="rId28" Type="http://schemas.openxmlformats.org/officeDocument/2006/relationships/hyperlink" Target="https://ddnews.gov.in/en/astrazeneca-withdraws-covid-vaccine-globally-cites-commercial-reasons-report/" TargetMode="External"/><Relationship Id="rId36" Type="http://schemas.openxmlformats.org/officeDocument/2006/relationships/hyperlink" Target="https://www.swedcham.com.br/publico/relatorio-diversos/A-Story-of-Passion-for-Business-and-People.pdf" TargetMode="External"/><Relationship Id="rId10" Type="http://schemas.openxmlformats.org/officeDocument/2006/relationships/image" Target="media/image4.png"/><Relationship Id="rId19" Type="http://schemas.openxmlformats.org/officeDocument/2006/relationships/hyperlink" Target="https://www.astrazeneca.com/content/astraz/investor-relations/annual-reports/annual-report-2024.html" TargetMode="External"/><Relationship Id="rId31" Type="http://schemas.openxmlformats.org/officeDocument/2006/relationships/hyperlink" Target="https://timesofindia.indiatimes.com/city/delhi/astrazeneca-exit-manufacturing-india-global-review/articleshow/105275280.cm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strazeneca.com/content/dam/az/Sustainability/2024/pdf/Sustainability-Report-2023.pdf" TargetMode="External"/><Relationship Id="rId22" Type="http://schemas.openxmlformats.org/officeDocument/2006/relationships/hyperlink" Target="https://www.astrazeneca.in/media/press-releases/2025/astrazeneca-expands-bangalore-global-hub-in-india.html" TargetMode="External"/><Relationship Id="rId27" Type="http://schemas.openxmlformats.org/officeDocument/2006/relationships/hyperlink" Target="https://www.redalyc.org/journal/5705/570575686008/html/" TargetMode="External"/><Relationship Id="rId30" Type="http://schemas.openxmlformats.org/officeDocument/2006/relationships/hyperlink" Target="https://www.linkedin.com/advice/3/what-should-you-include-contingency-plan-supplier-6ocvc" TargetMode="External"/><Relationship Id="rId35" Type="http://schemas.openxmlformats.org/officeDocument/2006/relationships/hyperlink" Target="https://www.pib.gov.in/PressReleasePage.aspx?PRID=1931918"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strazeneca.com/content/dam/az/Investor_Relations/annual-report-2024/pdf/AstraZeneca_AR_2024_At_A_Glance.pdf" TargetMode="External"/><Relationship Id="rId25" Type="http://schemas.openxmlformats.org/officeDocument/2006/relationships/hyperlink" Target="https://www.astrazeneca.co.uk/about-us/uk-sites/cambridge" TargetMode="External"/><Relationship Id="rId33" Type="http://schemas.openxmlformats.org/officeDocument/2006/relationships/hyperlink" Target="https://www.oecd.org/content/dam/oecd/en/topics/policy-sub-issues/global-engagement-on-responsible-business-conduct/lac/rbc-country-fact-sheet-brazil.pdf" TargetMode="External"/><Relationship Id="rId38" Type="http://schemas.openxmlformats.org/officeDocument/2006/relationships/hyperlink" Target="https://www.trade.gov/country-commercial-guides/brazil-healthcar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4EBF64E-BFD1-40BD-BBF1-C6EDA607E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7376</Words>
  <Characters>42047</Characters>
  <Application>Microsoft Office Word</Application>
  <DocSecurity>0</DocSecurity>
  <Lines>350</Lines>
  <Paragraphs>98</Paragraphs>
  <ScaleCrop>false</ScaleCrop>
  <Company/>
  <LinksUpToDate>false</LinksUpToDate>
  <CharactersWithSpaces>49325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chitaliya nidhi</dc:creator>
  <cp:lastModifiedBy>chitaliya nidhi</cp:lastModifiedBy>
  <cp:revision>2</cp:revision>
  <dcterms:created xsi:type="dcterms:W3CDTF">2025-11-21T03:27:00Z</dcterms:created>
  <dcterms:modified xsi:type="dcterms:W3CDTF">2025-11-21T03:27:00Z</dcterms:modified>
</cp:coreProperties>
</file>