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charts/chart1.xml" ContentType="application/vnd.openxmlformats-officedocument.drawingml.chart+xml"/>
  <Override PartName="/word/charts/chart2.xml" ContentType="application/vnd.openxmlformats-officedocument.drawingml.chart+xml"/>
  <Override PartName="/word/charts/chart3.xml" ContentType="application/vnd.openxmlformats-officedocument.drawingml.chart+xml"/>
  <Override PartName="/word/charts/chart4.xml" ContentType="application/vnd.openxmlformats-officedocument.drawingml.chart+xml"/>
  <Override PartName="/word/charts/chart5.xml" ContentType="application/vnd.openxmlformats-officedocument.drawingml.chart+xml"/>
  <Override PartName="/word/charts/chart6.xml" ContentType="application/vnd.openxmlformats-officedocument.drawingml.chart+xml"/>
  <Override PartName="/word/charts/chart7.xml" ContentType="application/vnd.openxmlformats-officedocument.drawingml.chart+xml"/>
  <Override PartName="/word/charts/chart8.xml" ContentType="application/vnd.openxmlformats-officedocument.drawingml.chart+xml"/>
  <Override PartName="/word/charts/chart9.xml" ContentType="application/vnd.openxmlformats-officedocument.drawingml.chart+xml"/>
  <Override PartName="/word/charts/chart10.xml" ContentType="application/vnd.openxmlformats-officedocument.drawingml.chart+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asciiTheme="majorHAnsi" w:eastAsiaTheme="majorEastAsia" w:hAnsiTheme="majorHAnsi" w:cstheme="majorBidi"/>
          <w:caps/>
          <w:sz w:val="24"/>
        </w:rPr>
        <w:id w:val="11052800"/>
        <w:docPartObj>
          <w:docPartGallery w:val="Cover Pages"/>
          <w:docPartUnique/>
        </w:docPartObj>
      </w:sdtPr>
      <w:sdtEndPr>
        <w:rPr>
          <w:rFonts w:ascii="Times New Roman" w:eastAsiaTheme="minorHAnsi" w:hAnsi="Times New Roman" w:cstheme="minorBidi"/>
          <w:caps w:val="0"/>
        </w:rPr>
      </w:sdtEndPr>
      <w:sdtContent>
        <w:tbl>
          <w:tblPr>
            <w:tblW w:w="5000" w:type="pct"/>
            <w:jc w:val="center"/>
            <w:tblLook w:val="04A0" w:firstRow="1" w:lastRow="0" w:firstColumn="1" w:lastColumn="0" w:noHBand="0" w:noVBand="1"/>
          </w:tblPr>
          <w:tblGrid>
            <w:gridCol w:w="9576"/>
          </w:tblGrid>
          <w:tr w:rsidR="00FA7F51" w14:paraId="317A2113" w14:textId="77777777">
            <w:trPr>
              <w:trHeight w:val="2880"/>
              <w:jc w:val="center"/>
            </w:trPr>
            <w:tc>
              <w:tcPr>
                <w:tcW w:w="5000" w:type="pct"/>
              </w:tcPr>
              <w:p w14:paraId="5E613B01" w14:textId="77777777" w:rsidR="00FA7F51" w:rsidRDefault="00B40872" w:rsidP="00FA7F51">
                <w:pPr>
                  <w:pStyle w:val="NoSpacing"/>
                  <w:jc w:val="center"/>
                  <w:rPr>
                    <w:rFonts w:asciiTheme="majorHAnsi" w:eastAsiaTheme="majorEastAsia" w:hAnsiTheme="majorHAnsi" w:cstheme="majorBidi"/>
                    <w:caps/>
                    <w:sz w:val="24"/>
                  </w:rPr>
                </w:pPr>
                <w:r>
                  <w:rPr>
                    <w:rFonts w:asciiTheme="majorHAnsi" w:eastAsiaTheme="majorEastAsia" w:hAnsiTheme="majorHAnsi" w:cstheme="majorBidi"/>
                    <w:caps/>
                    <w:sz w:val="24"/>
                  </w:rPr>
                  <w:t xml:space="preserve">Rahela BEGUM 1704788 </w:t>
                </w:r>
              </w:p>
              <w:p w14:paraId="46A082E0" w14:textId="77777777" w:rsidR="00B40872" w:rsidRDefault="00B40872" w:rsidP="00FA7F51">
                <w:pPr>
                  <w:pStyle w:val="NoSpacing"/>
                  <w:jc w:val="center"/>
                  <w:rPr>
                    <w:rFonts w:asciiTheme="majorHAnsi" w:eastAsiaTheme="majorEastAsia" w:hAnsiTheme="majorHAnsi" w:cstheme="majorBidi"/>
                    <w:caps/>
                  </w:rPr>
                </w:pPr>
                <w:r>
                  <w:rPr>
                    <w:rFonts w:asciiTheme="majorHAnsi" w:eastAsiaTheme="majorEastAsia" w:hAnsiTheme="majorHAnsi" w:cstheme="majorBidi"/>
                    <w:caps/>
                  </w:rPr>
                  <w:t xml:space="preserve">BMIH5007 </w:t>
                </w:r>
              </w:p>
              <w:p w14:paraId="71C86FE9" w14:textId="512EF66C" w:rsidR="00B40872" w:rsidRDefault="00B40872" w:rsidP="00FA7F51">
                <w:pPr>
                  <w:pStyle w:val="NoSpacing"/>
                  <w:jc w:val="center"/>
                  <w:rPr>
                    <w:rFonts w:asciiTheme="majorHAnsi" w:eastAsiaTheme="majorEastAsia" w:hAnsiTheme="majorHAnsi" w:cstheme="majorBidi"/>
                    <w:caps/>
                  </w:rPr>
                </w:pPr>
                <w:r>
                  <w:rPr>
                    <w:rFonts w:asciiTheme="majorHAnsi" w:eastAsiaTheme="majorEastAsia" w:hAnsiTheme="majorHAnsi" w:cstheme="majorBidi"/>
                    <w:caps/>
                  </w:rPr>
                  <w:t>Assignment 1</w:t>
                </w:r>
              </w:p>
            </w:tc>
          </w:tr>
          <w:tr w:rsidR="00FA7F51" w14:paraId="66C35B1B" w14:textId="77777777">
            <w:trPr>
              <w:trHeight w:val="1440"/>
              <w:jc w:val="center"/>
            </w:trPr>
            <w:sdt>
              <w:sdtPr>
                <w:rPr>
                  <w:rFonts w:asciiTheme="majorHAnsi" w:eastAsiaTheme="majorEastAsia" w:hAnsiTheme="majorHAnsi" w:cstheme="majorBidi"/>
                  <w:sz w:val="80"/>
                  <w:szCs w:val="80"/>
                </w:rPr>
                <w:alias w:val="Title"/>
                <w:id w:val="15524250"/>
                <w:placeholder>
                  <w:docPart w:val="BF8268EC753F4B77BA6EE09508BA6A5C"/>
                </w:placeholder>
                <w:dataBinding w:prefixMappings="xmlns:ns0='http://schemas.openxmlformats.org/package/2006/metadata/core-properties' xmlns:ns1='http://purl.org/dc/elements/1.1/'" w:xpath="/ns0:coreProperties[1]/ns1:title[1]" w:storeItemID="{6C3C8BC8-F283-45AE-878A-BAB7291924A1}"/>
                <w:text/>
              </w:sdtPr>
              <w:sdtEndPr/>
              <w:sdtContent>
                <w:tc>
                  <w:tcPr>
                    <w:tcW w:w="5000" w:type="pct"/>
                    <w:tcBorders>
                      <w:bottom w:val="single" w:sz="4" w:space="0" w:color="4F81BD" w:themeColor="accent1"/>
                    </w:tcBorders>
                    <w:vAlign w:val="center"/>
                  </w:tcPr>
                  <w:p w14:paraId="3553B13E" w14:textId="77777777" w:rsidR="00FA7F51" w:rsidRDefault="00FA7F51" w:rsidP="00FA7F51">
                    <w:pPr>
                      <w:pStyle w:val="NoSpacing"/>
                      <w:jc w:val="center"/>
                      <w:rPr>
                        <w:rFonts w:asciiTheme="majorHAnsi" w:eastAsiaTheme="majorEastAsia" w:hAnsiTheme="majorHAnsi" w:cstheme="majorBidi"/>
                        <w:sz w:val="80"/>
                        <w:szCs w:val="80"/>
                      </w:rPr>
                    </w:pPr>
                    <w:r>
                      <w:rPr>
                        <w:rFonts w:asciiTheme="majorHAnsi" w:eastAsiaTheme="majorEastAsia" w:hAnsiTheme="majorHAnsi" w:cstheme="majorBidi"/>
                        <w:sz w:val="80"/>
                        <w:szCs w:val="80"/>
                      </w:rPr>
                      <w:t>Ratio Analysis- Jurys Inn</w:t>
                    </w:r>
                  </w:p>
                </w:tc>
              </w:sdtContent>
            </w:sdt>
          </w:tr>
          <w:tr w:rsidR="00FA7F51" w14:paraId="45AC5E5E" w14:textId="77777777">
            <w:trPr>
              <w:trHeight w:val="720"/>
              <w:jc w:val="center"/>
            </w:trPr>
            <w:tc>
              <w:tcPr>
                <w:tcW w:w="5000" w:type="pct"/>
                <w:tcBorders>
                  <w:top w:val="single" w:sz="4" w:space="0" w:color="4F81BD" w:themeColor="accent1"/>
                </w:tcBorders>
                <w:vAlign w:val="center"/>
              </w:tcPr>
              <w:p w14:paraId="6F8B14DD" w14:textId="77777777" w:rsidR="00FA7F51" w:rsidRDefault="00FA7F51">
                <w:pPr>
                  <w:pStyle w:val="NoSpacing"/>
                  <w:jc w:val="center"/>
                  <w:rPr>
                    <w:rFonts w:asciiTheme="majorHAnsi" w:eastAsiaTheme="majorEastAsia" w:hAnsiTheme="majorHAnsi" w:cstheme="majorBidi"/>
                    <w:sz w:val="44"/>
                    <w:szCs w:val="44"/>
                  </w:rPr>
                </w:pPr>
              </w:p>
            </w:tc>
          </w:tr>
          <w:tr w:rsidR="00FA7F51" w14:paraId="0A066A09" w14:textId="77777777">
            <w:trPr>
              <w:trHeight w:val="360"/>
              <w:jc w:val="center"/>
            </w:trPr>
            <w:tc>
              <w:tcPr>
                <w:tcW w:w="5000" w:type="pct"/>
                <w:vAlign w:val="center"/>
              </w:tcPr>
              <w:p w14:paraId="00AD0E33" w14:textId="77777777" w:rsidR="00FA7F51" w:rsidRDefault="00FA7F51">
                <w:pPr>
                  <w:pStyle w:val="NoSpacing"/>
                  <w:jc w:val="center"/>
                </w:pPr>
              </w:p>
            </w:tc>
          </w:tr>
        </w:tbl>
        <w:p w14:paraId="331E94E4" w14:textId="77777777" w:rsidR="00FA7F51" w:rsidRDefault="00FA7F51"/>
        <w:tbl>
          <w:tblPr>
            <w:tblpPr w:leftFromText="187" w:rightFromText="187" w:horzAnchor="margin" w:tblpXSpec="center" w:tblpYSpec="bottom"/>
            <w:tblW w:w="5000" w:type="pct"/>
            <w:tblLook w:val="04A0" w:firstRow="1" w:lastRow="0" w:firstColumn="1" w:lastColumn="0" w:noHBand="0" w:noVBand="1"/>
          </w:tblPr>
          <w:tblGrid>
            <w:gridCol w:w="9576"/>
          </w:tblGrid>
          <w:tr w:rsidR="00FA7F51" w14:paraId="17FDCB06" w14:textId="77777777">
            <w:tc>
              <w:tcPr>
                <w:tcW w:w="5000" w:type="pct"/>
              </w:tcPr>
              <w:p w14:paraId="3742C7F5" w14:textId="77777777" w:rsidR="00FA7F51" w:rsidRDefault="00FA7F51">
                <w:pPr>
                  <w:pStyle w:val="NoSpacing"/>
                </w:pPr>
              </w:p>
            </w:tc>
          </w:tr>
        </w:tbl>
        <w:p w14:paraId="7E626C35" w14:textId="77777777" w:rsidR="00FA7F51" w:rsidRDefault="00FA7F51"/>
        <w:p w14:paraId="20DE34F4" w14:textId="77777777" w:rsidR="00FA7F51" w:rsidRDefault="00FA7F51">
          <w:pPr>
            <w:spacing w:line="276" w:lineRule="auto"/>
            <w:jc w:val="left"/>
            <w:rPr>
              <w:rFonts w:eastAsiaTheme="majorEastAsia" w:cstheme="majorBidi"/>
              <w:b/>
              <w:bCs/>
              <w:szCs w:val="28"/>
            </w:rPr>
          </w:pPr>
          <w:r>
            <w:br w:type="page"/>
          </w:r>
        </w:p>
      </w:sdtContent>
    </w:sdt>
    <w:sdt>
      <w:sdtPr>
        <w:rPr>
          <w:rFonts w:ascii="Times New Roman" w:eastAsiaTheme="minorHAnsi" w:hAnsi="Times New Roman" w:cstheme="minorBidi"/>
          <w:b w:val="0"/>
          <w:bCs w:val="0"/>
          <w:color w:val="auto"/>
          <w:sz w:val="24"/>
          <w:szCs w:val="22"/>
        </w:rPr>
        <w:id w:val="11052798"/>
        <w:docPartObj>
          <w:docPartGallery w:val="Table of Contents"/>
          <w:docPartUnique/>
        </w:docPartObj>
      </w:sdtPr>
      <w:sdtEndPr/>
      <w:sdtContent>
        <w:p w14:paraId="07A22652" w14:textId="77777777" w:rsidR="00FA7F51" w:rsidRDefault="00FA7F51">
          <w:pPr>
            <w:pStyle w:val="TOCHeading"/>
          </w:pPr>
          <w:r>
            <w:t>Contents</w:t>
          </w:r>
        </w:p>
        <w:p w14:paraId="72A4DBAC" w14:textId="77777777" w:rsidR="00FA7F51" w:rsidRDefault="00FA7F51">
          <w:pPr>
            <w:pStyle w:val="TOC1"/>
            <w:tabs>
              <w:tab w:val="right" w:leader="dot" w:pos="9350"/>
            </w:tabs>
            <w:rPr>
              <w:rFonts w:asciiTheme="minorHAnsi" w:eastAsiaTheme="minorEastAsia" w:hAnsiTheme="minorHAnsi"/>
              <w:noProof/>
              <w:sz w:val="22"/>
            </w:rPr>
          </w:pPr>
          <w:r>
            <w:fldChar w:fldCharType="begin"/>
          </w:r>
          <w:r>
            <w:instrText xml:space="preserve"> TOC \o "1-3" \h \z \u </w:instrText>
          </w:r>
          <w:r>
            <w:fldChar w:fldCharType="separate"/>
          </w:r>
          <w:hyperlink w:anchor="_Toc94633168" w:history="1">
            <w:r w:rsidRPr="0096105E">
              <w:rPr>
                <w:rStyle w:val="Hyperlink"/>
                <w:noProof/>
              </w:rPr>
              <w:t>Introduction</w:t>
            </w:r>
            <w:r>
              <w:rPr>
                <w:noProof/>
                <w:webHidden/>
              </w:rPr>
              <w:tab/>
            </w:r>
            <w:r>
              <w:rPr>
                <w:noProof/>
                <w:webHidden/>
              </w:rPr>
              <w:fldChar w:fldCharType="begin"/>
            </w:r>
            <w:r>
              <w:rPr>
                <w:noProof/>
                <w:webHidden/>
              </w:rPr>
              <w:instrText xml:space="preserve"> PAGEREF _Toc94633168 \h </w:instrText>
            </w:r>
            <w:r>
              <w:rPr>
                <w:noProof/>
                <w:webHidden/>
              </w:rPr>
            </w:r>
            <w:r>
              <w:rPr>
                <w:noProof/>
                <w:webHidden/>
              </w:rPr>
              <w:fldChar w:fldCharType="separate"/>
            </w:r>
            <w:r>
              <w:rPr>
                <w:noProof/>
                <w:webHidden/>
              </w:rPr>
              <w:t>2</w:t>
            </w:r>
            <w:r>
              <w:rPr>
                <w:noProof/>
                <w:webHidden/>
              </w:rPr>
              <w:fldChar w:fldCharType="end"/>
            </w:r>
          </w:hyperlink>
        </w:p>
        <w:p w14:paraId="398C450E" w14:textId="77777777" w:rsidR="00FA7F51" w:rsidRDefault="00B40872">
          <w:pPr>
            <w:pStyle w:val="TOC1"/>
            <w:tabs>
              <w:tab w:val="right" w:leader="dot" w:pos="9350"/>
            </w:tabs>
            <w:rPr>
              <w:rFonts w:asciiTheme="minorHAnsi" w:eastAsiaTheme="minorEastAsia" w:hAnsiTheme="minorHAnsi"/>
              <w:noProof/>
              <w:sz w:val="22"/>
            </w:rPr>
          </w:pPr>
          <w:hyperlink w:anchor="_Toc94633169" w:history="1">
            <w:r w:rsidR="00FA7F51" w:rsidRPr="0096105E">
              <w:rPr>
                <w:rStyle w:val="Hyperlink"/>
                <w:noProof/>
              </w:rPr>
              <w:t>Question A- Ratio Analysis</w:t>
            </w:r>
            <w:r w:rsidR="00FA7F51">
              <w:rPr>
                <w:noProof/>
                <w:webHidden/>
              </w:rPr>
              <w:tab/>
            </w:r>
            <w:r w:rsidR="00FA7F51">
              <w:rPr>
                <w:noProof/>
                <w:webHidden/>
              </w:rPr>
              <w:fldChar w:fldCharType="begin"/>
            </w:r>
            <w:r w:rsidR="00FA7F51">
              <w:rPr>
                <w:noProof/>
                <w:webHidden/>
              </w:rPr>
              <w:instrText xml:space="preserve"> PAGEREF _Toc94633169 \h </w:instrText>
            </w:r>
            <w:r w:rsidR="00FA7F51">
              <w:rPr>
                <w:noProof/>
                <w:webHidden/>
              </w:rPr>
            </w:r>
            <w:r w:rsidR="00FA7F51">
              <w:rPr>
                <w:noProof/>
                <w:webHidden/>
              </w:rPr>
              <w:fldChar w:fldCharType="separate"/>
            </w:r>
            <w:r w:rsidR="00FA7F51">
              <w:rPr>
                <w:noProof/>
                <w:webHidden/>
              </w:rPr>
              <w:t>3</w:t>
            </w:r>
            <w:r w:rsidR="00FA7F51">
              <w:rPr>
                <w:noProof/>
                <w:webHidden/>
              </w:rPr>
              <w:fldChar w:fldCharType="end"/>
            </w:r>
          </w:hyperlink>
        </w:p>
        <w:p w14:paraId="5541EF65" w14:textId="77777777" w:rsidR="00FA7F51" w:rsidRDefault="00B40872">
          <w:pPr>
            <w:pStyle w:val="TOC1"/>
            <w:tabs>
              <w:tab w:val="right" w:leader="dot" w:pos="9350"/>
            </w:tabs>
            <w:rPr>
              <w:rFonts w:asciiTheme="minorHAnsi" w:eastAsiaTheme="minorEastAsia" w:hAnsiTheme="minorHAnsi"/>
              <w:noProof/>
              <w:sz w:val="22"/>
            </w:rPr>
          </w:pPr>
          <w:hyperlink w:anchor="_Toc94633170" w:history="1">
            <w:r w:rsidR="00FA7F51" w:rsidRPr="0096105E">
              <w:rPr>
                <w:rStyle w:val="Hyperlink"/>
                <w:noProof/>
              </w:rPr>
              <w:t>Question B</w:t>
            </w:r>
            <w:r w:rsidR="00FA7F51">
              <w:rPr>
                <w:noProof/>
                <w:webHidden/>
              </w:rPr>
              <w:tab/>
            </w:r>
            <w:r w:rsidR="00FA7F51">
              <w:rPr>
                <w:noProof/>
                <w:webHidden/>
              </w:rPr>
              <w:fldChar w:fldCharType="begin"/>
            </w:r>
            <w:r w:rsidR="00FA7F51">
              <w:rPr>
                <w:noProof/>
                <w:webHidden/>
              </w:rPr>
              <w:instrText xml:space="preserve"> PAGEREF _Toc94633170 \h </w:instrText>
            </w:r>
            <w:r w:rsidR="00FA7F51">
              <w:rPr>
                <w:noProof/>
                <w:webHidden/>
              </w:rPr>
            </w:r>
            <w:r w:rsidR="00FA7F51">
              <w:rPr>
                <w:noProof/>
                <w:webHidden/>
              </w:rPr>
              <w:fldChar w:fldCharType="separate"/>
            </w:r>
            <w:r w:rsidR="00FA7F51">
              <w:rPr>
                <w:noProof/>
                <w:webHidden/>
              </w:rPr>
              <w:t>13</w:t>
            </w:r>
            <w:r w:rsidR="00FA7F51">
              <w:rPr>
                <w:noProof/>
                <w:webHidden/>
              </w:rPr>
              <w:fldChar w:fldCharType="end"/>
            </w:r>
          </w:hyperlink>
        </w:p>
        <w:p w14:paraId="5D89D034" w14:textId="77777777" w:rsidR="00FA7F51" w:rsidRDefault="00B40872">
          <w:pPr>
            <w:pStyle w:val="TOC1"/>
            <w:tabs>
              <w:tab w:val="right" w:leader="dot" w:pos="9350"/>
            </w:tabs>
            <w:rPr>
              <w:rFonts w:asciiTheme="minorHAnsi" w:eastAsiaTheme="minorEastAsia" w:hAnsiTheme="minorHAnsi"/>
              <w:noProof/>
              <w:sz w:val="22"/>
            </w:rPr>
          </w:pPr>
          <w:hyperlink w:anchor="_Toc94633171" w:history="1">
            <w:r w:rsidR="00FA7F51" w:rsidRPr="0096105E">
              <w:rPr>
                <w:rStyle w:val="Hyperlink"/>
                <w:noProof/>
              </w:rPr>
              <w:t>Question C</w:t>
            </w:r>
            <w:r w:rsidR="00FA7F51">
              <w:rPr>
                <w:noProof/>
                <w:webHidden/>
              </w:rPr>
              <w:tab/>
            </w:r>
            <w:r w:rsidR="00FA7F51">
              <w:rPr>
                <w:noProof/>
                <w:webHidden/>
              </w:rPr>
              <w:fldChar w:fldCharType="begin"/>
            </w:r>
            <w:r w:rsidR="00FA7F51">
              <w:rPr>
                <w:noProof/>
                <w:webHidden/>
              </w:rPr>
              <w:instrText xml:space="preserve"> PAGEREF _Toc94633171 \h </w:instrText>
            </w:r>
            <w:r w:rsidR="00FA7F51">
              <w:rPr>
                <w:noProof/>
                <w:webHidden/>
              </w:rPr>
            </w:r>
            <w:r w:rsidR="00FA7F51">
              <w:rPr>
                <w:noProof/>
                <w:webHidden/>
              </w:rPr>
              <w:fldChar w:fldCharType="separate"/>
            </w:r>
            <w:r w:rsidR="00FA7F51">
              <w:rPr>
                <w:noProof/>
                <w:webHidden/>
              </w:rPr>
              <w:t>15</w:t>
            </w:r>
            <w:r w:rsidR="00FA7F51">
              <w:rPr>
                <w:noProof/>
                <w:webHidden/>
              </w:rPr>
              <w:fldChar w:fldCharType="end"/>
            </w:r>
          </w:hyperlink>
        </w:p>
        <w:p w14:paraId="0B0544EB" w14:textId="77777777" w:rsidR="00FA7F51" w:rsidRDefault="00B40872">
          <w:pPr>
            <w:pStyle w:val="TOC1"/>
            <w:tabs>
              <w:tab w:val="right" w:leader="dot" w:pos="9350"/>
            </w:tabs>
            <w:rPr>
              <w:rFonts w:asciiTheme="minorHAnsi" w:eastAsiaTheme="minorEastAsia" w:hAnsiTheme="minorHAnsi"/>
              <w:noProof/>
              <w:sz w:val="22"/>
            </w:rPr>
          </w:pPr>
          <w:hyperlink w:anchor="_Toc94633172" w:history="1">
            <w:r w:rsidR="00FA7F51" w:rsidRPr="0096105E">
              <w:rPr>
                <w:rStyle w:val="Hyperlink"/>
                <w:noProof/>
              </w:rPr>
              <w:t>Conclusion</w:t>
            </w:r>
            <w:r w:rsidR="00FA7F51">
              <w:rPr>
                <w:noProof/>
                <w:webHidden/>
              </w:rPr>
              <w:tab/>
            </w:r>
            <w:r w:rsidR="00FA7F51">
              <w:rPr>
                <w:noProof/>
                <w:webHidden/>
              </w:rPr>
              <w:fldChar w:fldCharType="begin"/>
            </w:r>
            <w:r w:rsidR="00FA7F51">
              <w:rPr>
                <w:noProof/>
                <w:webHidden/>
              </w:rPr>
              <w:instrText xml:space="preserve"> PAGEREF _Toc94633172 \h </w:instrText>
            </w:r>
            <w:r w:rsidR="00FA7F51">
              <w:rPr>
                <w:noProof/>
                <w:webHidden/>
              </w:rPr>
            </w:r>
            <w:r w:rsidR="00FA7F51">
              <w:rPr>
                <w:noProof/>
                <w:webHidden/>
              </w:rPr>
              <w:fldChar w:fldCharType="separate"/>
            </w:r>
            <w:r w:rsidR="00FA7F51">
              <w:rPr>
                <w:noProof/>
                <w:webHidden/>
              </w:rPr>
              <w:t>17</w:t>
            </w:r>
            <w:r w:rsidR="00FA7F51">
              <w:rPr>
                <w:noProof/>
                <w:webHidden/>
              </w:rPr>
              <w:fldChar w:fldCharType="end"/>
            </w:r>
          </w:hyperlink>
        </w:p>
        <w:p w14:paraId="64319FAB" w14:textId="77777777" w:rsidR="00FA7F51" w:rsidRDefault="00B40872">
          <w:pPr>
            <w:pStyle w:val="TOC1"/>
            <w:tabs>
              <w:tab w:val="right" w:leader="dot" w:pos="9350"/>
            </w:tabs>
            <w:rPr>
              <w:rFonts w:asciiTheme="minorHAnsi" w:eastAsiaTheme="minorEastAsia" w:hAnsiTheme="minorHAnsi"/>
              <w:noProof/>
              <w:sz w:val="22"/>
            </w:rPr>
          </w:pPr>
          <w:hyperlink w:anchor="_Toc94633173" w:history="1">
            <w:r w:rsidR="00FA7F51" w:rsidRPr="0096105E">
              <w:rPr>
                <w:rStyle w:val="Hyperlink"/>
                <w:noProof/>
              </w:rPr>
              <w:t>References</w:t>
            </w:r>
            <w:r w:rsidR="00FA7F51">
              <w:rPr>
                <w:noProof/>
                <w:webHidden/>
              </w:rPr>
              <w:tab/>
            </w:r>
            <w:r w:rsidR="00FA7F51">
              <w:rPr>
                <w:noProof/>
                <w:webHidden/>
              </w:rPr>
              <w:fldChar w:fldCharType="begin"/>
            </w:r>
            <w:r w:rsidR="00FA7F51">
              <w:rPr>
                <w:noProof/>
                <w:webHidden/>
              </w:rPr>
              <w:instrText xml:space="preserve"> PAGEREF _Toc94633173 \h </w:instrText>
            </w:r>
            <w:r w:rsidR="00FA7F51">
              <w:rPr>
                <w:noProof/>
                <w:webHidden/>
              </w:rPr>
            </w:r>
            <w:r w:rsidR="00FA7F51">
              <w:rPr>
                <w:noProof/>
                <w:webHidden/>
              </w:rPr>
              <w:fldChar w:fldCharType="separate"/>
            </w:r>
            <w:r w:rsidR="00FA7F51">
              <w:rPr>
                <w:noProof/>
                <w:webHidden/>
              </w:rPr>
              <w:t>18</w:t>
            </w:r>
            <w:r w:rsidR="00FA7F51">
              <w:rPr>
                <w:noProof/>
                <w:webHidden/>
              </w:rPr>
              <w:fldChar w:fldCharType="end"/>
            </w:r>
          </w:hyperlink>
        </w:p>
        <w:p w14:paraId="5EC75B14" w14:textId="77777777" w:rsidR="00FA7F51" w:rsidRDefault="00FA7F51">
          <w:r>
            <w:fldChar w:fldCharType="end"/>
          </w:r>
        </w:p>
      </w:sdtContent>
    </w:sdt>
    <w:p w14:paraId="20FE070D" w14:textId="77777777" w:rsidR="00B07014" w:rsidRDefault="00B07014" w:rsidP="00F00E06">
      <w:pPr>
        <w:pStyle w:val="Heading1"/>
      </w:pPr>
    </w:p>
    <w:p w14:paraId="4C615012" w14:textId="77777777" w:rsidR="00B07014" w:rsidRDefault="00B07014" w:rsidP="00F00E06">
      <w:pPr>
        <w:pStyle w:val="Heading1"/>
      </w:pPr>
    </w:p>
    <w:p w14:paraId="4C498DEB" w14:textId="77777777" w:rsidR="00B07014" w:rsidRDefault="00B07014" w:rsidP="00F00E06">
      <w:pPr>
        <w:pStyle w:val="Heading1"/>
      </w:pPr>
    </w:p>
    <w:p w14:paraId="3CD63FDF" w14:textId="77777777" w:rsidR="00B07014" w:rsidRDefault="00B07014" w:rsidP="00F00E06">
      <w:pPr>
        <w:pStyle w:val="Heading1"/>
      </w:pPr>
    </w:p>
    <w:p w14:paraId="025D1D24" w14:textId="77777777" w:rsidR="00B07014" w:rsidRDefault="00B07014" w:rsidP="00F00E06">
      <w:pPr>
        <w:pStyle w:val="Heading1"/>
      </w:pPr>
    </w:p>
    <w:p w14:paraId="49339A5C" w14:textId="77777777" w:rsidR="00B07014" w:rsidRDefault="00B07014" w:rsidP="00F00E06">
      <w:pPr>
        <w:pStyle w:val="Heading1"/>
      </w:pPr>
    </w:p>
    <w:p w14:paraId="5BB5A2AD" w14:textId="77777777" w:rsidR="00B07014" w:rsidRDefault="00B07014" w:rsidP="00F00E06">
      <w:pPr>
        <w:pStyle w:val="Heading1"/>
      </w:pPr>
    </w:p>
    <w:p w14:paraId="622E9CDD" w14:textId="5D9AEBC1" w:rsidR="00B07014" w:rsidRDefault="00B07014"/>
    <w:p w14:paraId="3144B835" w14:textId="77777777" w:rsidR="00B07014" w:rsidRDefault="00B07014"/>
    <w:p w14:paraId="345B8EA3" w14:textId="77777777" w:rsidR="00B07014" w:rsidRDefault="00B07014"/>
    <w:p w14:paraId="377BE4B3" w14:textId="77777777" w:rsidR="00B07014" w:rsidRDefault="00B07014"/>
    <w:p w14:paraId="27016692" w14:textId="77777777" w:rsidR="00B07014" w:rsidRDefault="00B07014" w:rsidP="00B07014">
      <w:pPr>
        <w:pStyle w:val="Heading1"/>
      </w:pPr>
      <w:bookmarkStart w:id="0" w:name="_Toc94633168"/>
      <w:r>
        <w:lastRenderedPageBreak/>
        <w:t>Introduction</w:t>
      </w:r>
      <w:bookmarkEnd w:id="0"/>
    </w:p>
    <w:p w14:paraId="7BC8A3B6" w14:textId="77777777" w:rsidR="00D256DA" w:rsidRDefault="00A76F57">
      <w:r>
        <w:t>Jurys Inn is a renowned hospitality company in United Kingdom and Northern Ireland. It has a chain of hotels in the country. The accountant has been given a task to generate various ratios of two consecutive years (2019 and 2020). In this paper all these ratios will be calculated and explained. The necessary data will be collected from the given financial statements. Furthermore, the importance, fluctuations, and the limitations of ratio analysis in hospitality industry will</w:t>
      </w:r>
      <w:r w:rsidR="00BB3F8C">
        <w:t xml:space="preserve"> be</w:t>
      </w:r>
      <w:r>
        <w:t xml:space="preserve"> discussed.</w:t>
      </w:r>
    </w:p>
    <w:p w14:paraId="5B3D718E" w14:textId="77777777" w:rsidR="00BB3F8C" w:rsidRDefault="00BB3F8C"/>
    <w:p w14:paraId="5F3A38EA" w14:textId="77777777" w:rsidR="00BB3F8C" w:rsidRDefault="00BB3F8C"/>
    <w:p w14:paraId="57A64B2A" w14:textId="77777777" w:rsidR="00BB3F8C" w:rsidRDefault="00BB3F8C"/>
    <w:p w14:paraId="219E6227" w14:textId="77777777" w:rsidR="00BB3F8C" w:rsidRDefault="00BB3F8C"/>
    <w:p w14:paraId="5428281E" w14:textId="77777777" w:rsidR="00BB3F8C" w:rsidRDefault="00BB3F8C"/>
    <w:p w14:paraId="2397D859" w14:textId="77777777" w:rsidR="00BB3F8C" w:rsidRDefault="00BB3F8C"/>
    <w:p w14:paraId="135392D2" w14:textId="77777777" w:rsidR="00BB3F8C" w:rsidRDefault="00BB3F8C"/>
    <w:p w14:paraId="08343685" w14:textId="77777777" w:rsidR="00BB3F8C" w:rsidRDefault="00BB3F8C"/>
    <w:p w14:paraId="561C3095" w14:textId="77777777" w:rsidR="00BB3F8C" w:rsidRDefault="00BB3F8C"/>
    <w:p w14:paraId="12809AAD" w14:textId="77777777" w:rsidR="00BB3F8C" w:rsidRDefault="00BB3F8C"/>
    <w:p w14:paraId="6ABA8A74" w14:textId="77777777" w:rsidR="00BB3F8C" w:rsidRDefault="00BB3F8C"/>
    <w:p w14:paraId="115E7968" w14:textId="77777777" w:rsidR="00BB3F8C" w:rsidRDefault="00BB3F8C"/>
    <w:p w14:paraId="70644885" w14:textId="77777777" w:rsidR="00BB3F8C" w:rsidRDefault="00BB3F8C"/>
    <w:p w14:paraId="523F09EE" w14:textId="77777777" w:rsidR="00BB3F8C" w:rsidRDefault="00BB3F8C"/>
    <w:p w14:paraId="576CD3CA" w14:textId="77777777" w:rsidR="00BB3F8C" w:rsidRDefault="00BB3F8C"/>
    <w:p w14:paraId="0505CE8B" w14:textId="77777777" w:rsidR="00BB3F8C" w:rsidRDefault="00BB3F8C"/>
    <w:p w14:paraId="4AD15C06" w14:textId="77777777" w:rsidR="00BB3F8C" w:rsidRDefault="00B21D02" w:rsidP="00F00E06">
      <w:pPr>
        <w:pStyle w:val="Heading1"/>
      </w:pPr>
      <w:bookmarkStart w:id="1" w:name="_Toc94633169"/>
      <w:r>
        <w:lastRenderedPageBreak/>
        <w:t>Question A</w:t>
      </w:r>
      <w:r w:rsidR="00F00E06">
        <w:t xml:space="preserve">- </w:t>
      </w:r>
      <w:r w:rsidR="00BB3F8C">
        <w:t>Ratio Analysis</w:t>
      </w:r>
      <w:bookmarkEnd w:id="1"/>
    </w:p>
    <w:p w14:paraId="5CC42E7D" w14:textId="77777777" w:rsidR="00BB3F8C" w:rsidRDefault="00BB3F8C">
      <w:r>
        <w:t xml:space="preserve">The management of the company analyses various ratios to make some managerial decisions. It helps them to run the company smoothly. </w:t>
      </w:r>
    </w:p>
    <w:p w14:paraId="6D386938" w14:textId="77777777" w:rsidR="00BB3F8C" w:rsidRDefault="00BB3F8C">
      <w:r>
        <w:t xml:space="preserve">The first ratio </w:t>
      </w:r>
      <w:r w:rsidR="001D7184">
        <w:t>will be calculated is Gross Profit Margin. It explains how much profit is generated against the sales/revenue. The formula of th</w:t>
      </w:r>
      <w:r w:rsidR="002262FF">
        <w:t xml:space="preserve">is ratio is Gross Profit/ </w:t>
      </w:r>
      <w:r w:rsidR="002262FF" w:rsidRPr="002262FF">
        <w:t>Sales (Express, 2021).</w:t>
      </w:r>
    </w:p>
    <w:p w14:paraId="28297431" w14:textId="77777777" w:rsidR="001D7184" w:rsidRDefault="001D7184">
      <w:r>
        <w:t>The Gross Profit Margins of two years are as follows</w:t>
      </w:r>
    </w:p>
    <w:tbl>
      <w:tblPr>
        <w:tblW w:w="4340" w:type="dxa"/>
        <w:jc w:val="center"/>
        <w:tblLook w:val="04A0" w:firstRow="1" w:lastRow="0" w:firstColumn="1" w:lastColumn="0" w:noHBand="0" w:noVBand="1"/>
      </w:tblPr>
      <w:tblGrid>
        <w:gridCol w:w="2420"/>
        <w:gridCol w:w="960"/>
        <w:gridCol w:w="960"/>
      </w:tblGrid>
      <w:tr w:rsidR="001D7184" w:rsidRPr="001D7184" w14:paraId="5D9DCA3C" w14:textId="77777777" w:rsidTr="001D7184">
        <w:trPr>
          <w:trHeight w:val="312"/>
          <w:jc w:val="center"/>
        </w:trPr>
        <w:tc>
          <w:tcPr>
            <w:tcW w:w="2420" w:type="dxa"/>
            <w:tcBorders>
              <w:top w:val="single" w:sz="4" w:space="0" w:color="auto"/>
              <w:left w:val="single" w:sz="4" w:space="0" w:color="auto"/>
              <w:bottom w:val="single" w:sz="4" w:space="0" w:color="auto"/>
              <w:right w:val="single" w:sz="4" w:space="0" w:color="000000"/>
            </w:tcBorders>
            <w:shd w:val="clear" w:color="auto" w:fill="auto"/>
            <w:noWrap/>
            <w:vAlign w:val="bottom"/>
            <w:hideMark/>
          </w:tcPr>
          <w:p w14:paraId="595B568A" w14:textId="77777777" w:rsidR="001D7184" w:rsidRPr="001D7184" w:rsidRDefault="001D7184" w:rsidP="001D7184">
            <w:pPr>
              <w:spacing w:after="0" w:line="240" w:lineRule="auto"/>
              <w:jc w:val="center"/>
              <w:rPr>
                <w:rFonts w:eastAsia="Times New Roman" w:cs="Times New Roman"/>
                <w:color w:val="000000"/>
                <w:szCs w:val="24"/>
              </w:rPr>
            </w:pPr>
            <w:r w:rsidRPr="001D7184">
              <w:rPr>
                <w:rFonts w:eastAsia="Times New Roman" w:cs="Times New Roman"/>
                <w:color w:val="000000"/>
                <w:szCs w:val="24"/>
              </w:rPr>
              <w:t> </w:t>
            </w:r>
          </w:p>
        </w:tc>
        <w:tc>
          <w:tcPr>
            <w:tcW w:w="960" w:type="dxa"/>
            <w:tcBorders>
              <w:top w:val="single" w:sz="4" w:space="0" w:color="auto"/>
              <w:left w:val="nil"/>
              <w:bottom w:val="single" w:sz="4" w:space="0" w:color="auto"/>
              <w:right w:val="single" w:sz="4" w:space="0" w:color="auto"/>
            </w:tcBorders>
            <w:shd w:val="clear" w:color="auto" w:fill="auto"/>
            <w:noWrap/>
            <w:vAlign w:val="bottom"/>
            <w:hideMark/>
          </w:tcPr>
          <w:p w14:paraId="2013C4B3" w14:textId="77777777" w:rsidR="001D7184" w:rsidRPr="001D7184" w:rsidRDefault="001D7184" w:rsidP="001D7184">
            <w:pPr>
              <w:spacing w:after="0" w:line="240" w:lineRule="auto"/>
              <w:jc w:val="right"/>
              <w:rPr>
                <w:rFonts w:eastAsia="Times New Roman" w:cs="Times New Roman"/>
                <w:color w:val="000000"/>
                <w:szCs w:val="24"/>
              </w:rPr>
            </w:pPr>
            <w:r w:rsidRPr="001D7184">
              <w:rPr>
                <w:rFonts w:eastAsia="Times New Roman" w:cs="Times New Roman"/>
                <w:color w:val="000000"/>
                <w:szCs w:val="24"/>
              </w:rPr>
              <w:t>2019</w:t>
            </w:r>
          </w:p>
        </w:tc>
        <w:tc>
          <w:tcPr>
            <w:tcW w:w="960" w:type="dxa"/>
            <w:tcBorders>
              <w:top w:val="single" w:sz="4" w:space="0" w:color="auto"/>
              <w:left w:val="nil"/>
              <w:bottom w:val="single" w:sz="4" w:space="0" w:color="auto"/>
              <w:right w:val="single" w:sz="4" w:space="0" w:color="auto"/>
            </w:tcBorders>
            <w:shd w:val="clear" w:color="auto" w:fill="auto"/>
            <w:noWrap/>
            <w:vAlign w:val="bottom"/>
            <w:hideMark/>
          </w:tcPr>
          <w:p w14:paraId="316DD554" w14:textId="77777777" w:rsidR="001D7184" w:rsidRPr="001D7184" w:rsidRDefault="001D7184" w:rsidP="001D7184">
            <w:pPr>
              <w:spacing w:after="0" w:line="240" w:lineRule="auto"/>
              <w:jc w:val="right"/>
              <w:rPr>
                <w:rFonts w:eastAsia="Times New Roman" w:cs="Times New Roman"/>
                <w:color w:val="000000"/>
                <w:szCs w:val="24"/>
              </w:rPr>
            </w:pPr>
            <w:r w:rsidRPr="001D7184">
              <w:rPr>
                <w:rFonts w:eastAsia="Times New Roman" w:cs="Times New Roman"/>
                <w:color w:val="000000"/>
                <w:szCs w:val="24"/>
              </w:rPr>
              <w:t>2020</w:t>
            </w:r>
          </w:p>
        </w:tc>
      </w:tr>
      <w:tr w:rsidR="001D7184" w:rsidRPr="001D7184" w14:paraId="7897EAEF" w14:textId="77777777" w:rsidTr="001D7184">
        <w:trPr>
          <w:trHeight w:val="312"/>
          <w:jc w:val="center"/>
        </w:trPr>
        <w:tc>
          <w:tcPr>
            <w:tcW w:w="242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09644E05" w14:textId="77777777" w:rsidR="001D7184" w:rsidRPr="001D7184" w:rsidRDefault="001D7184" w:rsidP="001D7184">
            <w:pPr>
              <w:spacing w:after="0" w:line="240" w:lineRule="auto"/>
              <w:jc w:val="left"/>
              <w:rPr>
                <w:rFonts w:eastAsia="Times New Roman" w:cs="Times New Roman"/>
                <w:color w:val="000000"/>
                <w:szCs w:val="24"/>
              </w:rPr>
            </w:pPr>
            <w:r w:rsidRPr="001D7184">
              <w:rPr>
                <w:rFonts w:eastAsia="Times New Roman" w:cs="Times New Roman"/>
                <w:color w:val="000000"/>
                <w:szCs w:val="24"/>
              </w:rPr>
              <w:t xml:space="preserve">Gross Profit Margin </w:t>
            </w:r>
          </w:p>
        </w:tc>
        <w:tc>
          <w:tcPr>
            <w:tcW w:w="960" w:type="dxa"/>
            <w:tcBorders>
              <w:top w:val="nil"/>
              <w:left w:val="nil"/>
              <w:bottom w:val="single" w:sz="4" w:space="0" w:color="auto"/>
              <w:right w:val="single" w:sz="4" w:space="0" w:color="auto"/>
            </w:tcBorders>
            <w:shd w:val="clear" w:color="auto" w:fill="auto"/>
            <w:noWrap/>
            <w:vAlign w:val="bottom"/>
            <w:hideMark/>
          </w:tcPr>
          <w:p w14:paraId="6811D0B5" w14:textId="77777777" w:rsidR="001D7184" w:rsidRPr="001D7184" w:rsidRDefault="001D7184" w:rsidP="001D7184">
            <w:pPr>
              <w:spacing w:after="0" w:line="240" w:lineRule="auto"/>
              <w:jc w:val="right"/>
              <w:rPr>
                <w:rFonts w:eastAsia="Times New Roman" w:cs="Times New Roman"/>
                <w:color w:val="000000"/>
                <w:szCs w:val="24"/>
              </w:rPr>
            </w:pPr>
            <w:r w:rsidRPr="001D7184">
              <w:rPr>
                <w:rFonts w:eastAsia="Times New Roman" w:cs="Times New Roman"/>
                <w:color w:val="000000"/>
                <w:szCs w:val="24"/>
              </w:rPr>
              <w:t>0.92</w:t>
            </w:r>
          </w:p>
        </w:tc>
        <w:tc>
          <w:tcPr>
            <w:tcW w:w="960" w:type="dxa"/>
            <w:tcBorders>
              <w:top w:val="nil"/>
              <w:left w:val="nil"/>
              <w:bottom w:val="single" w:sz="4" w:space="0" w:color="auto"/>
              <w:right w:val="single" w:sz="4" w:space="0" w:color="auto"/>
            </w:tcBorders>
            <w:shd w:val="clear" w:color="auto" w:fill="auto"/>
            <w:noWrap/>
            <w:vAlign w:val="bottom"/>
            <w:hideMark/>
          </w:tcPr>
          <w:p w14:paraId="0E80A71E" w14:textId="77777777" w:rsidR="001D7184" w:rsidRPr="001D7184" w:rsidRDefault="001D7184" w:rsidP="001D7184">
            <w:pPr>
              <w:spacing w:after="0" w:line="240" w:lineRule="auto"/>
              <w:jc w:val="right"/>
              <w:rPr>
                <w:rFonts w:eastAsia="Times New Roman" w:cs="Times New Roman"/>
                <w:color w:val="000000"/>
                <w:szCs w:val="24"/>
              </w:rPr>
            </w:pPr>
            <w:r w:rsidRPr="001D7184">
              <w:rPr>
                <w:rFonts w:eastAsia="Times New Roman" w:cs="Times New Roman"/>
                <w:color w:val="000000"/>
                <w:szCs w:val="24"/>
              </w:rPr>
              <w:t>0.86</w:t>
            </w:r>
          </w:p>
        </w:tc>
      </w:tr>
    </w:tbl>
    <w:p w14:paraId="771CC623" w14:textId="77777777" w:rsidR="001D7184" w:rsidRDefault="001D7184"/>
    <w:p w14:paraId="25EA1B89" w14:textId="77777777" w:rsidR="001D7184" w:rsidRDefault="001D7184" w:rsidP="001D7184">
      <w:pPr>
        <w:jc w:val="center"/>
      </w:pPr>
      <w:r w:rsidRPr="001D7184">
        <w:rPr>
          <w:noProof/>
        </w:rPr>
        <w:drawing>
          <wp:inline distT="0" distB="0" distL="0" distR="0" wp14:anchorId="65B4280A" wp14:editId="4B70EA8A">
            <wp:extent cx="4572000" cy="2743200"/>
            <wp:effectExtent l="19050" t="0" r="19050" b="0"/>
            <wp:docPr id="1" name="Chart 1"/>
            <wp:cNvGraphicFramePr/>
            <a:graphic xmlns:a="http://schemas.openxmlformats.org/drawingml/2006/main">
              <a:graphicData uri="http://schemas.openxmlformats.org/drawingml/2006/chart">
                <c:chart xmlns:c="http://schemas.openxmlformats.org/drawingml/2006/chart" xmlns:r="http://schemas.openxmlformats.org/officeDocument/2006/relationships" r:id="rId6"/>
              </a:graphicData>
            </a:graphic>
          </wp:inline>
        </w:drawing>
      </w:r>
    </w:p>
    <w:p w14:paraId="212F2320" w14:textId="77777777" w:rsidR="001D7184" w:rsidRDefault="001D7184" w:rsidP="001D7184">
      <w:pPr>
        <w:jc w:val="left"/>
      </w:pPr>
      <w:r>
        <w:t xml:space="preserve">The gross profit margin has been decreased in 2020 in comparison with the year 2019. The reason behind it may be the increase in raw materials, wages, or other operating costs. The management of the company needs to think over it and they should maintain the gross profit </w:t>
      </w:r>
      <w:r w:rsidR="002262FF">
        <w:t>margin ratio in a certain level.</w:t>
      </w:r>
    </w:p>
    <w:p w14:paraId="286339A0" w14:textId="77777777" w:rsidR="00E066A0" w:rsidRDefault="00E066A0" w:rsidP="001D7184">
      <w:pPr>
        <w:jc w:val="left"/>
      </w:pPr>
    </w:p>
    <w:p w14:paraId="01A66F0B" w14:textId="77777777" w:rsidR="00E066A0" w:rsidRDefault="00E066A0" w:rsidP="001D7184">
      <w:pPr>
        <w:jc w:val="left"/>
      </w:pPr>
      <w:r>
        <w:t xml:space="preserve">The next ratio is Net Profit Margin. It explains how much profit is generated against the sales or revenue of the company. </w:t>
      </w:r>
      <w:r w:rsidR="009F72EE">
        <w:t xml:space="preserve">The formula of the ratio is Net Profit/ </w:t>
      </w:r>
      <w:r w:rsidR="009F72EE" w:rsidRPr="002262FF">
        <w:t>Sales</w:t>
      </w:r>
      <w:r w:rsidR="002262FF" w:rsidRPr="002262FF">
        <w:t xml:space="preserve"> (Institute, 2020)</w:t>
      </w:r>
      <w:r w:rsidR="009F72EE" w:rsidRPr="002262FF">
        <w:t>.</w:t>
      </w:r>
      <w:r w:rsidR="009F72EE">
        <w:t xml:space="preserve"> The net profit margins of the company for two years are as follows:</w:t>
      </w:r>
    </w:p>
    <w:tbl>
      <w:tblPr>
        <w:tblW w:w="4340" w:type="dxa"/>
        <w:jc w:val="center"/>
        <w:tblLook w:val="04A0" w:firstRow="1" w:lastRow="0" w:firstColumn="1" w:lastColumn="0" w:noHBand="0" w:noVBand="1"/>
      </w:tblPr>
      <w:tblGrid>
        <w:gridCol w:w="2420"/>
        <w:gridCol w:w="960"/>
        <w:gridCol w:w="960"/>
      </w:tblGrid>
      <w:tr w:rsidR="009F72EE" w:rsidRPr="009F72EE" w14:paraId="491A37E4" w14:textId="77777777" w:rsidTr="009F72EE">
        <w:trPr>
          <w:trHeight w:val="312"/>
          <w:jc w:val="center"/>
        </w:trPr>
        <w:tc>
          <w:tcPr>
            <w:tcW w:w="2420" w:type="dxa"/>
            <w:tcBorders>
              <w:top w:val="single" w:sz="4" w:space="0" w:color="auto"/>
              <w:left w:val="single" w:sz="4" w:space="0" w:color="auto"/>
              <w:bottom w:val="single" w:sz="4" w:space="0" w:color="auto"/>
              <w:right w:val="single" w:sz="4" w:space="0" w:color="000000"/>
            </w:tcBorders>
            <w:shd w:val="clear" w:color="auto" w:fill="auto"/>
            <w:noWrap/>
            <w:vAlign w:val="bottom"/>
            <w:hideMark/>
          </w:tcPr>
          <w:p w14:paraId="68FEAA26" w14:textId="77777777" w:rsidR="009F72EE" w:rsidRPr="009F72EE" w:rsidRDefault="009F72EE" w:rsidP="009F72EE">
            <w:pPr>
              <w:spacing w:after="0" w:line="240" w:lineRule="auto"/>
              <w:jc w:val="center"/>
              <w:rPr>
                <w:rFonts w:eastAsia="Times New Roman" w:cs="Times New Roman"/>
                <w:color w:val="000000"/>
                <w:szCs w:val="24"/>
              </w:rPr>
            </w:pPr>
            <w:r w:rsidRPr="009F72EE">
              <w:rPr>
                <w:rFonts w:eastAsia="Times New Roman" w:cs="Times New Roman"/>
                <w:color w:val="000000"/>
                <w:szCs w:val="24"/>
              </w:rPr>
              <w:lastRenderedPageBreak/>
              <w:t> </w:t>
            </w:r>
          </w:p>
        </w:tc>
        <w:tc>
          <w:tcPr>
            <w:tcW w:w="960" w:type="dxa"/>
            <w:tcBorders>
              <w:top w:val="single" w:sz="4" w:space="0" w:color="auto"/>
              <w:left w:val="nil"/>
              <w:bottom w:val="single" w:sz="4" w:space="0" w:color="auto"/>
              <w:right w:val="single" w:sz="4" w:space="0" w:color="auto"/>
            </w:tcBorders>
            <w:shd w:val="clear" w:color="auto" w:fill="auto"/>
            <w:noWrap/>
            <w:vAlign w:val="bottom"/>
            <w:hideMark/>
          </w:tcPr>
          <w:p w14:paraId="0CD253A5" w14:textId="77777777" w:rsidR="009F72EE" w:rsidRPr="009F72EE" w:rsidRDefault="009F72EE" w:rsidP="009F72EE">
            <w:pPr>
              <w:spacing w:after="0" w:line="240" w:lineRule="auto"/>
              <w:jc w:val="right"/>
              <w:rPr>
                <w:rFonts w:eastAsia="Times New Roman" w:cs="Times New Roman"/>
                <w:color w:val="000000"/>
                <w:szCs w:val="24"/>
              </w:rPr>
            </w:pPr>
            <w:r w:rsidRPr="009F72EE">
              <w:rPr>
                <w:rFonts w:eastAsia="Times New Roman" w:cs="Times New Roman"/>
                <w:color w:val="000000"/>
                <w:szCs w:val="24"/>
              </w:rPr>
              <w:t>2019</w:t>
            </w:r>
          </w:p>
        </w:tc>
        <w:tc>
          <w:tcPr>
            <w:tcW w:w="960" w:type="dxa"/>
            <w:tcBorders>
              <w:top w:val="single" w:sz="4" w:space="0" w:color="auto"/>
              <w:left w:val="nil"/>
              <w:bottom w:val="single" w:sz="4" w:space="0" w:color="auto"/>
              <w:right w:val="single" w:sz="4" w:space="0" w:color="auto"/>
            </w:tcBorders>
            <w:shd w:val="clear" w:color="auto" w:fill="auto"/>
            <w:noWrap/>
            <w:vAlign w:val="bottom"/>
            <w:hideMark/>
          </w:tcPr>
          <w:p w14:paraId="7BDF85BA" w14:textId="77777777" w:rsidR="009F72EE" w:rsidRPr="009F72EE" w:rsidRDefault="009F72EE" w:rsidP="009F72EE">
            <w:pPr>
              <w:spacing w:after="0" w:line="240" w:lineRule="auto"/>
              <w:jc w:val="right"/>
              <w:rPr>
                <w:rFonts w:eastAsia="Times New Roman" w:cs="Times New Roman"/>
                <w:color w:val="000000"/>
                <w:szCs w:val="24"/>
              </w:rPr>
            </w:pPr>
            <w:r w:rsidRPr="009F72EE">
              <w:rPr>
                <w:rFonts w:eastAsia="Times New Roman" w:cs="Times New Roman"/>
                <w:color w:val="000000"/>
                <w:szCs w:val="24"/>
              </w:rPr>
              <w:t>2020</w:t>
            </w:r>
          </w:p>
        </w:tc>
      </w:tr>
      <w:tr w:rsidR="009F72EE" w:rsidRPr="009F72EE" w14:paraId="605E56CE" w14:textId="77777777" w:rsidTr="009F72EE">
        <w:trPr>
          <w:trHeight w:val="312"/>
          <w:jc w:val="center"/>
        </w:trPr>
        <w:tc>
          <w:tcPr>
            <w:tcW w:w="242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0DDF0178" w14:textId="77777777" w:rsidR="009F72EE" w:rsidRPr="009F72EE" w:rsidRDefault="009F72EE" w:rsidP="009F72EE">
            <w:pPr>
              <w:spacing w:after="0" w:line="240" w:lineRule="auto"/>
              <w:jc w:val="left"/>
              <w:rPr>
                <w:rFonts w:eastAsia="Times New Roman" w:cs="Times New Roman"/>
                <w:color w:val="000000"/>
                <w:szCs w:val="24"/>
              </w:rPr>
            </w:pPr>
            <w:r w:rsidRPr="009F72EE">
              <w:rPr>
                <w:rFonts w:eastAsia="Times New Roman" w:cs="Times New Roman"/>
                <w:color w:val="000000"/>
                <w:szCs w:val="24"/>
              </w:rPr>
              <w:t>Net Profit Margin</w:t>
            </w:r>
          </w:p>
        </w:tc>
        <w:tc>
          <w:tcPr>
            <w:tcW w:w="960" w:type="dxa"/>
            <w:tcBorders>
              <w:top w:val="nil"/>
              <w:left w:val="nil"/>
              <w:bottom w:val="single" w:sz="4" w:space="0" w:color="auto"/>
              <w:right w:val="single" w:sz="4" w:space="0" w:color="auto"/>
            </w:tcBorders>
            <w:shd w:val="clear" w:color="auto" w:fill="auto"/>
            <w:noWrap/>
            <w:vAlign w:val="bottom"/>
            <w:hideMark/>
          </w:tcPr>
          <w:p w14:paraId="3F4811B1" w14:textId="77777777" w:rsidR="009F72EE" w:rsidRPr="009F72EE" w:rsidRDefault="009F72EE" w:rsidP="009F72EE">
            <w:pPr>
              <w:spacing w:after="0" w:line="240" w:lineRule="auto"/>
              <w:jc w:val="right"/>
              <w:rPr>
                <w:rFonts w:eastAsia="Times New Roman" w:cs="Times New Roman"/>
                <w:color w:val="000000"/>
                <w:szCs w:val="24"/>
              </w:rPr>
            </w:pPr>
            <w:r w:rsidRPr="009F72EE">
              <w:rPr>
                <w:rFonts w:eastAsia="Times New Roman" w:cs="Times New Roman"/>
                <w:color w:val="000000"/>
                <w:szCs w:val="24"/>
              </w:rPr>
              <w:t>0.73</w:t>
            </w:r>
          </w:p>
        </w:tc>
        <w:tc>
          <w:tcPr>
            <w:tcW w:w="960" w:type="dxa"/>
            <w:tcBorders>
              <w:top w:val="nil"/>
              <w:left w:val="nil"/>
              <w:bottom w:val="single" w:sz="4" w:space="0" w:color="auto"/>
              <w:right w:val="single" w:sz="4" w:space="0" w:color="auto"/>
            </w:tcBorders>
            <w:shd w:val="clear" w:color="auto" w:fill="auto"/>
            <w:noWrap/>
            <w:vAlign w:val="bottom"/>
            <w:hideMark/>
          </w:tcPr>
          <w:p w14:paraId="4ADB7683" w14:textId="77777777" w:rsidR="009F72EE" w:rsidRPr="009F72EE" w:rsidRDefault="009F72EE" w:rsidP="009F72EE">
            <w:pPr>
              <w:spacing w:after="0" w:line="240" w:lineRule="auto"/>
              <w:jc w:val="right"/>
              <w:rPr>
                <w:rFonts w:eastAsia="Times New Roman" w:cs="Times New Roman"/>
                <w:color w:val="000000"/>
                <w:szCs w:val="24"/>
              </w:rPr>
            </w:pPr>
            <w:r w:rsidRPr="009F72EE">
              <w:rPr>
                <w:rFonts w:eastAsia="Times New Roman" w:cs="Times New Roman"/>
                <w:color w:val="000000"/>
                <w:szCs w:val="24"/>
              </w:rPr>
              <w:t>0.68</w:t>
            </w:r>
          </w:p>
        </w:tc>
      </w:tr>
    </w:tbl>
    <w:p w14:paraId="1E350729" w14:textId="77777777" w:rsidR="009F72EE" w:rsidRDefault="009F72EE" w:rsidP="009F72EE">
      <w:pPr>
        <w:jc w:val="left"/>
      </w:pPr>
    </w:p>
    <w:p w14:paraId="73608011" w14:textId="77777777" w:rsidR="009F72EE" w:rsidRDefault="009F72EE" w:rsidP="009F72EE">
      <w:pPr>
        <w:jc w:val="left"/>
      </w:pPr>
    </w:p>
    <w:p w14:paraId="581DF3A7" w14:textId="77777777" w:rsidR="009F72EE" w:rsidRDefault="009F72EE" w:rsidP="009F72EE">
      <w:pPr>
        <w:jc w:val="center"/>
      </w:pPr>
      <w:r w:rsidRPr="009F72EE">
        <w:rPr>
          <w:noProof/>
        </w:rPr>
        <w:drawing>
          <wp:inline distT="0" distB="0" distL="0" distR="0" wp14:anchorId="45E280FB" wp14:editId="1D7AF6A7">
            <wp:extent cx="4572000" cy="2743200"/>
            <wp:effectExtent l="19050" t="0" r="19050" b="0"/>
            <wp:docPr id="2" name="Chart 2"/>
            <wp:cNvGraphicFramePr/>
            <a:graphic xmlns:a="http://schemas.openxmlformats.org/drawingml/2006/main">
              <a:graphicData uri="http://schemas.openxmlformats.org/drawingml/2006/chart">
                <c:chart xmlns:c="http://schemas.openxmlformats.org/drawingml/2006/chart" xmlns:r="http://schemas.openxmlformats.org/officeDocument/2006/relationships" r:id="rId7"/>
              </a:graphicData>
            </a:graphic>
          </wp:inline>
        </w:drawing>
      </w:r>
    </w:p>
    <w:p w14:paraId="101921AA" w14:textId="77777777" w:rsidR="009F72EE" w:rsidRDefault="009F72EE" w:rsidP="009F72EE">
      <w:pPr>
        <w:jc w:val="center"/>
      </w:pPr>
    </w:p>
    <w:p w14:paraId="2F2D41FD" w14:textId="77777777" w:rsidR="009F72EE" w:rsidRDefault="009F72EE" w:rsidP="009F72EE">
      <w:pPr>
        <w:jc w:val="left"/>
      </w:pPr>
      <w:r>
        <w:t xml:space="preserve">Just like the gross profit, the net profit of the company has been decreased in 2020 in comparison with 2019. The reasons may be the same behind it. The management should control the expenses of the company. If the sales remain constant and the expenses increase, the profitability of the company will be harmed. </w:t>
      </w:r>
    </w:p>
    <w:p w14:paraId="76494878" w14:textId="77777777" w:rsidR="00E90F80" w:rsidRDefault="00E90F80" w:rsidP="009F72EE">
      <w:pPr>
        <w:jc w:val="left"/>
      </w:pPr>
    </w:p>
    <w:p w14:paraId="746E2152" w14:textId="77777777" w:rsidR="00E90F80" w:rsidRDefault="00E90F80" w:rsidP="009F72EE">
      <w:pPr>
        <w:jc w:val="left"/>
      </w:pPr>
      <w:r>
        <w:t xml:space="preserve">The next ratio is inventory turnover ratio. This ratio explains how many days it takes to sell the entire stock of the company. So, it reveals the efficiency of the </w:t>
      </w:r>
      <w:r w:rsidRPr="002262FF">
        <w:t>management</w:t>
      </w:r>
      <w:r w:rsidR="002262FF" w:rsidRPr="002262FF">
        <w:t xml:space="preserve"> (Jenkins, 2020)</w:t>
      </w:r>
      <w:r w:rsidRPr="002262FF">
        <w:t>.</w:t>
      </w:r>
      <w:r>
        <w:t xml:space="preserve"> The formula of this ratio is Clos</w:t>
      </w:r>
      <w:r w:rsidR="008A5F64">
        <w:t>ing Stock/ Sales. The ratios of two years are as follows:</w:t>
      </w:r>
    </w:p>
    <w:tbl>
      <w:tblPr>
        <w:tblW w:w="4500" w:type="dxa"/>
        <w:jc w:val="center"/>
        <w:tblLook w:val="04A0" w:firstRow="1" w:lastRow="0" w:firstColumn="1" w:lastColumn="0" w:noHBand="0" w:noVBand="1"/>
      </w:tblPr>
      <w:tblGrid>
        <w:gridCol w:w="2580"/>
        <w:gridCol w:w="960"/>
        <w:gridCol w:w="960"/>
      </w:tblGrid>
      <w:tr w:rsidR="008A5F64" w:rsidRPr="008A5F64" w14:paraId="1849E35E" w14:textId="77777777" w:rsidTr="00443944">
        <w:trPr>
          <w:trHeight w:val="312"/>
          <w:jc w:val="center"/>
        </w:trPr>
        <w:tc>
          <w:tcPr>
            <w:tcW w:w="2580" w:type="dxa"/>
            <w:tcBorders>
              <w:top w:val="single" w:sz="4" w:space="0" w:color="auto"/>
              <w:left w:val="single" w:sz="4" w:space="0" w:color="auto"/>
              <w:bottom w:val="single" w:sz="4" w:space="0" w:color="auto"/>
              <w:right w:val="single" w:sz="4" w:space="0" w:color="000000"/>
            </w:tcBorders>
            <w:shd w:val="clear" w:color="auto" w:fill="auto"/>
            <w:noWrap/>
            <w:vAlign w:val="bottom"/>
            <w:hideMark/>
          </w:tcPr>
          <w:p w14:paraId="40013F33" w14:textId="77777777" w:rsidR="008A5F64" w:rsidRPr="008A5F64" w:rsidRDefault="008A5F64" w:rsidP="008A5F64">
            <w:pPr>
              <w:spacing w:after="0" w:line="240" w:lineRule="auto"/>
              <w:jc w:val="center"/>
              <w:rPr>
                <w:rFonts w:eastAsia="Times New Roman" w:cs="Times New Roman"/>
                <w:color w:val="000000"/>
                <w:szCs w:val="24"/>
              </w:rPr>
            </w:pPr>
            <w:r w:rsidRPr="008A5F64">
              <w:rPr>
                <w:rFonts w:eastAsia="Times New Roman" w:cs="Times New Roman"/>
                <w:color w:val="000000"/>
                <w:szCs w:val="24"/>
              </w:rPr>
              <w:t> </w:t>
            </w:r>
          </w:p>
        </w:tc>
        <w:tc>
          <w:tcPr>
            <w:tcW w:w="960" w:type="dxa"/>
            <w:tcBorders>
              <w:top w:val="single" w:sz="4" w:space="0" w:color="auto"/>
              <w:left w:val="nil"/>
              <w:bottom w:val="single" w:sz="4" w:space="0" w:color="auto"/>
              <w:right w:val="single" w:sz="4" w:space="0" w:color="auto"/>
            </w:tcBorders>
            <w:shd w:val="clear" w:color="auto" w:fill="auto"/>
            <w:noWrap/>
            <w:vAlign w:val="bottom"/>
            <w:hideMark/>
          </w:tcPr>
          <w:p w14:paraId="0AE25D79" w14:textId="77777777" w:rsidR="008A5F64" w:rsidRPr="008A5F64" w:rsidRDefault="008A5F64" w:rsidP="008A5F64">
            <w:pPr>
              <w:spacing w:after="0" w:line="240" w:lineRule="auto"/>
              <w:jc w:val="right"/>
              <w:rPr>
                <w:rFonts w:eastAsia="Times New Roman" w:cs="Times New Roman"/>
                <w:color w:val="000000"/>
                <w:szCs w:val="24"/>
              </w:rPr>
            </w:pPr>
            <w:r w:rsidRPr="008A5F64">
              <w:rPr>
                <w:rFonts w:eastAsia="Times New Roman" w:cs="Times New Roman"/>
                <w:color w:val="000000"/>
                <w:szCs w:val="24"/>
              </w:rPr>
              <w:t>2019</w:t>
            </w:r>
          </w:p>
        </w:tc>
        <w:tc>
          <w:tcPr>
            <w:tcW w:w="960" w:type="dxa"/>
            <w:tcBorders>
              <w:top w:val="single" w:sz="4" w:space="0" w:color="auto"/>
              <w:left w:val="nil"/>
              <w:bottom w:val="single" w:sz="4" w:space="0" w:color="auto"/>
              <w:right w:val="single" w:sz="4" w:space="0" w:color="auto"/>
            </w:tcBorders>
            <w:shd w:val="clear" w:color="auto" w:fill="auto"/>
            <w:noWrap/>
            <w:vAlign w:val="bottom"/>
            <w:hideMark/>
          </w:tcPr>
          <w:p w14:paraId="2928AB8C" w14:textId="77777777" w:rsidR="008A5F64" w:rsidRPr="008A5F64" w:rsidRDefault="008A5F64" w:rsidP="008A5F64">
            <w:pPr>
              <w:spacing w:after="0" w:line="240" w:lineRule="auto"/>
              <w:jc w:val="right"/>
              <w:rPr>
                <w:rFonts w:eastAsia="Times New Roman" w:cs="Times New Roman"/>
                <w:color w:val="000000"/>
                <w:szCs w:val="24"/>
              </w:rPr>
            </w:pPr>
            <w:r w:rsidRPr="008A5F64">
              <w:rPr>
                <w:rFonts w:eastAsia="Times New Roman" w:cs="Times New Roman"/>
                <w:color w:val="000000"/>
                <w:szCs w:val="24"/>
              </w:rPr>
              <w:t>2020</w:t>
            </w:r>
          </w:p>
        </w:tc>
      </w:tr>
      <w:tr w:rsidR="008A5F64" w:rsidRPr="008A5F64" w14:paraId="28A9E265" w14:textId="77777777" w:rsidTr="00443944">
        <w:trPr>
          <w:trHeight w:val="312"/>
          <w:jc w:val="center"/>
        </w:trPr>
        <w:tc>
          <w:tcPr>
            <w:tcW w:w="258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65A447E4" w14:textId="77777777" w:rsidR="008A5F64" w:rsidRPr="008A5F64" w:rsidRDefault="008A5F64" w:rsidP="008A5F64">
            <w:pPr>
              <w:spacing w:after="0" w:line="240" w:lineRule="auto"/>
              <w:jc w:val="left"/>
              <w:rPr>
                <w:rFonts w:eastAsia="Times New Roman" w:cs="Times New Roman"/>
                <w:color w:val="000000"/>
                <w:szCs w:val="24"/>
              </w:rPr>
            </w:pPr>
            <w:r>
              <w:rPr>
                <w:rFonts w:eastAsia="Times New Roman" w:cs="Times New Roman"/>
                <w:color w:val="000000"/>
                <w:szCs w:val="24"/>
              </w:rPr>
              <w:t>Inventory Turn</w:t>
            </w:r>
            <w:r w:rsidRPr="008A5F64">
              <w:rPr>
                <w:rFonts w:eastAsia="Times New Roman" w:cs="Times New Roman"/>
                <w:color w:val="000000"/>
                <w:szCs w:val="24"/>
              </w:rPr>
              <w:t>over Ratio</w:t>
            </w:r>
          </w:p>
        </w:tc>
        <w:tc>
          <w:tcPr>
            <w:tcW w:w="960" w:type="dxa"/>
            <w:tcBorders>
              <w:top w:val="nil"/>
              <w:left w:val="nil"/>
              <w:bottom w:val="single" w:sz="4" w:space="0" w:color="auto"/>
              <w:right w:val="single" w:sz="4" w:space="0" w:color="auto"/>
            </w:tcBorders>
            <w:shd w:val="clear" w:color="auto" w:fill="auto"/>
            <w:noWrap/>
            <w:vAlign w:val="bottom"/>
            <w:hideMark/>
          </w:tcPr>
          <w:p w14:paraId="6A66DF40" w14:textId="77777777" w:rsidR="008A5F64" w:rsidRPr="008A5F64" w:rsidRDefault="008A5F64" w:rsidP="008A5F64">
            <w:pPr>
              <w:spacing w:after="0" w:line="240" w:lineRule="auto"/>
              <w:jc w:val="right"/>
              <w:rPr>
                <w:rFonts w:eastAsia="Times New Roman" w:cs="Times New Roman"/>
                <w:color w:val="000000"/>
                <w:szCs w:val="24"/>
              </w:rPr>
            </w:pPr>
            <w:r w:rsidRPr="008A5F64">
              <w:rPr>
                <w:rFonts w:eastAsia="Times New Roman" w:cs="Times New Roman"/>
                <w:color w:val="000000"/>
                <w:szCs w:val="24"/>
              </w:rPr>
              <w:t>0.26</w:t>
            </w:r>
          </w:p>
        </w:tc>
        <w:tc>
          <w:tcPr>
            <w:tcW w:w="960" w:type="dxa"/>
            <w:tcBorders>
              <w:top w:val="nil"/>
              <w:left w:val="nil"/>
              <w:bottom w:val="single" w:sz="4" w:space="0" w:color="auto"/>
              <w:right w:val="single" w:sz="4" w:space="0" w:color="auto"/>
            </w:tcBorders>
            <w:shd w:val="clear" w:color="auto" w:fill="auto"/>
            <w:noWrap/>
            <w:vAlign w:val="bottom"/>
            <w:hideMark/>
          </w:tcPr>
          <w:p w14:paraId="078F89E6" w14:textId="77777777" w:rsidR="008A5F64" w:rsidRPr="008A5F64" w:rsidRDefault="008A5F64" w:rsidP="008A5F64">
            <w:pPr>
              <w:spacing w:after="0" w:line="240" w:lineRule="auto"/>
              <w:jc w:val="right"/>
              <w:rPr>
                <w:rFonts w:eastAsia="Times New Roman" w:cs="Times New Roman"/>
                <w:color w:val="000000"/>
                <w:szCs w:val="24"/>
              </w:rPr>
            </w:pPr>
            <w:r w:rsidRPr="008A5F64">
              <w:rPr>
                <w:rFonts w:eastAsia="Times New Roman" w:cs="Times New Roman"/>
                <w:color w:val="000000"/>
                <w:szCs w:val="24"/>
              </w:rPr>
              <w:t>0.24</w:t>
            </w:r>
          </w:p>
        </w:tc>
      </w:tr>
    </w:tbl>
    <w:p w14:paraId="185F0C1E" w14:textId="77777777" w:rsidR="008A5F64" w:rsidRDefault="008A5F64" w:rsidP="009F72EE">
      <w:pPr>
        <w:jc w:val="left"/>
      </w:pPr>
    </w:p>
    <w:p w14:paraId="1160A30F" w14:textId="77777777" w:rsidR="001D7184" w:rsidRDefault="00443944" w:rsidP="00443944">
      <w:pPr>
        <w:jc w:val="center"/>
      </w:pPr>
      <w:r w:rsidRPr="00443944">
        <w:rPr>
          <w:noProof/>
        </w:rPr>
        <w:lastRenderedPageBreak/>
        <w:drawing>
          <wp:inline distT="0" distB="0" distL="0" distR="0" wp14:anchorId="11551380" wp14:editId="07D9DD23">
            <wp:extent cx="4572000" cy="2743200"/>
            <wp:effectExtent l="19050" t="0" r="19050" b="0"/>
            <wp:docPr id="3" name="Chart 3"/>
            <wp:cNvGraphicFramePr/>
            <a:graphic xmlns:a="http://schemas.openxmlformats.org/drawingml/2006/main">
              <a:graphicData uri="http://schemas.openxmlformats.org/drawingml/2006/chart">
                <c:chart xmlns:c="http://schemas.openxmlformats.org/drawingml/2006/chart" xmlns:r="http://schemas.openxmlformats.org/officeDocument/2006/relationships" r:id="rId8"/>
              </a:graphicData>
            </a:graphic>
          </wp:inline>
        </w:drawing>
      </w:r>
    </w:p>
    <w:p w14:paraId="435C26DA" w14:textId="77777777" w:rsidR="00443944" w:rsidRDefault="00443944" w:rsidP="00443944">
      <w:pPr>
        <w:jc w:val="left"/>
      </w:pPr>
      <w:r>
        <w:t>The inventory turnover ratios in two years are almost same (26 and 24 days). So, the management is successful to hold this ratio and the company takes 24 to 26 days to sell the entire stock of the company.</w:t>
      </w:r>
    </w:p>
    <w:p w14:paraId="414B6012" w14:textId="77777777" w:rsidR="00443944" w:rsidRDefault="00443944" w:rsidP="00443944">
      <w:pPr>
        <w:jc w:val="left"/>
      </w:pPr>
    </w:p>
    <w:p w14:paraId="03B17B71" w14:textId="77777777" w:rsidR="00443944" w:rsidRDefault="00443944" w:rsidP="00443944">
      <w:pPr>
        <w:jc w:val="left"/>
      </w:pPr>
      <w:r>
        <w:t>Now, the liquidity of the company will be checked out. It will be checked with the help of current ratio. It explains if the company can pay all the short term loans and debts with the current assets. It also reveals the condition of the working capital of the company. The formula of this ratio is Current Assets / Current Liabilities</w:t>
      </w:r>
      <w:r w:rsidR="002262FF">
        <w:t xml:space="preserve"> </w:t>
      </w:r>
      <w:r w:rsidR="002262FF" w:rsidRPr="002262FF">
        <w:t>(Course, 2019)</w:t>
      </w:r>
      <w:r w:rsidRPr="002262FF">
        <w:t>.</w:t>
      </w:r>
      <w:r>
        <w:t xml:space="preserve"> The ratios of two years are as follows:</w:t>
      </w:r>
    </w:p>
    <w:tbl>
      <w:tblPr>
        <w:tblW w:w="4500" w:type="dxa"/>
        <w:jc w:val="center"/>
        <w:tblLook w:val="04A0" w:firstRow="1" w:lastRow="0" w:firstColumn="1" w:lastColumn="0" w:noHBand="0" w:noVBand="1"/>
      </w:tblPr>
      <w:tblGrid>
        <w:gridCol w:w="2580"/>
        <w:gridCol w:w="960"/>
        <w:gridCol w:w="960"/>
      </w:tblGrid>
      <w:tr w:rsidR="00443944" w:rsidRPr="00443944" w14:paraId="0FB1EA10" w14:textId="77777777" w:rsidTr="00443944">
        <w:trPr>
          <w:trHeight w:val="312"/>
          <w:jc w:val="center"/>
        </w:trPr>
        <w:tc>
          <w:tcPr>
            <w:tcW w:w="2580" w:type="dxa"/>
            <w:tcBorders>
              <w:top w:val="single" w:sz="4" w:space="0" w:color="auto"/>
              <w:left w:val="single" w:sz="4" w:space="0" w:color="auto"/>
              <w:bottom w:val="single" w:sz="4" w:space="0" w:color="auto"/>
              <w:right w:val="single" w:sz="4" w:space="0" w:color="000000"/>
            </w:tcBorders>
            <w:shd w:val="clear" w:color="auto" w:fill="auto"/>
            <w:noWrap/>
            <w:vAlign w:val="bottom"/>
            <w:hideMark/>
          </w:tcPr>
          <w:p w14:paraId="4AD95CEA" w14:textId="77777777" w:rsidR="00443944" w:rsidRPr="00443944" w:rsidRDefault="00443944" w:rsidP="00443944">
            <w:pPr>
              <w:spacing w:after="0" w:line="240" w:lineRule="auto"/>
              <w:jc w:val="center"/>
              <w:rPr>
                <w:rFonts w:eastAsia="Times New Roman" w:cs="Times New Roman"/>
                <w:color w:val="000000"/>
                <w:szCs w:val="24"/>
              </w:rPr>
            </w:pPr>
            <w:r w:rsidRPr="00443944">
              <w:rPr>
                <w:rFonts w:eastAsia="Times New Roman" w:cs="Times New Roman"/>
                <w:color w:val="000000"/>
                <w:szCs w:val="24"/>
              </w:rPr>
              <w:t> </w:t>
            </w:r>
          </w:p>
        </w:tc>
        <w:tc>
          <w:tcPr>
            <w:tcW w:w="960" w:type="dxa"/>
            <w:tcBorders>
              <w:top w:val="single" w:sz="4" w:space="0" w:color="auto"/>
              <w:left w:val="nil"/>
              <w:bottom w:val="single" w:sz="4" w:space="0" w:color="auto"/>
              <w:right w:val="single" w:sz="4" w:space="0" w:color="auto"/>
            </w:tcBorders>
            <w:shd w:val="clear" w:color="auto" w:fill="auto"/>
            <w:noWrap/>
            <w:vAlign w:val="bottom"/>
            <w:hideMark/>
          </w:tcPr>
          <w:p w14:paraId="0FCE660F" w14:textId="77777777" w:rsidR="00443944" w:rsidRPr="00443944" w:rsidRDefault="00443944" w:rsidP="00443944">
            <w:pPr>
              <w:spacing w:after="0" w:line="240" w:lineRule="auto"/>
              <w:jc w:val="right"/>
              <w:rPr>
                <w:rFonts w:eastAsia="Times New Roman" w:cs="Times New Roman"/>
                <w:color w:val="000000"/>
                <w:szCs w:val="24"/>
              </w:rPr>
            </w:pPr>
            <w:r w:rsidRPr="00443944">
              <w:rPr>
                <w:rFonts w:eastAsia="Times New Roman" w:cs="Times New Roman"/>
                <w:color w:val="000000"/>
                <w:szCs w:val="24"/>
              </w:rPr>
              <w:t>2019</w:t>
            </w:r>
          </w:p>
        </w:tc>
        <w:tc>
          <w:tcPr>
            <w:tcW w:w="960" w:type="dxa"/>
            <w:tcBorders>
              <w:top w:val="single" w:sz="4" w:space="0" w:color="auto"/>
              <w:left w:val="nil"/>
              <w:bottom w:val="single" w:sz="4" w:space="0" w:color="auto"/>
              <w:right w:val="single" w:sz="4" w:space="0" w:color="auto"/>
            </w:tcBorders>
            <w:shd w:val="clear" w:color="auto" w:fill="auto"/>
            <w:noWrap/>
            <w:vAlign w:val="bottom"/>
            <w:hideMark/>
          </w:tcPr>
          <w:p w14:paraId="7C2E1A3F" w14:textId="77777777" w:rsidR="00443944" w:rsidRPr="00443944" w:rsidRDefault="00443944" w:rsidP="00443944">
            <w:pPr>
              <w:spacing w:after="0" w:line="240" w:lineRule="auto"/>
              <w:jc w:val="right"/>
              <w:rPr>
                <w:rFonts w:eastAsia="Times New Roman" w:cs="Times New Roman"/>
                <w:color w:val="000000"/>
                <w:szCs w:val="24"/>
              </w:rPr>
            </w:pPr>
            <w:r w:rsidRPr="00443944">
              <w:rPr>
                <w:rFonts w:eastAsia="Times New Roman" w:cs="Times New Roman"/>
                <w:color w:val="000000"/>
                <w:szCs w:val="24"/>
              </w:rPr>
              <w:t>2020</w:t>
            </w:r>
          </w:p>
        </w:tc>
      </w:tr>
      <w:tr w:rsidR="00443944" w:rsidRPr="00443944" w14:paraId="01BB32DF" w14:textId="77777777" w:rsidTr="00443944">
        <w:trPr>
          <w:trHeight w:val="312"/>
          <w:jc w:val="center"/>
        </w:trPr>
        <w:tc>
          <w:tcPr>
            <w:tcW w:w="258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376D0F00" w14:textId="77777777" w:rsidR="00443944" w:rsidRPr="00443944" w:rsidRDefault="00443944" w:rsidP="00443944">
            <w:pPr>
              <w:spacing w:after="0" w:line="240" w:lineRule="auto"/>
              <w:jc w:val="left"/>
              <w:rPr>
                <w:rFonts w:eastAsia="Times New Roman" w:cs="Times New Roman"/>
                <w:color w:val="000000"/>
                <w:szCs w:val="24"/>
              </w:rPr>
            </w:pPr>
            <w:r w:rsidRPr="00443944">
              <w:rPr>
                <w:rFonts w:eastAsia="Times New Roman" w:cs="Times New Roman"/>
                <w:color w:val="000000"/>
                <w:szCs w:val="24"/>
              </w:rPr>
              <w:t>Current Ratio</w:t>
            </w:r>
          </w:p>
        </w:tc>
        <w:tc>
          <w:tcPr>
            <w:tcW w:w="960" w:type="dxa"/>
            <w:tcBorders>
              <w:top w:val="nil"/>
              <w:left w:val="nil"/>
              <w:bottom w:val="single" w:sz="4" w:space="0" w:color="auto"/>
              <w:right w:val="single" w:sz="4" w:space="0" w:color="auto"/>
            </w:tcBorders>
            <w:shd w:val="clear" w:color="auto" w:fill="auto"/>
            <w:noWrap/>
            <w:vAlign w:val="bottom"/>
            <w:hideMark/>
          </w:tcPr>
          <w:p w14:paraId="6DE54CC3" w14:textId="77777777" w:rsidR="00443944" w:rsidRPr="00443944" w:rsidRDefault="00443944" w:rsidP="00443944">
            <w:pPr>
              <w:spacing w:after="0" w:line="240" w:lineRule="auto"/>
              <w:jc w:val="right"/>
              <w:rPr>
                <w:rFonts w:eastAsia="Times New Roman" w:cs="Times New Roman"/>
                <w:color w:val="000000"/>
                <w:szCs w:val="24"/>
              </w:rPr>
            </w:pPr>
            <w:r w:rsidRPr="00443944">
              <w:rPr>
                <w:rFonts w:eastAsia="Times New Roman" w:cs="Times New Roman"/>
                <w:color w:val="000000"/>
                <w:szCs w:val="24"/>
              </w:rPr>
              <w:t>2.29</w:t>
            </w:r>
          </w:p>
        </w:tc>
        <w:tc>
          <w:tcPr>
            <w:tcW w:w="960" w:type="dxa"/>
            <w:tcBorders>
              <w:top w:val="nil"/>
              <w:left w:val="nil"/>
              <w:bottom w:val="single" w:sz="4" w:space="0" w:color="auto"/>
              <w:right w:val="single" w:sz="4" w:space="0" w:color="auto"/>
            </w:tcBorders>
            <w:shd w:val="clear" w:color="auto" w:fill="auto"/>
            <w:noWrap/>
            <w:vAlign w:val="bottom"/>
            <w:hideMark/>
          </w:tcPr>
          <w:p w14:paraId="10BEC5E9" w14:textId="77777777" w:rsidR="00443944" w:rsidRPr="00443944" w:rsidRDefault="00443944" w:rsidP="00443944">
            <w:pPr>
              <w:spacing w:after="0" w:line="240" w:lineRule="auto"/>
              <w:jc w:val="right"/>
              <w:rPr>
                <w:rFonts w:eastAsia="Times New Roman" w:cs="Times New Roman"/>
                <w:color w:val="000000"/>
                <w:szCs w:val="24"/>
              </w:rPr>
            </w:pPr>
            <w:r w:rsidRPr="00443944">
              <w:rPr>
                <w:rFonts w:eastAsia="Times New Roman" w:cs="Times New Roman"/>
                <w:color w:val="000000"/>
                <w:szCs w:val="24"/>
              </w:rPr>
              <w:t>2.00</w:t>
            </w:r>
          </w:p>
        </w:tc>
      </w:tr>
    </w:tbl>
    <w:p w14:paraId="059B4379" w14:textId="77777777" w:rsidR="00443944" w:rsidRDefault="00443944" w:rsidP="00443944">
      <w:pPr>
        <w:jc w:val="left"/>
      </w:pPr>
    </w:p>
    <w:p w14:paraId="30781DC0" w14:textId="77777777" w:rsidR="00DC34B6" w:rsidRDefault="00DC34B6" w:rsidP="00443944">
      <w:pPr>
        <w:jc w:val="center"/>
      </w:pPr>
    </w:p>
    <w:p w14:paraId="0B1A2057" w14:textId="77777777" w:rsidR="00443944" w:rsidRDefault="00443944" w:rsidP="00443944">
      <w:pPr>
        <w:jc w:val="center"/>
      </w:pPr>
      <w:r w:rsidRPr="00443944">
        <w:rPr>
          <w:noProof/>
        </w:rPr>
        <w:lastRenderedPageBreak/>
        <w:drawing>
          <wp:inline distT="0" distB="0" distL="0" distR="0" wp14:anchorId="4C052DB4" wp14:editId="7DB72FBF">
            <wp:extent cx="4572000" cy="2743200"/>
            <wp:effectExtent l="19050" t="0" r="19050" b="0"/>
            <wp:docPr id="4" name="Chart 4"/>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inline>
        </w:drawing>
      </w:r>
    </w:p>
    <w:p w14:paraId="04576CC8" w14:textId="77777777" w:rsidR="00DC34B6" w:rsidRDefault="00DC34B6" w:rsidP="00DC34B6">
      <w:pPr>
        <w:jc w:val="left"/>
      </w:pPr>
    </w:p>
    <w:p w14:paraId="28F4F535" w14:textId="77777777" w:rsidR="00DC34B6" w:rsidRDefault="00DC34B6" w:rsidP="00DC34B6">
      <w:pPr>
        <w:jc w:val="left"/>
      </w:pPr>
      <w:r>
        <w:t>This ratio can be a worry for the management. In 2019 it was 2.29 and in 2020 it is 2.00. Till now the ratio is enough to pay out all the short term liabilities. The company has double current assets than current liabilities. But, if the decrease continues the daily activities of the company might be in problem.</w:t>
      </w:r>
    </w:p>
    <w:p w14:paraId="586FCB74" w14:textId="77777777" w:rsidR="00A81F8F" w:rsidRDefault="007935F9" w:rsidP="00DC34B6">
      <w:pPr>
        <w:jc w:val="left"/>
      </w:pPr>
      <w:r>
        <w:t>The next ratio is Acid Test Ratio. It is similar to current ratio, the difference is closing stock will not be included in current assets. Only the cash and</w:t>
      </w:r>
      <w:r w:rsidR="00A81F8F">
        <w:t xml:space="preserve"> the assets</w:t>
      </w:r>
      <w:r>
        <w:t xml:space="preserve"> equivalent to cash</w:t>
      </w:r>
      <w:r w:rsidR="00A81F8F">
        <w:t xml:space="preserve"> will be included. This ratio explains if the company can pay the current liabilities with the liquid assets. The Formula of this ratio is (Total Current Assets – Closi</w:t>
      </w:r>
      <w:r w:rsidR="00D6602D">
        <w:t xml:space="preserve">ng Stock) / Current Liabilities </w:t>
      </w:r>
      <w:r w:rsidR="00D6602D" w:rsidRPr="00D6602D">
        <w:t>(</w:t>
      </w:r>
      <w:r w:rsidR="00AA32CB">
        <w:t>Thakur</w:t>
      </w:r>
      <w:r w:rsidR="00D6602D" w:rsidRPr="00D6602D">
        <w:t xml:space="preserve"> and Vaidya</w:t>
      </w:r>
      <w:r w:rsidR="00D6602D">
        <w:t>, 2019).</w:t>
      </w:r>
    </w:p>
    <w:p w14:paraId="53DD177D" w14:textId="77777777" w:rsidR="00A81F8F" w:rsidRDefault="00A81F8F" w:rsidP="00DC34B6">
      <w:pPr>
        <w:jc w:val="left"/>
      </w:pPr>
      <w:r>
        <w:t>The ratios of two years are as follows</w:t>
      </w:r>
    </w:p>
    <w:tbl>
      <w:tblPr>
        <w:tblW w:w="4500" w:type="dxa"/>
        <w:jc w:val="center"/>
        <w:tblLook w:val="04A0" w:firstRow="1" w:lastRow="0" w:firstColumn="1" w:lastColumn="0" w:noHBand="0" w:noVBand="1"/>
      </w:tblPr>
      <w:tblGrid>
        <w:gridCol w:w="2580"/>
        <w:gridCol w:w="960"/>
        <w:gridCol w:w="960"/>
      </w:tblGrid>
      <w:tr w:rsidR="00A81F8F" w:rsidRPr="00A81F8F" w14:paraId="7E02266A" w14:textId="77777777" w:rsidTr="00A81F8F">
        <w:trPr>
          <w:trHeight w:val="312"/>
          <w:jc w:val="center"/>
        </w:trPr>
        <w:tc>
          <w:tcPr>
            <w:tcW w:w="2580" w:type="dxa"/>
            <w:tcBorders>
              <w:top w:val="single" w:sz="4" w:space="0" w:color="auto"/>
              <w:left w:val="single" w:sz="4" w:space="0" w:color="auto"/>
              <w:bottom w:val="single" w:sz="4" w:space="0" w:color="auto"/>
              <w:right w:val="single" w:sz="4" w:space="0" w:color="000000"/>
            </w:tcBorders>
            <w:shd w:val="clear" w:color="auto" w:fill="auto"/>
            <w:noWrap/>
            <w:vAlign w:val="bottom"/>
            <w:hideMark/>
          </w:tcPr>
          <w:p w14:paraId="63DAFF9C" w14:textId="77777777" w:rsidR="00A81F8F" w:rsidRPr="00A81F8F" w:rsidRDefault="00A81F8F" w:rsidP="00A81F8F">
            <w:pPr>
              <w:spacing w:after="0" w:line="240" w:lineRule="auto"/>
              <w:jc w:val="center"/>
              <w:rPr>
                <w:rFonts w:eastAsia="Times New Roman" w:cs="Times New Roman"/>
                <w:color w:val="000000"/>
                <w:szCs w:val="24"/>
              </w:rPr>
            </w:pPr>
            <w:r w:rsidRPr="00A81F8F">
              <w:rPr>
                <w:rFonts w:eastAsia="Times New Roman" w:cs="Times New Roman"/>
                <w:color w:val="000000"/>
                <w:szCs w:val="24"/>
              </w:rPr>
              <w:t> </w:t>
            </w:r>
          </w:p>
        </w:tc>
        <w:tc>
          <w:tcPr>
            <w:tcW w:w="960" w:type="dxa"/>
            <w:tcBorders>
              <w:top w:val="single" w:sz="4" w:space="0" w:color="auto"/>
              <w:left w:val="nil"/>
              <w:bottom w:val="single" w:sz="4" w:space="0" w:color="auto"/>
              <w:right w:val="single" w:sz="4" w:space="0" w:color="auto"/>
            </w:tcBorders>
            <w:shd w:val="clear" w:color="auto" w:fill="auto"/>
            <w:noWrap/>
            <w:vAlign w:val="bottom"/>
            <w:hideMark/>
          </w:tcPr>
          <w:p w14:paraId="638CDE68" w14:textId="77777777" w:rsidR="00A81F8F" w:rsidRPr="00A81F8F" w:rsidRDefault="00A81F8F" w:rsidP="00A81F8F">
            <w:pPr>
              <w:spacing w:after="0" w:line="240" w:lineRule="auto"/>
              <w:jc w:val="right"/>
              <w:rPr>
                <w:rFonts w:eastAsia="Times New Roman" w:cs="Times New Roman"/>
                <w:color w:val="000000"/>
                <w:szCs w:val="24"/>
              </w:rPr>
            </w:pPr>
            <w:r w:rsidRPr="00A81F8F">
              <w:rPr>
                <w:rFonts w:eastAsia="Times New Roman" w:cs="Times New Roman"/>
                <w:color w:val="000000"/>
                <w:szCs w:val="24"/>
              </w:rPr>
              <w:t>2019</w:t>
            </w:r>
          </w:p>
        </w:tc>
        <w:tc>
          <w:tcPr>
            <w:tcW w:w="960" w:type="dxa"/>
            <w:tcBorders>
              <w:top w:val="single" w:sz="4" w:space="0" w:color="auto"/>
              <w:left w:val="nil"/>
              <w:bottom w:val="single" w:sz="4" w:space="0" w:color="auto"/>
              <w:right w:val="single" w:sz="4" w:space="0" w:color="auto"/>
            </w:tcBorders>
            <w:shd w:val="clear" w:color="auto" w:fill="auto"/>
            <w:noWrap/>
            <w:vAlign w:val="bottom"/>
            <w:hideMark/>
          </w:tcPr>
          <w:p w14:paraId="2E3D3AB6" w14:textId="77777777" w:rsidR="00A81F8F" w:rsidRPr="00A81F8F" w:rsidRDefault="00A81F8F" w:rsidP="00A81F8F">
            <w:pPr>
              <w:spacing w:after="0" w:line="240" w:lineRule="auto"/>
              <w:jc w:val="right"/>
              <w:rPr>
                <w:rFonts w:eastAsia="Times New Roman" w:cs="Times New Roman"/>
                <w:color w:val="000000"/>
                <w:szCs w:val="24"/>
              </w:rPr>
            </w:pPr>
            <w:r w:rsidRPr="00A81F8F">
              <w:rPr>
                <w:rFonts w:eastAsia="Times New Roman" w:cs="Times New Roman"/>
                <w:color w:val="000000"/>
                <w:szCs w:val="24"/>
              </w:rPr>
              <w:t>2020</w:t>
            </w:r>
          </w:p>
        </w:tc>
      </w:tr>
      <w:tr w:rsidR="00A81F8F" w:rsidRPr="00A81F8F" w14:paraId="16971BE5" w14:textId="77777777" w:rsidTr="00A81F8F">
        <w:trPr>
          <w:trHeight w:val="312"/>
          <w:jc w:val="center"/>
        </w:trPr>
        <w:tc>
          <w:tcPr>
            <w:tcW w:w="258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3388A998" w14:textId="77777777" w:rsidR="00A81F8F" w:rsidRPr="00A81F8F" w:rsidRDefault="00A81F8F" w:rsidP="00A81F8F">
            <w:pPr>
              <w:spacing w:after="0" w:line="240" w:lineRule="auto"/>
              <w:jc w:val="left"/>
              <w:rPr>
                <w:rFonts w:eastAsia="Times New Roman" w:cs="Times New Roman"/>
                <w:color w:val="000000"/>
                <w:szCs w:val="24"/>
              </w:rPr>
            </w:pPr>
            <w:r w:rsidRPr="00A81F8F">
              <w:rPr>
                <w:rFonts w:eastAsia="Times New Roman" w:cs="Times New Roman"/>
                <w:color w:val="000000"/>
                <w:szCs w:val="24"/>
              </w:rPr>
              <w:t>Acid Test Ratio</w:t>
            </w:r>
          </w:p>
        </w:tc>
        <w:tc>
          <w:tcPr>
            <w:tcW w:w="960" w:type="dxa"/>
            <w:tcBorders>
              <w:top w:val="nil"/>
              <w:left w:val="nil"/>
              <w:bottom w:val="single" w:sz="4" w:space="0" w:color="auto"/>
              <w:right w:val="single" w:sz="4" w:space="0" w:color="auto"/>
            </w:tcBorders>
            <w:shd w:val="clear" w:color="auto" w:fill="auto"/>
            <w:noWrap/>
            <w:vAlign w:val="bottom"/>
            <w:hideMark/>
          </w:tcPr>
          <w:p w14:paraId="1CDEF414" w14:textId="77777777" w:rsidR="00A81F8F" w:rsidRPr="00A81F8F" w:rsidRDefault="00A81F8F" w:rsidP="00A81F8F">
            <w:pPr>
              <w:spacing w:after="0" w:line="240" w:lineRule="auto"/>
              <w:jc w:val="right"/>
              <w:rPr>
                <w:rFonts w:eastAsia="Times New Roman" w:cs="Times New Roman"/>
                <w:color w:val="000000"/>
                <w:szCs w:val="24"/>
              </w:rPr>
            </w:pPr>
            <w:r w:rsidRPr="00A81F8F">
              <w:rPr>
                <w:rFonts w:eastAsia="Times New Roman" w:cs="Times New Roman"/>
                <w:color w:val="000000"/>
                <w:szCs w:val="24"/>
              </w:rPr>
              <w:t>1.21</w:t>
            </w:r>
          </w:p>
        </w:tc>
        <w:tc>
          <w:tcPr>
            <w:tcW w:w="960" w:type="dxa"/>
            <w:tcBorders>
              <w:top w:val="nil"/>
              <w:left w:val="nil"/>
              <w:bottom w:val="single" w:sz="4" w:space="0" w:color="auto"/>
              <w:right w:val="single" w:sz="4" w:space="0" w:color="auto"/>
            </w:tcBorders>
            <w:shd w:val="clear" w:color="auto" w:fill="auto"/>
            <w:noWrap/>
            <w:vAlign w:val="bottom"/>
            <w:hideMark/>
          </w:tcPr>
          <w:p w14:paraId="30465E29" w14:textId="77777777" w:rsidR="00A81F8F" w:rsidRPr="00A81F8F" w:rsidRDefault="00A81F8F" w:rsidP="00A81F8F">
            <w:pPr>
              <w:spacing w:after="0" w:line="240" w:lineRule="auto"/>
              <w:jc w:val="right"/>
              <w:rPr>
                <w:rFonts w:eastAsia="Times New Roman" w:cs="Times New Roman"/>
                <w:color w:val="000000"/>
                <w:szCs w:val="24"/>
              </w:rPr>
            </w:pPr>
            <w:r w:rsidRPr="00A81F8F">
              <w:rPr>
                <w:rFonts w:eastAsia="Times New Roman" w:cs="Times New Roman"/>
                <w:color w:val="000000"/>
                <w:szCs w:val="24"/>
              </w:rPr>
              <w:t>1.13</w:t>
            </w:r>
          </w:p>
        </w:tc>
      </w:tr>
    </w:tbl>
    <w:p w14:paraId="3E15E13B" w14:textId="77777777" w:rsidR="007935F9" w:rsidRDefault="00A81F8F" w:rsidP="00A81F8F">
      <w:pPr>
        <w:jc w:val="center"/>
      </w:pPr>
      <w:r w:rsidRPr="00A81F8F">
        <w:rPr>
          <w:noProof/>
        </w:rPr>
        <w:lastRenderedPageBreak/>
        <w:drawing>
          <wp:inline distT="0" distB="0" distL="0" distR="0" wp14:anchorId="77AFBF06" wp14:editId="2C404723">
            <wp:extent cx="4572000" cy="2743200"/>
            <wp:effectExtent l="19050" t="0" r="19050" b="0"/>
            <wp:docPr id="5" name="Chart 5"/>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p>
    <w:p w14:paraId="686E6162" w14:textId="77777777" w:rsidR="00A81F8F" w:rsidRDefault="00A81F8F" w:rsidP="00A81F8F">
      <w:pPr>
        <w:jc w:val="left"/>
      </w:pPr>
      <w:r>
        <w:t>In both years the company is able to pay then current liabilities with the liquid assets. But, similar to current ratios the acid test ratio has been decreased in 2020. It means the liquid asset of the company has been decreased.</w:t>
      </w:r>
    </w:p>
    <w:p w14:paraId="6D9ADB58" w14:textId="77777777" w:rsidR="00AA6324" w:rsidRDefault="00AA6324" w:rsidP="00A81F8F">
      <w:pPr>
        <w:jc w:val="left"/>
      </w:pPr>
    </w:p>
    <w:p w14:paraId="68DDAAA3" w14:textId="77777777" w:rsidR="00AA6324" w:rsidRDefault="00AA6324" w:rsidP="00A81F8F">
      <w:pPr>
        <w:jc w:val="left"/>
      </w:pPr>
      <w:r>
        <w:t xml:space="preserve">The </w:t>
      </w:r>
      <w:r w:rsidR="00F00A69">
        <w:t>debtor’s</w:t>
      </w:r>
      <w:r>
        <w:t xml:space="preserve"> turnover ratio explains how many days the management takes to recover all the debts (credit sales). So, it reveals the efficiency of the manageme</w:t>
      </w:r>
      <w:r w:rsidR="00F00A69">
        <w:t>nt</w:t>
      </w:r>
      <w:r w:rsidR="00AA32CB">
        <w:t xml:space="preserve"> </w:t>
      </w:r>
      <w:r w:rsidR="00AA32CB" w:rsidRPr="003745B1">
        <w:t>(Solutions, 2022)</w:t>
      </w:r>
      <w:r w:rsidR="00F00A69" w:rsidRPr="003745B1">
        <w:t>.</w:t>
      </w:r>
      <w:r w:rsidR="00F00A69">
        <w:t xml:space="preserve"> The formula of the ratio is Debtor / Sales. The ratios in two consecutive years are –</w:t>
      </w:r>
    </w:p>
    <w:tbl>
      <w:tblPr>
        <w:tblW w:w="4500" w:type="dxa"/>
        <w:jc w:val="center"/>
        <w:tblLook w:val="04A0" w:firstRow="1" w:lastRow="0" w:firstColumn="1" w:lastColumn="0" w:noHBand="0" w:noVBand="1"/>
      </w:tblPr>
      <w:tblGrid>
        <w:gridCol w:w="2580"/>
        <w:gridCol w:w="960"/>
        <w:gridCol w:w="960"/>
      </w:tblGrid>
      <w:tr w:rsidR="00F00A69" w:rsidRPr="00F00A69" w14:paraId="7BEDE2B7" w14:textId="77777777" w:rsidTr="00F00A69">
        <w:trPr>
          <w:trHeight w:val="312"/>
          <w:jc w:val="center"/>
        </w:trPr>
        <w:tc>
          <w:tcPr>
            <w:tcW w:w="2580" w:type="dxa"/>
            <w:tcBorders>
              <w:top w:val="single" w:sz="4" w:space="0" w:color="auto"/>
              <w:left w:val="single" w:sz="4" w:space="0" w:color="auto"/>
              <w:bottom w:val="single" w:sz="4" w:space="0" w:color="auto"/>
              <w:right w:val="single" w:sz="4" w:space="0" w:color="000000"/>
            </w:tcBorders>
            <w:shd w:val="clear" w:color="auto" w:fill="auto"/>
            <w:noWrap/>
            <w:vAlign w:val="bottom"/>
            <w:hideMark/>
          </w:tcPr>
          <w:p w14:paraId="1AE8302B" w14:textId="77777777" w:rsidR="00F00A69" w:rsidRPr="00F00A69" w:rsidRDefault="00F00A69" w:rsidP="00F00A69">
            <w:pPr>
              <w:spacing w:after="0" w:line="240" w:lineRule="auto"/>
              <w:jc w:val="center"/>
              <w:rPr>
                <w:rFonts w:eastAsia="Times New Roman" w:cs="Times New Roman"/>
                <w:color w:val="000000"/>
                <w:szCs w:val="24"/>
              </w:rPr>
            </w:pPr>
            <w:r w:rsidRPr="00F00A69">
              <w:rPr>
                <w:rFonts w:eastAsia="Times New Roman" w:cs="Times New Roman"/>
                <w:color w:val="000000"/>
                <w:szCs w:val="24"/>
              </w:rPr>
              <w:t> </w:t>
            </w:r>
          </w:p>
        </w:tc>
        <w:tc>
          <w:tcPr>
            <w:tcW w:w="960" w:type="dxa"/>
            <w:tcBorders>
              <w:top w:val="single" w:sz="4" w:space="0" w:color="auto"/>
              <w:left w:val="nil"/>
              <w:bottom w:val="single" w:sz="4" w:space="0" w:color="auto"/>
              <w:right w:val="single" w:sz="4" w:space="0" w:color="auto"/>
            </w:tcBorders>
            <w:shd w:val="clear" w:color="auto" w:fill="auto"/>
            <w:noWrap/>
            <w:vAlign w:val="bottom"/>
            <w:hideMark/>
          </w:tcPr>
          <w:p w14:paraId="588CAC40" w14:textId="77777777" w:rsidR="00F00A69" w:rsidRPr="00F00A69" w:rsidRDefault="00F00A69" w:rsidP="00F00A69">
            <w:pPr>
              <w:spacing w:after="0" w:line="240" w:lineRule="auto"/>
              <w:jc w:val="right"/>
              <w:rPr>
                <w:rFonts w:eastAsia="Times New Roman" w:cs="Times New Roman"/>
                <w:color w:val="000000"/>
                <w:szCs w:val="24"/>
              </w:rPr>
            </w:pPr>
            <w:r w:rsidRPr="00F00A69">
              <w:rPr>
                <w:rFonts w:eastAsia="Times New Roman" w:cs="Times New Roman"/>
                <w:color w:val="000000"/>
                <w:szCs w:val="24"/>
              </w:rPr>
              <w:t>2019</w:t>
            </w:r>
          </w:p>
        </w:tc>
        <w:tc>
          <w:tcPr>
            <w:tcW w:w="960" w:type="dxa"/>
            <w:tcBorders>
              <w:top w:val="single" w:sz="4" w:space="0" w:color="auto"/>
              <w:left w:val="nil"/>
              <w:bottom w:val="single" w:sz="4" w:space="0" w:color="auto"/>
              <w:right w:val="single" w:sz="4" w:space="0" w:color="auto"/>
            </w:tcBorders>
            <w:shd w:val="clear" w:color="auto" w:fill="auto"/>
            <w:noWrap/>
            <w:vAlign w:val="bottom"/>
            <w:hideMark/>
          </w:tcPr>
          <w:p w14:paraId="27B8E9CB" w14:textId="77777777" w:rsidR="00F00A69" w:rsidRPr="00F00A69" w:rsidRDefault="00F00A69" w:rsidP="00F00A69">
            <w:pPr>
              <w:spacing w:after="0" w:line="240" w:lineRule="auto"/>
              <w:jc w:val="right"/>
              <w:rPr>
                <w:rFonts w:eastAsia="Times New Roman" w:cs="Times New Roman"/>
                <w:color w:val="000000"/>
                <w:szCs w:val="24"/>
              </w:rPr>
            </w:pPr>
            <w:r w:rsidRPr="00F00A69">
              <w:rPr>
                <w:rFonts w:eastAsia="Times New Roman" w:cs="Times New Roman"/>
                <w:color w:val="000000"/>
                <w:szCs w:val="24"/>
              </w:rPr>
              <w:t>2020</w:t>
            </w:r>
          </w:p>
        </w:tc>
      </w:tr>
      <w:tr w:rsidR="00F00A69" w:rsidRPr="00F00A69" w14:paraId="6B04212D" w14:textId="77777777" w:rsidTr="00F00A69">
        <w:trPr>
          <w:trHeight w:val="312"/>
          <w:jc w:val="center"/>
        </w:trPr>
        <w:tc>
          <w:tcPr>
            <w:tcW w:w="258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701F7BBE" w14:textId="77777777" w:rsidR="00F00A69" w:rsidRPr="00F00A69" w:rsidRDefault="00F00A69" w:rsidP="00F00A69">
            <w:pPr>
              <w:spacing w:after="0" w:line="240" w:lineRule="auto"/>
              <w:jc w:val="left"/>
              <w:rPr>
                <w:rFonts w:eastAsia="Times New Roman" w:cs="Times New Roman"/>
                <w:color w:val="000000"/>
                <w:szCs w:val="24"/>
              </w:rPr>
            </w:pPr>
            <w:r w:rsidRPr="00F00A69">
              <w:rPr>
                <w:rFonts w:eastAsia="Times New Roman" w:cs="Times New Roman"/>
                <w:color w:val="000000"/>
                <w:szCs w:val="24"/>
              </w:rPr>
              <w:t>Debtors Turnover ratio</w:t>
            </w:r>
          </w:p>
        </w:tc>
        <w:tc>
          <w:tcPr>
            <w:tcW w:w="960" w:type="dxa"/>
            <w:tcBorders>
              <w:top w:val="nil"/>
              <w:left w:val="nil"/>
              <w:bottom w:val="single" w:sz="4" w:space="0" w:color="auto"/>
              <w:right w:val="single" w:sz="4" w:space="0" w:color="auto"/>
            </w:tcBorders>
            <w:shd w:val="clear" w:color="auto" w:fill="auto"/>
            <w:noWrap/>
            <w:vAlign w:val="bottom"/>
            <w:hideMark/>
          </w:tcPr>
          <w:p w14:paraId="02DB0C35" w14:textId="77777777" w:rsidR="00F00A69" w:rsidRPr="00F00A69" w:rsidRDefault="00F00A69" w:rsidP="00F00A69">
            <w:pPr>
              <w:spacing w:after="0" w:line="240" w:lineRule="auto"/>
              <w:jc w:val="right"/>
              <w:rPr>
                <w:rFonts w:eastAsia="Times New Roman" w:cs="Times New Roman"/>
                <w:color w:val="000000"/>
                <w:szCs w:val="24"/>
              </w:rPr>
            </w:pPr>
            <w:r w:rsidRPr="00F00A69">
              <w:rPr>
                <w:rFonts w:eastAsia="Times New Roman" w:cs="Times New Roman"/>
                <w:color w:val="000000"/>
                <w:szCs w:val="24"/>
              </w:rPr>
              <w:t>0.29</w:t>
            </w:r>
          </w:p>
        </w:tc>
        <w:tc>
          <w:tcPr>
            <w:tcW w:w="960" w:type="dxa"/>
            <w:tcBorders>
              <w:top w:val="nil"/>
              <w:left w:val="nil"/>
              <w:bottom w:val="single" w:sz="4" w:space="0" w:color="auto"/>
              <w:right w:val="single" w:sz="4" w:space="0" w:color="auto"/>
            </w:tcBorders>
            <w:shd w:val="clear" w:color="auto" w:fill="auto"/>
            <w:noWrap/>
            <w:vAlign w:val="bottom"/>
            <w:hideMark/>
          </w:tcPr>
          <w:p w14:paraId="286FFB30" w14:textId="77777777" w:rsidR="00F00A69" w:rsidRPr="00F00A69" w:rsidRDefault="00F00A69" w:rsidP="00F00A69">
            <w:pPr>
              <w:spacing w:after="0" w:line="240" w:lineRule="auto"/>
              <w:jc w:val="right"/>
              <w:rPr>
                <w:rFonts w:eastAsia="Times New Roman" w:cs="Times New Roman"/>
                <w:color w:val="000000"/>
                <w:szCs w:val="24"/>
              </w:rPr>
            </w:pPr>
            <w:r w:rsidRPr="00F00A69">
              <w:rPr>
                <w:rFonts w:eastAsia="Times New Roman" w:cs="Times New Roman"/>
                <w:color w:val="000000"/>
                <w:szCs w:val="24"/>
              </w:rPr>
              <w:t>0.3</w:t>
            </w:r>
          </w:p>
        </w:tc>
      </w:tr>
    </w:tbl>
    <w:p w14:paraId="1879A9CB" w14:textId="77777777" w:rsidR="00F00A69" w:rsidRDefault="00F00A69" w:rsidP="00A81F8F">
      <w:pPr>
        <w:jc w:val="left"/>
      </w:pPr>
    </w:p>
    <w:p w14:paraId="0E73A0B3" w14:textId="77777777" w:rsidR="00F00A69" w:rsidRDefault="00F00A69" w:rsidP="00F00A69">
      <w:pPr>
        <w:jc w:val="center"/>
      </w:pPr>
      <w:r w:rsidRPr="00F00A69">
        <w:rPr>
          <w:noProof/>
        </w:rPr>
        <w:lastRenderedPageBreak/>
        <w:drawing>
          <wp:inline distT="0" distB="0" distL="0" distR="0" wp14:anchorId="38F5CA3B" wp14:editId="485BFBF8">
            <wp:extent cx="4572000" cy="2743200"/>
            <wp:effectExtent l="19050" t="0" r="19050" b="0"/>
            <wp:docPr id="6" name="Chart 6"/>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p>
    <w:p w14:paraId="04E89F3D" w14:textId="77777777" w:rsidR="00F00A69" w:rsidRDefault="00F00A69" w:rsidP="00F00A69">
      <w:pPr>
        <w:jc w:val="left"/>
      </w:pPr>
      <w:r>
        <w:t>The ratios in both years are almost same. The management is successful to be constant. The company takes 29 to 30 days to recover the credit sales.</w:t>
      </w:r>
    </w:p>
    <w:p w14:paraId="6B31A114" w14:textId="77777777" w:rsidR="003923ED" w:rsidRDefault="003923ED" w:rsidP="00F00A69">
      <w:pPr>
        <w:jc w:val="left"/>
      </w:pPr>
    </w:p>
    <w:p w14:paraId="69FD65C3" w14:textId="77777777" w:rsidR="003923ED" w:rsidRDefault="003923ED" w:rsidP="00F00A69">
      <w:pPr>
        <w:jc w:val="left"/>
      </w:pPr>
      <w:r>
        <w:t>The creditor turnover ratio reveals the financial condition of the company. It explains how many days the company takes to pay all the credits</w:t>
      </w:r>
      <w:r w:rsidR="003745B1">
        <w:t xml:space="preserve"> </w:t>
      </w:r>
      <w:r w:rsidR="003745B1" w:rsidRPr="003745B1">
        <w:t>(Management, 2019)</w:t>
      </w:r>
      <w:r w:rsidRPr="003745B1">
        <w:t>.</w:t>
      </w:r>
      <w:r>
        <w:t xml:space="preserve"> The formula of this ratio is Creditors/ Sales. The ratios are as follows:</w:t>
      </w:r>
    </w:p>
    <w:tbl>
      <w:tblPr>
        <w:tblW w:w="4500" w:type="dxa"/>
        <w:jc w:val="center"/>
        <w:tblLook w:val="04A0" w:firstRow="1" w:lastRow="0" w:firstColumn="1" w:lastColumn="0" w:noHBand="0" w:noVBand="1"/>
      </w:tblPr>
      <w:tblGrid>
        <w:gridCol w:w="2580"/>
        <w:gridCol w:w="960"/>
        <w:gridCol w:w="960"/>
      </w:tblGrid>
      <w:tr w:rsidR="003923ED" w:rsidRPr="003923ED" w14:paraId="57FC4BDC" w14:textId="77777777" w:rsidTr="003923ED">
        <w:trPr>
          <w:trHeight w:val="312"/>
          <w:jc w:val="center"/>
        </w:trPr>
        <w:tc>
          <w:tcPr>
            <w:tcW w:w="2580" w:type="dxa"/>
            <w:tcBorders>
              <w:top w:val="single" w:sz="4" w:space="0" w:color="auto"/>
              <w:left w:val="single" w:sz="4" w:space="0" w:color="auto"/>
              <w:bottom w:val="single" w:sz="4" w:space="0" w:color="auto"/>
              <w:right w:val="single" w:sz="4" w:space="0" w:color="000000"/>
            </w:tcBorders>
            <w:shd w:val="clear" w:color="auto" w:fill="auto"/>
            <w:noWrap/>
            <w:vAlign w:val="bottom"/>
            <w:hideMark/>
          </w:tcPr>
          <w:p w14:paraId="3935E074" w14:textId="77777777" w:rsidR="003923ED" w:rsidRPr="003923ED" w:rsidRDefault="003923ED" w:rsidP="003923ED">
            <w:pPr>
              <w:spacing w:after="0" w:line="240" w:lineRule="auto"/>
              <w:jc w:val="center"/>
              <w:rPr>
                <w:rFonts w:eastAsia="Times New Roman" w:cs="Times New Roman"/>
                <w:color w:val="000000"/>
                <w:szCs w:val="24"/>
              </w:rPr>
            </w:pPr>
            <w:r w:rsidRPr="003923ED">
              <w:rPr>
                <w:rFonts w:eastAsia="Times New Roman" w:cs="Times New Roman"/>
                <w:color w:val="000000"/>
                <w:szCs w:val="24"/>
              </w:rPr>
              <w:t> </w:t>
            </w:r>
          </w:p>
        </w:tc>
        <w:tc>
          <w:tcPr>
            <w:tcW w:w="960" w:type="dxa"/>
            <w:tcBorders>
              <w:top w:val="single" w:sz="4" w:space="0" w:color="auto"/>
              <w:left w:val="nil"/>
              <w:bottom w:val="single" w:sz="4" w:space="0" w:color="auto"/>
              <w:right w:val="single" w:sz="4" w:space="0" w:color="auto"/>
            </w:tcBorders>
            <w:shd w:val="clear" w:color="auto" w:fill="auto"/>
            <w:noWrap/>
            <w:vAlign w:val="bottom"/>
            <w:hideMark/>
          </w:tcPr>
          <w:p w14:paraId="62F08A38" w14:textId="77777777" w:rsidR="003923ED" w:rsidRPr="003923ED" w:rsidRDefault="003923ED" w:rsidP="003923ED">
            <w:pPr>
              <w:spacing w:after="0" w:line="240" w:lineRule="auto"/>
              <w:jc w:val="right"/>
              <w:rPr>
                <w:rFonts w:eastAsia="Times New Roman" w:cs="Times New Roman"/>
                <w:color w:val="000000"/>
                <w:szCs w:val="24"/>
              </w:rPr>
            </w:pPr>
            <w:r w:rsidRPr="003923ED">
              <w:rPr>
                <w:rFonts w:eastAsia="Times New Roman" w:cs="Times New Roman"/>
                <w:color w:val="000000"/>
                <w:szCs w:val="24"/>
              </w:rPr>
              <w:t>2019</w:t>
            </w:r>
          </w:p>
        </w:tc>
        <w:tc>
          <w:tcPr>
            <w:tcW w:w="960" w:type="dxa"/>
            <w:tcBorders>
              <w:top w:val="single" w:sz="4" w:space="0" w:color="auto"/>
              <w:left w:val="nil"/>
              <w:bottom w:val="single" w:sz="4" w:space="0" w:color="auto"/>
              <w:right w:val="single" w:sz="4" w:space="0" w:color="auto"/>
            </w:tcBorders>
            <w:shd w:val="clear" w:color="auto" w:fill="auto"/>
            <w:noWrap/>
            <w:vAlign w:val="bottom"/>
            <w:hideMark/>
          </w:tcPr>
          <w:p w14:paraId="40F37C82" w14:textId="77777777" w:rsidR="003923ED" w:rsidRPr="003923ED" w:rsidRDefault="003923ED" w:rsidP="003923ED">
            <w:pPr>
              <w:spacing w:after="0" w:line="240" w:lineRule="auto"/>
              <w:jc w:val="right"/>
              <w:rPr>
                <w:rFonts w:eastAsia="Times New Roman" w:cs="Times New Roman"/>
                <w:color w:val="000000"/>
                <w:szCs w:val="24"/>
              </w:rPr>
            </w:pPr>
            <w:r w:rsidRPr="003923ED">
              <w:rPr>
                <w:rFonts w:eastAsia="Times New Roman" w:cs="Times New Roman"/>
                <w:color w:val="000000"/>
                <w:szCs w:val="24"/>
              </w:rPr>
              <w:t>2020</w:t>
            </w:r>
          </w:p>
        </w:tc>
      </w:tr>
      <w:tr w:rsidR="003923ED" w:rsidRPr="003923ED" w14:paraId="6F3F4F26" w14:textId="77777777" w:rsidTr="003923ED">
        <w:trPr>
          <w:trHeight w:val="312"/>
          <w:jc w:val="center"/>
        </w:trPr>
        <w:tc>
          <w:tcPr>
            <w:tcW w:w="258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04F71F73" w14:textId="77777777" w:rsidR="003923ED" w:rsidRPr="003923ED" w:rsidRDefault="003923ED" w:rsidP="003923ED">
            <w:pPr>
              <w:spacing w:after="0" w:line="240" w:lineRule="auto"/>
              <w:jc w:val="left"/>
              <w:rPr>
                <w:rFonts w:eastAsia="Times New Roman" w:cs="Times New Roman"/>
                <w:color w:val="000000"/>
                <w:szCs w:val="24"/>
              </w:rPr>
            </w:pPr>
            <w:r w:rsidRPr="003923ED">
              <w:rPr>
                <w:rFonts w:eastAsia="Times New Roman" w:cs="Times New Roman"/>
                <w:color w:val="000000"/>
                <w:szCs w:val="24"/>
              </w:rPr>
              <w:t>Creditors Turnover ratio</w:t>
            </w:r>
          </w:p>
        </w:tc>
        <w:tc>
          <w:tcPr>
            <w:tcW w:w="960" w:type="dxa"/>
            <w:tcBorders>
              <w:top w:val="nil"/>
              <w:left w:val="nil"/>
              <w:bottom w:val="single" w:sz="4" w:space="0" w:color="auto"/>
              <w:right w:val="single" w:sz="4" w:space="0" w:color="auto"/>
            </w:tcBorders>
            <w:shd w:val="clear" w:color="auto" w:fill="auto"/>
            <w:noWrap/>
            <w:vAlign w:val="bottom"/>
            <w:hideMark/>
          </w:tcPr>
          <w:p w14:paraId="177E412B" w14:textId="77777777" w:rsidR="003923ED" w:rsidRPr="003923ED" w:rsidRDefault="003923ED" w:rsidP="003923ED">
            <w:pPr>
              <w:spacing w:after="0" w:line="240" w:lineRule="auto"/>
              <w:jc w:val="right"/>
              <w:rPr>
                <w:rFonts w:eastAsia="Times New Roman" w:cs="Times New Roman"/>
                <w:color w:val="000000"/>
                <w:szCs w:val="24"/>
              </w:rPr>
            </w:pPr>
            <w:r w:rsidRPr="003923ED">
              <w:rPr>
                <w:rFonts w:eastAsia="Times New Roman" w:cs="Times New Roman"/>
                <w:color w:val="000000"/>
                <w:szCs w:val="24"/>
              </w:rPr>
              <w:t>0.15</w:t>
            </w:r>
          </w:p>
        </w:tc>
        <w:tc>
          <w:tcPr>
            <w:tcW w:w="960" w:type="dxa"/>
            <w:tcBorders>
              <w:top w:val="nil"/>
              <w:left w:val="nil"/>
              <w:bottom w:val="single" w:sz="4" w:space="0" w:color="auto"/>
              <w:right w:val="single" w:sz="4" w:space="0" w:color="auto"/>
            </w:tcBorders>
            <w:shd w:val="clear" w:color="auto" w:fill="auto"/>
            <w:noWrap/>
            <w:vAlign w:val="bottom"/>
            <w:hideMark/>
          </w:tcPr>
          <w:p w14:paraId="6196BF8C" w14:textId="77777777" w:rsidR="003923ED" w:rsidRPr="003923ED" w:rsidRDefault="003923ED" w:rsidP="003923ED">
            <w:pPr>
              <w:spacing w:after="0" w:line="240" w:lineRule="auto"/>
              <w:jc w:val="right"/>
              <w:rPr>
                <w:rFonts w:eastAsia="Times New Roman" w:cs="Times New Roman"/>
                <w:color w:val="000000"/>
                <w:szCs w:val="24"/>
              </w:rPr>
            </w:pPr>
            <w:r w:rsidRPr="003923ED">
              <w:rPr>
                <w:rFonts w:eastAsia="Times New Roman" w:cs="Times New Roman"/>
                <w:color w:val="000000"/>
                <w:szCs w:val="24"/>
              </w:rPr>
              <w:t>0.15</w:t>
            </w:r>
          </w:p>
        </w:tc>
      </w:tr>
    </w:tbl>
    <w:p w14:paraId="6ACC5738" w14:textId="77777777" w:rsidR="003923ED" w:rsidRDefault="003923ED" w:rsidP="00F00A69">
      <w:pPr>
        <w:jc w:val="left"/>
      </w:pPr>
    </w:p>
    <w:p w14:paraId="3C3AE745" w14:textId="77777777" w:rsidR="003923ED" w:rsidRDefault="003923ED" w:rsidP="003923ED">
      <w:pPr>
        <w:jc w:val="center"/>
      </w:pPr>
      <w:r w:rsidRPr="003923ED">
        <w:rPr>
          <w:noProof/>
        </w:rPr>
        <w:lastRenderedPageBreak/>
        <w:drawing>
          <wp:inline distT="0" distB="0" distL="0" distR="0" wp14:anchorId="0BDE3E53" wp14:editId="6809B8D6">
            <wp:extent cx="4572000" cy="2743200"/>
            <wp:effectExtent l="19050" t="0" r="19050" b="0"/>
            <wp:docPr id="7" name="Chart 7"/>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inline>
        </w:drawing>
      </w:r>
    </w:p>
    <w:p w14:paraId="3AC71982" w14:textId="77777777" w:rsidR="003923ED" w:rsidRDefault="003923ED" w:rsidP="003923ED">
      <w:pPr>
        <w:jc w:val="left"/>
      </w:pPr>
      <w:r>
        <w:t xml:space="preserve">The financial condition of the company did not change in 2020 in comparison with 2019. The company takes 15 days to pay the credits. The management of the company is also successful in this case. </w:t>
      </w:r>
    </w:p>
    <w:p w14:paraId="032A6918" w14:textId="77777777" w:rsidR="00385414" w:rsidRDefault="00385414" w:rsidP="003923ED">
      <w:pPr>
        <w:jc w:val="left"/>
      </w:pPr>
    </w:p>
    <w:p w14:paraId="0D0E8188" w14:textId="77777777" w:rsidR="00385414" w:rsidRDefault="00385414" w:rsidP="003923ED">
      <w:pPr>
        <w:jc w:val="left"/>
      </w:pPr>
      <w:r>
        <w:t>The next ratio is asset turnover ratio. This ratio reveals how efficiently the management is utilizing the assets of the company to generate sales</w:t>
      </w:r>
      <w:r w:rsidR="007C4FF3">
        <w:t xml:space="preserve"> </w:t>
      </w:r>
      <w:r w:rsidR="007C4FF3" w:rsidRPr="007C4FF3">
        <w:t>(Times, 2022)</w:t>
      </w:r>
      <w:r w:rsidRPr="007C4FF3">
        <w:t>.</w:t>
      </w:r>
      <w:r>
        <w:t xml:space="preserve"> The formula of this ratio is (Fixed Assets+ Current Assets) / Sales. The ratios of two consecutive are as follows: </w:t>
      </w:r>
    </w:p>
    <w:tbl>
      <w:tblPr>
        <w:tblW w:w="4011" w:type="dxa"/>
        <w:jc w:val="center"/>
        <w:tblLook w:val="04A0" w:firstRow="1" w:lastRow="0" w:firstColumn="1" w:lastColumn="0" w:noHBand="0" w:noVBand="1"/>
      </w:tblPr>
      <w:tblGrid>
        <w:gridCol w:w="2091"/>
        <w:gridCol w:w="960"/>
        <w:gridCol w:w="960"/>
      </w:tblGrid>
      <w:tr w:rsidR="00770B87" w:rsidRPr="00770B87" w14:paraId="5D8977A6" w14:textId="77777777" w:rsidTr="00770B87">
        <w:trPr>
          <w:trHeight w:val="312"/>
          <w:jc w:val="center"/>
        </w:trPr>
        <w:tc>
          <w:tcPr>
            <w:tcW w:w="2091" w:type="dxa"/>
            <w:tcBorders>
              <w:top w:val="single" w:sz="4" w:space="0" w:color="auto"/>
              <w:left w:val="single" w:sz="4" w:space="0" w:color="auto"/>
              <w:bottom w:val="single" w:sz="4" w:space="0" w:color="auto"/>
              <w:right w:val="single" w:sz="4" w:space="0" w:color="000000"/>
            </w:tcBorders>
            <w:shd w:val="clear" w:color="auto" w:fill="auto"/>
            <w:noWrap/>
            <w:vAlign w:val="bottom"/>
            <w:hideMark/>
          </w:tcPr>
          <w:p w14:paraId="008C00A6" w14:textId="77777777" w:rsidR="00770B87" w:rsidRPr="00770B87" w:rsidRDefault="00770B87" w:rsidP="00770B87">
            <w:pPr>
              <w:spacing w:after="0" w:line="240" w:lineRule="auto"/>
              <w:jc w:val="center"/>
              <w:rPr>
                <w:rFonts w:eastAsia="Times New Roman" w:cs="Times New Roman"/>
                <w:color w:val="000000"/>
                <w:szCs w:val="24"/>
              </w:rPr>
            </w:pPr>
            <w:r w:rsidRPr="00770B87">
              <w:rPr>
                <w:rFonts w:eastAsia="Times New Roman" w:cs="Times New Roman"/>
                <w:color w:val="000000"/>
                <w:szCs w:val="24"/>
              </w:rPr>
              <w:t> </w:t>
            </w:r>
          </w:p>
        </w:tc>
        <w:tc>
          <w:tcPr>
            <w:tcW w:w="960" w:type="dxa"/>
            <w:tcBorders>
              <w:top w:val="single" w:sz="4" w:space="0" w:color="auto"/>
              <w:left w:val="nil"/>
              <w:bottom w:val="single" w:sz="4" w:space="0" w:color="auto"/>
              <w:right w:val="single" w:sz="4" w:space="0" w:color="auto"/>
            </w:tcBorders>
            <w:shd w:val="clear" w:color="auto" w:fill="auto"/>
            <w:noWrap/>
            <w:vAlign w:val="bottom"/>
            <w:hideMark/>
          </w:tcPr>
          <w:p w14:paraId="16019A4B" w14:textId="77777777" w:rsidR="00770B87" w:rsidRPr="00770B87" w:rsidRDefault="00770B87" w:rsidP="00770B87">
            <w:pPr>
              <w:spacing w:after="0" w:line="240" w:lineRule="auto"/>
              <w:jc w:val="right"/>
              <w:rPr>
                <w:rFonts w:eastAsia="Times New Roman" w:cs="Times New Roman"/>
                <w:color w:val="000000"/>
                <w:szCs w:val="24"/>
              </w:rPr>
            </w:pPr>
            <w:r w:rsidRPr="00770B87">
              <w:rPr>
                <w:rFonts w:eastAsia="Times New Roman" w:cs="Times New Roman"/>
                <w:color w:val="000000"/>
                <w:szCs w:val="24"/>
              </w:rPr>
              <w:t>2019</w:t>
            </w:r>
          </w:p>
        </w:tc>
        <w:tc>
          <w:tcPr>
            <w:tcW w:w="960" w:type="dxa"/>
            <w:tcBorders>
              <w:top w:val="single" w:sz="4" w:space="0" w:color="auto"/>
              <w:left w:val="nil"/>
              <w:bottom w:val="single" w:sz="4" w:space="0" w:color="auto"/>
              <w:right w:val="single" w:sz="4" w:space="0" w:color="auto"/>
            </w:tcBorders>
            <w:shd w:val="clear" w:color="auto" w:fill="auto"/>
            <w:noWrap/>
            <w:vAlign w:val="bottom"/>
            <w:hideMark/>
          </w:tcPr>
          <w:p w14:paraId="5688EA18" w14:textId="77777777" w:rsidR="00770B87" w:rsidRPr="00770B87" w:rsidRDefault="00770B87" w:rsidP="00770B87">
            <w:pPr>
              <w:spacing w:after="0" w:line="240" w:lineRule="auto"/>
              <w:jc w:val="right"/>
              <w:rPr>
                <w:rFonts w:eastAsia="Times New Roman" w:cs="Times New Roman"/>
                <w:color w:val="000000"/>
                <w:szCs w:val="24"/>
              </w:rPr>
            </w:pPr>
            <w:r w:rsidRPr="00770B87">
              <w:rPr>
                <w:rFonts w:eastAsia="Times New Roman" w:cs="Times New Roman"/>
                <w:color w:val="000000"/>
                <w:szCs w:val="24"/>
              </w:rPr>
              <w:t>2020</w:t>
            </w:r>
          </w:p>
        </w:tc>
      </w:tr>
      <w:tr w:rsidR="00770B87" w:rsidRPr="00770B87" w14:paraId="3D6C803C" w14:textId="77777777" w:rsidTr="00770B87">
        <w:trPr>
          <w:trHeight w:val="312"/>
          <w:jc w:val="center"/>
        </w:trPr>
        <w:tc>
          <w:tcPr>
            <w:tcW w:w="2091"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7DBFF644" w14:textId="77777777" w:rsidR="00770B87" w:rsidRPr="00770B87" w:rsidRDefault="00770B87" w:rsidP="00770B87">
            <w:pPr>
              <w:spacing w:after="0" w:line="240" w:lineRule="auto"/>
              <w:jc w:val="left"/>
              <w:rPr>
                <w:rFonts w:eastAsia="Times New Roman" w:cs="Times New Roman"/>
                <w:color w:val="000000"/>
                <w:szCs w:val="24"/>
              </w:rPr>
            </w:pPr>
            <w:r w:rsidRPr="00770B87">
              <w:rPr>
                <w:rFonts w:eastAsia="Times New Roman" w:cs="Times New Roman"/>
                <w:color w:val="000000"/>
                <w:szCs w:val="24"/>
              </w:rPr>
              <w:t>Asset Turnover Ratio</w:t>
            </w:r>
          </w:p>
        </w:tc>
        <w:tc>
          <w:tcPr>
            <w:tcW w:w="960" w:type="dxa"/>
            <w:tcBorders>
              <w:top w:val="nil"/>
              <w:left w:val="nil"/>
              <w:bottom w:val="single" w:sz="4" w:space="0" w:color="auto"/>
              <w:right w:val="single" w:sz="4" w:space="0" w:color="auto"/>
            </w:tcBorders>
            <w:shd w:val="clear" w:color="auto" w:fill="auto"/>
            <w:noWrap/>
            <w:vAlign w:val="bottom"/>
            <w:hideMark/>
          </w:tcPr>
          <w:p w14:paraId="48577C2C" w14:textId="77777777" w:rsidR="00770B87" w:rsidRPr="00770B87" w:rsidRDefault="00770B87" w:rsidP="00770B87">
            <w:pPr>
              <w:spacing w:after="0" w:line="240" w:lineRule="auto"/>
              <w:jc w:val="right"/>
              <w:rPr>
                <w:rFonts w:eastAsia="Times New Roman" w:cs="Times New Roman"/>
                <w:color w:val="000000"/>
                <w:szCs w:val="24"/>
              </w:rPr>
            </w:pPr>
            <w:r w:rsidRPr="00770B87">
              <w:rPr>
                <w:rFonts w:eastAsia="Times New Roman" w:cs="Times New Roman"/>
                <w:color w:val="000000"/>
                <w:szCs w:val="24"/>
              </w:rPr>
              <w:t>1.38</w:t>
            </w:r>
          </w:p>
        </w:tc>
        <w:tc>
          <w:tcPr>
            <w:tcW w:w="960" w:type="dxa"/>
            <w:tcBorders>
              <w:top w:val="nil"/>
              <w:left w:val="nil"/>
              <w:bottom w:val="single" w:sz="4" w:space="0" w:color="auto"/>
              <w:right w:val="single" w:sz="4" w:space="0" w:color="auto"/>
            </w:tcBorders>
            <w:shd w:val="clear" w:color="auto" w:fill="auto"/>
            <w:noWrap/>
            <w:vAlign w:val="bottom"/>
            <w:hideMark/>
          </w:tcPr>
          <w:p w14:paraId="5F438C5C" w14:textId="77777777" w:rsidR="00770B87" w:rsidRPr="00770B87" w:rsidRDefault="00770B87" w:rsidP="00770B87">
            <w:pPr>
              <w:spacing w:after="0" w:line="240" w:lineRule="auto"/>
              <w:jc w:val="right"/>
              <w:rPr>
                <w:rFonts w:eastAsia="Times New Roman" w:cs="Times New Roman"/>
                <w:color w:val="000000"/>
                <w:szCs w:val="24"/>
              </w:rPr>
            </w:pPr>
            <w:r w:rsidRPr="00770B87">
              <w:rPr>
                <w:rFonts w:eastAsia="Times New Roman" w:cs="Times New Roman"/>
                <w:color w:val="000000"/>
                <w:szCs w:val="24"/>
              </w:rPr>
              <w:t>1.32</w:t>
            </w:r>
          </w:p>
        </w:tc>
      </w:tr>
    </w:tbl>
    <w:p w14:paraId="06805D56" w14:textId="77777777" w:rsidR="00770B87" w:rsidRDefault="00770B87" w:rsidP="003923ED">
      <w:pPr>
        <w:jc w:val="left"/>
      </w:pPr>
    </w:p>
    <w:p w14:paraId="05895010" w14:textId="77777777" w:rsidR="00770B87" w:rsidRDefault="00770B87" w:rsidP="00770B87">
      <w:pPr>
        <w:jc w:val="center"/>
      </w:pPr>
      <w:r w:rsidRPr="00770B87">
        <w:rPr>
          <w:noProof/>
        </w:rPr>
        <w:lastRenderedPageBreak/>
        <w:drawing>
          <wp:inline distT="0" distB="0" distL="0" distR="0" wp14:anchorId="5804DCE8" wp14:editId="4D9B9117">
            <wp:extent cx="4572000" cy="2743200"/>
            <wp:effectExtent l="19050" t="0" r="19050" b="0"/>
            <wp:docPr id="8" name="Chart 8"/>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inline>
        </w:drawing>
      </w:r>
    </w:p>
    <w:p w14:paraId="7FD1228B" w14:textId="77777777" w:rsidR="006F1A44" w:rsidRDefault="006F1A44" w:rsidP="006F1A44">
      <w:pPr>
        <w:jc w:val="left"/>
      </w:pPr>
      <w:r>
        <w:t xml:space="preserve">The assets are being utilized efficiently in the company. The management is successful to generate more sales than total assets in both years. </w:t>
      </w:r>
      <w:r w:rsidR="004C44E9">
        <w:t>It proves that the management is efficient.</w:t>
      </w:r>
    </w:p>
    <w:p w14:paraId="15271932" w14:textId="77777777" w:rsidR="004C44E9" w:rsidRDefault="004C44E9" w:rsidP="006F1A44">
      <w:pPr>
        <w:jc w:val="left"/>
      </w:pPr>
    </w:p>
    <w:p w14:paraId="17FE5FD2" w14:textId="77777777" w:rsidR="004C44E9" w:rsidRDefault="004C44E9" w:rsidP="006F1A44">
      <w:pPr>
        <w:jc w:val="left"/>
      </w:pPr>
      <w:r>
        <w:t>The next ratio is return on capital.  The ratio reveals how much sal</w:t>
      </w:r>
      <w:r w:rsidR="009B6294">
        <w:t>e</w:t>
      </w:r>
      <w:r>
        <w:t xml:space="preserve"> is generated against the capital (investment) of the company</w:t>
      </w:r>
      <w:r w:rsidR="00412FDA">
        <w:t xml:space="preserve"> </w:t>
      </w:r>
      <w:r w:rsidR="00412FDA" w:rsidRPr="00412FDA">
        <w:t>(MILLER, 2021)</w:t>
      </w:r>
      <w:r w:rsidRPr="00412FDA">
        <w:t>.</w:t>
      </w:r>
      <w:r>
        <w:t xml:space="preserve"> The formula of this ratio is Sales/ Capital. The ratios are –</w:t>
      </w:r>
    </w:p>
    <w:tbl>
      <w:tblPr>
        <w:tblW w:w="3840" w:type="dxa"/>
        <w:jc w:val="center"/>
        <w:tblLook w:val="04A0" w:firstRow="1" w:lastRow="0" w:firstColumn="1" w:lastColumn="0" w:noHBand="0" w:noVBand="1"/>
      </w:tblPr>
      <w:tblGrid>
        <w:gridCol w:w="960"/>
        <w:gridCol w:w="960"/>
        <w:gridCol w:w="960"/>
        <w:gridCol w:w="960"/>
      </w:tblGrid>
      <w:tr w:rsidR="004C44E9" w:rsidRPr="004C44E9" w14:paraId="7D539B65" w14:textId="77777777" w:rsidTr="004C44E9">
        <w:trPr>
          <w:trHeight w:val="312"/>
          <w:jc w:val="center"/>
        </w:trPr>
        <w:tc>
          <w:tcPr>
            <w:tcW w:w="96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14AEA7CD" w14:textId="77777777" w:rsidR="004C44E9" w:rsidRPr="004C44E9" w:rsidRDefault="004C44E9" w:rsidP="004C44E9">
            <w:pPr>
              <w:spacing w:after="0" w:line="240" w:lineRule="auto"/>
              <w:jc w:val="left"/>
              <w:rPr>
                <w:rFonts w:eastAsia="Times New Roman" w:cs="Times New Roman"/>
                <w:color w:val="000000"/>
                <w:szCs w:val="24"/>
              </w:rPr>
            </w:pPr>
            <w:r w:rsidRPr="004C44E9">
              <w:rPr>
                <w:rFonts w:eastAsia="Times New Roman" w:cs="Times New Roman"/>
                <w:color w:val="000000"/>
                <w:szCs w:val="24"/>
              </w:rPr>
              <w:t> </w:t>
            </w:r>
          </w:p>
        </w:tc>
        <w:tc>
          <w:tcPr>
            <w:tcW w:w="960" w:type="dxa"/>
            <w:tcBorders>
              <w:top w:val="single" w:sz="4" w:space="0" w:color="auto"/>
              <w:left w:val="nil"/>
              <w:bottom w:val="single" w:sz="4" w:space="0" w:color="auto"/>
              <w:right w:val="single" w:sz="4" w:space="0" w:color="auto"/>
            </w:tcBorders>
            <w:shd w:val="clear" w:color="auto" w:fill="auto"/>
            <w:noWrap/>
            <w:vAlign w:val="bottom"/>
            <w:hideMark/>
          </w:tcPr>
          <w:p w14:paraId="0B6812E8" w14:textId="77777777" w:rsidR="004C44E9" w:rsidRPr="004C44E9" w:rsidRDefault="004C44E9" w:rsidP="004C44E9">
            <w:pPr>
              <w:spacing w:after="0" w:line="240" w:lineRule="auto"/>
              <w:jc w:val="left"/>
              <w:rPr>
                <w:rFonts w:eastAsia="Times New Roman" w:cs="Times New Roman"/>
                <w:color w:val="000000"/>
                <w:szCs w:val="24"/>
              </w:rPr>
            </w:pPr>
            <w:r w:rsidRPr="004C44E9">
              <w:rPr>
                <w:rFonts w:eastAsia="Times New Roman" w:cs="Times New Roman"/>
                <w:color w:val="000000"/>
                <w:szCs w:val="24"/>
              </w:rPr>
              <w:t> </w:t>
            </w:r>
          </w:p>
        </w:tc>
        <w:tc>
          <w:tcPr>
            <w:tcW w:w="960" w:type="dxa"/>
            <w:tcBorders>
              <w:top w:val="single" w:sz="4" w:space="0" w:color="auto"/>
              <w:left w:val="nil"/>
              <w:bottom w:val="single" w:sz="4" w:space="0" w:color="auto"/>
              <w:right w:val="single" w:sz="4" w:space="0" w:color="auto"/>
            </w:tcBorders>
            <w:shd w:val="clear" w:color="auto" w:fill="auto"/>
            <w:noWrap/>
            <w:vAlign w:val="bottom"/>
            <w:hideMark/>
          </w:tcPr>
          <w:p w14:paraId="32AA00EF" w14:textId="77777777" w:rsidR="004C44E9" w:rsidRPr="004C44E9" w:rsidRDefault="004C44E9" w:rsidP="004C44E9">
            <w:pPr>
              <w:spacing w:after="0" w:line="240" w:lineRule="auto"/>
              <w:jc w:val="right"/>
              <w:rPr>
                <w:rFonts w:eastAsia="Times New Roman" w:cs="Times New Roman"/>
                <w:color w:val="000000"/>
                <w:szCs w:val="24"/>
              </w:rPr>
            </w:pPr>
            <w:r w:rsidRPr="004C44E9">
              <w:rPr>
                <w:rFonts w:eastAsia="Times New Roman" w:cs="Times New Roman"/>
                <w:color w:val="000000"/>
                <w:szCs w:val="24"/>
              </w:rPr>
              <w:t>2019</w:t>
            </w:r>
          </w:p>
        </w:tc>
        <w:tc>
          <w:tcPr>
            <w:tcW w:w="960" w:type="dxa"/>
            <w:tcBorders>
              <w:top w:val="single" w:sz="4" w:space="0" w:color="auto"/>
              <w:left w:val="nil"/>
              <w:bottom w:val="single" w:sz="4" w:space="0" w:color="auto"/>
              <w:right w:val="single" w:sz="4" w:space="0" w:color="auto"/>
            </w:tcBorders>
            <w:shd w:val="clear" w:color="auto" w:fill="auto"/>
            <w:noWrap/>
            <w:vAlign w:val="bottom"/>
            <w:hideMark/>
          </w:tcPr>
          <w:p w14:paraId="3EF2A292" w14:textId="77777777" w:rsidR="004C44E9" w:rsidRPr="004C44E9" w:rsidRDefault="004C44E9" w:rsidP="004C44E9">
            <w:pPr>
              <w:spacing w:after="0" w:line="240" w:lineRule="auto"/>
              <w:jc w:val="right"/>
              <w:rPr>
                <w:rFonts w:eastAsia="Times New Roman" w:cs="Times New Roman"/>
                <w:color w:val="000000"/>
                <w:szCs w:val="24"/>
              </w:rPr>
            </w:pPr>
            <w:r w:rsidRPr="004C44E9">
              <w:rPr>
                <w:rFonts w:eastAsia="Times New Roman" w:cs="Times New Roman"/>
                <w:color w:val="000000"/>
                <w:szCs w:val="24"/>
              </w:rPr>
              <w:t>2020</w:t>
            </w:r>
          </w:p>
        </w:tc>
      </w:tr>
      <w:tr w:rsidR="004C44E9" w:rsidRPr="004C44E9" w14:paraId="6606FC61" w14:textId="77777777" w:rsidTr="004C44E9">
        <w:trPr>
          <w:trHeight w:val="312"/>
          <w:jc w:val="center"/>
        </w:trPr>
        <w:tc>
          <w:tcPr>
            <w:tcW w:w="1920" w:type="dxa"/>
            <w:gridSpan w:val="2"/>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0B7D622A" w14:textId="77777777" w:rsidR="004C44E9" w:rsidRPr="004C44E9" w:rsidRDefault="004C44E9" w:rsidP="004C44E9">
            <w:pPr>
              <w:spacing w:after="0" w:line="240" w:lineRule="auto"/>
              <w:jc w:val="left"/>
              <w:rPr>
                <w:rFonts w:eastAsia="Times New Roman" w:cs="Times New Roman"/>
                <w:color w:val="000000"/>
                <w:szCs w:val="24"/>
              </w:rPr>
            </w:pPr>
            <w:r w:rsidRPr="004C44E9">
              <w:rPr>
                <w:rFonts w:eastAsia="Times New Roman" w:cs="Times New Roman"/>
                <w:color w:val="000000"/>
                <w:szCs w:val="24"/>
              </w:rPr>
              <w:t>Return on Capital</w:t>
            </w:r>
          </w:p>
        </w:tc>
        <w:tc>
          <w:tcPr>
            <w:tcW w:w="960" w:type="dxa"/>
            <w:tcBorders>
              <w:top w:val="nil"/>
              <w:left w:val="nil"/>
              <w:bottom w:val="single" w:sz="4" w:space="0" w:color="auto"/>
              <w:right w:val="single" w:sz="4" w:space="0" w:color="auto"/>
            </w:tcBorders>
            <w:shd w:val="clear" w:color="auto" w:fill="auto"/>
            <w:noWrap/>
            <w:vAlign w:val="bottom"/>
            <w:hideMark/>
          </w:tcPr>
          <w:p w14:paraId="642B8B18" w14:textId="77777777" w:rsidR="004C44E9" w:rsidRPr="004C44E9" w:rsidRDefault="004C44E9" w:rsidP="004C44E9">
            <w:pPr>
              <w:spacing w:after="0" w:line="240" w:lineRule="auto"/>
              <w:jc w:val="right"/>
              <w:rPr>
                <w:rFonts w:eastAsia="Times New Roman" w:cs="Times New Roman"/>
                <w:color w:val="000000"/>
                <w:szCs w:val="24"/>
              </w:rPr>
            </w:pPr>
            <w:r w:rsidRPr="004C44E9">
              <w:rPr>
                <w:rFonts w:eastAsia="Times New Roman" w:cs="Times New Roman"/>
                <w:color w:val="000000"/>
                <w:szCs w:val="24"/>
              </w:rPr>
              <w:t>2.66</w:t>
            </w:r>
          </w:p>
        </w:tc>
        <w:tc>
          <w:tcPr>
            <w:tcW w:w="960" w:type="dxa"/>
            <w:tcBorders>
              <w:top w:val="nil"/>
              <w:left w:val="nil"/>
              <w:bottom w:val="single" w:sz="4" w:space="0" w:color="auto"/>
              <w:right w:val="single" w:sz="4" w:space="0" w:color="auto"/>
            </w:tcBorders>
            <w:shd w:val="clear" w:color="auto" w:fill="auto"/>
            <w:noWrap/>
            <w:vAlign w:val="bottom"/>
            <w:hideMark/>
          </w:tcPr>
          <w:p w14:paraId="75840D81" w14:textId="77777777" w:rsidR="004C44E9" w:rsidRPr="004C44E9" w:rsidRDefault="004C44E9" w:rsidP="004C44E9">
            <w:pPr>
              <w:spacing w:after="0" w:line="240" w:lineRule="auto"/>
              <w:jc w:val="right"/>
              <w:rPr>
                <w:rFonts w:eastAsia="Times New Roman" w:cs="Times New Roman"/>
                <w:color w:val="000000"/>
                <w:szCs w:val="24"/>
              </w:rPr>
            </w:pPr>
            <w:r w:rsidRPr="004C44E9">
              <w:rPr>
                <w:rFonts w:eastAsia="Times New Roman" w:cs="Times New Roman"/>
                <w:color w:val="000000"/>
                <w:szCs w:val="24"/>
              </w:rPr>
              <w:t>2.92</w:t>
            </w:r>
          </w:p>
        </w:tc>
      </w:tr>
    </w:tbl>
    <w:p w14:paraId="350D1272" w14:textId="77777777" w:rsidR="004C44E9" w:rsidRDefault="004C44E9" w:rsidP="006F1A44">
      <w:pPr>
        <w:jc w:val="left"/>
      </w:pPr>
    </w:p>
    <w:p w14:paraId="518966E5" w14:textId="77777777" w:rsidR="004C44E9" w:rsidRDefault="004C44E9" w:rsidP="004C44E9">
      <w:pPr>
        <w:jc w:val="center"/>
      </w:pPr>
      <w:r w:rsidRPr="004C44E9">
        <w:rPr>
          <w:noProof/>
        </w:rPr>
        <w:lastRenderedPageBreak/>
        <w:drawing>
          <wp:inline distT="0" distB="0" distL="0" distR="0" wp14:anchorId="6419ECE8" wp14:editId="51A25A0B">
            <wp:extent cx="4572000" cy="2743200"/>
            <wp:effectExtent l="19050" t="0" r="19050" b="0"/>
            <wp:docPr id="9" name="Chart 9"/>
            <wp:cNvGraphicFramePr/>
            <a:graphic xmlns:a="http://schemas.openxmlformats.org/drawingml/2006/main">
              <a:graphicData uri="http://schemas.openxmlformats.org/drawingml/2006/chart">
                <c:chart xmlns:c="http://schemas.openxmlformats.org/drawingml/2006/chart" xmlns:r="http://schemas.openxmlformats.org/officeDocument/2006/relationships" r:id="rId14"/>
              </a:graphicData>
            </a:graphic>
          </wp:inline>
        </w:drawing>
      </w:r>
    </w:p>
    <w:p w14:paraId="1F3D43F9" w14:textId="77777777" w:rsidR="004C44E9" w:rsidRDefault="004C44E9" w:rsidP="004C44E9">
      <w:pPr>
        <w:jc w:val="left"/>
      </w:pPr>
      <w:r>
        <w:t>The management proves their efficiency in this case also. The company generated double sales than the capital. But, it decreased in 2020. So, the management should think over it. It should be constant or increased.</w:t>
      </w:r>
    </w:p>
    <w:p w14:paraId="0C6566B3" w14:textId="77777777" w:rsidR="00362B97" w:rsidRDefault="00362B97" w:rsidP="004C44E9">
      <w:pPr>
        <w:jc w:val="left"/>
      </w:pPr>
    </w:p>
    <w:p w14:paraId="2921A032" w14:textId="77777777" w:rsidR="00362B97" w:rsidRDefault="00362B97" w:rsidP="004C44E9">
      <w:pPr>
        <w:jc w:val="left"/>
      </w:pPr>
      <w:r>
        <w:t>The last ratio is calculated is Debt to Equity ratio. It reveals the proportion of debt and capital in the company. The less debt is desirable because it increases the cost and decreases the profit</w:t>
      </w:r>
      <w:r w:rsidR="00416C0C">
        <w:t xml:space="preserve"> </w:t>
      </w:r>
      <w:r w:rsidR="00416C0C" w:rsidRPr="00416C0C">
        <w:t>(KOSINSKI,</w:t>
      </w:r>
      <w:r w:rsidR="00416C0C">
        <w:t xml:space="preserve"> </w:t>
      </w:r>
      <w:r w:rsidR="00416C0C" w:rsidRPr="00416C0C">
        <w:t>2021)</w:t>
      </w:r>
      <w:r w:rsidRPr="00416C0C">
        <w:t>.</w:t>
      </w:r>
      <w:r>
        <w:t xml:space="preserve"> The formula of this ratio is Debt/ Capital. The ratios are as follows:</w:t>
      </w:r>
    </w:p>
    <w:tbl>
      <w:tblPr>
        <w:tblW w:w="3938" w:type="dxa"/>
        <w:jc w:val="center"/>
        <w:tblLook w:val="04A0" w:firstRow="1" w:lastRow="0" w:firstColumn="1" w:lastColumn="0" w:noHBand="0" w:noVBand="1"/>
      </w:tblPr>
      <w:tblGrid>
        <w:gridCol w:w="2018"/>
        <w:gridCol w:w="960"/>
        <w:gridCol w:w="960"/>
      </w:tblGrid>
      <w:tr w:rsidR="00362B97" w:rsidRPr="00362B97" w14:paraId="2A21B094" w14:textId="77777777" w:rsidTr="00DE43CE">
        <w:trPr>
          <w:trHeight w:val="312"/>
          <w:jc w:val="center"/>
        </w:trPr>
        <w:tc>
          <w:tcPr>
            <w:tcW w:w="2018" w:type="dxa"/>
            <w:tcBorders>
              <w:top w:val="single" w:sz="4" w:space="0" w:color="auto"/>
              <w:left w:val="single" w:sz="4" w:space="0" w:color="auto"/>
              <w:bottom w:val="single" w:sz="4" w:space="0" w:color="auto"/>
              <w:right w:val="single" w:sz="4" w:space="0" w:color="000000"/>
            </w:tcBorders>
            <w:shd w:val="clear" w:color="auto" w:fill="auto"/>
            <w:noWrap/>
            <w:vAlign w:val="bottom"/>
            <w:hideMark/>
          </w:tcPr>
          <w:p w14:paraId="0A0B565D" w14:textId="77777777" w:rsidR="00362B97" w:rsidRPr="00362B97" w:rsidRDefault="00362B97" w:rsidP="00362B97">
            <w:pPr>
              <w:spacing w:after="0" w:line="240" w:lineRule="auto"/>
              <w:jc w:val="center"/>
              <w:rPr>
                <w:rFonts w:eastAsia="Times New Roman" w:cs="Times New Roman"/>
                <w:color w:val="000000"/>
                <w:szCs w:val="24"/>
              </w:rPr>
            </w:pPr>
            <w:r w:rsidRPr="00362B97">
              <w:rPr>
                <w:rFonts w:eastAsia="Times New Roman" w:cs="Times New Roman"/>
                <w:color w:val="000000"/>
                <w:szCs w:val="24"/>
              </w:rPr>
              <w:t> </w:t>
            </w:r>
          </w:p>
        </w:tc>
        <w:tc>
          <w:tcPr>
            <w:tcW w:w="960" w:type="dxa"/>
            <w:tcBorders>
              <w:top w:val="single" w:sz="4" w:space="0" w:color="auto"/>
              <w:left w:val="nil"/>
              <w:bottom w:val="single" w:sz="4" w:space="0" w:color="auto"/>
              <w:right w:val="single" w:sz="4" w:space="0" w:color="auto"/>
            </w:tcBorders>
            <w:shd w:val="clear" w:color="auto" w:fill="auto"/>
            <w:noWrap/>
            <w:vAlign w:val="bottom"/>
            <w:hideMark/>
          </w:tcPr>
          <w:p w14:paraId="6FFCEA1A" w14:textId="77777777" w:rsidR="00362B97" w:rsidRPr="00362B97" w:rsidRDefault="00362B97" w:rsidP="00362B97">
            <w:pPr>
              <w:spacing w:after="0" w:line="240" w:lineRule="auto"/>
              <w:jc w:val="right"/>
              <w:rPr>
                <w:rFonts w:eastAsia="Times New Roman" w:cs="Times New Roman"/>
                <w:color w:val="000000"/>
                <w:szCs w:val="24"/>
              </w:rPr>
            </w:pPr>
            <w:r w:rsidRPr="00362B97">
              <w:rPr>
                <w:rFonts w:eastAsia="Times New Roman" w:cs="Times New Roman"/>
                <w:color w:val="000000"/>
                <w:szCs w:val="24"/>
              </w:rPr>
              <w:t>2019</w:t>
            </w:r>
          </w:p>
        </w:tc>
        <w:tc>
          <w:tcPr>
            <w:tcW w:w="960" w:type="dxa"/>
            <w:tcBorders>
              <w:top w:val="single" w:sz="4" w:space="0" w:color="auto"/>
              <w:left w:val="nil"/>
              <w:bottom w:val="single" w:sz="4" w:space="0" w:color="auto"/>
              <w:right w:val="single" w:sz="4" w:space="0" w:color="auto"/>
            </w:tcBorders>
            <w:shd w:val="clear" w:color="auto" w:fill="auto"/>
            <w:noWrap/>
            <w:vAlign w:val="bottom"/>
            <w:hideMark/>
          </w:tcPr>
          <w:p w14:paraId="54ADC9C0" w14:textId="77777777" w:rsidR="00362B97" w:rsidRPr="00362B97" w:rsidRDefault="00362B97" w:rsidP="00362B97">
            <w:pPr>
              <w:spacing w:after="0" w:line="240" w:lineRule="auto"/>
              <w:jc w:val="right"/>
              <w:rPr>
                <w:rFonts w:eastAsia="Times New Roman" w:cs="Times New Roman"/>
                <w:color w:val="000000"/>
                <w:szCs w:val="24"/>
              </w:rPr>
            </w:pPr>
            <w:r w:rsidRPr="00362B97">
              <w:rPr>
                <w:rFonts w:eastAsia="Times New Roman" w:cs="Times New Roman"/>
                <w:color w:val="000000"/>
                <w:szCs w:val="24"/>
              </w:rPr>
              <w:t>2020</w:t>
            </w:r>
          </w:p>
        </w:tc>
      </w:tr>
      <w:tr w:rsidR="00362B97" w:rsidRPr="00362B97" w14:paraId="39EB0A04" w14:textId="77777777" w:rsidTr="00DE43CE">
        <w:trPr>
          <w:trHeight w:val="312"/>
          <w:jc w:val="center"/>
        </w:trPr>
        <w:tc>
          <w:tcPr>
            <w:tcW w:w="2018"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697FF1D5" w14:textId="77777777" w:rsidR="00362B97" w:rsidRPr="00362B97" w:rsidRDefault="00362B97" w:rsidP="00362B97">
            <w:pPr>
              <w:spacing w:after="0" w:line="240" w:lineRule="auto"/>
              <w:jc w:val="left"/>
              <w:rPr>
                <w:rFonts w:eastAsia="Times New Roman" w:cs="Times New Roman"/>
                <w:color w:val="000000"/>
                <w:szCs w:val="24"/>
              </w:rPr>
            </w:pPr>
            <w:r w:rsidRPr="00362B97">
              <w:rPr>
                <w:rFonts w:eastAsia="Times New Roman" w:cs="Times New Roman"/>
                <w:color w:val="000000"/>
                <w:szCs w:val="24"/>
              </w:rPr>
              <w:t>Debt to Equity Ratio</w:t>
            </w:r>
          </w:p>
        </w:tc>
        <w:tc>
          <w:tcPr>
            <w:tcW w:w="960" w:type="dxa"/>
            <w:tcBorders>
              <w:top w:val="nil"/>
              <w:left w:val="nil"/>
              <w:bottom w:val="single" w:sz="4" w:space="0" w:color="auto"/>
              <w:right w:val="single" w:sz="4" w:space="0" w:color="auto"/>
            </w:tcBorders>
            <w:shd w:val="clear" w:color="auto" w:fill="auto"/>
            <w:noWrap/>
            <w:vAlign w:val="bottom"/>
            <w:hideMark/>
          </w:tcPr>
          <w:p w14:paraId="6C6D70F0" w14:textId="77777777" w:rsidR="00362B97" w:rsidRPr="00362B97" w:rsidRDefault="00362B97" w:rsidP="00362B97">
            <w:pPr>
              <w:spacing w:after="0" w:line="240" w:lineRule="auto"/>
              <w:jc w:val="right"/>
              <w:rPr>
                <w:rFonts w:eastAsia="Times New Roman" w:cs="Times New Roman"/>
                <w:color w:val="000000"/>
                <w:szCs w:val="24"/>
              </w:rPr>
            </w:pPr>
            <w:r w:rsidRPr="00362B97">
              <w:rPr>
                <w:rFonts w:eastAsia="Times New Roman" w:cs="Times New Roman"/>
                <w:color w:val="000000"/>
                <w:szCs w:val="24"/>
              </w:rPr>
              <w:t>0.07</w:t>
            </w:r>
          </w:p>
        </w:tc>
        <w:tc>
          <w:tcPr>
            <w:tcW w:w="960" w:type="dxa"/>
            <w:tcBorders>
              <w:top w:val="nil"/>
              <w:left w:val="nil"/>
              <w:bottom w:val="single" w:sz="4" w:space="0" w:color="auto"/>
              <w:right w:val="single" w:sz="4" w:space="0" w:color="auto"/>
            </w:tcBorders>
            <w:shd w:val="clear" w:color="auto" w:fill="auto"/>
            <w:noWrap/>
            <w:vAlign w:val="bottom"/>
            <w:hideMark/>
          </w:tcPr>
          <w:p w14:paraId="3D928AFE" w14:textId="77777777" w:rsidR="00362B97" w:rsidRPr="00362B97" w:rsidRDefault="00362B97" w:rsidP="00362B97">
            <w:pPr>
              <w:spacing w:after="0" w:line="240" w:lineRule="auto"/>
              <w:jc w:val="right"/>
              <w:rPr>
                <w:rFonts w:eastAsia="Times New Roman" w:cs="Times New Roman"/>
                <w:color w:val="000000"/>
                <w:szCs w:val="24"/>
              </w:rPr>
            </w:pPr>
            <w:r w:rsidRPr="00362B97">
              <w:rPr>
                <w:rFonts w:eastAsia="Times New Roman" w:cs="Times New Roman"/>
                <w:color w:val="000000"/>
                <w:szCs w:val="24"/>
              </w:rPr>
              <w:t>0.07</w:t>
            </w:r>
          </w:p>
        </w:tc>
      </w:tr>
    </w:tbl>
    <w:p w14:paraId="08EC09D5" w14:textId="77777777" w:rsidR="00362B97" w:rsidRDefault="00362B97" w:rsidP="004C44E9">
      <w:pPr>
        <w:jc w:val="left"/>
      </w:pPr>
    </w:p>
    <w:p w14:paraId="6241E3B4" w14:textId="77777777" w:rsidR="00DE43CE" w:rsidRDefault="00DE43CE" w:rsidP="00DE43CE">
      <w:pPr>
        <w:jc w:val="center"/>
      </w:pPr>
      <w:r w:rsidRPr="00DE43CE">
        <w:rPr>
          <w:noProof/>
        </w:rPr>
        <w:lastRenderedPageBreak/>
        <w:drawing>
          <wp:inline distT="0" distB="0" distL="0" distR="0" wp14:anchorId="5C654910" wp14:editId="34B0C853">
            <wp:extent cx="4572000" cy="2743200"/>
            <wp:effectExtent l="19050" t="0" r="19050" b="0"/>
            <wp:docPr id="10" name="Chart 10"/>
            <wp:cNvGraphicFramePr/>
            <a:graphic xmlns:a="http://schemas.openxmlformats.org/drawingml/2006/main">
              <a:graphicData uri="http://schemas.openxmlformats.org/drawingml/2006/chart">
                <c:chart xmlns:c="http://schemas.openxmlformats.org/drawingml/2006/chart" xmlns:r="http://schemas.openxmlformats.org/officeDocument/2006/relationships" r:id="rId15"/>
              </a:graphicData>
            </a:graphic>
          </wp:inline>
        </w:drawing>
      </w:r>
    </w:p>
    <w:p w14:paraId="14C95A7E" w14:textId="77777777" w:rsidR="00DE43CE" w:rsidRDefault="00DE43CE" w:rsidP="00DE43CE">
      <w:pPr>
        <w:jc w:val="left"/>
      </w:pPr>
      <w:r>
        <w:t xml:space="preserve">The debt is very less in comparison with the capital of the company. The debt has not been increased also. So the company does not have high interest cost. </w:t>
      </w:r>
      <w:r w:rsidR="00A11B0C">
        <w:t>It is a good sign of the financial condition of the company.</w:t>
      </w:r>
    </w:p>
    <w:p w14:paraId="0BA14F0C" w14:textId="77777777" w:rsidR="001028CB" w:rsidRDefault="001028CB" w:rsidP="00DE43CE">
      <w:pPr>
        <w:jc w:val="left"/>
      </w:pPr>
    </w:p>
    <w:p w14:paraId="46622679" w14:textId="77777777" w:rsidR="001028CB" w:rsidRDefault="001028CB" w:rsidP="00DE43CE">
      <w:pPr>
        <w:jc w:val="left"/>
      </w:pPr>
    </w:p>
    <w:p w14:paraId="3E6AC2C1" w14:textId="77777777" w:rsidR="001028CB" w:rsidRDefault="001028CB" w:rsidP="00DE43CE">
      <w:pPr>
        <w:jc w:val="left"/>
      </w:pPr>
    </w:p>
    <w:p w14:paraId="20BE34F1" w14:textId="77777777" w:rsidR="001028CB" w:rsidRDefault="001028CB" w:rsidP="00DE43CE">
      <w:pPr>
        <w:jc w:val="left"/>
      </w:pPr>
    </w:p>
    <w:p w14:paraId="3C01B853" w14:textId="77777777" w:rsidR="001028CB" w:rsidRDefault="001028CB" w:rsidP="00DE43CE">
      <w:pPr>
        <w:jc w:val="left"/>
      </w:pPr>
    </w:p>
    <w:p w14:paraId="29091987" w14:textId="77777777" w:rsidR="001028CB" w:rsidRDefault="001028CB" w:rsidP="00DE43CE">
      <w:pPr>
        <w:jc w:val="left"/>
      </w:pPr>
    </w:p>
    <w:p w14:paraId="5D250D8F" w14:textId="77777777" w:rsidR="001028CB" w:rsidRDefault="001028CB" w:rsidP="00DE43CE">
      <w:pPr>
        <w:jc w:val="left"/>
      </w:pPr>
    </w:p>
    <w:p w14:paraId="718605A8" w14:textId="77777777" w:rsidR="001028CB" w:rsidRDefault="001028CB" w:rsidP="00DE43CE">
      <w:pPr>
        <w:jc w:val="left"/>
      </w:pPr>
    </w:p>
    <w:p w14:paraId="3D93EEA6" w14:textId="77777777" w:rsidR="001028CB" w:rsidRDefault="001028CB" w:rsidP="00DE43CE">
      <w:pPr>
        <w:jc w:val="left"/>
      </w:pPr>
    </w:p>
    <w:p w14:paraId="6F373071" w14:textId="77777777" w:rsidR="001028CB" w:rsidRDefault="001028CB" w:rsidP="00DE43CE">
      <w:pPr>
        <w:jc w:val="left"/>
      </w:pPr>
    </w:p>
    <w:p w14:paraId="334A4C99" w14:textId="77777777" w:rsidR="001028CB" w:rsidRDefault="001028CB" w:rsidP="00DE43CE">
      <w:pPr>
        <w:jc w:val="left"/>
      </w:pPr>
    </w:p>
    <w:p w14:paraId="446952A3" w14:textId="77777777" w:rsidR="00B21D02" w:rsidRDefault="00B21D02" w:rsidP="00B21D02">
      <w:pPr>
        <w:pStyle w:val="Heading1"/>
      </w:pPr>
      <w:bookmarkStart w:id="2" w:name="_Toc94633170"/>
      <w:r>
        <w:lastRenderedPageBreak/>
        <w:t>Question B</w:t>
      </w:r>
      <w:bookmarkEnd w:id="2"/>
    </w:p>
    <w:p w14:paraId="179414E1" w14:textId="77777777" w:rsidR="001028CB" w:rsidRDefault="001028CB" w:rsidP="001028CB">
      <w:r>
        <w:t>For the following reasons the understanding of ratios and their fluctuations is essential for Hotel management:</w:t>
      </w:r>
    </w:p>
    <w:p w14:paraId="26F1B12A" w14:textId="77777777" w:rsidR="001028CB" w:rsidRDefault="001028CB" w:rsidP="001028CB">
      <w:r w:rsidRPr="001028CB">
        <w:t>A financial ratio is a figure that represents one economic variable's value in relation to the next. It's really the numerical output obtained by multiplying two budget figures. Finance ratios are used to measure in this fashion to enable analysts to examine not just the exact number of a connection as well as the likelihood of an event inside it. The justification for using accounting ratios from a strategic point of view is that instead of presenting numerous data as a ratio, knowledge that is missing when specific individuals are evaluated would be disclosed. The knowledge can then be used by management to s</w:t>
      </w:r>
      <w:r w:rsidR="00A7150F">
        <w:t xml:space="preserve">trengthen operational processes </w:t>
      </w:r>
      <w:r w:rsidR="00A7150F" w:rsidRPr="00A7150F">
        <w:t>(</w:t>
      </w:r>
      <w:proofErr w:type="spellStart"/>
      <w:r w:rsidR="00A7150F" w:rsidRPr="00A7150F">
        <w:t>Turegun</w:t>
      </w:r>
      <w:proofErr w:type="spellEnd"/>
      <w:r w:rsidR="00A7150F" w:rsidRPr="00A7150F">
        <w:t>, 2019).</w:t>
      </w:r>
    </w:p>
    <w:p w14:paraId="21265F4B" w14:textId="77777777" w:rsidR="004012B2" w:rsidRDefault="007E445C" w:rsidP="001028CB">
      <w:r>
        <w:t xml:space="preserve">Profitability Ratios: </w:t>
      </w:r>
      <w:r w:rsidRPr="007E445C">
        <w:t>Relevant statistics can be determined to illustrate a firm ’s growth earnings, resources, and capital. The total return on assets on the company's assets is represented by the assets ratio. The shareholders' gain on their capital invested is measured by earnings per share. Furthermore, the total combined profit margin is the percentage of a company's business efficiency after all costs and taxation has been deducted. It reveals a business's net earnings per profit a company.</w:t>
      </w:r>
    </w:p>
    <w:p w14:paraId="58227B37" w14:textId="77777777" w:rsidR="007E445C" w:rsidRDefault="007E445C" w:rsidP="001028CB">
      <w:r>
        <w:t xml:space="preserve">Liquid Ratios: </w:t>
      </w:r>
      <w:r w:rsidRPr="007E445C">
        <w:t>Such ratios assess a firm's capacity to keep enough cash on hand to meet its commitments when they emerge. The current ratio and the acid test ratio are two prominent ratios included in this function. The earlier shows what well retained earnings cover outstanding debts, whereas the other focuses on the much more liquid working capital in response to current responsibilities.</w:t>
      </w:r>
    </w:p>
    <w:p w14:paraId="3DDDC4F2" w14:textId="77777777" w:rsidR="007E445C" w:rsidRDefault="007E445C" w:rsidP="001028CB">
      <w:r>
        <w:t xml:space="preserve">Capital Structure: </w:t>
      </w:r>
      <w:r w:rsidRPr="007E445C">
        <w:t xml:space="preserve">Capital structure ratios indicate the banks can offer by the </w:t>
      </w:r>
      <w:proofErr w:type="gramStart"/>
      <w:r w:rsidRPr="007E445C">
        <w:t>stockholder  to</w:t>
      </w:r>
      <w:proofErr w:type="gramEnd"/>
      <w:r w:rsidRPr="007E445C">
        <w:t xml:space="preserve"> the money financed by debt , trying to quantify the liabilities to lenders as represented in the asset base. The most generally utilized ratio is debt to asset value, which measures the proportion of the firm's assets that are backed by borrowed funds, highlighting the relative significance of borrowed funds to the organisation. The debt-to-equity ratio accomplishes a similar purpose by measuring the values of funding provided by investors for every dollar contributed by shareholders. A proportion that assesses a firm's capabilities to fulfill its loan repayments and </w:t>
      </w:r>
      <w:r w:rsidRPr="007E445C">
        <w:lastRenderedPageBreak/>
        <w:t>repay debt is occasion’s interest income. It also gives significant information on the firm's debt-taking ability.</w:t>
      </w:r>
    </w:p>
    <w:p w14:paraId="7FD95B31" w14:textId="77777777" w:rsidR="00B755F6" w:rsidRDefault="00DC2ACA" w:rsidP="001028CB">
      <w:r>
        <w:t xml:space="preserve">Asset Management: </w:t>
      </w:r>
      <w:r w:rsidRPr="00DC2ACA">
        <w:t xml:space="preserve">A series of measures can be determined to determine how effectively or badly a firm is performing and how effective it would be in using its resources. The typical trade receivables money received can be used to estimate the likelihood of recovering a firm's credit transactions. This rates outcome is the number of days it takes the takes to collect account receivables. The length of time stock is on store until it is moved is referred to as stock turnover. The greater the attrition rate, the better the firm's stock control is. Furthermore, the proportion of revenues to asset value, or asset turnover, is used to indicate how often the current operations are being </w:t>
      </w:r>
      <w:r w:rsidR="00BF0418" w:rsidRPr="00DC2ACA">
        <w:t>utilized</w:t>
      </w:r>
      <w:r w:rsidRPr="00DC2ACA">
        <w:t xml:space="preserve"> to create sales.</w:t>
      </w:r>
    </w:p>
    <w:p w14:paraId="508C5A7D" w14:textId="77777777" w:rsidR="00BF0418" w:rsidRDefault="00BF0418" w:rsidP="001028CB"/>
    <w:p w14:paraId="337858A2" w14:textId="77777777" w:rsidR="00BF0418" w:rsidRDefault="00BF0418" w:rsidP="001028CB"/>
    <w:p w14:paraId="2AED15EB" w14:textId="77777777" w:rsidR="00BF0418" w:rsidRDefault="00BF0418" w:rsidP="001028CB"/>
    <w:p w14:paraId="646EB4C1" w14:textId="77777777" w:rsidR="00BF0418" w:rsidRDefault="00BF0418" w:rsidP="001028CB"/>
    <w:p w14:paraId="06194EE5" w14:textId="77777777" w:rsidR="00BF0418" w:rsidRDefault="00BF0418" w:rsidP="001028CB"/>
    <w:p w14:paraId="13F4678F" w14:textId="77777777" w:rsidR="00BF0418" w:rsidRDefault="00BF0418" w:rsidP="001028CB"/>
    <w:p w14:paraId="22358D8D" w14:textId="77777777" w:rsidR="00BF0418" w:rsidRDefault="00BF0418" w:rsidP="001028CB"/>
    <w:p w14:paraId="7B842154" w14:textId="77777777" w:rsidR="00BF0418" w:rsidRDefault="00BF0418" w:rsidP="001028CB"/>
    <w:p w14:paraId="16FF7BD2" w14:textId="77777777" w:rsidR="00BF0418" w:rsidRDefault="00BF0418" w:rsidP="001028CB"/>
    <w:p w14:paraId="623DD4C5" w14:textId="77777777" w:rsidR="00BF0418" w:rsidRDefault="00BF0418" w:rsidP="001028CB"/>
    <w:p w14:paraId="79186D38" w14:textId="77777777" w:rsidR="00BF0418" w:rsidRDefault="00BF0418" w:rsidP="001028CB"/>
    <w:p w14:paraId="3922ED83" w14:textId="77777777" w:rsidR="00BF0418" w:rsidRDefault="00BF0418" w:rsidP="001028CB"/>
    <w:p w14:paraId="0BFE9149" w14:textId="77777777" w:rsidR="00BF0418" w:rsidRDefault="00BF0418" w:rsidP="001028CB"/>
    <w:p w14:paraId="40185711" w14:textId="77777777" w:rsidR="00BF0418" w:rsidRDefault="00BF0418" w:rsidP="001028CB"/>
    <w:p w14:paraId="00D0EDD6" w14:textId="77777777" w:rsidR="00BF0418" w:rsidRDefault="00B21D02" w:rsidP="00B21D02">
      <w:pPr>
        <w:pStyle w:val="Heading1"/>
      </w:pPr>
      <w:bookmarkStart w:id="3" w:name="_Toc94633171"/>
      <w:r>
        <w:lastRenderedPageBreak/>
        <w:t>Question C</w:t>
      </w:r>
      <w:bookmarkEnd w:id="3"/>
    </w:p>
    <w:p w14:paraId="6A40E93B" w14:textId="77777777" w:rsidR="00BF0418" w:rsidRDefault="004517E1" w:rsidP="001028CB">
      <w:r w:rsidRPr="004517E1">
        <w:t xml:space="preserve">If used appropriately, financial ratio illuminates several of the firm's flaws while also highlighting many of its strengths. Proportions act as informants, drawing management is strategic approaches to concerns which need to be addressed </w:t>
      </w:r>
      <w:r w:rsidR="00BF0418">
        <w:t xml:space="preserve">The Benefits of Ratio analysis in Tourism Industry </w:t>
      </w:r>
      <w:r>
        <w:t>is</w:t>
      </w:r>
      <w:r w:rsidR="00BF0418">
        <w:t xml:space="preserve"> as follows</w:t>
      </w:r>
      <w:r>
        <w:t>:</w:t>
      </w:r>
    </w:p>
    <w:p w14:paraId="57406901" w14:textId="77777777" w:rsidR="00BF0418" w:rsidRDefault="00BF0418" w:rsidP="00BF0418">
      <w:pPr>
        <w:pStyle w:val="ListParagraph"/>
        <w:numPr>
          <w:ilvl w:val="0"/>
          <w:numId w:val="1"/>
        </w:numPr>
      </w:pPr>
      <w:r w:rsidRPr="00BF0418">
        <w:t>Ratio findings will help in validating or disproving the firm's finance, investments, and management strategy. They convert the accounting records into comparison statistics, help managers to reassess the company's economic position and the outcomes of its activities.</w:t>
      </w:r>
    </w:p>
    <w:p w14:paraId="5D09383C" w14:textId="77777777" w:rsidR="00BF0418" w:rsidRDefault="00BF0418" w:rsidP="00BF0418">
      <w:pPr>
        <w:pStyle w:val="ListParagraph"/>
        <w:numPr>
          <w:ilvl w:val="0"/>
          <w:numId w:val="1"/>
        </w:numPr>
      </w:pPr>
      <w:r w:rsidRPr="00BF0418">
        <w:t>Advanced accounting reports and account records are summarized by the following ratios of company performance, capital adequacy, liquidity, lengthy situations, and so forth.</w:t>
      </w:r>
    </w:p>
    <w:p w14:paraId="45BF2CB7" w14:textId="77777777" w:rsidR="00BF0418" w:rsidRDefault="006D4922" w:rsidP="00BF0418">
      <w:pPr>
        <w:pStyle w:val="ListParagraph"/>
        <w:numPr>
          <w:ilvl w:val="0"/>
          <w:numId w:val="1"/>
        </w:numPr>
      </w:pPr>
      <w:r w:rsidRPr="006D4922">
        <w:t>Accounting ratios assists in identifying crucial issues and drawing management is a strategic approach to those. Some data is missing in the complicated financial statement, and comparisons will aid in identifying these issues.</w:t>
      </w:r>
    </w:p>
    <w:p w14:paraId="522336EE" w14:textId="77777777" w:rsidR="006D4922" w:rsidRDefault="00CF23E9" w:rsidP="00BF0418">
      <w:pPr>
        <w:pStyle w:val="ListParagraph"/>
        <w:numPr>
          <w:ilvl w:val="0"/>
          <w:numId w:val="1"/>
        </w:numPr>
      </w:pPr>
      <w:r w:rsidRPr="00CF23E9">
        <w:t>Enables the business to compare to certain other companies, regulatory requirements, and based on inter assessments, among other things. This one will assist the firm in increasing the knowledge of its fina</w:t>
      </w:r>
      <w:r w:rsidR="001C4290">
        <w:t xml:space="preserve">ncial situation in the industry </w:t>
      </w:r>
      <w:r w:rsidR="001C4290" w:rsidRPr="001C4290">
        <w:t>(Bragg, 2021).</w:t>
      </w:r>
    </w:p>
    <w:p w14:paraId="2BFF291F" w14:textId="77777777" w:rsidR="007E5826" w:rsidRDefault="007E5826" w:rsidP="007E5826">
      <w:pPr>
        <w:ind w:left="360"/>
      </w:pPr>
    </w:p>
    <w:p w14:paraId="76D949DF" w14:textId="77777777" w:rsidR="007E5826" w:rsidRDefault="007E5826" w:rsidP="007E5826">
      <w:pPr>
        <w:ind w:left="360"/>
      </w:pPr>
    </w:p>
    <w:p w14:paraId="08F3F863" w14:textId="77777777" w:rsidR="007E5826" w:rsidRDefault="007E5826" w:rsidP="007E5826">
      <w:r>
        <w:t>The Limitations of Ratio analysis in Tourism Industry are as follows</w:t>
      </w:r>
    </w:p>
    <w:p w14:paraId="128C918F" w14:textId="77777777" w:rsidR="007E5826" w:rsidRDefault="007E5826" w:rsidP="007E5826">
      <w:pPr>
        <w:pStyle w:val="ListParagraph"/>
        <w:numPr>
          <w:ilvl w:val="0"/>
          <w:numId w:val="2"/>
        </w:numPr>
      </w:pPr>
      <w:r w:rsidRPr="007E5826">
        <w:t>To enhance its statistics, the organisation can increase something year revisions to their accounting records. The proportions then become nothing more than display adornment.</w:t>
      </w:r>
    </w:p>
    <w:p w14:paraId="35B8D924" w14:textId="77777777" w:rsidR="007E5826" w:rsidRDefault="007E5826" w:rsidP="007E5826">
      <w:pPr>
        <w:pStyle w:val="ListParagraph"/>
        <w:numPr>
          <w:ilvl w:val="0"/>
          <w:numId w:val="2"/>
        </w:numPr>
      </w:pPr>
      <w:r w:rsidRPr="007E5826">
        <w:t>Inflationary pricing movements are ignored by proportions. Several proportions are established analysis of historical rates, and therefore ignore market movements across times. This would not accurately consider the economic condition.</w:t>
      </w:r>
    </w:p>
    <w:p w14:paraId="0F6F0AC7" w14:textId="77777777" w:rsidR="007E5826" w:rsidRDefault="007E5826" w:rsidP="007E5826">
      <w:pPr>
        <w:pStyle w:val="ListParagraph"/>
        <w:numPr>
          <w:ilvl w:val="0"/>
          <w:numId w:val="2"/>
        </w:numPr>
      </w:pPr>
      <w:r w:rsidRPr="007E5826">
        <w:t>Financial metrics entirely disregard the company's important attributes. They simply evaluate the financial sides of the situation.</w:t>
      </w:r>
    </w:p>
    <w:p w14:paraId="31FD3FD2" w14:textId="77777777" w:rsidR="007E5826" w:rsidRDefault="00A25A64" w:rsidP="007E5826">
      <w:pPr>
        <w:pStyle w:val="ListParagraph"/>
        <w:numPr>
          <w:ilvl w:val="0"/>
          <w:numId w:val="2"/>
        </w:numPr>
      </w:pPr>
      <w:r w:rsidRPr="00A25A64">
        <w:t xml:space="preserve">There seem to be no universally accepted explanations for the ratios. As a result, various equations for the proportions may be used by multiple organisations. Liquidity Amount is </w:t>
      </w:r>
      <w:r w:rsidRPr="00A25A64">
        <w:lastRenderedPageBreak/>
        <w:t>such an instance, in which some organizations should consider all current obligations whereas others exclude bank overdrafts among current liabilities when computing current ratio.</w:t>
      </w:r>
    </w:p>
    <w:p w14:paraId="5B8638B9" w14:textId="77777777" w:rsidR="004517E1" w:rsidRDefault="004517E1" w:rsidP="007E5826">
      <w:pPr>
        <w:pStyle w:val="ListParagraph"/>
        <w:numPr>
          <w:ilvl w:val="0"/>
          <w:numId w:val="2"/>
        </w:numPr>
      </w:pPr>
      <w:r w:rsidRPr="004517E1">
        <w:t>Ratio analysis does not fix a firm's economic troubles. These are basically a way to an aim, never an effective way of dealing.</w:t>
      </w:r>
    </w:p>
    <w:p w14:paraId="473AFE74" w14:textId="77777777" w:rsidR="00A60598" w:rsidRDefault="00A60598" w:rsidP="00A60598">
      <w:pPr>
        <w:ind w:left="360"/>
      </w:pPr>
    </w:p>
    <w:p w14:paraId="3D407B89" w14:textId="77777777" w:rsidR="00A60598" w:rsidRDefault="00A60598" w:rsidP="00A60598">
      <w:pPr>
        <w:ind w:left="360"/>
      </w:pPr>
    </w:p>
    <w:p w14:paraId="6DD016FA" w14:textId="77777777" w:rsidR="00A60598" w:rsidRDefault="00A60598" w:rsidP="00A60598">
      <w:pPr>
        <w:ind w:left="360"/>
      </w:pPr>
    </w:p>
    <w:p w14:paraId="630E5759" w14:textId="77777777" w:rsidR="00A60598" w:rsidRDefault="00A60598" w:rsidP="00A60598">
      <w:pPr>
        <w:ind w:left="360"/>
      </w:pPr>
    </w:p>
    <w:p w14:paraId="3839EC24" w14:textId="77777777" w:rsidR="00A60598" w:rsidRDefault="00A60598" w:rsidP="00A60598">
      <w:pPr>
        <w:ind w:left="360"/>
      </w:pPr>
    </w:p>
    <w:p w14:paraId="2124EFC1" w14:textId="77777777" w:rsidR="00A60598" w:rsidRDefault="00A60598" w:rsidP="00A60598">
      <w:pPr>
        <w:ind w:left="360"/>
      </w:pPr>
    </w:p>
    <w:p w14:paraId="210E8E51" w14:textId="77777777" w:rsidR="00A60598" w:rsidRDefault="00A60598" w:rsidP="00A60598">
      <w:pPr>
        <w:ind w:left="360"/>
      </w:pPr>
    </w:p>
    <w:p w14:paraId="46766CAD" w14:textId="77777777" w:rsidR="00A60598" w:rsidRDefault="00A60598" w:rsidP="00A60598">
      <w:pPr>
        <w:ind w:left="360"/>
      </w:pPr>
    </w:p>
    <w:p w14:paraId="48340BFA" w14:textId="77777777" w:rsidR="00A60598" w:rsidRDefault="00A60598" w:rsidP="00A60598">
      <w:pPr>
        <w:ind w:left="360"/>
      </w:pPr>
    </w:p>
    <w:p w14:paraId="0FBC5B94" w14:textId="77777777" w:rsidR="00A60598" w:rsidRDefault="00A60598" w:rsidP="00A60598">
      <w:pPr>
        <w:ind w:left="360"/>
      </w:pPr>
    </w:p>
    <w:p w14:paraId="4811E381" w14:textId="77777777" w:rsidR="00A60598" w:rsidRDefault="00A60598" w:rsidP="00A60598">
      <w:pPr>
        <w:ind w:left="360"/>
      </w:pPr>
    </w:p>
    <w:p w14:paraId="7151A22E" w14:textId="77777777" w:rsidR="00A60598" w:rsidRDefault="00A60598" w:rsidP="00A60598">
      <w:pPr>
        <w:ind w:left="360"/>
      </w:pPr>
    </w:p>
    <w:p w14:paraId="63C7A224" w14:textId="77777777" w:rsidR="00A60598" w:rsidRDefault="00A60598" w:rsidP="00A60598">
      <w:pPr>
        <w:ind w:left="360"/>
      </w:pPr>
    </w:p>
    <w:p w14:paraId="7CA41A6A" w14:textId="77777777" w:rsidR="00A60598" w:rsidRDefault="00A60598" w:rsidP="00A60598">
      <w:pPr>
        <w:ind w:left="360"/>
      </w:pPr>
    </w:p>
    <w:p w14:paraId="3E963E75" w14:textId="77777777" w:rsidR="00A60598" w:rsidRDefault="00A60598" w:rsidP="00A60598">
      <w:pPr>
        <w:ind w:left="360"/>
      </w:pPr>
    </w:p>
    <w:p w14:paraId="24E6E25A" w14:textId="77777777" w:rsidR="00A60598" w:rsidRDefault="00A60598" w:rsidP="00A60598">
      <w:pPr>
        <w:ind w:left="360"/>
      </w:pPr>
    </w:p>
    <w:p w14:paraId="488653FD" w14:textId="77777777" w:rsidR="00A60598" w:rsidRDefault="00A60598" w:rsidP="00A60598">
      <w:pPr>
        <w:ind w:left="360"/>
      </w:pPr>
    </w:p>
    <w:p w14:paraId="6450DAB6" w14:textId="77777777" w:rsidR="00A60598" w:rsidRDefault="00A60598" w:rsidP="00A60598">
      <w:pPr>
        <w:ind w:left="360"/>
      </w:pPr>
    </w:p>
    <w:p w14:paraId="0CE3751A" w14:textId="77777777" w:rsidR="00A60598" w:rsidRDefault="00A60598" w:rsidP="00006337">
      <w:pPr>
        <w:pStyle w:val="Heading1"/>
      </w:pPr>
      <w:bookmarkStart w:id="4" w:name="_Toc94633172"/>
      <w:r>
        <w:t>Conclusion</w:t>
      </w:r>
      <w:bookmarkEnd w:id="4"/>
    </w:p>
    <w:p w14:paraId="0D101906" w14:textId="77777777" w:rsidR="00A60598" w:rsidRDefault="00A60598" w:rsidP="00A60598">
      <w:pPr>
        <w:ind w:left="360"/>
      </w:pPr>
      <w:r w:rsidRPr="00A60598">
        <w:t>Multiple ratio analysis is used by investors and other stakeholders to evaluate the economic health by examining historical and present funding reports. Comparing information would be used to show how a business delivers over history and to forecast projected achievement. This information can also be used to analyze a financial status of the business to market average and to see how it compares to someone in that industry. Businesses use ratios as a point of reference. They assess shares within a particular sector. Similarly, they compare a firm's current performance to its previous results. Throughout most instances, understanding the elements influencing proportions is also crucial because administration has the opportunity to change its plan to make its share and business proportions greater appealing.</w:t>
      </w:r>
    </w:p>
    <w:p w14:paraId="3D9CC5F5" w14:textId="77777777" w:rsidR="00006337" w:rsidRDefault="00006337" w:rsidP="00A60598">
      <w:pPr>
        <w:ind w:left="360"/>
      </w:pPr>
    </w:p>
    <w:p w14:paraId="42632C7C" w14:textId="77777777" w:rsidR="00006337" w:rsidRDefault="00006337" w:rsidP="00A60598">
      <w:pPr>
        <w:ind w:left="360"/>
      </w:pPr>
    </w:p>
    <w:p w14:paraId="71AE5AC6" w14:textId="77777777" w:rsidR="00006337" w:rsidRDefault="00006337" w:rsidP="00A60598">
      <w:pPr>
        <w:ind w:left="360"/>
      </w:pPr>
    </w:p>
    <w:p w14:paraId="48DD53F1" w14:textId="77777777" w:rsidR="00006337" w:rsidRDefault="00006337" w:rsidP="00A60598">
      <w:pPr>
        <w:ind w:left="360"/>
      </w:pPr>
    </w:p>
    <w:p w14:paraId="6DEA21AF" w14:textId="77777777" w:rsidR="00006337" w:rsidRDefault="00006337" w:rsidP="00A60598">
      <w:pPr>
        <w:ind w:left="360"/>
      </w:pPr>
    </w:p>
    <w:p w14:paraId="4A1B2E4F" w14:textId="77777777" w:rsidR="00006337" w:rsidRDefault="00006337" w:rsidP="00A60598">
      <w:pPr>
        <w:ind w:left="360"/>
      </w:pPr>
    </w:p>
    <w:p w14:paraId="0FCC70BB" w14:textId="77777777" w:rsidR="00006337" w:rsidRDefault="00006337" w:rsidP="00A60598">
      <w:pPr>
        <w:ind w:left="360"/>
      </w:pPr>
    </w:p>
    <w:p w14:paraId="310D7C38" w14:textId="77777777" w:rsidR="00006337" w:rsidRDefault="00006337" w:rsidP="00A60598">
      <w:pPr>
        <w:ind w:left="360"/>
      </w:pPr>
    </w:p>
    <w:p w14:paraId="6D63325A" w14:textId="77777777" w:rsidR="00006337" w:rsidRDefault="00006337" w:rsidP="00A60598">
      <w:pPr>
        <w:ind w:left="360"/>
      </w:pPr>
    </w:p>
    <w:p w14:paraId="118FA7E0" w14:textId="77777777" w:rsidR="00006337" w:rsidRDefault="00006337" w:rsidP="00A60598">
      <w:pPr>
        <w:ind w:left="360"/>
      </w:pPr>
    </w:p>
    <w:p w14:paraId="4F27F58B" w14:textId="77777777" w:rsidR="00006337" w:rsidRDefault="00006337" w:rsidP="00A60598">
      <w:pPr>
        <w:ind w:left="360"/>
      </w:pPr>
    </w:p>
    <w:p w14:paraId="4B03C60A" w14:textId="77777777" w:rsidR="00006337" w:rsidRDefault="00006337" w:rsidP="00A60598">
      <w:pPr>
        <w:ind w:left="360"/>
      </w:pPr>
    </w:p>
    <w:p w14:paraId="6AD140BA" w14:textId="77777777" w:rsidR="00006337" w:rsidRDefault="00006337" w:rsidP="00A60598">
      <w:pPr>
        <w:ind w:left="360"/>
      </w:pPr>
    </w:p>
    <w:p w14:paraId="78AD0A44" w14:textId="77777777" w:rsidR="00006337" w:rsidRDefault="00006337" w:rsidP="00006337">
      <w:pPr>
        <w:pStyle w:val="Heading1"/>
      </w:pPr>
      <w:bookmarkStart w:id="5" w:name="_Toc94633173"/>
      <w:r>
        <w:lastRenderedPageBreak/>
        <w:t>References</w:t>
      </w:r>
      <w:bookmarkEnd w:id="5"/>
    </w:p>
    <w:p w14:paraId="216FC5B8" w14:textId="77777777" w:rsidR="00006337" w:rsidRPr="0082474B" w:rsidRDefault="00006337" w:rsidP="00006337">
      <w:pPr>
        <w:rPr>
          <w:rFonts w:cs="Times New Roman"/>
          <w:color w:val="000000"/>
          <w:szCs w:val="24"/>
          <w:shd w:val="clear" w:color="auto" w:fill="FFFFFF"/>
        </w:rPr>
      </w:pPr>
      <w:r w:rsidRPr="0082474B">
        <w:rPr>
          <w:rFonts w:cs="Times New Roman"/>
          <w:color w:val="000000"/>
          <w:szCs w:val="24"/>
          <w:shd w:val="clear" w:color="auto" w:fill="FFFFFF"/>
        </w:rPr>
        <w:t>Bragg, S., 2021. </w:t>
      </w:r>
      <w:r w:rsidRPr="0082474B">
        <w:rPr>
          <w:rFonts w:cs="Times New Roman"/>
          <w:i/>
          <w:iCs/>
          <w:color w:val="000000"/>
          <w:szCs w:val="24"/>
          <w:shd w:val="clear" w:color="auto" w:fill="FFFFFF"/>
        </w:rPr>
        <w:t xml:space="preserve">Limitations of ratio analysis — </w:t>
      </w:r>
      <w:proofErr w:type="spellStart"/>
      <w:r w:rsidRPr="0082474B">
        <w:rPr>
          <w:rFonts w:cs="Times New Roman"/>
          <w:i/>
          <w:iCs/>
          <w:color w:val="000000"/>
          <w:szCs w:val="24"/>
          <w:shd w:val="clear" w:color="auto" w:fill="FFFFFF"/>
        </w:rPr>
        <w:t>AccountingTools</w:t>
      </w:r>
      <w:proofErr w:type="spellEnd"/>
      <w:r w:rsidRPr="0082474B">
        <w:rPr>
          <w:rFonts w:cs="Times New Roman"/>
          <w:color w:val="000000"/>
          <w:szCs w:val="24"/>
          <w:shd w:val="clear" w:color="auto" w:fill="FFFFFF"/>
        </w:rPr>
        <w:t xml:space="preserve">. [online] </w:t>
      </w:r>
      <w:proofErr w:type="spellStart"/>
      <w:r w:rsidRPr="0082474B">
        <w:rPr>
          <w:rFonts w:cs="Times New Roman"/>
          <w:color w:val="000000"/>
          <w:szCs w:val="24"/>
          <w:shd w:val="clear" w:color="auto" w:fill="FFFFFF"/>
        </w:rPr>
        <w:t>AccountingTools</w:t>
      </w:r>
      <w:proofErr w:type="spellEnd"/>
      <w:r w:rsidRPr="0082474B">
        <w:rPr>
          <w:rFonts w:cs="Times New Roman"/>
          <w:color w:val="000000"/>
          <w:szCs w:val="24"/>
          <w:shd w:val="clear" w:color="auto" w:fill="FFFFFF"/>
        </w:rPr>
        <w:t xml:space="preserve">. Available at: &lt; </w:t>
      </w:r>
      <w:hyperlink r:id="rId16" w:history="1">
        <w:r w:rsidRPr="0082474B">
          <w:rPr>
            <w:rStyle w:val="Hyperlink"/>
            <w:rFonts w:cs="Times New Roman"/>
            <w:szCs w:val="24"/>
            <w:shd w:val="clear" w:color="auto" w:fill="FFFFFF"/>
          </w:rPr>
          <w:t>https://www.accountingtools.com/articles/what-are-the-limitations-of-ratio-analysis.html</w:t>
        </w:r>
      </w:hyperlink>
      <w:r w:rsidRPr="0082474B">
        <w:rPr>
          <w:rFonts w:cs="Times New Roman"/>
          <w:color w:val="000000"/>
          <w:szCs w:val="24"/>
          <w:shd w:val="clear" w:color="auto" w:fill="FFFFFF"/>
        </w:rPr>
        <w:t xml:space="preserve"> &gt; [Accessed 1 February 2022].</w:t>
      </w:r>
    </w:p>
    <w:p w14:paraId="5800F6CA" w14:textId="77777777" w:rsidR="00006337" w:rsidRPr="0082474B" w:rsidRDefault="00006337" w:rsidP="00006337">
      <w:pPr>
        <w:rPr>
          <w:rFonts w:cs="Times New Roman"/>
          <w:color w:val="000000"/>
          <w:szCs w:val="24"/>
          <w:shd w:val="clear" w:color="auto" w:fill="FFFFFF"/>
        </w:rPr>
      </w:pPr>
      <w:r w:rsidRPr="0082474B">
        <w:rPr>
          <w:rFonts w:cs="Times New Roman"/>
          <w:color w:val="000000"/>
          <w:szCs w:val="24"/>
          <w:shd w:val="clear" w:color="auto" w:fill="FFFFFF"/>
        </w:rPr>
        <w:t>Course, M., 2019. </w:t>
      </w:r>
      <w:r w:rsidRPr="0082474B">
        <w:rPr>
          <w:rFonts w:cs="Times New Roman"/>
          <w:i/>
          <w:iCs/>
          <w:color w:val="000000"/>
          <w:szCs w:val="24"/>
          <w:shd w:val="clear" w:color="auto" w:fill="FFFFFF"/>
        </w:rPr>
        <w:t>Current Ratio | Formula | Example | Calculator | Analysis</w:t>
      </w:r>
      <w:r w:rsidRPr="0082474B">
        <w:rPr>
          <w:rFonts w:cs="Times New Roman"/>
          <w:color w:val="000000"/>
          <w:szCs w:val="24"/>
          <w:shd w:val="clear" w:color="auto" w:fill="FFFFFF"/>
        </w:rPr>
        <w:t xml:space="preserve">. [online] My Accounting Course. Available at: &lt; </w:t>
      </w:r>
      <w:hyperlink r:id="rId17" w:history="1">
        <w:r w:rsidRPr="0082474B">
          <w:rPr>
            <w:rStyle w:val="Hyperlink"/>
            <w:rFonts w:cs="Times New Roman"/>
            <w:szCs w:val="24"/>
            <w:shd w:val="clear" w:color="auto" w:fill="FFFFFF"/>
          </w:rPr>
          <w:t>https://www.myaccountingcourse.com/financial-ratios/current-ratio</w:t>
        </w:r>
      </w:hyperlink>
      <w:r w:rsidRPr="0082474B">
        <w:rPr>
          <w:rFonts w:cs="Times New Roman"/>
          <w:color w:val="000000"/>
          <w:szCs w:val="24"/>
          <w:shd w:val="clear" w:color="auto" w:fill="FFFFFF"/>
        </w:rPr>
        <w:t xml:space="preserve"> &gt; [Accessed 1 February 2022].</w:t>
      </w:r>
    </w:p>
    <w:p w14:paraId="38088025" w14:textId="77777777" w:rsidR="00006337" w:rsidRPr="0082474B" w:rsidRDefault="00006337" w:rsidP="00006337">
      <w:pPr>
        <w:rPr>
          <w:rFonts w:cs="Times New Roman"/>
          <w:color w:val="000000"/>
          <w:szCs w:val="24"/>
          <w:shd w:val="clear" w:color="auto" w:fill="FFFFFF"/>
        </w:rPr>
      </w:pPr>
      <w:r w:rsidRPr="0082474B">
        <w:rPr>
          <w:rFonts w:cs="Times New Roman"/>
          <w:color w:val="000000"/>
          <w:szCs w:val="24"/>
          <w:shd w:val="clear" w:color="auto" w:fill="FFFFFF"/>
        </w:rPr>
        <w:t>Express, A., 2021. </w:t>
      </w:r>
      <w:r w:rsidRPr="0082474B">
        <w:rPr>
          <w:rFonts w:cs="Times New Roman"/>
          <w:i/>
          <w:iCs/>
          <w:color w:val="000000"/>
          <w:szCs w:val="24"/>
          <w:shd w:val="clear" w:color="auto" w:fill="FFFFFF"/>
        </w:rPr>
        <w:t>How to Calculate Gross Profit (With Formula and Example)</w:t>
      </w:r>
      <w:r w:rsidRPr="0082474B">
        <w:rPr>
          <w:rFonts w:cs="Times New Roman"/>
          <w:color w:val="000000"/>
          <w:szCs w:val="24"/>
          <w:shd w:val="clear" w:color="auto" w:fill="FFFFFF"/>
        </w:rPr>
        <w:t xml:space="preserve">. [online] Business Class: Trends and Insights | American Express. Available at: &lt; </w:t>
      </w:r>
      <w:hyperlink r:id="rId18" w:history="1">
        <w:r w:rsidRPr="0082474B">
          <w:rPr>
            <w:rStyle w:val="Hyperlink"/>
            <w:rFonts w:cs="Times New Roman"/>
            <w:szCs w:val="24"/>
            <w:shd w:val="clear" w:color="auto" w:fill="FFFFFF"/>
          </w:rPr>
          <w:t>https://www.americanexpress.com/en-gb/business/trends-and-insights/articles/gross-profit-margin-formula/</w:t>
        </w:r>
      </w:hyperlink>
      <w:r w:rsidRPr="0082474B">
        <w:rPr>
          <w:rFonts w:cs="Times New Roman"/>
          <w:color w:val="000000"/>
          <w:szCs w:val="24"/>
          <w:shd w:val="clear" w:color="auto" w:fill="FFFFFF"/>
        </w:rPr>
        <w:t xml:space="preserve"> &gt; [Accessed 1 February 2022].</w:t>
      </w:r>
    </w:p>
    <w:p w14:paraId="3928E056" w14:textId="77777777" w:rsidR="00006337" w:rsidRPr="0082474B" w:rsidRDefault="00006337" w:rsidP="00006337">
      <w:pPr>
        <w:rPr>
          <w:rFonts w:cs="Times New Roman"/>
          <w:color w:val="000000"/>
          <w:szCs w:val="24"/>
          <w:shd w:val="clear" w:color="auto" w:fill="FFFFFF"/>
        </w:rPr>
      </w:pPr>
      <w:r w:rsidRPr="0082474B">
        <w:rPr>
          <w:rFonts w:cs="Times New Roman"/>
          <w:color w:val="000000"/>
          <w:szCs w:val="24"/>
          <w:shd w:val="clear" w:color="auto" w:fill="FFFFFF"/>
        </w:rPr>
        <w:t>Institute, C., 2020. </w:t>
      </w:r>
      <w:r w:rsidRPr="0082474B">
        <w:rPr>
          <w:rFonts w:cs="Times New Roman"/>
          <w:i/>
          <w:iCs/>
          <w:color w:val="000000"/>
          <w:szCs w:val="24"/>
          <w:shd w:val="clear" w:color="auto" w:fill="FFFFFF"/>
        </w:rPr>
        <w:t>Net Profit Margin</w:t>
      </w:r>
      <w:r w:rsidRPr="0082474B">
        <w:rPr>
          <w:rFonts w:cs="Times New Roman"/>
          <w:color w:val="000000"/>
          <w:szCs w:val="24"/>
          <w:shd w:val="clear" w:color="auto" w:fill="FFFFFF"/>
        </w:rPr>
        <w:t xml:space="preserve">. [online] Corporate Finance Institute. Available at: &lt; </w:t>
      </w:r>
      <w:hyperlink r:id="rId19" w:history="1">
        <w:r w:rsidRPr="0082474B">
          <w:rPr>
            <w:rStyle w:val="Hyperlink"/>
            <w:rFonts w:cs="Times New Roman"/>
            <w:szCs w:val="24"/>
            <w:shd w:val="clear" w:color="auto" w:fill="FFFFFF"/>
          </w:rPr>
          <w:t>https://corporatefinanceinstitute.com/resources/knowledge/finance/net-profit-margin-formula/</w:t>
        </w:r>
      </w:hyperlink>
      <w:r w:rsidRPr="0082474B">
        <w:rPr>
          <w:rFonts w:cs="Times New Roman"/>
          <w:color w:val="000000"/>
          <w:szCs w:val="24"/>
          <w:shd w:val="clear" w:color="auto" w:fill="FFFFFF"/>
        </w:rPr>
        <w:t xml:space="preserve"> &gt; [Accessed 1 February 2022].</w:t>
      </w:r>
    </w:p>
    <w:p w14:paraId="7033155C" w14:textId="77777777" w:rsidR="00006337" w:rsidRPr="0082474B" w:rsidRDefault="00006337" w:rsidP="00006337">
      <w:pPr>
        <w:rPr>
          <w:rFonts w:cs="Times New Roman"/>
          <w:color w:val="000000"/>
          <w:szCs w:val="24"/>
          <w:shd w:val="clear" w:color="auto" w:fill="FFFFFF"/>
        </w:rPr>
      </w:pPr>
      <w:r w:rsidRPr="0082474B">
        <w:rPr>
          <w:rFonts w:cs="Times New Roman"/>
          <w:color w:val="000000"/>
          <w:szCs w:val="24"/>
          <w:shd w:val="clear" w:color="auto" w:fill="FFFFFF"/>
        </w:rPr>
        <w:t>Jenkins, A., 2020. </w:t>
      </w:r>
      <w:r w:rsidRPr="0082474B">
        <w:rPr>
          <w:rFonts w:cs="Times New Roman"/>
          <w:i/>
          <w:iCs/>
          <w:color w:val="000000"/>
          <w:szCs w:val="24"/>
          <w:shd w:val="clear" w:color="auto" w:fill="FFFFFF"/>
        </w:rPr>
        <w:t xml:space="preserve">Inventory Turnover Ratio: Trouble or </w:t>
      </w:r>
      <w:proofErr w:type="gramStart"/>
      <w:r w:rsidRPr="0082474B">
        <w:rPr>
          <w:rFonts w:cs="Times New Roman"/>
          <w:i/>
          <w:iCs/>
          <w:color w:val="000000"/>
          <w:szCs w:val="24"/>
          <w:shd w:val="clear" w:color="auto" w:fill="FFFFFF"/>
        </w:rPr>
        <w:t>Paradise?</w:t>
      </w:r>
      <w:r w:rsidRPr="0082474B">
        <w:rPr>
          <w:rFonts w:cs="Times New Roman"/>
          <w:color w:val="000000"/>
          <w:szCs w:val="24"/>
          <w:shd w:val="clear" w:color="auto" w:fill="FFFFFF"/>
        </w:rPr>
        <w:t>.</w:t>
      </w:r>
      <w:proofErr w:type="gramEnd"/>
      <w:r w:rsidRPr="0082474B">
        <w:rPr>
          <w:rFonts w:cs="Times New Roman"/>
          <w:color w:val="000000"/>
          <w:szCs w:val="24"/>
          <w:shd w:val="clear" w:color="auto" w:fill="FFFFFF"/>
        </w:rPr>
        <w:t xml:space="preserve"> [online] Oracle NetSuite. Available at: &lt; </w:t>
      </w:r>
      <w:hyperlink r:id="rId20" w:anchor=":~:text=Inventory%20turnover%20is%20the%20rate,lower%20one%20to%20weak%20sales" w:history="1">
        <w:r w:rsidRPr="0082474B">
          <w:rPr>
            <w:rStyle w:val="Hyperlink"/>
            <w:rFonts w:cs="Times New Roman"/>
            <w:szCs w:val="24"/>
            <w:shd w:val="clear" w:color="auto" w:fill="FFFFFF"/>
          </w:rPr>
          <w:t>https://www.netsuite.com/portal/resource/articles/inventory-management/inventory-turnover-ratio.shtml#:~:text=Inventory%20turnover%20is%20the%20rate,lower%20one%20to%20weak%20sales</w:t>
        </w:r>
      </w:hyperlink>
      <w:r w:rsidRPr="0082474B">
        <w:rPr>
          <w:rFonts w:cs="Times New Roman"/>
          <w:color w:val="000000"/>
          <w:szCs w:val="24"/>
          <w:shd w:val="clear" w:color="auto" w:fill="FFFFFF"/>
        </w:rPr>
        <w:t>. &gt; [Accessed 1 February 2022].</w:t>
      </w:r>
    </w:p>
    <w:p w14:paraId="72C76D9E" w14:textId="77777777" w:rsidR="00006337" w:rsidRPr="0082474B" w:rsidRDefault="00006337" w:rsidP="00006337">
      <w:pPr>
        <w:rPr>
          <w:rFonts w:cs="Times New Roman"/>
          <w:color w:val="000000"/>
          <w:szCs w:val="24"/>
          <w:shd w:val="clear" w:color="auto" w:fill="FFFFFF"/>
        </w:rPr>
      </w:pPr>
      <w:r w:rsidRPr="0082474B">
        <w:rPr>
          <w:rFonts w:cs="Times New Roman"/>
          <w:color w:val="000000"/>
          <w:szCs w:val="24"/>
          <w:shd w:val="clear" w:color="auto" w:fill="FFFFFF"/>
        </w:rPr>
        <w:t>KOSINSKI, J., 2021. </w:t>
      </w:r>
      <w:r w:rsidRPr="0082474B">
        <w:rPr>
          <w:rFonts w:cs="Times New Roman"/>
          <w:i/>
          <w:iCs/>
          <w:color w:val="000000"/>
          <w:szCs w:val="24"/>
          <w:shd w:val="clear" w:color="auto" w:fill="FFFFFF"/>
        </w:rPr>
        <w:t>The Debt-to-equity Ratio | What It Is and How to Use It</w:t>
      </w:r>
      <w:r w:rsidRPr="0082474B">
        <w:rPr>
          <w:rFonts w:cs="Times New Roman"/>
          <w:color w:val="000000"/>
          <w:szCs w:val="24"/>
          <w:shd w:val="clear" w:color="auto" w:fill="FFFFFF"/>
        </w:rPr>
        <w:t xml:space="preserve">. [online] Patriot Software. Available at: &lt; </w:t>
      </w:r>
      <w:hyperlink r:id="rId21" w:history="1">
        <w:r w:rsidRPr="0082474B">
          <w:rPr>
            <w:rStyle w:val="Hyperlink"/>
            <w:rFonts w:cs="Times New Roman"/>
            <w:szCs w:val="24"/>
            <w:shd w:val="clear" w:color="auto" w:fill="FFFFFF"/>
          </w:rPr>
          <w:t>https://www.patriotsoftware.com/blog/accounting/debt-to-equity-ratio</w:t>
        </w:r>
      </w:hyperlink>
      <w:r w:rsidRPr="0082474B">
        <w:rPr>
          <w:rFonts w:cs="Times New Roman"/>
          <w:color w:val="000000"/>
          <w:szCs w:val="24"/>
          <w:shd w:val="clear" w:color="auto" w:fill="FFFFFF"/>
        </w:rPr>
        <w:t xml:space="preserve"> &gt; [Accessed 1 February 2022].</w:t>
      </w:r>
    </w:p>
    <w:p w14:paraId="67C548B2" w14:textId="77777777" w:rsidR="00006337" w:rsidRPr="0082474B" w:rsidRDefault="00006337" w:rsidP="00006337">
      <w:pPr>
        <w:rPr>
          <w:rFonts w:cs="Times New Roman"/>
          <w:color w:val="000000"/>
          <w:szCs w:val="24"/>
          <w:shd w:val="clear" w:color="auto" w:fill="FFFFFF"/>
        </w:rPr>
      </w:pPr>
      <w:r w:rsidRPr="0082474B">
        <w:rPr>
          <w:rFonts w:cs="Times New Roman"/>
          <w:color w:val="000000"/>
          <w:szCs w:val="24"/>
          <w:shd w:val="clear" w:color="auto" w:fill="FFFFFF"/>
        </w:rPr>
        <w:t>Management, C., 2019. </w:t>
      </w:r>
      <w:r w:rsidRPr="0082474B">
        <w:rPr>
          <w:rFonts w:cs="Times New Roman"/>
          <w:i/>
          <w:iCs/>
          <w:color w:val="000000"/>
          <w:szCs w:val="24"/>
          <w:shd w:val="clear" w:color="auto" w:fill="FFFFFF"/>
        </w:rPr>
        <w:t xml:space="preserve">What is creditors turnover and why does it </w:t>
      </w:r>
      <w:proofErr w:type="gramStart"/>
      <w:r w:rsidRPr="0082474B">
        <w:rPr>
          <w:rFonts w:cs="Times New Roman"/>
          <w:i/>
          <w:iCs/>
          <w:color w:val="000000"/>
          <w:szCs w:val="24"/>
          <w:shd w:val="clear" w:color="auto" w:fill="FFFFFF"/>
        </w:rPr>
        <w:t>matter?</w:t>
      </w:r>
      <w:r w:rsidRPr="0082474B">
        <w:rPr>
          <w:rFonts w:cs="Times New Roman"/>
          <w:color w:val="000000"/>
          <w:szCs w:val="24"/>
          <w:shd w:val="clear" w:color="auto" w:fill="FFFFFF"/>
        </w:rPr>
        <w:t>.</w:t>
      </w:r>
      <w:proofErr w:type="gramEnd"/>
      <w:r w:rsidRPr="0082474B">
        <w:rPr>
          <w:rFonts w:cs="Times New Roman"/>
          <w:color w:val="000000"/>
          <w:szCs w:val="24"/>
          <w:shd w:val="clear" w:color="auto" w:fill="FFFFFF"/>
        </w:rPr>
        <w:t xml:space="preserve"> [online] </w:t>
      </w:r>
      <w:proofErr w:type="spellStart"/>
      <w:r w:rsidRPr="0082474B">
        <w:rPr>
          <w:rFonts w:cs="Times New Roman"/>
          <w:color w:val="000000"/>
          <w:szCs w:val="24"/>
          <w:shd w:val="clear" w:color="auto" w:fill="FFFFFF"/>
        </w:rPr>
        <w:t>Coface</w:t>
      </w:r>
      <w:proofErr w:type="spellEnd"/>
      <w:r w:rsidRPr="0082474B">
        <w:rPr>
          <w:rFonts w:cs="Times New Roman"/>
          <w:color w:val="000000"/>
          <w:szCs w:val="24"/>
          <w:shd w:val="clear" w:color="auto" w:fill="FFFFFF"/>
        </w:rPr>
        <w:t xml:space="preserve"> News &amp; Events. Available at: &lt; </w:t>
      </w:r>
      <w:hyperlink r:id="rId22" w:anchor=":~:text=In%20essence%2C%20a%20creditors%20turnover,during%20a%20particular%20time%20frame" w:history="1">
        <w:r w:rsidRPr="0082474B">
          <w:rPr>
            <w:rStyle w:val="Hyperlink"/>
            <w:rFonts w:cs="Times New Roman"/>
            <w:szCs w:val="24"/>
            <w:shd w:val="clear" w:color="auto" w:fill="FFFFFF"/>
          </w:rPr>
          <w:t>http://blog.coface.com.au/credit-risk-management/what-is-creditors-turnover-and-why-does-it-matter/#:~:text=In%20essence%2C%20a%20creditors%20turnover,during%20a%20particular%20time%20frame</w:t>
        </w:r>
      </w:hyperlink>
      <w:r w:rsidRPr="0082474B">
        <w:rPr>
          <w:rFonts w:cs="Times New Roman"/>
          <w:color w:val="000000"/>
          <w:szCs w:val="24"/>
          <w:shd w:val="clear" w:color="auto" w:fill="FFFFFF"/>
        </w:rPr>
        <w:t>. &gt; [Accessed 1 February 2022].</w:t>
      </w:r>
    </w:p>
    <w:p w14:paraId="1682D013" w14:textId="77777777" w:rsidR="00006337" w:rsidRPr="0082474B" w:rsidRDefault="00006337" w:rsidP="00006337">
      <w:pPr>
        <w:rPr>
          <w:rFonts w:cs="Times New Roman"/>
          <w:color w:val="000000"/>
          <w:szCs w:val="24"/>
          <w:shd w:val="clear" w:color="auto" w:fill="FFFFFF"/>
        </w:rPr>
      </w:pPr>
      <w:r w:rsidRPr="0082474B">
        <w:rPr>
          <w:rFonts w:cs="Times New Roman"/>
          <w:color w:val="000000"/>
          <w:szCs w:val="24"/>
          <w:shd w:val="clear" w:color="auto" w:fill="FFFFFF"/>
        </w:rPr>
        <w:lastRenderedPageBreak/>
        <w:t>MILLER, T., 2021. </w:t>
      </w:r>
      <w:r w:rsidRPr="0082474B">
        <w:rPr>
          <w:rFonts w:cs="Times New Roman"/>
          <w:i/>
          <w:iCs/>
          <w:color w:val="000000"/>
          <w:szCs w:val="24"/>
          <w:shd w:val="clear" w:color="auto" w:fill="FFFFFF"/>
        </w:rPr>
        <w:t xml:space="preserve">What Is Return on Capital and How Do You Calculate </w:t>
      </w:r>
      <w:proofErr w:type="gramStart"/>
      <w:r w:rsidRPr="0082474B">
        <w:rPr>
          <w:rFonts w:cs="Times New Roman"/>
          <w:i/>
          <w:iCs/>
          <w:color w:val="000000"/>
          <w:szCs w:val="24"/>
          <w:shd w:val="clear" w:color="auto" w:fill="FFFFFF"/>
        </w:rPr>
        <w:t>It?</w:t>
      </w:r>
      <w:r w:rsidRPr="0082474B">
        <w:rPr>
          <w:rFonts w:cs="Times New Roman"/>
          <w:color w:val="000000"/>
          <w:szCs w:val="24"/>
          <w:shd w:val="clear" w:color="auto" w:fill="FFFFFF"/>
        </w:rPr>
        <w:t>.</w:t>
      </w:r>
      <w:proofErr w:type="gramEnd"/>
      <w:r w:rsidRPr="0082474B">
        <w:rPr>
          <w:rFonts w:cs="Times New Roman"/>
          <w:color w:val="000000"/>
          <w:szCs w:val="24"/>
          <w:shd w:val="clear" w:color="auto" w:fill="FFFFFF"/>
        </w:rPr>
        <w:t xml:space="preserve"> [online] TheStreet. Available at: &lt; </w:t>
      </w:r>
      <w:hyperlink r:id="rId23" w:history="1">
        <w:r w:rsidRPr="0082474B">
          <w:rPr>
            <w:rStyle w:val="Hyperlink"/>
            <w:rFonts w:cs="Times New Roman"/>
            <w:szCs w:val="24"/>
            <w:shd w:val="clear" w:color="auto" w:fill="FFFFFF"/>
          </w:rPr>
          <w:t>https://www.thestreet.com/personal-finance/education/return-on-capital-14926372</w:t>
        </w:r>
      </w:hyperlink>
      <w:r w:rsidRPr="0082474B">
        <w:rPr>
          <w:rFonts w:cs="Times New Roman"/>
          <w:color w:val="000000"/>
          <w:szCs w:val="24"/>
          <w:shd w:val="clear" w:color="auto" w:fill="FFFFFF"/>
        </w:rPr>
        <w:t xml:space="preserve"> &gt; [Accessed 1 February 2022].</w:t>
      </w:r>
    </w:p>
    <w:p w14:paraId="33752299" w14:textId="77777777" w:rsidR="00006337" w:rsidRPr="0082474B" w:rsidRDefault="00006337" w:rsidP="00006337">
      <w:pPr>
        <w:rPr>
          <w:rFonts w:cs="Times New Roman"/>
          <w:color w:val="000000"/>
          <w:szCs w:val="24"/>
          <w:shd w:val="clear" w:color="auto" w:fill="FFFFFF"/>
        </w:rPr>
      </w:pPr>
      <w:r w:rsidRPr="0082474B">
        <w:rPr>
          <w:rFonts w:cs="Times New Roman"/>
          <w:color w:val="000000"/>
          <w:szCs w:val="24"/>
          <w:shd w:val="clear" w:color="auto" w:fill="FFFFFF"/>
        </w:rPr>
        <w:t>Solutions, T., 2022. </w:t>
      </w:r>
      <w:r w:rsidRPr="0082474B">
        <w:rPr>
          <w:rFonts w:cs="Times New Roman"/>
          <w:i/>
          <w:iCs/>
          <w:color w:val="000000"/>
          <w:szCs w:val="24"/>
          <w:shd w:val="clear" w:color="auto" w:fill="FFFFFF"/>
        </w:rPr>
        <w:t xml:space="preserve">Accounts Receivables Turnover Ratio – </w:t>
      </w:r>
      <w:proofErr w:type="spellStart"/>
      <w:r w:rsidRPr="0082474B">
        <w:rPr>
          <w:rFonts w:cs="Times New Roman"/>
          <w:i/>
          <w:iCs/>
          <w:color w:val="000000"/>
          <w:szCs w:val="24"/>
          <w:shd w:val="clear" w:color="auto" w:fill="FFFFFF"/>
        </w:rPr>
        <w:t>DefinItion</w:t>
      </w:r>
      <w:proofErr w:type="spellEnd"/>
      <w:r w:rsidRPr="0082474B">
        <w:rPr>
          <w:rFonts w:cs="Times New Roman"/>
          <w:i/>
          <w:iCs/>
          <w:color w:val="000000"/>
          <w:szCs w:val="24"/>
          <w:shd w:val="clear" w:color="auto" w:fill="FFFFFF"/>
        </w:rPr>
        <w:t>, Formula, Steps &amp; Example | Tally Solutions</w:t>
      </w:r>
      <w:r w:rsidRPr="0082474B">
        <w:rPr>
          <w:rFonts w:cs="Times New Roman"/>
          <w:color w:val="000000"/>
          <w:szCs w:val="24"/>
          <w:shd w:val="clear" w:color="auto" w:fill="FFFFFF"/>
        </w:rPr>
        <w:t xml:space="preserve">. [online] Tally. Available at: &lt; </w:t>
      </w:r>
      <w:hyperlink r:id="rId24" w:history="1">
        <w:r w:rsidRPr="0082474B">
          <w:rPr>
            <w:rStyle w:val="Hyperlink"/>
            <w:rFonts w:cs="Times New Roman"/>
            <w:szCs w:val="24"/>
            <w:shd w:val="clear" w:color="auto" w:fill="FFFFFF"/>
          </w:rPr>
          <w:t>https://tallysolutions.com/accounting/accounts-receivables-turnover-ratio/</w:t>
        </w:r>
      </w:hyperlink>
      <w:r w:rsidRPr="0082474B">
        <w:rPr>
          <w:rFonts w:cs="Times New Roman"/>
          <w:color w:val="000000"/>
          <w:szCs w:val="24"/>
          <w:shd w:val="clear" w:color="auto" w:fill="FFFFFF"/>
        </w:rPr>
        <w:t xml:space="preserve"> &gt; [Accessed 1 February 2022].</w:t>
      </w:r>
    </w:p>
    <w:p w14:paraId="2FBD1C2D" w14:textId="77777777" w:rsidR="00006337" w:rsidRPr="0082474B" w:rsidRDefault="00006337" w:rsidP="00006337">
      <w:pPr>
        <w:rPr>
          <w:rFonts w:cs="Times New Roman"/>
          <w:color w:val="000000"/>
          <w:szCs w:val="24"/>
          <w:shd w:val="clear" w:color="auto" w:fill="FFFFFF"/>
        </w:rPr>
      </w:pPr>
      <w:r w:rsidRPr="0082474B">
        <w:rPr>
          <w:rFonts w:cs="Times New Roman"/>
          <w:color w:val="000000"/>
          <w:szCs w:val="24"/>
          <w:shd w:val="clear" w:color="auto" w:fill="FFFFFF"/>
        </w:rPr>
        <w:t>Times, E., 2022. </w:t>
      </w:r>
      <w:r w:rsidRPr="0082474B">
        <w:rPr>
          <w:rFonts w:cs="Times New Roman"/>
          <w:i/>
          <w:iCs/>
          <w:color w:val="000000"/>
          <w:szCs w:val="24"/>
          <w:shd w:val="clear" w:color="auto" w:fill="FFFFFF"/>
        </w:rPr>
        <w:t>What is Asset Turnover Ratio? Definition of Asset Turnover Ratio, Asset Turnover Ratio Meaning - The Economic Times</w:t>
      </w:r>
      <w:r w:rsidRPr="0082474B">
        <w:rPr>
          <w:rFonts w:cs="Times New Roman"/>
          <w:color w:val="000000"/>
          <w:szCs w:val="24"/>
          <w:shd w:val="clear" w:color="auto" w:fill="FFFFFF"/>
        </w:rPr>
        <w:t xml:space="preserve">. [online] The Economic Times. Available at: &lt; </w:t>
      </w:r>
      <w:hyperlink r:id="rId25" w:history="1">
        <w:r w:rsidRPr="0082474B">
          <w:rPr>
            <w:rStyle w:val="Hyperlink"/>
            <w:rFonts w:cs="Times New Roman"/>
            <w:szCs w:val="24"/>
            <w:shd w:val="clear" w:color="auto" w:fill="FFFFFF"/>
          </w:rPr>
          <w:t>https://economictimes.indiatimes.com/definition/asset-turnover-ratio</w:t>
        </w:r>
      </w:hyperlink>
      <w:r w:rsidRPr="0082474B">
        <w:rPr>
          <w:rFonts w:cs="Times New Roman"/>
          <w:color w:val="000000"/>
          <w:szCs w:val="24"/>
          <w:shd w:val="clear" w:color="auto" w:fill="FFFFFF"/>
        </w:rPr>
        <w:t xml:space="preserve"> &gt; [Accessed 1 February 2022].</w:t>
      </w:r>
    </w:p>
    <w:p w14:paraId="04EEC6F7" w14:textId="77777777" w:rsidR="00006337" w:rsidRPr="0082474B" w:rsidRDefault="00006337" w:rsidP="00006337">
      <w:pPr>
        <w:rPr>
          <w:rFonts w:cs="Times New Roman"/>
          <w:color w:val="000000"/>
          <w:szCs w:val="24"/>
          <w:shd w:val="clear" w:color="auto" w:fill="FFFFFF"/>
        </w:rPr>
      </w:pPr>
      <w:r w:rsidRPr="0082474B">
        <w:rPr>
          <w:rFonts w:cs="Times New Roman"/>
          <w:color w:val="000000"/>
          <w:szCs w:val="24"/>
          <w:shd w:val="clear" w:color="auto" w:fill="FFFFFF"/>
        </w:rPr>
        <w:t>Thakur, M. and Vaidya, D., 2019. </w:t>
      </w:r>
      <w:r w:rsidRPr="0082474B">
        <w:rPr>
          <w:rFonts w:cs="Times New Roman"/>
          <w:i/>
          <w:iCs/>
          <w:color w:val="000000"/>
          <w:szCs w:val="24"/>
          <w:shd w:val="clear" w:color="auto" w:fill="FFFFFF"/>
        </w:rPr>
        <w:t>Acid Test Ratio</w:t>
      </w:r>
      <w:r w:rsidRPr="0082474B">
        <w:rPr>
          <w:rFonts w:cs="Times New Roman"/>
          <w:color w:val="000000"/>
          <w:szCs w:val="24"/>
          <w:shd w:val="clear" w:color="auto" w:fill="FFFFFF"/>
        </w:rPr>
        <w:t xml:space="preserve">. [online] </w:t>
      </w:r>
      <w:proofErr w:type="spellStart"/>
      <w:r w:rsidRPr="0082474B">
        <w:rPr>
          <w:rFonts w:cs="Times New Roman"/>
          <w:color w:val="000000"/>
          <w:szCs w:val="24"/>
          <w:shd w:val="clear" w:color="auto" w:fill="FFFFFF"/>
        </w:rPr>
        <w:t>WallStreetMojo</w:t>
      </w:r>
      <w:proofErr w:type="spellEnd"/>
      <w:r w:rsidRPr="0082474B">
        <w:rPr>
          <w:rFonts w:cs="Times New Roman"/>
          <w:color w:val="000000"/>
          <w:szCs w:val="24"/>
          <w:shd w:val="clear" w:color="auto" w:fill="FFFFFF"/>
        </w:rPr>
        <w:t xml:space="preserve">. Available at: &lt; </w:t>
      </w:r>
      <w:hyperlink r:id="rId26" w:history="1">
        <w:r w:rsidRPr="0082474B">
          <w:rPr>
            <w:rStyle w:val="Hyperlink"/>
            <w:rFonts w:cs="Times New Roman"/>
            <w:szCs w:val="24"/>
            <w:shd w:val="clear" w:color="auto" w:fill="FFFFFF"/>
          </w:rPr>
          <w:t>https://www.wallstreetmojo.com/acid-test-ratio-formula/</w:t>
        </w:r>
      </w:hyperlink>
      <w:r w:rsidRPr="0082474B">
        <w:rPr>
          <w:rFonts w:cs="Times New Roman"/>
          <w:color w:val="000000"/>
          <w:szCs w:val="24"/>
          <w:shd w:val="clear" w:color="auto" w:fill="FFFFFF"/>
        </w:rPr>
        <w:t xml:space="preserve"> &gt; [Accessed 1 February 2022].</w:t>
      </w:r>
    </w:p>
    <w:p w14:paraId="57539253" w14:textId="77777777" w:rsidR="00006337" w:rsidRPr="0082474B" w:rsidRDefault="00006337" w:rsidP="00006337">
      <w:pPr>
        <w:rPr>
          <w:rFonts w:cs="Times New Roman"/>
          <w:szCs w:val="24"/>
        </w:rPr>
      </w:pPr>
      <w:proofErr w:type="spellStart"/>
      <w:r w:rsidRPr="0082474B">
        <w:rPr>
          <w:rFonts w:cs="Times New Roman"/>
          <w:color w:val="000000"/>
          <w:szCs w:val="24"/>
          <w:shd w:val="clear" w:color="auto" w:fill="FFFFFF"/>
        </w:rPr>
        <w:t>Turegun</w:t>
      </w:r>
      <w:proofErr w:type="spellEnd"/>
      <w:r w:rsidRPr="0082474B">
        <w:rPr>
          <w:rFonts w:cs="Times New Roman"/>
          <w:color w:val="000000"/>
          <w:szCs w:val="24"/>
          <w:shd w:val="clear" w:color="auto" w:fill="FFFFFF"/>
        </w:rPr>
        <w:t xml:space="preserve">, N., 2019. Performance </w:t>
      </w:r>
      <w:proofErr w:type="spellStart"/>
      <w:r w:rsidRPr="0082474B">
        <w:rPr>
          <w:rFonts w:cs="Times New Roman"/>
          <w:color w:val="000000"/>
          <w:szCs w:val="24"/>
          <w:shd w:val="clear" w:color="auto" w:fill="FFFFFF"/>
        </w:rPr>
        <w:t>analysisof</w:t>
      </w:r>
      <w:proofErr w:type="spellEnd"/>
      <w:r w:rsidRPr="0082474B">
        <w:rPr>
          <w:rFonts w:cs="Times New Roman"/>
          <w:color w:val="000000"/>
          <w:szCs w:val="24"/>
          <w:shd w:val="clear" w:color="auto" w:fill="FFFFFF"/>
        </w:rPr>
        <w:t xml:space="preserve"> the restaurant and hotel industry: evidence from </w:t>
      </w:r>
      <w:proofErr w:type="spellStart"/>
      <w:r w:rsidRPr="0082474B">
        <w:rPr>
          <w:rFonts w:cs="Times New Roman"/>
          <w:color w:val="000000"/>
          <w:szCs w:val="24"/>
          <w:shd w:val="clear" w:color="auto" w:fill="FFFFFF"/>
        </w:rPr>
        <w:t>Borsa</w:t>
      </w:r>
      <w:proofErr w:type="spellEnd"/>
      <w:r w:rsidRPr="0082474B">
        <w:rPr>
          <w:rFonts w:cs="Times New Roman"/>
          <w:color w:val="000000"/>
          <w:szCs w:val="24"/>
          <w:shd w:val="clear" w:color="auto" w:fill="FFFFFF"/>
        </w:rPr>
        <w:t xml:space="preserve"> Istanbul. </w:t>
      </w:r>
      <w:proofErr w:type="spellStart"/>
      <w:r w:rsidRPr="0082474B">
        <w:rPr>
          <w:rFonts w:cs="Times New Roman"/>
          <w:i/>
          <w:iCs/>
          <w:color w:val="000000"/>
          <w:szCs w:val="24"/>
          <w:shd w:val="clear" w:color="auto" w:fill="FFFFFF"/>
        </w:rPr>
        <w:t>Pressacademia</w:t>
      </w:r>
      <w:proofErr w:type="spellEnd"/>
      <w:r w:rsidRPr="0082474B">
        <w:rPr>
          <w:rFonts w:cs="Times New Roman"/>
          <w:color w:val="000000"/>
          <w:szCs w:val="24"/>
          <w:shd w:val="clear" w:color="auto" w:fill="FFFFFF"/>
        </w:rPr>
        <w:t xml:space="preserve">, [online] 6(3), pp.115-123. Available at: &lt; </w:t>
      </w:r>
      <w:hyperlink r:id="rId27" w:history="1">
        <w:r w:rsidRPr="0082474B">
          <w:rPr>
            <w:rStyle w:val="Hyperlink"/>
            <w:rFonts w:cs="Times New Roman"/>
            <w:szCs w:val="24"/>
            <w:shd w:val="clear" w:color="auto" w:fill="FFFFFF"/>
          </w:rPr>
          <w:t>https://dergipark.org.tr/en/download/article-file/816083</w:t>
        </w:r>
      </w:hyperlink>
      <w:r w:rsidRPr="0082474B">
        <w:rPr>
          <w:rFonts w:cs="Times New Roman"/>
          <w:color w:val="000000"/>
          <w:szCs w:val="24"/>
          <w:shd w:val="clear" w:color="auto" w:fill="FFFFFF"/>
        </w:rPr>
        <w:t xml:space="preserve"> &gt; [Accessed 1 February 2022].</w:t>
      </w:r>
    </w:p>
    <w:p w14:paraId="3C215484" w14:textId="77777777" w:rsidR="00006337" w:rsidRDefault="00006337" w:rsidP="00A60598">
      <w:pPr>
        <w:ind w:left="360"/>
      </w:pPr>
    </w:p>
    <w:sectPr w:rsidR="00006337" w:rsidSect="00FA7F51">
      <w:pgSz w:w="12240" w:h="15840"/>
      <w:pgMar w:top="1440" w:right="1440" w:bottom="1440" w:left="1440" w:header="708" w:footer="708" w:gutter="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D4B6F9B"/>
    <w:multiLevelType w:val="hybridMultilevel"/>
    <w:tmpl w:val="9F90F4A2"/>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35E66CF8"/>
    <w:multiLevelType w:val="hybridMultilevel"/>
    <w:tmpl w:val="C9C084D2"/>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drawingGridHorizontalSpacing w:val="120"/>
  <w:displayHorizontalDrawingGridEvery w:val="2"/>
  <w:characterSpacingControl w:val="doNotCompress"/>
  <w:compat>
    <w:compatSetting w:name="compatibilityMode" w:uri="http://schemas.microsoft.com/office/word" w:val="12"/>
    <w:compatSetting w:name="useWord2013TrackBottomHyphenation" w:uri="http://schemas.microsoft.com/office/word" w:val="1"/>
  </w:compat>
  <w:rsids>
    <w:rsidRoot w:val="009125F7"/>
    <w:rsid w:val="00006337"/>
    <w:rsid w:val="001028CB"/>
    <w:rsid w:val="001C4290"/>
    <w:rsid w:val="001D7184"/>
    <w:rsid w:val="002262FF"/>
    <w:rsid w:val="00362B97"/>
    <w:rsid w:val="003745B1"/>
    <w:rsid w:val="00385414"/>
    <w:rsid w:val="003923ED"/>
    <w:rsid w:val="004012B2"/>
    <w:rsid w:val="00412FDA"/>
    <w:rsid w:val="00416C0C"/>
    <w:rsid w:val="004328BD"/>
    <w:rsid w:val="00443944"/>
    <w:rsid w:val="004517E1"/>
    <w:rsid w:val="004C44E9"/>
    <w:rsid w:val="0061465D"/>
    <w:rsid w:val="006D4922"/>
    <w:rsid w:val="006F1A44"/>
    <w:rsid w:val="00770B87"/>
    <w:rsid w:val="00790D3F"/>
    <w:rsid w:val="007935F9"/>
    <w:rsid w:val="007C4FF3"/>
    <w:rsid w:val="007E445C"/>
    <w:rsid w:val="007E5826"/>
    <w:rsid w:val="008A5F64"/>
    <w:rsid w:val="009125F7"/>
    <w:rsid w:val="00957577"/>
    <w:rsid w:val="009B6294"/>
    <w:rsid w:val="009C7461"/>
    <w:rsid w:val="009F72EE"/>
    <w:rsid w:val="00A11B0C"/>
    <w:rsid w:val="00A25A64"/>
    <w:rsid w:val="00A60598"/>
    <w:rsid w:val="00A7150F"/>
    <w:rsid w:val="00A76F57"/>
    <w:rsid w:val="00A81F8F"/>
    <w:rsid w:val="00AA32CB"/>
    <w:rsid w:val="00AA6324"/>
    <w:rsid w:val="00B07014"/>
    <w:rsid w:val="00B21D02"/>
    <w:rsid w:val="00B40872"/>
    <w:rsid w:val="00B755F6"/>
    <w:rsid w:val="00BB3F8C"/>
    <w:rsid w:val="00BF0418"/>
    <w:rsid w:val="00CF23E9"/>
    <w:rsid w:val="00D256DA"/>
    <w:rsid w:val="00D6602D"/>
    <w:rsid w:val="00DC2ACA"/>
    <w:rsid w:val="00DC34B6"/>
    <w:rsid w:val="00DE43CE"/>
    <w:rsid w:val="00E066A0"/>
    <w:rsid w:val="00E90F80"/>
    <w:rsid w:val="00F00A69"/>
    <w:rsid w:val="00F00E06"/>
    <w:rsid w:val="00FA7F5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A745441"/>
  <w15:docId w15:val="{2D339657-B87F-47D9-83DB-A80322B2C91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328BD"/>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F00E06"/>
    <w:pPr>
      <w:keepNext/>
      <w:keepLines/>
      <w:spacing w:before="480" w:after="0"/>
      <w:outlineLvl w:val="0"/>
    </w:pPr>
    <w:rPr>
      <w:rFonts w:eastAsiaTheme="majorEastAsia" w:cstheme="majorBidi"/>
      <w:b/>
      <w:bCs/>
      <w:szCs w:val="28"/>
    </w:rPr>
  </w:style>
  <w:style w:type="paragraph" w:styleId="Heading2">
    <w:name w:val="heading 2"/>
    <w:basedOn w:val="Normal"/>
    <w:next w:val="Normal"/>
    <w:link w:val="Heading2Char"/>
    <w:uiPriority w:val="9"/>
    <w:semiHidden/>
    <w:unhideWhenUsed/>
    <w:qFormat/>
    <w:rsid w:val="00F00E06"/>
    <w:pPr>
      <w:keepNext/>
      <w:keepLines/>
      <w:spacing w:before="200" w:after="0"/>
      <w:outlineLvl w:val="1"/>
    </w:pPr>
    <w:rPr>
      <w:rFonts w:eastAsiaTheme="majorEastAsia" w:cstheme="majorBidi"/>
      <w:b/>
      <w:bCs/>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1D7184"/>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1D7184"/>
    <w:rPr>
      <w:rFonts w:ascii="Tahoma" w:hAnsi="Tahoma" w:cs="Tahoma"/>
      <w:sz w:val="16"/>
      <w:szCs w:val="16"/>
    </w:rPr>
  </w:style>
  <w:style w:type="paragraph" w:styleId="ListParagraph">
    <w:name w:val="List Paragraph"/>
    <w:basedOn w:val="Normal"/>
    <w:uiPriority w:val="34"/>
    <w:qFormat/>
    <w:rsid w:val="00BF0418"/>
    <w:pPr>
      <w:ind w:left="720"/>
      <w:contextualSpacing/>
    </w:pPr>
  </w:style>
  <w:style w:type="character" w:customStyle="1" w:styleId="Heading1Char">
    <w:name w:val="Heading 1 Char"/>
    <w:basedOn w:val="DefaultParagraphFont"/>
    <w:link w:val="Heading1"/>
    <w:uiPriority w:val="9"/>
    <w:rsid w:val="00F00E06"/>
    <w:rPr>
      <w:rFonts w:ascii="Times New Roman" w:eastAsiaTheme="majorEastAsia" w:hAnsi="Times New Roman" w:cstheme="majorBidi"/>
      <w:b/>
      <w:bCs/>
      <w:sz w:val="24"/>
      <w:szCs w:val="28"/>
    </w:rPr>
  </w:style>
  <w:style w:type="character" w:customStyle="1" w:styleId="Heading2Char">
    <w:name w:val="Heading 2 Char"/>
    <w:basedOn w:val="DefaultParagraphFont"/>
    <w:link w:val="Heading2"/>
    <w:uiPriority w:val="9"/>
    <w:semiHidden/>
    <w:rsid w:val="00F00E06"/>
    <w:rPr>
      <w:rFonts w:ascii="Times New Roman" w:eastAsiaTheme="majorEastAsia" w:hAnsi="Times New Roman" w:cstheme="majorBidi"/>
      <w:b/>
      <w:bCs/>
      <w:sz w:val="24"/>
      <w:szCs w:val="26"/>
    </w:rPr>
  </w:style>
  <w:style w:type="character" w:styleId="Hyperlink">
    <w:name w:val="Hyperlink"/>
    <w:basedOn w:val="DefaultParagraphFont"/>
    <w:uiPriority w:val="99"/>
    <w:unhideWhenUsed/>
    <w:rsid w:val="00006337"/>
    <w:rPr>
      <w:color w:val="0000FF" w:themeColor="hyperlink"/>
      <w:u w:val="single"/>
    </w:rPr>
  </w:style>
  <w:style w:type="paragraph" w:styleId="TOCHeading">
    <w:name w:val="TOC Heading"/>
    <w:basedOn w:val="Heading1"/>
    <w:next w:val="Normal"/>
    <w:uiPriority w:val="39"/>
    <w:semiHidden/>
    <w:unhideWhenUsed/>
    <w:qFormat/>
    <w:rsid w:val="00B07014"/>
    <w:pPr>
      <w:spacing w:line="276" w:lineRule="auto"/>
      <w:jc w:val="left"/>
      <w:outlineLvl w:val="9"/>
    </w:pPr>
    <w:rPr>
      <w:rFonts w:asciiTheme="majorHAnsi" w:hAnsiTheme="majorHAnsi"/>
      <w:color w:val="365F91" w:themeColor="accent1" w:themeShade="BF"/>
      <w:sz w:val="28"/>
    </w:rPr>
  </w:style>
  <w:style w:type="paragraph" w:styleId="TOC1">
    <w:name w:val="toc 1"/>
    <w:basedOn w:val="Normal"/>
    <w:next w:val="Normal"/>
    <w:autoRedefine/>
    <w:uiPriority w:val="39"/>
    <w:unhideWhenUsed/>
    <w:rsid w:val="00B07014"/>
    <w:pPr>
      <w:spacing w:after="100"/>
    </w:pPr>
  </w:style>
  <w:style w:type="paragraph" w:styleId="NoSpacing">
    <w:name w:val="No Spacing"/>
    <w:link w:val="NoSpacingChar"/>
    <w:uiPriority w:val="1"/>
    <w:qFormat/>
    <w:rsid w:val="00FA7F51"/>
    <w:pPr>
      <w:spacing w:after="0" w:line="240" w:lineRule="auto"/>
    </w:pPr>
    <w:rPr>
      <w:rFonts w:eastAsiaTheme="minorEastAsia"/>
    </w:rPr>
  </w:style>
  <w:style w:type="character" w:customStyle="1" w:styleId="NoSpacingChar">
    <w:name w:val="No Spacing Char"/>
    <w:basedOn w:val="DefaultParagraphFont"/>
    <w:link w:val="NoSpacing"/>
    <w:uiPriority w:val="1"/>
    <w:rsid w:val="00FA7F51"/>
    <w:rPr>
      <w:rFonts w:eastAsiaTheme="minorEastAsia"/>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7505243">
      <w:bodyDiv w:val="1"/>
      <w:marLeft w:val="0"/>
      <w:marRight w:val="0"/>
      <w:marTop w:val="0"/>
      <w:marBottom w:val="0"/>
      <w:divBdr>
        <w:top w:val="none" w:sz="0" w:space="0" w:color="auto"/>
        <w:left w:val="none" w:sz="0" w:space="0" w:color="auto"/>
        <w:bottom w:val="none" w:sz="0" w:space="0" w:color="auto"/>
        <w:right w:val="none" w:sz="0" w:space="0" w:color="auto"/>
      </w:divBdr>
    </w:div>
    <w:div w:id="148208695">
      <w:bodyDiv w:val="1"/>
      <w:marLeft w:val="0"/>
      <w:marRight w:val="0"/>
      <w:marTop w:val="0"/>
      <w:marBottom w:val="0"/>
      <w:divBdr>
        <w:top w:val="none" w:sz="0" w:space="0" w:color="auto"/>
        <w:left w:val="none" w:sz="0" w:space="0" w:color="auto"/>
        <w:bottom w:val="none" w:sz="0" w:space="0" w:color="auto"/>
        <w:right w:val="none" w:sz="0" w:space="0" w:color="auto"/>
      </w:divBdr>
    </w:div>
    <w:div w:id="186215428">
      <w:bodyDiv w:val="1"/>
      <w:marLeft w:val="0"/>
      <w:marRight w:val="0"/>
      <w:marTop w:val="0"/>
      <w:marBottom w:val="0"/>
      <w:divBdr>
        <w:top w:val="none" w:sz="0" w:space="0" w:color="auto"/>
        <w:left w:val="none" w:sz="0" w:space="0" w:color="auto"/>
        <w:bottom w:val="none" w:sz="0" w:space="0" w:color="auto"/>
        <w:right w:val="none" w:sz="0" w:space="0" w:color="auto"/>
      </w:divBdr>
    </w:div>
    <w:div w:id="188686317">
      <w:bodyDiv w:val="1"/>
      <w:marLeft w:val="0"/>
      <w:marRight w:val="0"/>
      <w:marTop w:val="0"/>
      <w:marBottom w:val="0"/>
      <w:divBdr>
        <w:top w:val="none" w:sz="0" w:space="0" w:color="auto"/>
        <w:left w:val="none" w:sz="0" w:space="0" w:color="auto"/>
        <w:bottom w:val="none" w:sz="0" w:space="0" w:color="auto"/>
        <w:right w:val="none" w:sz="0" w:space="0" w:color="auto"/>
      </w:divBdr>
    </w:div>
    <w:div w:id="460152448">
      <w:bodyDiv w:val="1"/>
      <w:marLeft w:val="0"/>
      <w:marRight w:val="0"/>
      <w:marTop w:val="0"/>
      <w:marBottom w:val="0"/>
      <w:divBdr>
        <w:top w:val="none" w:sz="0" w:space="0" w:color="auto"/>
        <w:left w:val="none" w:sz="0" w:space="0" w:color="auto"/>
        <w:bottom w:val="none" w:sz="0" w:space="0" w:color="auto"/>
        <w:right w:val="none" w:sz="0" w:space="0" w:color="auto"/>
      </w:divBdr>
    </w:div>
    <w:div w:id="556355401">
      <w:bodyDiv w:val="1"/>
      <w:marLeft w:val="0"/>
      <w:marRight w:val="0"/>
      <w:marTop w:val="0"/>
      <w:marBottom w:val="0"/>
      <w:divBdr>
        <w:top w:val="none" w:sz="0" w:space="0" w:color="auto"/>
        <w:left w:val="none" w:sz="0" w:space="0" w:color="auto"/>
        <w:bottom w:val="none" w:sz="0" w:space="0" w:color="auto"/>
        <w:right w:val="none" w:sz="0" w:space="0" w:color="auto"/>
      </w:divBdr>
    </w:div>
    <w:div w:id="1328053022">
      <w:bodyDiv w:val="1"/>
      <w:marLeft w:val="0"/>
      <w:marRight w:val="0"/>
      <w:marTop w:val="0"/>
      <w:marBottom w:val="0"/>
      <w:divBdr>
        <w:top w:val="none" w:sz="0" w:space="0" w:color="auto"/>
        <w:left w:val="none" w:sz="0" w:space="0" w:color="auto"/>
        <w:bottom w:val="none" w:sz="0" w:space="0" w:color="auto"/>
        <w:right w:val="none" w:sz="0" w:space="0" w:color="auto"/>
      </w:divBdr>
    </w:div>
    <w:div w:id="1715154680">
      <w:bodyDiv w:val="1"/>
      <w:marLeft w:val="0"/>
      <w:marRight w:val="0"/>
      <w:marTop w:val="0"/>
      <w:marBottom w:val="0"/>
      <w:divBdr>
        <w:top w:val="none" w:sz="0" w:space="0" w:color="auto"/>
        <w:left w:val="none" w:sz="0" w:space="0" w:color="auto"/>
        <w:bottom w:val="none" w:sz="0" w:space="0" w:color="auto"/>
        <w:right w:val="none" w:sz="0" w:space="0" w:color="auto"/>
      </w:divBdr>
    </w:div>
    <w:div w:id="1855681562">
      <w:bodyDiv w:val="1"/>
      <w:marLeft w:val="0"/>
      <w:marRight w:val="0"/>
      <w:marTop w:val="0"/>
      <w:marBottom w:val="0"/>
      <w:divBdr>
        <w:top w:val="none" w:sz="0" w:space="0" w:color="auto"/>
        <w:left w:val="none" w:sz="0" w:space="0" w:color="auto"/>
        <w:bottom w:val="none" w:sz="0" w:space="0" w:color="auto"/>
        <w:right w:val="none" w:sz="0" w:space="0" w:color="auto"/>
      </w:divBdr>
    </w:div>
    <w:div w:id="206649267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chart" Target="charts/chart3.xml"/><Relationship Id="rId13" Type="http://schemas.openxmlformats.org/officeDocument/2006/relationships/chart" Target="charts/chart8.xml"/><Relationship Id="rId18" Type="http://schemas.openxmlformats.org/officeDocument/2006/relationships/hyperlink" Target="https://www.americanexpress.com/en-gb/business/trends-and-insights/articles/gross-profit-margin-formula/" TargetMode="External"/><Relationship Id="rId26" Type="http://schemas.openxmlformats.org/officeDocument/2006/relationships/hyperlink" Target="https://www.wallstreetmojo.com/acid-test-ratio-formula/" TargetMode="External"/><Relationship Id="rId3" Type="http://schemas.openxmlformats.org/officeDocument/2006/relationships/styles" Target="styles.xml"/><Relationship Id="rId21" Type="http://schemas.openxmlformats.org/officeDocument/2006/relationships/hyperlink" Target="https://www.patriotsoftware.com/blog/accounting/debt-to-equity-ratio" TargetMode="External"/><Relationship Id="rId7" Type="http://schemas.openxmlformats.org/officeDocument/2006/relationships/chart" Target="charts/chart2.xml"/><Relationship Id="rId12" Type="http://schemas.openxmlformats.org/officeDocument/2006/relationships/chart" Target="charts/chart7.xml"/><Relationship Id="rId17" Type="http://schemas.openxmlformats.org/officeDocument/2006/relationships/hyperlink" Target="https://www.myaccountingcourse.com/financial-ratios/current-ratio" TargetMode="External"/><Relationship Id="rId25" Type="http://schemas.openxmlformats.org/officeDocument/2006/relationships/hyperlink" Target="https://economictimes.indiatimes.com/definition/asset-turnover-ratio" TargetMode="External"/><Relationship Id="rId2" Type="http://schemas.openxmlformats.org/officeDocument/2006/relationships/numbering" Target="numbering.xml"/><Relationship Id="rId16" Type="http://schemas.openxmlformats.org/officeDocument/2006/relationships/hyperlink" Target="https://www.accountingtools.com/articles/what-are-the-limitations-of-ratio-analysis.html" TargetMode="External"/><Relationship Id="rId20" Type="http://schemas.openxmlformats.org/officeDocument/2006/relationships/hyperlink" Target="https://www.netsuite.com/portal/resource/articles/inventory-management/inventory-turnover-ratio.shtml" TargetMode="External"/><Relationship Id="rId29" Type="http://schemas.openxmlformats.org/officeDocument/2006/relationships/glossaryDocument" Target="glossary/document.xml"/><Relationship Id="rId1" Type="http://schemas.openxmlformats.org/officeDocument/2006/relationships/customXml" Target="../customXml/item1.xml"/><Relationship Id="rId6" Type="http://schemas.openxmlformats.org/officeDocument/2006/relationships/chart" Target="charts/chart1.xml"/><Relationship Id="rId11" Type="http://schemas.openxmlformats.org/officeDocument/2006/relationships/chart" Target="charts/chart6.xml"/><Relationship Id="rId24" Type="http://schemas.openxmlformats.org/officeDocument/2006/relationships/hyperlink" Target="https://tallysolutions.com/accounting/accounts-receivables-turnover-ratio/" TargetMode="External"/><Relationship Id="rId5" Type="http://schemas.openxmlformats.org/officeDocument/2006/relationships/webSettings" Target="webSettings.xml"/><Relationship Id="rId15" Type="http://schemas.openxmlformats.org/officeDocument/2006/relationships/chart" Target="charts/chart10.xml"/><Relationship Id="rId23" Type="http://schemas.openxmlformats.org/officeDocument/2006/relationships/hyperlink" Target="https://www.thestreet.com/personal-finance/education/return-on-capital-14926372" TargetMode="External"/><Relationship Id="rId28" Type="http://schemas.openxmlformats.org/officeDocument/2006/relationships/fontTable" Target="fontTable.xml"/><Relationship Id="rId10" Type="http://schemas.openxmlformats.org/officeDocument/2006/relationships/chart" Target="charts/chart5.xml"/><Relationship Id="rId19" Type="http://schemas.openxmlformats.org/officeDocument/2006/relationships/hyperlink" Target="https://corporatefinanceinstitute.com/resources/knowledge/finance/net-profit-margin-formula/" TargetMode="External"/><Relationship Id="rId4" Type="http://schemas.openxmlformats.org/officeDocument/2006/relationships/settings" Target="settings.xml"/><Relationship Id="rId9" Type="http://schemas.openxmlformats.org/officeDocument/2006/relationships/chart" Target="charts/chart4.xml"/><Relationship Id="rId14" Type="http://schemas.openxmlformats.org/officeDocument/2006/relationships/chart" Target="charts/chart9.xml"/><Relationship Id="rId22" Type="http://schemas.openxmlformats.org/officeDocument/2006/relationships/hyperlink" Target="http://blog.coface.com.au/credit-risk-management/what-is-creditors-turnover-and-why-does-it-matter/" TargetMode="External"/><Relationship Id="rId27" Type="http://schemas.openxmlformats.org/officeDocument/2006/relationships/hyperlink" Target="https://dergipark.org.tr/en/download/article-file/816083" TargetMode="External"/><Relationship Id="rId30" Type="http://schemas.openxmlformats.org/officeDocument/2006/relationships/theme" Target="theme/theme1.xml"/></Relationships>
</file>

<file path=word/charts/_rels/chart1.xml.rels><?xml version="1.0" encoding="UTF-8" standalone="yes"?>
<Relationships xmlns="http://schemas.openxmlformats.org/package/2006/relationships"><Relationship Id="rId1" Type="http://schemas.openxmlformats.org/officeDocument/2006/relationships/oleObject" Target="file:///C:\Users\user\Desktop\calculation%20ratio.xlsx" TargetMode="External"/></Relationships>
</file>

<file path=word/charts/_rels/chart2.xml.rels><?xml version="1.0" encoding="UTF-8" standalone="yes"?>
<Relationships xmlns="http://schemas.openxmlformats.org/package/2006/relationships"><Relationship Id="rId1" Type="http://schemas.openxmlformats.org/officeDocument/2006/relationships/oleObject" Target="file:///C:\Users\user\Desktop\calculation%20ratio.xlsx" TargetMode="External"/></Relationships>
</file>

<file path=word/charts/_rels/chart3.xml.rels><?xml version="1.0" encoding="UTF-8" standalone="yes"?>
<Relationships xmlns="http://schemas.openxmlformats.org/package/2006/relationships"><Relationship Id="rId1" Type="http://schemas.openxmlformats.org/officeDocument/2006/relationships/oleObject" Target="file:///C:\Users\user\Desktop\calculation%20ratio.xlsx" TargetMode="External"/></Relationships>
</file>

<file path=word/charts/_rels/chart4.xml.rels><?xml version="1.0" encoding="UTF-8" standalone="yes"?>
<Relationships xmlns="http://schemas.openxmlformats.org/package/2006/relationships"><Relationship Id="rId1" Type="http://schemas.openxmlformats.org/officeDocument/2006/relationships/oleObject" Target="file:///C:\Users\user\Desktop\calculation%20ratio.xlsx" TargetMode="External"/></Relationships>
</file>

<file path=word/charts/_rels/chart5.xml.rels><?xml version="1.0" encoding="UTF-8" standalone="yes"?>
<Relationships xmlns="http://schemas.openxmlformats.org/package/2006/relationships"><Relationship Id="rId1" Type="http://schemas.openxmlformats.org/officeDocument/2006/relationships/oleObject" Target="file:///C:\Users\user\Desktop\calculation%20ratio.xlsx" TargetMode="External"/></Relationships>
</file>

<file path=word/charts/_rels/chart6.xml.rels><?xml version="1.0" encoding="UTF-8" standalone="yes"?>
<Relationships xmlns="http://schemas.openxmlformats.org/package/2006/relationships"><Relationship Id="rId1" Type="http://schemas.openxmlformats.org/officeDocument/2006/relationships/oleObject" Target="file:///C:\Users\user\Desktop\calculation%20ratio.xlsx" TargetMode="External"/></Relationships>
</file>

<file path=word/charts/_rels/chart7.xml.rels><?xml version="1.0" encoding="UTF-8" standalone="yes"?>
<Relationships xmlns="http://schemas.openxmlformats.org/package/2006/relationships"><Relationship Id="rId1" Type="http://schemas.openxmlformats.org/officeDocument/2006/relationships/oleObject" Target="file:///C:\Users\user\Desktop\calculation%20ratio.xlsx" TargetMode="External"/></Relationships>
</file>

<file path=word/charts/_rels/chart8.xml.rels><?xml version="1.0" encoding="UTF-8" standalone="yes"?>
<Relationships xmlns="http://schemas.openxmlformats.org/package/2006/relationships"><Relationship Id="rId1" Type="http://schemas.openxmlformats.org/officeDocument/2006/relationships/oleObject" Target="file:///C:\Users\user\Desktop\calculation%20ratio.xlsx" TargetMode="External"/></Relationships>
</file>

<file path=word/charts/_rels/chart9.xml.rels><?xml version="1.0" encoding="UTF-8" standalone="yes"?>
<Relationships xmlns="http://schemas.openxmlformats.org/package/2006/relationships"><Relationship Id="rId1" Type="http://schemas.openxmlformats.org/officeDocument/2006/relationships/oleObject" Target="file:///C:\Users\user\Desktop\calculation%20ratio.xlsx" TargetMode="External"/></Relationships>
</file>

<file path=word/charts/_rels/chart10.xml.rels><?xml version="1.0" encoding="UTF-8" standalone="yes"?>
<Relationships xmlns="http://schemas.openxmlformats.org/package/2006/relationships"><Relationship Id="rId1" Type="http://schemas.openxmlformats.org/officeDocument/2006/relationships/oleObject" Target="file:///C:\Users\user\Desktop\calculation%20ratio.xlsx" TargetMode="Externa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title>
    <c:autoTitleDeleted val="0"/>
    <c:view3D>
      <c:rotX val="15"/>
      <c:rotY val="20"/>
      <c:rAngAx val="0"/>
    </c:view3D>
    <c:floor>
      <c:thickness val="0"/>
    </c:floor>
    <c:sideWall>
      <c:thickness val="0"/>
    </c:sideWall>
    <c:backWall>
      <c:thickness val="0"/>
    </c:backWall>
    <c:plotArea>
      <c:layout/>
      <c:line3DChart>
        <c:grouping val="standard"/>
        <c:varyColors val="0"/>
        <c:ser>
          <c:idx val="0"/>
          <c:order val="0"/>
          <c:tx>
            <c:strRef>
              <c:f>Sheet1!$K$4:$L$4</c:f>
              <c:strCache>
                <c:ptCount val="1"/>
                <c:pt idx="0">
                  <c:v>Gross Profit Margin </c:v>
                </c:pt>
              </c:strCache>
            </c:strRef>
          </c:tx>
          <c:cat>
            <c:numRef>
              <c:f>Sheet1!$M$3:$N$3</c:f>
              <c:numCache>
                <c:formatCode>General</c:formatCode>
                <c:ptCount val="2"/>
                <c:pt idx="0">
                  <c:v>2019</c:v>
                </c:pt>
                <c:pt idx="1">
                  <c:v>2020</c:v>
                </c:pt>
              </c:numCache>
            </c:numRef>
          </c:cat>
          <c:val>
            <c:numRef>
              <c:f>Sheet1!$M$4:$N$4</c:f>
              <c:numCache>
                <c:formatCode>0.00</c:formatCode>
                <c:ptCount val="2"/>
                <c:pt idx="0">
                  <c:v>0.91818181818181854</c:v>
                </c:pt>
                <c:pt idx="1">
                  <c:v>0.85833333333333361</c:v>
                </c:pt>
              </c:numCache>
            </c:numRef>
          </c:val>
          <c:smooth val="0"/>
          <c:extLst>
            <c:ext xmlns:c16="http://schemas.microsoft.com/office/drawing/2014/chart" uri="{C3380CC4-5D6E-409C-BE32-E72D297353CC}">
              <c16:uniqueId val="{00000000-CE94-4C8D-A4E0-0365B3B3532D}"/>
            </c:ext>
          </c:extLst>
        </c:ser>
        <c:dLbls>
          <c:showLegendKey val="0"/>
          <c:showVal val="0"/>
          <c:showCatName val="0"/>
          <c:showSerName val="0"/>
          <c:showPercent val="0"/>
          <c:showBubbleSize val="0"/>
        </c:dLbls>
        <c:axId val="41196160"/>
        <c:axId val="41521536"/>
        <c:axId val="41200704"/>
      </c:line3DChart>
      <c:catAx>
        <c:axId val="41196160"/>
        <c:scaling>
          <c:orientation val="minMax"/>
        </c:scaling>
        <c:delete val="0"/>
        <c:axPos val="b"/>
        <c:numFmt formatCode="General" sourceLinked="1"/>
        <c:majorTickMark val="out"/>
        <c:minorTickMark val="none"/>
        <c:tickLblPos val="nextTo"/>
        <c:crossAx val="41521536"/>
        <c:crosses val="autoZero"/>
        <c:auto val="1"/>
        <c:lblAlgn val="ctr"/>
        <c:lblOffset val="100"/>
        <c:noMultiLvlLbl val="0"/>
      </c:catAx>
      <c:valAx>
        <c:axId val="41521536"/>
        <c:scaling>
          <c:orientation val="minMax"/>
        </c:scaling>
        <c:delete val="0"/>
        <c:axPos val="l"/>
        <c:majorGridlines/>
        <c:numFmt formatCode="0.00" sourceLinked="1"/>
        <c:majorTickMark val="out"/>
        <c:minorTickMark val="none"/>
        <c:tickLblPos val="nextTo"/>
        <c:crossAx val="41196160"/>
        <c:crosses val="autoZero"/>
        <c:crossBetween val="between"/>
      </c:valAx>
      <c:serAx>
        <c:axId val="41200704"/>
        <c:scaling>
          <c:orientation val="minMax"/>
        </c:scaling>
        <c:delete val="0"/>
        <c:axPos val="b"/>
        <c:majorTickMark val="out"/>
        <c:minorTickMark val="none"/>
        <c:tickLblPos val="nextTo"/>
        <c:crossAx val="41521536"/>
        <c:crosses val="autoZero"/>
      </c:serAx>
    </c:plotArea>
    <c:legend>
      <c:legendPos val="r"/>
      <c:overlay val="0"/>
    </c:legend>
    <c:plotVisOnly val="1"/>
    <c:dispBlanksAs val="gap"/>
    <c:showDLblsOverMax val="0"/>
  </c:chart>
  <c:externalData r:id="rId1">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title>
    <c:autoTitleDeleted val="0"/>
    <c:plotArea>
      <c:layout/>
      <c:lineChart>
        <c:grouping val="stacked"/>
        <c:varyColors val="0"/>
        <c:ser>
          <c:idx val="0"/>
          <c:order val="0"/>
          <c:tx>
            <c:strRef>
              <c:f>Sheet1!$K$7:$L$7</c:f>
              <c:strCache>
                <c:ptCount val="1"/>
                <c:pt idx="0">
                  <c:v>Net Profit Margin</c:v>
                </c:pt>
              </c:strCache>
            </c:strRef>
          </c:tx>
          <c:cat>
            <c:numRef>
              <c:f>Sheet1!$M$6:$N$6</c:f>
              <c:numCache>
                <c:formatCode>General</c:formatCode>
                <c:ptCount val="2"/>
                <c:pt idx="0">
                  <c:v>2019</c:v>
                </c:pt>
                <c:pt idx="1">
                  <c:v>2020</c:v>
                </c:pt>
              </c:numCache>
            </c:numRef>
          </c:cat>
          <c:val>
            <c:numRef>
              <c:f>Sheet1!$M$7:$N$7</c:f>
              <c:numCache>
                <c:formatCode>0.00</c:formatCode>
                <c:ptCount val="2"/>
                <c:pt idx="0">
                  <c:v>0.72872727272727311</c:v>
                </c:pt>
                <c:pt idx="1">
                  <c:v>0.67883333333333384</c:v>
                </c:pt>
              </c:numCache>
            </c:numRef>
          </c:val>
          <c:smooth val="0"/>
          <c:extLst>
            <c:ext xmlns:c16="http://schemas.microsoft.com/office/drawing/2014/chart" uri="{C3380CC4-5D6E-409C-BE32-E72D297353CC}">
              <c16:uniqueId val="{00000000-79E8-4B74-9066-8A2146DBE582}"/>
            </c:ext>
          </c:extLst>
        </c:ser>
        <c:dLbls>
          <c:showLegendKey val="0"/>
          <c:showVal val="0"/>
          <c:showCatName val="0"/>
          <c:showSerName val="0"/>
          <c:showPercent val="0"/>
          <c:showBubbleSize val="0"/>
        </c:dLbls>
        <c:marker val="1"/>
        <c:smooth val="0"/>
        <c:axId val="43061248"/>
        <c:axId val="46736512"/>
      </c:lineChart>
      <c:catAx>
        <c:axId val="43061248"/>
        <c:scaling>
          <c:orientation val="minMax"/>
        </c:scaling>
        <c:delete val="0"/>
        <c:axPos val="b"/>
        <c:numFmt formatCode="General" sourceLinked="1"/>
        <c:majorTickMark val="out"/>
        <c:minorTickMark val="none"/>
        <c:tickLblPos val="nextTo"/>
        <c:crossAx val="46736512"/>
        <c:crosses val="autoZero"/>
        <c:auto val="1"/>
        <c:lblAlgn val="ctr"/>
        <c:lblOffset val="100"/>
        <c:noMultiLvlLbl val="0"/>
      </c:catAx>
      <c:valAx>
        <c:axId val="46736512"/>
        <c:scaling>
          <c:orientation val="minMax"/>
        </c:scaling>
        <c:delete val="0"/>
        <c:axPos val="l"/>
        <c:majorGridlines/>
        <c:numFmt formatCode="0.00" sourceLinked="1"/>
        <c:majorTickMark val="out"/>
        <c:minorTickMark val="none"/>
        <c:tickLblPos val="nextTo"/>
        <c:crossAx val="43061248"/>
        <c:crosses val="autoZero"/>
        <c:crossBetween val="between"/>
      </c:valAx>
    </c:plotArea>
    <c:legend>
      <c:legendPos val="r"/>
      <c:overlay val="0"/>
    </c:legend>
    <c:plotVisOnly val="1"/>
    <c:dispBlanksAs val="zero"/>
    <c:showDLblsOverMax val="0"/>
  </c:chart>
  <c:externalData r:id="rId1">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title>
    <c:autoTitleDeleted val="0"/>
    <c:plotArea>
      <c:layout/>
      <c:lineChart>
        <c:grouping val="standard"/>
        <c:varyColors val="0"/>
        <c:ser>
          <c:idx val="0"/>
          <c:order val="0"/>
          <c:tx>
            <c:strRef>
              <c:f>Sheet1!$K$10:$L$10</c:f>
              <c:strCache>
                <c:ptCount val="1"/>
                <c:pt idx="0">
                  <c:v>Inventory Ternover Ratio</c:v>
                </c:pt>
              </c:strCache>
            </c:strRef>
          </c:tx>
          <c:marker>
            <c:symbol val="none"/>
          </c:marker>
          <c:cat>
            <c:numRef>
              <c:f>Sheet1!$M$9:$N$9</c:f>
              <c:numCache>
                <c:formatCode>General</c:formatCode>
                <c:ptCount val="2"/>
                <c:pt idx="0">
                  <c:v>2019</c:v>
                </c:pt>
                <c:pt idx="1">
                  <c:v>2020</c:v>
                </c:pt>
              </c:numCache>
            </c:numRef>
          </c:cat>
          <c:val>
            <c:numRef>
              <c:f>Sheet1!$M$10:$N$10</c:f>
              <c:numCache>
                <c:formatCode>0.00</c:formatCode>
                <c:ptCount val="2"/>
                <c:pt idx="0">
                  <c:v>0.26363636363636361</c:v>
                </c:pt>
                <c:pt idx="1">
                  <c:v>0.23666666666666666</c:v>
                </c:pt>
              </c:numCache>
            </c:numRef>
          </c:val>
          <c:smooth val="0"/>
          <c:extLst>
            <c:ext xmlns:c16="http://schemas.microsoft.com/office/drawing/2014/chart" uri="{C3380CC4-5D6E-409C-BE32-E72D297353CC}">
              <c16:uniqueId val="{00000000-6A23-4FD8-B8C9-D427DD6FF0ED}"/>
            </c:ext>
          </c:extLst>
        </c:ser>
        <c:dLbls>
          <c:showLegendKey val="0"/>
          <c:showVal val="0"/>
          <c:showCatName val="0"/>
          <c:showSerName val="0"/>
          <c:showPercent val="0"/>
          <c:showBubbleSize val="0"/>
        </c:dLbls>
        <c:smooth val="0"/>
        <c:axId val="75456896"/>
        <c:axId val="75458432"/>
      </c:lineChart>
      <c:catAx>
        <c:axId val="75456896"/>
        <c:scaling>
          <c:orientation val="minMax"/>
        </c:scaling>
        <c:delete val="0"/>
        <c:axPos val="b"/>
        <c:numFmt formatCode="General" sourceLinked="1"/>
        <c:majorTickMark val="out"/>
        <c:minorTickMark val="none"/>
        <c:tickLblPos val="nextTo"/>
        <c:crossAx val="75458432"/>
        <c:crosses val="autoZero"/>
        <c:auto val="1"/>
        <c:lblAlgn val="ctr"/>
        <c:lblOffset val="100"/>
        <c:noMultiLvlLbl val="0"/>
      </c:catAx>
      <c:valAx>
        <c:axId val="75458432"/>
        <c:scaling>
          <c:orientation val="minMax"/>
        </c:scaling>
        <c:delete val="0"/>
        <c:axPos val="l"/>
        <c:majorGridlines/>
        <c:numFmt formatCode="0.00" sourceLinked="1"/>
        <c:majorTickMark val="out"/>
        <c:minorTickMark val="none"/>
        <c:tickLblPos val="nextTo"/>
        <c:crossAx val="75456896"/>
        <c:crosses val="autoZero"/>
        <c:crossBetween val="between"/>
      </c:valAx>
    </c:plotArea>
    <c:legend>
      <c:legendPos val="r"/>
      <c:overlay val="0"/>
    </c:legend>
    <c:plotVisOnly val="1"/>
    <c:dispBlanksAs val="gap"/>
    <c:showDLblsOverMax val="0"/>
  </c:chart>
  <c:externalData r:id="rId1">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title>
    <c:autoTitleDeleted val="0"/>
    <c:plotArea>
      <c:layout/>
      <c:lineChart>
        <c:grouping val="standard"/>
        <c:varyColors val="0"/>
        <c:ser>
          <c:idx val="0"/>
          <c:order val="0"/>
          <c:tx>
            <c:strRef>
              <c:f>Sheet1!$K$13:$L$13</c:f>
              <c:strCache>
                <c:ptCount val="1"/>
                <c:pt idx="0">
                  <c:v>Current Ratio</c:v>
                </c:pt>
              </c:strCache>
            </c:strRef>
          </c:tx>
          <c:cat>
            <c:numRef>
              <c:f>Sheet1!$M$12:$N$12</c:f>
              <c:numCache>
                <c:formatCode>General</c:formatCode>
                <c:ptCount val="2"/>
                <c:pt idx="0">
                  <c:v>2019</c:v>
                </c:pt>
                <c:pt idx="1">
                  <c:v>2020</c:v>
                </c:pt>
              </c:numCache>
            </c:numRef>
          </c:cat>
          <c:val>
            <c:numRef>
              <c:f>Sheet1!$M$13:$N$13</c:f>
              <c:numCache>
                <c:formatCode>0.00</c:formatCode>
                <c:ptCount val="2"/>
                <c:pt idx="0" formatCode="General">
                  <c:v>2.29</c:v>
                </c:pt>
                <c:pt idx="1">
                  <c:v>2</c:v>
                </c:pt>
              </c:numCache>
            </c:numRef>
          </c:val>
          <c:smooth val="0"/>
          <c:extLst>
            <c:ext xmlns:c16="http://schemas.microsoft.com/office/drawing/2014/chart" uri="{C3380CC4-5D6E-409C-BE32-E72D297353CC}">
              <c16:uniqueId val="{00000000-EC2F-434E-BCF1-EBA7C0E53988}"/>
            </c:ext>
          </c:extLst>
        </c:ser>
        <c:dLbls>
          <c:showLegendKey val="0"/>
          <c:showVal val="0"/>
          <c:showCatName val="0"/>
          <c:showSerName val="0"/>
          <c:showPercent val="0"/>
          <c:showBubbleSize val="0"/>
        </c:dLbls>
        <c:marker val="1"/>
        <c:smooth val="0"/>
        <c:axId val="80902784"/>
        <c:axId val="80905344"/>
      </c:lineChart>
      <c:catAx>
        <c:axId val="80902784"/>
        <c:scaling>
          <c:orientation val="minMax"/>
        </c:scaling>
        <c:delete val="0"/>
        <c:axPos val="b"/>
        <c:numFmt formatCode="General" sourceLinked="1"/>
        <c:majorTickMark val="out"/>
        <c:minorTickMark val="none"/>
        <c:tickLblPos val="nextTo"/>
        <c:crossAx val="80905344"/>
        <c:crosses val="autoZero"/>
        <c:auto val="1"/>
        <c:lblAlgn val="ctr"/>
        <c:lblOffset val="100"/>
        <c:noMultiLvlLbl val="0"/>
      </c:catAx>
      <c:valAx>
        <c:axId val="80905344"/>
        <c:scaling>
          <c:orientation val="minMax"/>
        </c:scaling>
        <c:delete val="0"/>
        <c:axPos val="l"/>
        <c:majorGridlines/>
        <c:numFmt formatCode="General" sourceLinked="1"/>
        <c:majorTickMark val="out"/>
        <c:minorTickMark val="none"/>
        <c:tickLblPos val="nextTo"/>
        <c:crossAx val="80902784"/>
        <c:crosses val="autoZero"/>
        <c:crossBetween val="between"/>
      </c:valAx>
    </c:plotArea>
    <c:legend>
      <c:legendPos val="r"/>
      <c:overlay val="0"/>
    </c:legend>
    <c:plotVisOnly val="1"/>
    <c:dispBlanksAs val="gap"/>
    <c:showDLblsOverMax val="0"/>
  </c:chart>
  <c:externalData r:id="rId1">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title>
    <c:autoTitleDeleted val="0"/>
    <c:plotArea>
      <c:layout/>
      <c:lineChart>
        <c:grouping val="standard"/>
        <c:varyColors val="0"/>
        <c:ser>
          <c:idx val="0"/>
          <c:order val="0"/>
          <c:tx>
            <c:strRef>
              <c:f>Sheet1!$K$16:$L$16</c:f>
              <c:strCache>
                <c:ptCount val="1"/>
                <c:pt idx="0">
                  <c:v>Acid Test Ratio</c:v>
                </c:pt>
              </c:strCache>
            </c:strRef>
          </c:tx>
          <c:marker>
            <c:symbol val="none"/>
          </c:marker>
          <c:cat>
            <c:numRef>
              <c:f>Sheet1!$M$15:$N$15</c:f>
              <c:numCache>
                <c:formatCode>General</c:formatCode>
                <c:ptCount val="2"/>
                <c:pt idx="0">
                  <c:v>2019</c:v>
                </c:pt>
                <c:pt idx="1">
                  <c:v>2020</c:v>
                </c:pt>
              </c:numCache>
            </c:numRef>
          </c:cat>
          <c:val>
            <c:numRef>
              <c:f>Sheet1!$M$16:$N$16</c:f>
              <c:numCache>
                <c:formatCode>0.00</c:formatCode>
                <c:ptCount val="2"/>
                <c:pt idx="0">
                  <c:v>1.2061239731142639</c:v>
                </c:pt>
                <c:pt idx="1">
                  <c:v>1.1262376237623761</c:v>
                </c:pt>
              </c:numCache>
            </c:numRef>
          </c:val>
          <c:smooth val="0"/>
          <c:extLst>
            <c:ext xmlns:c16="http://schemas.microsoft.com/office/drawing/2014/chart" uri="{C3380CC4-5D6E-409C-BE32-E72D297353CC}">
              <c16:uniqueId val="{00000000-08E6-4822-8F9F-DD48D69C50E8}"/>
            </c:ext>
          </c:extLst>
        </c:ser>
        <c:dLbls>
          <c:showLegendKey val="0"/>
          <c:showVal val="0"/>
          <c:showCatName val="0"/>
          <c:showSerName val="0"/>
          <c:showPercent val="0"/>
          <c:showBubbleSize val="0"/>
        </c:dLbls>
        <c:smooth val="0"/>
        <c:axId val="90451968"/>
        <c:axId val="90455424"/>
      </c:lineChart>
      <c:catAx>
        <c:axId val="90451968"/>
        <c:scaling>
          <c:orientation val="minMax"/>
        </c:scaling>
        <c:delete val="0"/>
        <c:axPos val="b"/>
        <c:numFmt formatCode="General" sourceLinked="1"/>
        <c:majorTickMark val="out"/>
        <c:minorTickMark val="none"/>
        <c:tickLblPos val="nextTo"/>
        <c:crossAx val="90455424"/>
        <c:crosses val="autoZero"/>
        <c:auto val="1"/>
        <c:lblAlgn val="ctr"/>
        <c:lblOffset val="100"/>
        <c:noMultiLvlLbl val="0"/>
      </c:catAx>
      <c:valAx>
        <c:axId val="90455424"/>
        <c:scaling>
          <c:orientation val="minMax"/>
        </c:scaling>
        <c:delete val="0"/>
        <c:axPos val="l"/>
        <c:majorGridlines/>
        <c:numFmt formatCode="0.00" sourceLinked="1"/>
        <c:majorTickMark val="out"/>
        <c:minorTickMark val="none"/>
        <c:tickLblPos val="nextTo"/>
        <c:crossAx val="90451968"/>
        <c:crosses val="autoZero"/>
        <c:crossBetween val="between"/>
      </c:valAx>
    </c:plotArea>
    <c:legend>
      <c:legendPos val="r"/>
      <c:overlay val="0"/>
    </c:legend>
    <c:plotVisOnly val="1"/>
    <c:dispBlanksAs val="gap"/>
    <c:showDLblsOverMax val="0"/>
  </c:chart>
  <c:externalData r:id="rId1">
    <c:autoUpdate val="0"/>
  </c:externalData>
</c:chartSpace>
</file>

<file path=word/charts/chart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title>
    <c:autoTitleDeleted val="0"/>
    <c:plotArea>
      <c:layout/>
      <c:lineChart>
        <c:grouping val="standard"/>
        <c:varyColors val="0"/>
        <c:ser>
          <c:idx val="0"/>
          <c:order val="0"/>
          <c:tx>
            <c:strRef>
              <c:f>Sheet1!$K$20:$L$20</c:f>
              <c:strCache>
                <c:ptCount val="1"/>
                <c:pt idx="0">
                  <c:v>Debtors Turnover ratio</c:v>
                </c:pt>
              </c:strCache>
            </c:strRef>
          </c:tx>
          <c:marker>
            <c:symbol val="none"/>
          </c:marker>
          <c:cat>
            <c:numRef>
              <c:f>Sheet1!$M$19:$N$19</c:f>
              <c:numCache>
                <c:formatCode>General</c:formatCode>
                <c:ptCount val="2"/>
                <c:pt idx="0">
                  <c:v>2019</c:v>
                </c:pt>
                <c:pt idx="1">
                  <c:v>2020</c:v>
                </c:pt>
              </c:numCache>
            </c:numRef>
          </c:cat>
          <c:val>
            <c:numRef>
              <c:f>Sheet1!$M$20:$N$20</c:f>
              <c:numCache>
                <c:formatCode>General</c:formatCode>
                <c:ptCount val="2"/>
                <c:pt idx="0" formatCode="0.00">
                  <c:v>0.29090909090909106</c:v>
                </c:pt>
                <c:pt idx="1">
                  <c:v>0.30000000000000016</c:v>
                </c:pt>
              </c:numCache>
            </c:numRef>
          </c:val>
          <c:smooth val="0"/>
          <c:extLst>
            <c:ext xmlns:c16="http://schemas.microsoft.com/office/drawing/2014/chart" uri="{C3380CC4-5D6E-409C-BE32-E72D297353CC}">
              <c16:uniqueId val="{00000000-CD38-413D-830D-99BC1DA2A24A}"/>
            </c:ext>
          </c:extLst>
        </c:ser>
        <c:dLbls>
          <c:showLegendKey val="0"/>
          <c:showVal val="0"/>
          <c:showCatName val="0"/>
          <c:showSerName val="0"/>
          <c:showPercent val="0"/>
          <c:showBubbleSize val="0"/>
        </c:dLbls>
        <c:smooth val="0"/>
        <c:axId val="101628160"/>
        <c:axId val="101681792"/>
      </c:lineChart>
      <c:catAx>
        <c:axId val="101628160"/>
        <c:scaling>
          <c:orientation val="minMax"/>
        </c:scaling>
        <c:delete val="0"/>
        <c:axPos val="b"/>
        <c:numFmt formatCode="General" sourceLinked="1"/>
        <c:majorTickMark val="out"/>
        <c:minorTickMark val="none"/>
        <c:tickLblPos val="nextTo"/>
        <c:crossAx val="101681792"/>
        <c:crosses val="autoZero"/>
        <c:auto val="1"/>
        <c:lblAlgn val="ctr"/>
        <c:lblOffset val="100"/>
        <c:noMultiLvlLbl val="0"/>
      </c:catAx>
      <c:valAx>
        <c:axId val="101681792"/>
        <c:scaling>
          <c:orientation val="minMax"/>
        </c:scaling>
        <c:delete val="0"/>
        <c:axPos val="l"/>
        <c:majorGridlines/>
        <c:numFmt formatCode="0.00" sourceLinked="1"/>
        <c:majorTickMark val="out"/>
        <c:minorTickMark val="none"/>
        <c:tickLblPos val="nextTo"/>
        <c:crossAx val="101628160"/>
        <c:crosses val="autoZero"/>
        <c:crossBetween val="between"/>
      </c:valAx>
    </c:plotArea>
    <c:legend>
      <c:legendPos val="r"/>
      <c:overlay val="0"/>
    </c:legend>
    <c:plotVisOnly val="1"/>
    <c:dispBlanksAs val="gap"/>
    <c:showDLblsOverMax val="0"/>
  </c:chart>
  <c:externalData r:id="rId1">
    <c:autoUpdate val="0"/>
  </c:externalData>
</c:chartSpace>
</file>

<file path=word/charts/chart7.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title>
    <c:autoTitleDeleted val="0"/>
    <c:plotArea>
      <c:layout/>
      <c:lineChart>
        <c:grouping val="standard"/>
        <c:varyColors val="0"/>
        <c:ser>
          <c:idx val="0"/>
          <c:order val="0"/>
          <c:tx>
            <c:strRef>
              <c:f>Sheet1!$K$23:$L$23</c:f>
              <c:strCache>
                <c:ptCount val="1"/>
                <c:pt idx="0">
                  <c:v>Creditors Turnover ratio</c:v>
                </c:pt>
              </c:strCache>
            </c:strRef>
          </c:tx>
          <c:marker>
            <c:symbol val="none"/>
          </c:marker>
          <c:cat>
            <c:numRef>
              <c:f>Sheet1!$M$22:$N$22</c:f>
              <c:numCache>
                <c:formatCode>General</c:formatCode>
                <c:ptCount val="2"/>
                <c:pt idx="0">
                  <c:v>2019</c:v>
                </c:pt>
                <c:pt idx="1">
                  <c:v>2020</c:v>
                </c:pt>
              </c:numCache>
            </c:numRef>
          </c:cat>
          <c:val>
            <c:numRef>
              <c:f>Sheet1!$M$23:$N$23</c:f>
              <c:numCache>
                <c:formatCode>0.00</c:formatCode>
                <c:ptCount val="2"/>
                <c:pt idx="0">
                  <c:v>0.14545454545454545</c:v>
                </c:pt>
                <c:pt idx="1">
                  <c:v>0.14500000000000007</c:v>
                </c:pt>
              </c:numCache>
            </c:numRef>
          </c:val>
          <c:smooth val="0"/>
          <c:extLst>
            <c:ext xmlns:c16="http://schemas.microsoft.com/office/drawing/2014/chart" uri="{C3380CC4-5D6E-409C-BE32-E72D297353CC}">
              <c16:uniqueId val="{00000000-93B2-49F7-87BC-1042C13E5434}"/>
            </c:ext>
          </c:extLst>
        </c:ser>
        <c:dLbls>
          <c:showLegendKey val="0"/>
          <c:showVal val="0"/>
          <c:showCatName val="0"/>
          <c:showSerName val="0"/>
          <c:showPercent val="0"/>
          <c:showBubbleSize val="0"/>
        </c:dLbls>
        <c:smooth val="0"/>
        <c:axId val="106164992"/>
        <c:axId val="106166528"/>
      </c:lineChart>
      <c:catAx>
        <c:axId val="106164992"/>
        <c:scaling>
          <c:orientation val="minMax"/>
        </c:scaling>
        <c:delete val="0"/>
        <c:axPos val="b"/>
        <c:numFmt formatCode="General" sourceLinked="1"/>
        <c:majorTickMark val="out"/>
        <c:minorTickMark val="none"/>
        <c:tickLblPos val="nextTo"/>
        <c:crossAx val="106166528"/>
        <c:crosses val="autoZero"/>
        <c:auto val="1"/>
        <c:lblAlgn val="ctr"/>
        <c:lblOffset val="100"/>
        <c:noMultiLvlLbl val="0"/>
      </c:catAx>
      <c:valAx>
        <c:axId val="106166528"/>
        <c:scaling>
          <c:orientation val="minMax"/>
        </c:scaling>
        <c:delete val="0"/>
        <c:axPos val="l"/>
        <c:majorGridlines/>
        <c:numFmt formatCode="0.00" sourceLinked="1"/>
        <c:majorTickMark val="out"/>
        <c:minorTickMark val="none"/>
        <c:tickLblPos val="nextTo"/>
        <c:crossAx val="106164992"/>
        <c:crosses val="autoZero"/>
        <c:crossBetween val="between"/>
      </c:valAx>
    </c:plotArea>
    <c:legend>
      <c:legendPos val="r"/>
      <c:overlay val="0"/>
    </c:legend>
    <c:plotVisOnly val="1"/>
    <c:dispBlanksAs val="gap"/>
    <c:showDLblsOverMax val="0"/>
  </c:chart>
  <c:externalData r:id="rId1">
    <c:autoUpdate val="0"/>
  </c:externalData>
</c:chartSpace>
</file>

<file path=word/charts/chart8.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title>
    <c:autoTitleDeleted val="0"/>
    <c:plotArea>
      <c:layout/>
      <c:lineChart>
        <c:grouping val="standard"/>
        <c:varyColors val="0"/>
        <c:ser>
          <c:idx val="0"/>
          <c:order val="0"/>
          <c:tx>
            <c:strRef>
              <c:f>Sheet1!$P$3:$Q$3</c:f>
              <c:strCache>
                <c:ptCount val="1"/>
                <c:pt idx="0">
                  <c:v>Asset Turnover Ratio</c:v>
                </c:pt>
              </c:strCache>
            </c:strRef>
          </c:tx>
          <c:marker>
            <c:symbol val="none"/>
          </c:marker>
          <c:cat>
            <c:numRef>
              <c:f>Sheet1!$R$2:$S$2</c:f>
              <c:numCache>
                <c:formatCode>General</c:formatCode>
                <c:ptCount val="2"/>
                <c:pt idx="0">
                  <c:v>2019</c:v>
                </c:pt>
                <c:pt idx="1">
                  <c:v>2020</c:v>
                </c:pt>
              </c:numCache>
            </c:numRef>
          </c:cat>
          <c:val>
            <c:numRef>
              <c:f>Sheet1!$R$3:$S$3</c:f>
              <c:numCache>
                <c:formatCode>0.00</c:formatCode>
                <c:ptCount val="2"/>
                <c:pt idx="0">
                  <c:v>1.3754545454545455</c:v>
                </c:pt>
                <c:pt idx="1">
                  <c:v>1.3149999999999993</c:v>
                </c:pt>
              </c:numCache>
            </c:numRef>
          </c:val>
          <c:smooth val="0"/>
          <c:extLst>
            <c:ext xmlns:c16="http://schemas.microsoft.com/office/drawing/2014/chart" uri="{C3380CC4-5D6E-409C-BE32-E72D297353CC}">
              <c16:uniqueId val="{00000000-7514-4E9C-B794-93CD82233FB0}"/>
            </c:ext>
          </c:extLst>
        </c:ser>
        <c:dLbls>
          <c:showLegendKey val="0"/>
          <c:showVal val="0"/>
          <c:showCatName val="0"/>
          <c:showSerName val="0"/>
          <c:showPercent val="0"/>
          <c:showBubbleSize val="0"/>
        </c:dLbls>
        <c:smooth val="0"/>
        <c:axId val="148979072"/>
        <c:axId val="80417920"/>
      </c:lineChart>
      <c:catAx>
        <c:axId val="148979072"/>
        <c:scaling>
          <c:orientation val="minMax"/>
        </c:scaling>
        <c:delete val="0"/>
        <c:axPos val="b"/>
        <c:numFmt formatCode="General" sourceLinked="1"/>
        <c:majorTickMark val="out"/>
        <c:minorTickMark val="none"/>
        <c:tickLblPos val="nextTo"/>
        <c:crossAx val="80417920"/>
        <c:crosses val="autoZero"/>
        <c:auto val="1"/>
        <c:lblAlgn val="ctr"/>
        <c:lblOffset val="100"/>
        <c:noMultiLvlLbl val="0"/>
      </c:catAx>
      <c:valAx>
        <c:axId val="80417920"/>
        <c:scaling>
          <c:orientation val="minMax"/>
        </c:scaling>
        <c:delete val="0"/>
        <c:axPos val="l"/>
        <c:majorGridlines/>
        <c:numFmt formatCode="0.00" sourceLinked="1"/>
        <c:majorTickMark val="out"/>
        <c:minorTickMark val="none"/>
        <c:tickLblPos val="nextTo"/>
        <c:crossAx val="148979072"/>
        <c:crosses val="autoZero"/>
        <c:crossBetween val="between"/>
      </c:valAx>
    </c:plotArea>
    <c:legend>
      <c:legendPos val="r"/>
      <c:overlay val="0"/>
    </c:legend>
    <c:plotVisOnly val="1"/>
    <c:dispBlanksAs val="gap"/>
    <c:showDLblsOverMax val="0"/>
  </c:chart>
  <c:externalData r:id="rId1">
    <c:autoUpdate val="0"/>
  </c:externalData>
</c:chartSpace>
</file>

<file path=word/charts/chart9.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title>
    <c:autoTitleDeleted val="0"/>
    <c:plotArea>
      <c:layout/>
      <c:lineChart>
        <c:grouping val="standard"/>
        <c:varyColors val="0"/>
        <c:ser>
          <c:idx val="0"/>
          <c:order val="0"/>
          <c:tx>
            <c:strRef>
              <c:f>Sheet1!$P$6:$Q$6</c:f>
              <c:strCache>
                <c:ptCount val="1"/>
                <c:pt idx="0">
                  <c:v>Return on Capital</c:v>
                </c:pt>
              </c:strCache>
            </c:strRef>
          </c:tx>
          <c:marker>
            <c:symbol val="none"/>
          </c:marker>
          <c:cat>
            <c:numRef>
              <c:f>Sheet1!$R$5:$S$5</c:f>
              <c:numCache>
                <c:formatCode>General</c:formatCode>
                <c:ptCount val="2"/>
                <c:pt idx="0">
                  <c:v>2019</c:v>
                </c:pt>
                <c:pt idx="1">
                  <c:v>2020</c:v>
                </c:pt>
              </c:numCache>
            </c:numRef>
          </c:cat>
          <c:val>
            <c:numRef>
              <c:f>Sheet1!$R$6:$S$6</c:f>
              <c:numCache>
                <c:formatCode>0.00</c:formatCode>
                <c:ptCount val="2"/>
                <c:pt idx="0">
                  <c:v>2.6595744680851072</c:v>
                </c:pt>
                <c:pt idx="1">
                  <c:v>2.9182879377431887</c:v>
                </c:pt>
              </c:numCache>
            </c:numRef>
          </c:val>
          <c:smooth val="0"/>
          <c:extLst>
            <c:ext xmlns:c16="http://schemas.microsoft.com/office/drawing/2014/chart" uri="{C3380CC4-5D6E-409C-BE32-E72D297353CC}">
              <c16:uniqueId val="{00000000-5AEF-4B2F-80CA-01F1F481E572}"/>
            </c:ext>
          </c:extLst>
        </c:ser>
        <c:dLbls>
          <c:showLegendKey val="0"/>
          <c:showVal val="0"/>
          <c:showCatName val="0"/>
          <c:showSerName val="0"/>
          <c:showPercent val="0"/>
          <c:showBubbleSize val="0"/>
        </c:dLbls>
        <c:smooth val="0"/>
        <c:axId val="89543424"/>
        <c:axId val="89544960"/>
      </c:lineChart>
      <c:catAx>
        <c:axId val="89543424"/>
        <c:scaling>
          <c:orientation val="minMax"/>
        </c:scaling>
        <c:delete val="0"/>
        <c:axPos val="b"/>
        <c:numFmt formatCode="General" sourceLinked="1"/>
        <c:majorTickMark val="out"/>
        <c:minorTickMark val="none"/>
        <c:tickLblPos val="nextTo"/>
        <c:crossAx val="89544960"/>
        <c:crosses val="autoZero"/>
        <c:auto val="1"/>
        <c:lblAlgn val="ctr"/>
        <c:lblOffset val="100"/>
        <c:noMultiLvlLbl val="0"/>
      </c:catAx>
      <c:valAx>
        <c:axId val="89544960"/>
        <c:scaling>
          <c:orientation val="minMax"/>
        </c:scaling>
        <c:delete val="0"/>
        <c:axPos val="l"/>
        <c:majorGridlines/>
        <c:numFmt formatCode="0.00" sourceLinked="1"/>
        <c:majorTickMark val="out"/>
        <c:minorTickMark val="none"/>
        <c:tickLblPos val="nextTo"/>
        <c:crossAx val="89543424"/>
        <c:crosses val="autoZero"/>
        <c:crossBetween val="between"/>
      </c:valAx>
    </c:plotArea>
    <c:legend>
      <c:legendPos val="r"/>
      <c:overlay val="0"/>
    </c:legend>
    <c:plotVisOnly val="1"/>
    <c:dispBlanksAs val="gap"/>
    <c:showDLblsOverMax val="0"/>
  </c:chart>
  <c:externalData r:id="rId1">
    <c:autoUpdate val="0"/>
  </c:externalData>
</c:chartSpace>
</file>

<file path=word/charts/chart10.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title>
    <c:autoTitleDeleted val="0"/>
    <c:plotArea>
      <c:layout/>
      <c:lineChart>
        <c:grouping val="standard"/>
        <c:varyColors val="0"/>
        <c:ser>
          <c:idx val="0"/>
          <c:order val="0"/>
          <c:tx>
            <c:strRef>
              <c:f>Sheet1!$P$9:$Q$9</c:f>
              <c:strCache>
                <c:ptCount val="1"/>
                <c:pt idx="0">
                  <c:v>Debt to Equity Ratio</c:v>
                </c:pt>
              </c:strCache>
            </c:strRef>
          </c:tx>
          <c:marker>
            <c:symbol val="none"/>
          </c:marker>
          <c:cat>
            <c:numRef>
              <c:f>Sheet1!$R$8:$S$8</c:f>
              <c:numCache>
                <c:formatCode>General</c:formatCode>
                <c:ptCount val="2"/>
                <c:pt idx="0">
                  <c:v>2019</c:v>
                </c:pt>
                <c:pt idx="1">
                  <c:v>2020</c:v>
                </c:pt>
              </c:numCache>
            </c:numRef>
          </c:cat>
          <c:val>
            <c:numRef>
              <c:f>Sheet1!$R$9:$S$9</c:f>
              <c:numCache>
                <c:formatCode>0.00</c:formatCode>
                <c:ptCount val="2"/>
                <c:pt idx="0">
                  <c:v>7.2533849129593819E-2</c:v>
                </c:pt>
                <c:pt idx="1">
                  <c:v>7.0525291828793815E-2</c:v>
                </c:pt>
              </c:numCache>
            </c:numRef>
          </c:val>
          <c:smooth val="0"/>
          <c:extLst>
            <c:ext xmlns:c16="http://schemas.microsoft.com/office/drawing/2014/chart" uri="{C3380CC4-5D6E-409C-BE32-E72D297353CC}">
              <c16:uniqueId val="{00000000-FE4C-44F3-BD02-A02606F6ECB3}"/>
            </c:ext>
          </c:extLst>
        </c:ser>
        <c:dLbls>
          <c:showLegendKey val="0"/>
          <c:showVal val="0"/>
          <c:showCatName val="0"/>
          <c:showSerName val="0"/>
          <c:showPercent val="0"/>
          <c:showBubbleSize val="0"/>
        </c:dLbls>
        <c:smooth val="0"/>
        <c:axId val="89556864"/>
        <c:axId val="89558400"/>
      </c:lineChart>
      <c:catAx>
        <c:axId val="89556864"/>
        <c:scaling>
          <c:orientation val="minMax"/>
        </c:scaling>
        <c:delete val="0"/>
        <c:axPos val="b"/>
        <c:numFmt formatCode="General" sourceLinked="1"/>
        <c:majorTickMark val="out"/>
        <c:minorTickMark val="none"/>
        <c:tickLblPos val="nextTo"/>
        <c:crossAx val="89558400"/>
        <c:crosses val="autoZero"/>
        <c:auto val="1"/>
        <c:lblAlgn val="ctr"/>
        <c:lblOffset val="100"/>
        <c:noMultiLvlLbl val="0"/>
      </c:catAx>
      <c:valAx>
        <c:axId val="89558400"/>
        <c:scaling>
          <c:orientation val="minMax"/>
        </c:scaling>
        <c:delete val="0"/>
        <c:axPos val="l"/>
        <c:majorGridlines/>
        <c:numFmt formatCode="0.00" sourceLinked="1"/>
        <c:majorTickMark val="out"/>
        <c:minorTickMark val="none"/>
        <c:tickLblPos val="nextTo"/>
        <c:crossAx val="89556864"/>
        <c:crosses val="autoZero"/>
        <c:crossBetween val="between"/>
      </c:valAx>
    </c:plotArea>
    <c:legend>
      <c:legendPos val="r"/>
      <c:overlay val="0"/>
    </c:legend>
    <c:plotVisOnly val="1"/>
    <c:dispBlanksAs val="gap"/>
    <c:showDLblsOverMax val="0"/>
  </c:chart>
  <c:externalData r:id="rId1">
    <c:autoUpdate val="0"/>
  </c:externalData>
</c:chartSpace>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BF8268EC753F4B77BA6EE09508BA6A5C"/>
        <w:category>
          <w:name w:val="General"/>
          <w:gallery w:val="placeholder"/>
        </w:category>
        <w:types>
          <w:type w:val="bbPlcHdr"/>
        </w:types>
        <w:behaviors>
          <w:behavior w:val="content"/>
        </w:behaviors>
        <w:guid w:val="{EC94D07E-7B3C-43D7-8C50-5701284E1D71}"/>
      </w:docPartPr>
      <w:docPartBody>
        <w:p w:rsidR="00781B25" w:rsidRDefault="008E1E14" w:rsidP="008E1E14">
          <w:pPr>
            <w:pStyle w:val="BF8268EC753F4B77BA6EE09508BA6A5C"/>
          </w:pPr>
          <w:r>
            <w:rPr>
              <w:rFonts w:asciiTheme="majorHAnsi" w:eastAsiaTheme="majorEastAsia" w:hAnsiTheme="majorHAnsi" w:cstheme="majorBidi"/>
              <w:sz w:val="80"/>
              <w:szCs w:val="80"/>
            </w:rPr>
            <w:t>[Type the document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2"/>
    <w:compatSetting w:name="useWord2013TrackBottomHyphenation" w:uri="http://schemas.microsoft.com/office/word" w:val="1"/>
  </w:compat>
  <w:rsids>
    <w:rsidRoot w:val="008E1E14"/>
    <w:rsid w:val="00781B25"/>
    <w:rsid w:val="008224A6"/>
    <w:rsid w:val="008E1E14"/>
    <w:rsid w:val="00E8362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ecimalSymbol w:val="."/>
  <w:listSeparator w:val=","/>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BF8268EC753F4B77BA6EE09508BA6A5C">
    <w:name w:val="BF8268EC753F4B77BA6EE09508BA6A5C"/>
    <w:rsid w:val="008E1E14"/>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CCA81EAA-C37A-4D22-BBF6-ECB76EF8531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177</TotalTime>
  <Pages>20</Pages>
  <Words>2654</Words>
  <Characters>15131</Characters>
  <Application>Microsoft Office Word</Application>
  <DocSecurity>0</DocSecurity>
  <Lines>126</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17750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Ratio Analysis- Jurys Inn</dc:title>
  <dc:creator>user</dc:creator>
  <cp:lastModifiedBy>Rahela Begum (1704788)</cp:lastModifiedBy>
  <cp:revision>47</cp:revision>
  <dcterms:created xsi:type="dcterms:W3CDTF">2022-02-01T04:56:00Z</dcterms:created>
  <dcterms:modified xsi:type="dcterms:W3CDTF">2022-02-11T22:36:00Z</dcterms:modified>
</cp:coreProperties>
</file>