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E6664A" w14:textId="40388160" w:rsidR="001C3A0A" w:rsidRDefault="001C3A0A" w:rsidP="001C3A0A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Examples of how the framing of the research question can influence the choice of Quantitative vs Qualitative approaches</w:t>
      </w:r>
    </w:p>
    <w:p w14:paraId="25F3F949" w14:textId="77777777" w:rsidR="001C3A0A" w:rsidRDefault="001C3A0A" w:rsidP="001C3A0A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0944B0BB" w14:textId="77EEF9D9" w:rsidR="001C3A0A" w:rsidRPr="001C3A0A" w:rsidRDefault="001C3A0A" w:rsidP="001C3A0A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1C3A0A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a) Purely Quantitative Research Topics</w:t>
      </w:r>
    </w:p>
    <w:p w14:paraId="2B3CA776" w14:textId="77777777" w:rsidR="001C3A0A" w:rsidRPr="001C3A0A" w:rsidRDefault="001C3A0A" w:rsidP="001C3A0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C3A0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Best suited for testing hypotheses, examining measurable variables, and </w:t>
      </w:r>
      <w:proofErr w:type="spellStart"/>
      <w:r w:rsidRPr="001C3A0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analyzing</w:t>
      </w:r>
      <w:proofErr w:type="spellEnd"/>
      <w:r w:rsidRPr="001C3A0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statistical relationships across larger datasets.</w:t>
      </w:r>
    </w:p>
    <w:p w14:paraId="50F1362E" w14:textId="77777777" w:rsidR="001C3A0A" w:rsidRPr="001C3A0A" w:rsidRDefault="001C3A0A" w:rsidP="001C3A0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C3A0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The Impact of Remote Work Frequency on Employee Productivity and Turnover Intentions:</w:t>
      </w:r>
      <w:r w:rsidRPr="001C3A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Measuring the statistical correlation between days worked remotely and performance metrics, controlling for demographic variables and tenure.</w:t>
      </w:r>
    </w:p>
    <w:p w14:paraId="4A816D61" w14:textId="77777777" w:rsidR="001C3A0A" w:rsidRDefault="001C3A0A" w:rsidP="001C3A0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C3A0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Board Diversity and Corporate Financial Performance:</w:t>
      </w:r>
      <w:r w:rsidRPr="001C3A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proofErr w:type="spellStart"/>
      <w:r w:rsidRPr="001C3A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Analyzing</w:t>
      </w:r>
      <w:proofErr w:type="spellEnd"/>
      <w:r w:rsidRPr="001C3A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large-scale secondary financial data (e.g., return on assets and Tobin's Q) against the percentage of demographic and cognitive diversity on executive boards.</w:t>
      </w:r>
    </w:p>
    <w:p w14:paraId="353CA7DD" w14:textId="77777777" w:rsidR="001C3A0A" w:rsidRDefault="001C3A0A" w:rsidP="001C3A0A">
      <w:pPr>
        <w:pStyle w:val="NormalWeb"/>
      </w:pPr>
      <w:r>
        <w:rPr>
          <w:b/>
          <w:bCs/>
        </w:rPr>
        <w:t>High-Performance Work Practices and Organizational Resilience:</w:t>
      </w:r>
    </w:p>
    <w:p w14:paraId="7300A3F2" w14:textId="7CE01027" w:rsidR="001C3A0A" w:rsidRDefault="001C3A0A" w:rsidP="001C3A0A">
      <w:pPr>
        <w:pStyle w:val="NormalWeb"/>
        <w:numPr>
          <w:ilvl w:val="0"/>
          <w:numId w:val="1"/>
        </w:numPr>
      </w:pPr>
      <w:r>
        <w:rPr>
          <w:b/>
          <w:bCs/>
        </w:rPr>
        <w:t>Suggested example of r</w:t>
      </w:r>
      <w:r>
        <w:rPr>
          <w:b/>
          <w:bCs/>
        </w:rPr>
        <w:t xml:space="preserve">esearch </w:t>
      </w:r>
      <w:r>
        <w:rPr>
          <w:b/>
          <w:bCs/>
        </w:rPr>
        <w:t>f</w:t>
      </w:r>
      <w:r>
        <w:rPr>
          <w:b/>
          <w:bCs/>
        </w:rPr>
        <w:t>ocus:</w:t>
      </w:r>
      <w:r>
        <w:t xml:space="preserve"> Investigating the statistical relationship between the adoption of specific high-performance work practices (e.g., decentralized decision-making, extensive training, and performance-contingent rewards) and organizational survival rates or financial resilience during economic downturns.</w:t>
      </w:r>
    </w:p>
    <w:p w14:paraId="7A9E72DF" w14:textId="43D55723" w:rsidR="001C3A0A" w:rsidRDefault="001C3A0A" w:rsidP="001C3A0A">
      <w:pPr>
        <w:pStyle w:val="NormalWeb"/>
        <w:numPr>
          <w:ilvl w:val="0"/>
          <w:numId w:val="1"/>
        </w:numPr>
      </w:pPr>
      <w:r>
        <w:rPr>
          <w:b/>
          <w:bCs/>
        </w:rPr>
        <w:t>Suggested m</w:t>
      </w:r>
      <w:r>
        <w:rPr>
          <w:b/>
          <w:bCs/>
        </w:rPr>
        <w:t xml:space="preserve">ethodological </w:t>
      </w:r>
      <w:r>
        <w:rPr>
          <w:b/>
          <w:bCs/>
        </w:rPr>
        <w:t>a</w:t>
      </w:r>
      <w:r>
        <w:rPr>
          <w:b/>
          <w:bCs/>
        </w:rPr>
        <w:t>pproach:</w:t>
      </w:r>
      <w:r>
        <w:t xml:space="preserve"> Cross-sectional or longitudinal survey analysis paired with secondary financial data across a large sample of registered firms, using regression </w:t>
      </w:r>
      <w:proofErr w:type="spellStart"/>
      <w:r>
        <w:t>modeling</w:t>
      </w:r>
      <w:proofErr w:type="spellEnd"/>
      <w:r>
        <w:t xml:space="preserve"> to control for firm size, sector, and age.</w:t>
      </w:r>
    </w:p>
    <w:p w14:paraId="2764B09F" w14:textId="77777777" w:rsidR="001C3A0A" w:rsidRPr="001C3A0A" w:rsidRDefault="001C3A0A" w:rsidP="001C3A0A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1C3A0A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b) Purely Qualitative Research Topics</w:t>
      </w:r>
    </w:p>
    <w:p w14:paraId="5CD880FA" w14:textId="77777777" w:rsidR="001C3A0A" w:rsidRPr="001C3A0A" w:rsidRDefault="001C3A0A" w:rsidP="001C3A0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C3A0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Best suited for exploring complex social processes, interpretive meanings, organizational cultures, and lived experiences.</w:t>
      </w:r>
    </w:p>
    <w:p w14:paraId="78D8E004" w14:textId="77777777" w:rsidR="001C3A0A" w:rsidRPr="001C3A0A" w:rsidRDefault="001C3A0A" w:rsidP="001C3A0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C3A0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Sensemaking and Cultural Integration Post-Merger:</w:t>
      </w:r>
      <w:r w:rsidRPr="001C3A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 interpretive study exploring how mid-level managers navigate conflicting corporate cultures and construct meaning during a corporate acquisition.</w:t>
      </w:r>
    </w:p>
    <w:p w14:paraId="3316FA8E" w14:textId="77777777" w:rsidR="001C3A0A" w:rsidRPr="001C3A0A" w:rsidRDefault="001C3A0A" w:rsidP="001C3A0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C3A0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Control Ideologies and Resistance in Platform Labor:</w:t>
      </w:r>
      <w:r w:rsidRPr="001C3A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 ethnographic inquiry into how gig economy workers perceive, internalize, or subvert digital performance monitoring and control mechanisms.</w:t>
      </w:r>
    </w:p>
    <w:p w14:paraId="1396F23B" w14:textId="77777777" w:rsidR="001C3A0A" w:rsidRPr="001C3A0A" w:rsidRDefault="001C3A0A" w:rsidP="001C3A0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C3A0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Institutional Pressures and Greenwashing in Corporate Strategy:</w:t>
      </w:r>
      <w:r w:rsidRPr="001C3A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 multiple case study examining how organizations discursively manage institutional contradictions between sustainability rhetoric and operational reality.</w:t>
      </w:r>
    </w:p>
    <w:p w14:paraId="4B1F3E05" w14:textId="77777777" w:rsidR="001C3A0A" w:rsidRDefault="001C3A0A"/>
    <w:p w14:paraId="21730AEE" w14:textId="77777777" w:rsidR="001C3A0A" w:rsidRPr="001C3A0A" w:rsidRDefault="001C3A0A" w:rsidP="001C3A0A">
      <w:pPr>
        <w:pStyle w:val="Heading3"/>
        <w:rPr>
          <w:rFonts w:ascii="Times New Roman" w:eastAsia="Times New Roman" w:hAnsi="Times New Roman" w:cs="Times New Roman"/>
          <w:b/>
          <w:bCs/>
          <w:color w:val="auto"/>
          <w:kern w:val="0"/>
          <w:sz w:val="27"/>
          <w:szCs w:val="27"/>
          <w:lang w:eastAsia="en-GB"/>
          <w14:ligatures w14:val="none"/>
        </w:rPr>
      </w:pPr>
      <w:r>
        <w:tab/>
      </w:r>
      <w:r w:rsidRPr="001C3A0A">
        <w:rPr>
          <w:rFonts w:ascii="Times New Roman" w:eastAsia="Times New Roman" w:hAnsi="Times New Roman" w:cs="Times New Roman"/>
          <w:b/>
          <w:bCs/>
          <w:color w:val="auto"/>
          <w:kern w:val="0"/>
          <w:sz w:val="27"/>
          <w:szCs w:val="27"/>
          <w:lang w:eastAsia="en-GB"/>
          <w14:ligatures w14:val="none"/>
        </w:rPr>
        <w:t>c) Mixed-Mode Methodology Research Topics</w:t>
      </w:r>
    </w:p>
    <w:p w14:paraId="557720C1" w14:textId="77777777" w:rsidR="001C3A0A" w:rsidRPr="001C3A0A" w:rsidRDefault="001C3A0A" w:rsidP="001C3A0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C3A0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Best suited for addressing complex phenomena where statistical trends require qualitative depth to explain the underlying mechanisms.</w:t>
      </w:r>
    </w:p>
    <w:p w14:paraId="56307337" w14:textId="77777777" w:rsidR="001C3A0A" w:rsidRPr="001C3A0A" w:rsidRDefault="001C3A0A" w:rsidP="001C3A0A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C3A0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Core-Periphery Workforce Integration and Organizational Commitment:</w:t>
      </w:r>
    </w:p>
    <w:p w14:paraId="1BC0DC6D" w14:textId="77777777" w:rsidR="001C3A0A" w:rsidRPr="001C3A0A" w:rsidRDefault="001C3A0A" w:rsidP="001C3A0A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C3A0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Quantitative Phase:</w:t>
      </w:r>
      <w:r w:rsidRPr="001C3A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 survey measuring organizational commitment, perceived job insecurity, and trust among core salaried staff versus peripheral contract or freelance workers.</w:t>
      </w:r>
    </w:p>
    <w:p w14:paraId="50D4F419" w14:textId="77777777" w:rsidR="001C3A0A" w:rsidRPr="001C3A0A" w:rsidRDefault="001C3A0A" w:rsidP="001C3A0A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C3A0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Qualitative Phase:</w:t>
      </w:r>
      <w:r w:rsidRPr="001C3A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Semi-structured interviews with managers and workers to explain </w:t>
      </w:r>
      <w:r w:rsidRPr="001C3A0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why</w:t>
      </w:r>
      <w:r w:rsidRPr="001C3A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specific disparities in trust and commitment exist across employment tiers.</w:t>
      </w:r>
    </w:p>
    <w:p w14:paraId="14A54D42" w14:textId="77777777" w:rsidR="001C3A0A" w:rsidRPr="001C3A0A" w:rsidRDefault="001C3A0A" w:rsidP="001C3A0A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C3A0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The Paradox of Automated Performance Tracking in Professional Services:</w:t>
      </w:r>
    </w:p>
    <w:p w14:paraId="24919F37" w14:textId="77777777" w:rsidR="001C3A0A" w:rsidRPr="001C3A0A" w:rsidRDefault="001C3A0A" w:rsidP="001C3A0A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C3A0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Quantitative Phase:</w:t>
      </w:r>
      <w:r w:rsidRPr="001C3A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Statistical analysis of client satisfaction scores and task turnaround times before and after the introduction of digital monitoring dashboards.</w:t>
      </w:r>
    </w:p>
    <w:p w14:paraId="0195CA57" w14:textId="77777777" w:rsidR="001C3A0A" w:rsidRDefault="001C3A0A" w:rsidP="001C3A0A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C3A0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Qualitative Phase:</w:t>
      </w:r>
      <w:r w:rsidRPr="001C3A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Focus groups with professional staff to investigate how real-time surveillance alters professional autonomy, peer dynamics, and daily working practices.</w:t>
      </w:r>
    </w:p>
    <w:p w14:paraId="486DD4AA" w14:textId="77777777" w:rsidR="001C3A0A" w:rsidRDefault="001C3A0A" w:rsidP="001C3A0A">
      <w:pPr>
        <w:pStyle w:val="NormalWeb"/>
      </w:pPr>
      <w:r>
        <w:rPr>
          <w:b/>
          <w:bCs/>
        </w:rPr>
        <w:t>Bureaucratic Control versus Professional Autonomy in Hybrid Organizations:</w:t>
      </w:r>
    </w:p>
    <w:p w14:paraId="388466F5" w14:textId="3CB3F7B2" w:rsidR="001C3A0A" w:rsidRDefault="001C3A0A" w:rsidP="001C3A0A">
      <w:pPr>
        <w:pStyle w:val="NormalWeb"/>
        <w:numPr>
          <w:ilvl w:val="0"/>
          <w:numId w:val="3"/>
        </w:numPr>
      </w:pPr>
      <w:r>
        <w:rPr>
          <w:b/>
          <w:bCs/>
        </w:rPr>
        <w:t>Suggested r</w:t>
      </w:r>
      <w:r>
        <w:rPr>
          <w:b/>
          <w:bCs/>
        </w:rPr>
        <w:t xml:space="preserve">esearch </w:t>
      </w:r>
      <w:r>
        <w:rPr>
          <w:b/>
          <w:bCs/>
        </w:rPr>
        <w:t>f</w:t>
      </w:r>
      <w:r>
        <w:rPr>
          <w:b/>
          <w:bCs/>
        </w:rPr>
        <w:t>ocus:</w:t>
      </w:r>
      <w:r>
        <w:t xml:space="preserve"> Investigating how the imposition of standardized bureaucratic performance metrics affects professional autonomy, operational routines, and staff retention in complex service organizations.</w:t>
      </w:r>
    </w:p>
    <w:p w14:paraId="4A6E9FBE" w14:textId="306594B8" w:rsidR="001C3A0A" w:rsidRDefault="001C3A0A" w:rsidP="001C3A0A">
      <w:pPr>
        <w:pStyle w:val="NormalWeb"/>
        <w:numPr>
          <w:ilvl w:val="0"/>
          <w:numId w:val="3"/>
        </w:numPr>
      </w:pPr>
      <w:r>
        <w:rPr>
          <w:b/>
          <w:bCs/>
        </w:rPr>
        <w:t>Suggested m</w:t>
      </w:r>
      <w:r>
        <w:rPr>
          <w:b/>
          <w:bCs/>
        </w:rPr>
        <w:t xml:space="preserve">ethodological </w:t>
      </w:r>
      <w:r>
        <w:rPr>
          <w:b/>
          <w:bCs/>
        </w:rPr>
        <w:t>a</w:t>
      </w:r>
      <w:r>
        <w:rPr>
          <w:b/>
          <w:bCs/>
        </w:rPr>
        <w:t>pproach:</w:t>
      </w:r>
    </w:p>
    <w:p w14:paraId="10F31498" w14:textId="77777777" w:rsidR="001C3A0A" w:rsidRDefault="001C3A0A" w:rsidP="001C3A0A">
      <w:pPr>
        <w:pStyle w:val="NormalWeb"/>
        <w:numPr>
          <w:ilvl w:val="1"/>
          <w:numId w:val="3"/>
        </w:numPr>
      </w:pPr>
      <w:r>
        <w:rPr>
          <w:i/>
          <w:iCs/>
        </w:rPr>
        <w:t>Quantitative Phase:</w:t>
      </w:r>
      <w:r>
        <w:t xml:space="preserve"> A survey of professional staff measuring perceived autonomy, burnout rates, and adherence to standardized reporting metrics across multiple organizational sites.</w:t>
      </w:r>
    </w:p>
    <w:p w14:paraId="5869B328" w14:textId="77777777" w:rsidR="001C3A0A" w:rsidRDefault="001C3A0A" w:rsidP="001C3A0A">
      <w:pPr>
        <w:pStyle w:val="NormalWeb"/>
        <w:numPr>
          <w:ilvl w:val="1"/>
          <w:numId w:val="3"/>
        </w:numPr>
      </w:pPr>
      <w:r>
        <w:rPr>
          <w:i/>
          <w:iCs/>
        </w:rPr>
        <w:t>Qualitative Phase:</w:t>
      </w:r>
      <w:r>
        <w:t xml:space="preserve"> Semi-structured interviews and workplace shadowing with frontline practitioners and middle managers to explore the informal workarounds, coping mechanisms, and micro-political resistance strategies they use to reconcile institutional control demands with professional judgment.</w:t>
      </w:r>
    </w:p>
    <w:p w14:paraId="2175DC3A" w14:textId="77777777" w:rsidR="001C3A0A" w:rsidRPr="001C3A0A" w:rsidRDefault="001C3A0A" w:rsidP="001C3A0A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18FA083B" w14:textId="6A801869" w:rsidR="001C3A0A" w:rsidRPr="001C3A0A" w:rsidRDefault="001C3A0A" w:rsidP="001C3A0A">
      <w:pPr>
        <w:tabs>
          <w:tab w:val="left" w:pos="6192"/>
        </w:tabs>
      </w:pPr>
    </w:p>
    <w:sectPr w:rsidR="001C3A0A" w:rsidRPr="001C3A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54B4E27"/>
    <w:multiLevelType w:val="multilevel"/>
    <w:tmpl w:val="01D481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3572432"/>
    <w:multiLevelType w:val="multilevel"/>
    <w:tmpl w:val="942A9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08D667E"/>
    <w:multiLevelType w:val="multilevel"/>
    <w:tmpl w:val="9B9AD0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A7561AA"/>
    <w:multiLevelType w:val="multilevel"/>
    <w:tmpl w:val="F2A064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2E33B66"/>
    <w:multiLevelType w:val="multilevel"/>
    <w:tmpl w:val="DB747A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42617275">
    <w:abstractNumId w:val="1"/>
  </w:num>
  <w:num w:numId="2" w16cid:durableId="833880884">
    <w:abstractNumId w:val="0"/>
  </w:num>
  <w:num w:numId="3" w16cid:durableId="1725711327">
    <w:abstractNumId w:val="4"/>
  </w:num>
  <w:num w:numId="4" w16cid:durableId="1268654624">
    <w:abstractNumId w:val="2"/>
  </w:num>
  <w:num w:numId="5" w16cid:durableId="3042128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3A0A"/>
    <w:rsid w:val="001C3A0A"/>
    <w:rsid w:val="00672A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E09E27"/>
  <w15:chartTrackingRefBased/>
  <w15:docId w15:val="{6DA51D27-E854-4EB6-B19B-B8C8EA0368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3A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3A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C3A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C3A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C3A0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C3A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C3A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3A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3A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3A0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C3A0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C3A0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C3A0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C3A0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C3A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C3A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C3A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C3A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C3A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C3A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3A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C3A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C3A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C3A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C3A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C3A0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C3A0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C3A0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C3A0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C3A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587</Words>
  <Characters>3350</Characters>
  <Application>Microsoft Office Word</Application>
  <DocSecurity>0</DocSecurity>
  <Lines>27</Lines>
  <Paragraphs>7</Paragraphs>
  <ScaleCrop>false</ScaleCrop>
  <Company/>
  <LinksUpToDate>false</LinksUpToDate>
  <CharactersWithSpaces>3930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Malone</dc:creator>
  <cp:keywords/>
  <dc:description/>
  <cp:lastModifiedBy>Stephen Malone</cp:lastModifiedBy>
  <cp:revision>2</cp:revision>
  <dcterms:created xsi:type="dcterms:W3CDTF">2026-09-15T11:27:00Z</dcterms:created>
  <dcterms:modified xsi:type="dcterms:W3CDTF">2026-09-15T11:27:00Z</dcterms:modified>
</cp:coreProperties>
</file>