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0F3748" w14:textId="51212F2E" w:rsidR="00D76F6C" w:rsidRPr="00D76F6C" w:rsidRDefault="00D76F6C" w:rsidP="00D76F6C">
      <w:pPr>
        <w:spacing w:line="360" w:lineRule="auto"/>
        <w:ind w:firstLine="454"/>
        <w:rPr>
          <w:rFonts w:ascii="Arial" w:hAnsi="Arial" w:cs="Arial"/>
          <w:lang w:val="en-IN"/>
        </w:rPr>
      </w:pPr>
      <w:r>
        <w:rPr>
          <w:rFonts w:ascii="Arial" w:hAnsi="Arial" w:cs="Arial"/>
          <w:noProof/>
          <w:lang w:val="en-IN"/>
        </w:rPr>
        <w:drawing>
          <wp:inline distT="0" distB="0" distL="0" distR="0" wp14:anchorId="011BD634" wp14:editId="5AA86994">
            <wp:extent cx="3390900" cy="1352550"/>
            <wp:effectExtent l="0" t="0" r="0" b="0"/>
            <wp:docPr id="253742404" name="Picture 1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742404" name="Picture 11" descr="A close-up of a sign&#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390900" cy="1352550"/>
                    </a:xfrm>
                    <a:prstGeom prst="rect">
                      <a:avLst/>
                    </a:prstGeom>
                  </pic:spPr>
                </pic:pic>
              </a:graphicData>
            </a:graphic>
          </wp:inline>
        </w:drawing>
      </w:r>
    </w:p>
    <w:p w14:paraId="18D78918" w14:textId="77777777" w:rsidR="00D76F6C" w:rsidRDefault="00D76F6C" w:rsidP="00D76F6C">
      <w:pPr>
        <w:spacing w:line="360" w:lineRule="auto"/>
        <w:ind w:firstLine="454"/>
        <w:rPr>
          <w:rFonts w:ascii="Arial" w:hAnsi="Arial" w:cs="Arial"/>
          <w:lang w:val="en-IN"/>
        </w:rPr>
      </w:pPr>
    </w:p>
    <w:p w14:paraId="252B4D9E" w14:textId="77777777" w:rsidR="00D76F6C" w:rsidRDefault="00D76F6C" w:rsidP="00D76F6C">
      <w:pPr>
        <w:spacing w:line="360" w:lineRule="auto"/>
        <w:ind w:firstLine="454"/>
        <w:rPr>
          <w:rFonts w:ascii="Arial" w:hAnsi="Arial" w:cs="Arial"/>
          <w:lang w:val="en-IN"/>
        </w:rPr>
      </w:pPr>
    </w:p>
    <w:p w14:paraId="7D34D637" w14:textId="77777777" w:rsidR="00D76F6C" w:rsidRDefault="00D76F6C" w:rsidP="00D76F6C">
      <w:pPr>
        <w:spacing w:line="360" w:lineRule="auto"/>
        <w:ind w:firstLine="454"/>
        <w:rPr>
          <w:rFonts w:ascii="Arial" w:hAnsi="Arial" w:cs="Arial"/>
          <w:lang w:val="en-IN"/>
        </w:rPr>
      </w:pPr>
    </w:p>
    <w:p w14:paraId="15427456" w14:textId="77777777" w:rsidR="00D76F6C" w:rsidRDefault="00D76F6C" w:rsidP="00D76F6C">
      <w:pPr>
        <w:spacing w:line="360" w:lineRule="auto"/>
        <w:ind w:firstLine="454"/>
        <w:rPr>
          <w:rFonts w:ascii="Arial" w:hAnsi="Arial" w:cs="Arial"/>
          <w:lang w:val="en-IN"/>
        </w:rPr>
      </w:pPr>
    </w:p>
    <w:p w14:paraId="0E1B646A" w14:textId="77777777" w:rsidR="00D76F6C" w:rsidRDefault="00D76F6C" w:rsidP="00D76F6C">
      <w:pPr>
        <w:spacing w:line="360" w:lineRule="auto"/>
        <w:ind w:firstLine="454"/>
        <w:rPr>
          <w:rFonts w:ascii="Arial" w:hAnsi="Arial" w:cs="Arial"/>
          <w:lang w:val="en-IN"/>
        </w:rPr>
      </w:pPr>
    </w:p>
    <w:p w14:paraId="1ABD7D95" w14:textId="77777777" w:rsidR="00D76F6C" w:rsidRDefault="00D76F6C" w:rsidP="00D76F6C">
      <w:pPr>
        <w:spacing w:line="360" w:lineRule="auto"/>
        <w:ind w:firstLine="454"/>
        <w:rPr>
          <w:rFonts w:ascii="Arial" w:hAnsi="Arial" w:cs="Arial"/>
          <w:lang w:val="en-IN"/>
        </w:rPr>
      </w:pPr>
    </w:p>
    <w:p w14:paraId="18F8D9FE" w14:textId="662C337B" w:rsidR="00D76F6C" w:rsidRPr="00D76F6C" w:rsidRDefault="00D76F6C" w:rsidP="00D76F6C">
      <w:pPr>
        <w:spacing w:line="360" w:lineRule="auto"/>
        <w:ind w:firstLine="454"/>
        <w:jc w:val="center"/>
        <w:rPr>
          <w:rFonts w:ascii="Arial" w:hAnsi="Arial" w:cs="Arial"/>
          <w:b/>
          <w:bCs/>
          <w:sz w:val="28"/>
          <w:szCs w:val="28"/>
          <w:lang w:val="en-IN"/>
        </w:rPr>
      </w:pPr>
      <w:r w:rsidRPr="00D76F6C">
        <w:rPr>
          <w:rFonts w:ascii="Arial" w:hAnsi="Arial" w:cs="Arial"/>
          <w:b/>
          <w:bCs/>
          <w:sz w:val="28"/>
          <w:szCs w:val="28"/>
          <w:lang w:val="en-IN"/>
        </w:rPr>
        <w:t>BA Business Management</w:t>
      </w:r>
    </w:p>
    <w:p w14:paraId="55758840" w14:textId="77777777" w:rsidR="00D76F6C" w:rsidRPr="00D76F6C" w:rsidRDefault="00D76F6C" w:rsidP="00D76F6C">
      <w:pPr>
        <w:spacing w:line="360" w:lineRule="auto"/>
        <w:ind w:firstLine="454"/>
        <w:jc w:val="center"/>
        <w:rPr>
          <w:rFonts w:ascii="Arial" w:hAnsi="Arial" w:cs="Arial"/>
          <w:b/>
          <w:bCs/>
          <w:sz w:val="28"/>
          <w:szCs w:val="28"/>
          <w:lang w:val="en-IN"/>
        </w:rPr>
      </w:pPr>
    </w:p>
    <w:p w14:paraId="1FB3128C" w14:textId="53420898" w:rsidR="00D76F6C" w:rsidRPr="00197C0A" w:rsidRDefault="00D76F6C" w:rsidP="00D76F6C">
      <w:pPr>
        <w:spacing w:line="360" w:lineRule="auto"/>
        <w:ind w:firstLine="454"/>
        <w:jc w:val="center"/>
        <w:rPr>
          <w:rFonts w:ascii="Arial" w:hAnsi="Arial" w:cs="Arial"/>
          <w:b/>
          <w:bCs/>
          <w:sz w:val="28"/>
          <w:szCs w:val="28"/>
          <w:lang w:val="en-IN"/>
        </w:rPr>
      </w:pPr>
      <w:r w:rsidRPr="00197C0A">
        <w:rPr>
          <w:rFonts w:ascii="Arial" w:hAnsi="Arial" w:cs="Arial"/>
          <w:b/>
          <w:bCs/>
          <w:sz w:val="28"/>
          <w:szCs w:val="28"/>
          <w:lang w:val="en-IN"/>
        </w:rPr>
        <w:t>Strategic Management and Sustainability Analysis of Jaguar Land Rover (JLR)</w:t>
      </w:r>
    </w:p>
    <w:p w14:paraId="71A31DF6" w14:textId="77777777" w:rsidR="00D76F6C" w:rsidRPr="00197C0A" w:rsidRDefault="00D76F6C" w:rsidP="00D76F6C">
      <w:pPr>
        <w:spacing w:line="360" w:lineRule="auto"/>
        <w:ind w:firstLine="454"/>
        <w:rPr>
          <w:rFonts w:ascii="Arial" w:hAnsi="Arial" w:cs="Arial"/>
          <w:b/>
          <w:bCs/>
          <w:sz w:val="28"/>
          <w:szCs w:val="28"/>
          <w:lang w:val="en-IN"/>
        </w:rPr>
      </w:pPr>
    </w:p>
    <w:p w14:paraId="2997773C" w14:textId="77777777" w:rsidR="00D76F6C" w:rsidRPr="00197C0A" w:rsidRDefault="00D76F6C" w:rsidP="00D76F6C">
      <w:pPr>
        <w:spacing w:line="360" w:lineRule="auto"/>
        <w:ind w:firstLine="454"/>
        <w:rPr>
          <w:rFonts w:ascii="Arial" w:hAnsi="Arial" w:cs="Arial"/>
          <w:b/>
          <w:bCs/>
          <w:sz w:val="28"/>
          <w:szCs w:val="28"/>
          <w:lang w:val="en-IN"/>
        </w:rPr>
      </w:pPr>
    </w:p>
    <w:p w14:paraId="7366ED27" w14:textId="77777777" w:rsidR="00D76F6C" w:rsidRDefault="00D76F6C" w:rsidP="00D76F6C">
      <w:pPr>
        <w:spacing w:line="360" w:lineRule="auto"/>
        <w:ind w:firstLine="454"/>
        <w:rPr>
          <w:rFonts w:ascii="Arial" w:hAnsi="Arial" w:cs="Arial"/>
          <w:b/>
          <w:bCs/>
          <w:lang w:val="en-IN"/>
        </w:rPr>
      </w:pPr>
    </w:p>
    <w:p w14:paraId="261D9A18" w14:textId="77777777" w:rsidR="00D76F6C" w:rsidRDefault="00D76F6C" w:rsidP="00D76F6C">
      <w:pPr>
        <w:spacing w:line="240" w:lineRule="auto"/>
        <w:ind w:firstLine="454"/>
        <w:rPr>
          <w:rFonts w:ascii="Arial" w:hAnsi="Arial" w:cs="Arial"/>
          <w:b/>
          <w:bCs/>
          <w:lang w:val="en-IN"/>
        </w:rPr>
      </w:pPr>
    </w:p>
    <w:p w14:paraId="0D0649FF" w14:textId="77777777" w:rsidR="00D76F6C" w:rsidRDefault="00D76F6C" w:rsidP="00D76F6C">
      <w:pPr>
        <w:spacing w:line="240" w:lineRule="auto"/>
        <w:ind w:firstLine="454"/>
        <w:rPr>
          <w:rFonts w:ascii="Arial" w:hAnsi="Arial" w:cs="Arial"/>
          <w:b/>
          <w:bCs/>
          <w:lang w:val="en-IN"/>
        </w:rPr>
      </w:pPr>
    </w:p>
    <w:p w14:paraId="636AB750" w14:textId="77777777" w:rsidR="00D76F6C" w:rsidRDefault="00D76F6C" w:rsidP="00D76F6C">
      <w:pPr>
        <w:spacing w:line="240" w:lineRule="auto"/>
        <w:ind w:firstLine="454"/>
        <w:rPr>
          <w:rFonts w:ascii="Arial" w:hAnsi="Arial" w:cs="Arial"/>
          <w:b/>
          <w:bCs/>
          <w:lang w:val="en-IN"/>
        </w:rPr>
      </w:pPr>
    </w:p>
    <w:p w14:paraId="06D1DA95" w14:textId="77777777" w:rsidR="00D76F6C" w:rsidRDefault="00D76F6C" w:rsidP="00D76F6C">
      <w:pPr>
        <w:spacing w:line="240" w:lineRule="auto"/>
        <w:ind w:firstLine="454"/>
        <w:rPr>
          <w:rFonts w:ascii="Arial" w:hAnsi="Arial" w:cs="Arial"/>
          <w:b/>
          <w:bCs/>
          <w:lang w:val="en-IN"/>
        </w:rPr>
      </w:pPr>
    </w:p>
    <w:p w14:paraId="1719B271" w14:textId="77777777" w:rsidR="00D76F6C" w:rsidRDefault="00D76F6C" w:rsidP="00D76F6C">
      <w:pPr>
        <w:spacing w:line="240" w:lineRule="auto"/>
        <w:ind w:firstLine="454"/>
        <w:rPr>
          <w:rFonts w:ascii="Arial" w:hAnsi="Arial" w:cs="Arial"/>
          <w:b/>
          <w:bCs/>
          <w:lang w:val="en-IN"/>
        </w:rPr>
      </w:pPr>
    </w:p>
    <w:p w14:paraId="7C6AD521" w14:textId="77777777" w:rsidR="00D76F6C" w:rsidRDefault="00D76F6C" w:rsidP="00D41791">
      <w:pPr>
        <w:spacing w:line="240" w:lineRule="auto"/>
        <w:rPr>
          <w:rFonts w:ascii="Arial" w:hAnsi="Arial" w:cs="Arial"/>
          <w:b/>
          <w:bCs/>
          <w:lang w:val="en-IN"/>
        </w:rPr>
      </w:pPr>
    </w:p>
    <w:p w14:paraId="275D4D93" w14:textId="77777777" w:rsidR="00197C0A" w:rsidRPr="00D76F6C" w:rsidRDefault="00197C0A" w:rsidP="00197C0A">
      <w:pPr>
        <w:spacing w:line="240" w:lineRule="auto"/>
        <w:ind w:firstLine="454"/>
        <w:rPr>
          <w:rFonts w:ascii="Arial" w:hAnsi="Arial" w:cs="Arial"/>
          <w:b/>
          <w:bCs/>
          <w:lang w:val="en-IN"/>
        </w:rPr>
      </w:pPr>
      <w:r w:rsidRPr="00D76F6C">
        <w:rPr>
          <w:rFonts w:ascii="Arial" w:hAnsi="Arial" w:cs="Arial"/>
          <w:b/>
          <w:bCs/>
          <w:lang w:val="en-IN"/>
        </w:rPr>
        <w:t>Module Code: LCBB6004</w:t>
      </w:r>
    </w:p>
    <w:p w14:paraId="4175BB25" w14:textId="77777777" w:rsidR="00197C0A" w:rsidRPr="00D76F6C" w:rsidRDefault="00197C0A" w:rsidP="00197C0A">
      <w:pPr>
        <w:spacing w:line="240" w:lineRule="auto"/>
        <w:ind w:firstLine="454"/>
        <w:rPr>
          <w:rFonts w:ascii="Arial" w:hAnsi="Arial" w:cs="Arial"/>
          <w:b/>
          <w:bCs/>
          <w:lang w:val="en-IN"/>
        </w:rPr>
      </w:pPr>
      <w:r w:rsidRPr="00D76F6C">
        <w:rPr>
          <w:rFonts w:ascii="Arial" w:hAnsi="Arial" w:cs="Arial"/>
          <w:b/>
          <w:bCs/>
          <w:lang w:val="en-IN"/>
        </w:rPr>
        <w:t xml:space="preserve">Module </w:t>
      </w:r>
      <w:r>
        <w:rPr>
          <w:rFonts w:ascii="Arial" w:hAnsi="Arial" w:cs="Arial"/>
          <w:b/>
          <w:bCs/>
          <w:lang w:val="en-IN"/>
        </w:rPr>
        <w:t>Leader:</w:t>
      </w:r>
      <w:r w:rsidRPr="00197C0A">
        <w:rPr>
          <w:rFonts w:ascii="Arial" w:eastAsia="Times New Roman" w:hAnsi="Arial" w:cs="Times New Roman"/>
          <w:b/>
          <w:bCs/>
          <w:szCs w:val="40"/>
        </w:rPr>
        <w:t xml:space="preserve"> </w:t>
      </w:r>
      <w:proofErr w:type="spellStart"/>
      <w:r w:rsidRPr="00197C0A">
        <w:rPr>
          <w:rFonts w:ascii="Arial" w:hAnsi="Arial" w:cs="Arial"/>
          <w:b/>
          <w:bCs/>
        </w:rPr>
        <w:t>Piyumika</w:t>
      </w:r>
      <w:proofErr w:type="spellEnd"/>
      <w:r w:rsidRPr="00197C0A">
        <w:rPr>
          <w:rFonts w:ascii="Arial" w:hAnsi="Arial" w:cs="Arial"/>
          <w:b/>
          <w:bCs/>
        </w:rPr>
        <w:t xml:space="preserve"> K. Gamage</w:t>
      </w:r>
    </w:p>
    <w:p w14:paraId="19AF453B" w14:textId="6A17FC2E" w:rsidR="00D76F6C" w:rsidRPr="00D76F6C" w:rsidRDefault="00197C0A" w:rsidP="00197C0A">
      <w:pPr>
        <w:spacing w:line="240" w:lineRule="auto"/>
        <w:rPr>
          <w:rFonts w:ascii="Arial" w:hAnsi="Arial" w:cs="Arial"/>
          <w:b/>
          <w:bCs/>
          <w:lang w:val="en-IN"/>
        </w:rPr>
      </w:pPr>
      <w:r>
        <w:rPr>
          <w:rFonts w:ascii="Arial" w:hAnsi="Arial" w:cs="Arial"/>
          <w:b/>
          <w:bCs/>
          <w:lang w:val="en-IN"/>
        </w:rPr>
        <w:t xml:space="preserve">       </w:t>
      </w:r>
      <w:r w:rsidR="00D76F6C" w:rsidRPr="00D76F6C">
        <w:rPr>
          <w:rFonts w:ascii="Arial" w:hAnsi="Arial" w:cs="Arial"/>
          <w:b/>
          <w:bCs/>
          <w:lang w:val="en-IN"/>
        </w:rPr>
        <w:t>Student Name: Emanuel Georgian Puiu</w:t>
      </w:r>
    </w:p>
    <w:p w14:paraId="73FF9B4F" w14:textId="6BA069CD" w:rsidR="00D76F6C" w:rsidRPr="00D76F6C" w:rsidRDefault="00D76F6C" w:rsidP="00D76F6C">
      <w:pPr>
        <w:spacing w:line="240" w:lineRule="auto"/>
        <w:ind w:firstLine="454"/>
        <w:rPr>
          <w:rFonts w:ascii="Arial" w:hAnsi="Arial" w:cs="Arial"/>
          <w:b/>
          <w:bCs/>
          <w:lang w:val="en-IN"/>
        </w:rPr>
      </w:pPr>
      <w:r w:rsidRPr="00D76F6C">
        <w:rPr>
          <w:rFonts w:ascii="Arial" w:hAnsi="Arial" w:cs="Arial"/>
          <w:b/>
          <w:bCs/>
          <w:lang w:val="en-IN"/>
        </w:rPr>
        <w:t xml:space="preserve">Student ID: </w:t>
      </w:r>
      <w:r>
        <w:rPr>
          <w:rFonts w:ascii="Arial" w:eastAsia="Times New Roman" w:hAnsi="Arial" w:cs="Times New Roman"/>
          <w:b/>
          <w:bCs/>
          <w:szCs w:val="40"/>
        </w:rPr>
        <w:t>2130778</w:t>
      </w:r>
    </w:p>
    <w:p w14:paraId="0F1F3F81" w14:textId="3A184002" w:rsidR="00D76F6C" w:rsidRPr="00D76F6C" w:rsidRDefault="00D76F6C" w:rsidP="00D76F6C">
      <w:pPr>
        <w:spacing w:line="360" w:lineRule="auto"/>
        <w:rPr>
          <w:rFonts w:ascii="Arial" w:hAnsi="Arial" w:cs="Arial"/>
          <w:lang w:val="en-IN"/>
        </w:rPr>
      </w:pPr>
    </w:p>
    <w:sdt>
      <w:sdtPr>
        <w:rPr>
          <w:rFonts w:ascii="Arial" w:hAnsi="Arial" w:cs="Arial"/>
          <w:bCs/>
          <w:lang w:val="en-IN"/>
        </w:rPr>
        <w:id w:val="-188372466"/>
        <w:docPartObj>
          <w:docPartGallery w:val="Table of Contents"/>
          <w:docPartUnique/>
        </w:docPartObj>
      </w:sdtPr>
      <w:sdtEndPr/>
      <w:sdtContent>
        <w:p w14:paraId="3CD3FCF3" w14:textId="77777777" w:rsidR="00D76F6C" w:rsidRPr="00D76F6C" w:rsidRDefault="00D76F6C" w:rsidP="00D76F6C">
          <w:pPr>
            <w:spacing w:line="360" w:lineRule="auto"/>
            <w:rPr>
              <w:rFonts w:ascii="Arial" w:hAnsi="Arial" w:cs="Arial"/>
              <w:bCs/>
              <w:lang w:val="en-US"/>
            </w:rPr>
          </w:pPr>
          <w:r w:rsidRPr="00D76F6C">
            <w:rPr>
              <w:rFonts w:ascii="Arial" w:hAnsi="Arial" w:cs="Arial"/>
              <w:b/>
              <w:bCs/>
              <w:lang w:val="en-US"/>
            </w:rPr>
            <w:t>Table of Contents</w:t>
          </w:r>
        </w:p>
        <w:p w14:paraId="2B9BBBE3" w14:textId="4C742970"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fldChar w:fldCharType="begin"/>
          </w:r>
          <w:r w:rsidRPr="00D76F6C">
            <w:rPr>
              <w:rFonts w:ascii="Arial" w:hAnsi="Arial" w:cs="Arial"/>
              <w:lang w:val="en-IN"/>
            </w:rPr>
            <w:instrText xml:space="preserve"> TOC \o "1-3" \h \z \u </w:instrText>
          </w:r>
          <w:r w:rsidRPr="00D76F6C">
            <w:rPr>
              <w:rFonts w:ascii="Arial" w:hAnsi="Arial" w:cs="Arial"/>
              <w:lang w:val="en-IN"/>
            </w:rPr>
            <w:fldChar w:fldCharType="separate"/>
          </w:r>
          <w:hyperlink r:id="rId8" w:anchor="_Toc213708825" w:history="1">
            <w:r w:rsidRPr="00D76F6C">
              <w:rPr>
                <w:rStyle w:val="Hyperlink"/>
                <w:rFonts w:ascii="Arial" w:hAnsi="Arial" w:cs="Arial"/>
                <w:bCs/>
                <w:lang w:val="en-IN"/>
              </w:rPr>
              <w:t>Introduction</w:t>
            </w:r>
            <w:r w:rsidRPr="00D76F6C">
              <w:rPr>
                <w:rStyle w:val="Hyperlink"/>
                <w:rFonts w:ascii="Arial" w:hAnsi="Arial" w:cs="Arial"/>
                <w:webHidden/>
                <w:lang w:val="en-IN"/>
              </w:rPr>
              <w:tab/>
            </w:r>
            <w:r w:rsidR="00197C0A">
              <w:rPr>
                <w:rStyle w:val="Hyperlink"/>
                <w:rFonts w:ascii="Arial" w:hAnsi="Arial" w:cs="Arial"/>
                <w:webHidden/>
                <w:lang w:val="en-IN"/>
              </w:rPr>
              <w:t xml:space="preserve">                                  </w:t>
            </w:r>
            <w:r w:rsidRPr="00D76F6C">
              <w:rPr>
                <w:rStyle w:val="Hyperlink"/>
                <w:rFonts w:ascii="Arial" w:hAnsi="Arial" w:cs="Arial"/>
                <w:webHidden/>
                <w:lang w:val="en-IN"/>
              </w:rPr>
              <w:fldChar w:fldCharType="begin"/>
            </w:r>
            <w:r w:rsidRPr="00D76F6C">
              <w:rPr>
                <w:rStyle w:val="Hyperlink"/>
                <w:rFonts w:ascii="Arial" w:hAnsi="Arial" w:cs="Arial"/>
                <w:webHidden/>
                <w:lang w:val="en-IN"/>
              </w:rPr>
              <w:instrText xml:space="preserve"> PAGEREF _Toc213708825 \h </w:instrText>
            </w:r>
            <w:r w:rsidRPr="00D76F6C">
              <w:rPr>
                <w:rStyle w:val="Hyperlink"/>
                <w:rFonts w:ascii="Arial" w:hAnsi="Arial" w:cs="Arial"/>
                <w:webHidden/>
                <w:lang w:val="en-IN"/>
              </w:rPr>
            </w:r>
            <w:r w:rsidRPr="00D76F6C">
              <w:rPr>
                <w:rStyle w:val="Hyperlink"/>
                <w:rFonts w:ascii="Arial" w:hAnsi="Arial" w:cs="Arial"/>
                <w:webHidden/>
                <w:lang w:val="en-IN"/>
              </w:rPr>
              <w:fldChar w:fldCharType="separate"/>
            </w:r>
            <w:r w:rsidRPr="00D76F6C">
              <w:rPr>
                <w:rStyle w:val="Hyperlink"/>
                <w:rFonts w:ascii="Arial" w:hAnsi="Arial" w:cs="Arial"/>
                <w:webHidden/>
                <w:lang w:val="en-IN"/>
              </w:rPr>
              <w:t>4</w:t>
            </w:r>
            <w:r w:rsidRPr="00D76F6C">
              <w:rPr>
                <w:rStyle w:val="Hyperlink"/>
                <w:rFonts w:ascii="Arial" w:hAnsi="Arial" w:cs="Arial"/>
                <w:webHidden/>
              </w:rPr>
              <w:fldChar w:fldCharType="end"/>
            </w:r>
          </w:hyperlink>
        </w:p>
        <w:p w14:paraId="1083C37E" w14:textId="77777777" w:rsidR="00D76F6C" w:rsidRPr="00D76F6C" w:rsidRDefault="00D76F6C" w:rsidP="00D76F6C">
          <w:pPr>
            <w:spacing w:line="360" w:lineRule="auto"/>
            <w:ind w:firstLine="454"/>
            <w:rPr>
              <w:rFonts w:ascii="Arial" w:hAnsi="Arial" w:cs="Arial"/>
              <w:lang w:val="en-IN"/>
            </w:rPr>
          </w:pPr>
          <w:hyperlink r:id="rId9" w:anchor="_Toc213708826" w:history="1">
            <w:r w:rsidRPr="00D76F6C">
              <w:rPr>
                <w:rStyle w:val="Hyperlink"/>
                <w:rFonts w:ascii="Arial" w:hAnsi="Arial" w:cs="Arial"/>
                <w:bCs/>
                <w:lang w:val="en-IN"/>
              </w:rPr>
              <w:t>Strategy Analysis</w:t>
            </w:r>
            <w:r w:rsidRPr="00D76F6C">
              <w:rPr>
                <w:rStyle w:val="Hyperlink"/>
                <w:rFonts w:ascii="Arial" w:hAnsi="Arial" w:cs="Arial"/>
                <w:webHidden/>
                <w:lang w:val="en-IN"/>
              </w:rPr>
              <w:tab/>
            </w:r>
            <w:r w:rsidRPr="00D76F6C">
              <w:rPr>
                <w:rStyle w:val="Hyperlink"/>
                <w:rFonts w:ascii="Arial" w:hAnsi="Arial" w:cs="Arial"/>
                <w:webHidden/>
                <w:lang w:val="en-IN"/>
              </w:rPr>
              <w:fldChar w:fldCharType="begin"/>
            </w:r>
            <w:r w:rsidRPr="00D76F6C">
              <w:rPr>
                <w:rStyle w:val="Hyperlink"/>
                <w:rFonts w:ascii="Arial" w:hAnsi="Arial" w:cs="Arial"/>
                <w:webHidden/>
                <w:lang w:val="en-IN"/>
              </w:rPr>
              <w:instrText xml:space="preserve"> PAGEREF _Toc213708826 \h </w:instrText>
            </w:r>
            <w:r w:rsidRPr="00D76F6C">
              <w:rPr>
                <w:rStyle w:val="Hyperlink"/>
                <w:rFonts w:ascii="Arial" w:hAnsi="Arial" w:cs="Arial"/>
                <w:webHidden/>
                <w:lang w:val="en-IN"/>
              </w:rPr>
            </w:r>
            <w:r w:rsidRPr="00D76F6C">
              <w:rPr>
                <w:rStyle w:val="Hyperlink"/>
                <w:rFonts w:ascii="Arial" w:hAnsi="Arial" w:cs="Arial"/>
                <w:webHidden/>
                <w:lang w:val="en-IN"/>
              </w:rPr>
              <w:fldChar w:fldCharType="separate"/>
            </w:r>
            <w:r w:rsidRPr="00D76F6C">
              <w:rPr>
                <w:rStyle w:val="Hyperlink"/>
                <w:rFonts w:ascii="Arial" w:hAnsi="Arial" w:cs="Arial"/>
                <w:webHidden/>
                <w:lang w:val="en-IN"/>
              </w:rPr>
              <w:t>5</w:t>
            </w:r>
            <w:r w:rsidRPr="00D76F6C">
              <w:rPr>
                <w:rStyle w:val="Hyperlink"/>
                <w:rFonts w:ascii="Arial" w:hAnsi="Arial" w:cs="Arial"/>
                <w:webHidden/>
              </w:rPr>
              <w:fldChar w:fldCharType="end"/>
            </w:r>
          </w:hyperlink>
        </w:p>
        <w:p w14:paraId="29EF6BF3" w14:textId="4D8FCC59" w:rsidR="00D76F6C" w:rsidRPr="00D76F6C" w:rsidRDefault="00D76F6C" w:rsidP="00D76F6C">
          <w:pPr>
            <w:spacing w:line="360" w:lineRule="auto"/>
            <w:ind w:firstLine="454"/>
            <w:rPr>
              <w:rFonts w:ascii="Arial" w:hAnsi="Arial" w:cs="Arial"/>
              <w:lang w:val="en-IN"/>
            </w:rPr>
          </w:pPr>
          <w:hyperlink r:id="rId10" w:anchor="_Toc213708827" w:history="1">
            <w:r w:rsidRPr="00D76F6C">
              <w:rPr>
                <w:rStyle w:val="Hyperlink"/>
                <w:rFonts w:ascii="Arial" w:hAnsi="Arial" w:cs="Arial"/>
                <w:bCs/>
                <w:lang w:val="en-IN"/>
              </w:rPr>
              <w:t>1. External Environment Audit</w:t>
            </w:r>
            <w:r w:rsidRPr="00D76F6C">
              <w:rPr>
                <w:rStyle w:val="Hyperlink"/>
                <w:rFonts w:ascii="Arial" w:hAnsi="Arial" w:cs="Arial"/>
                <w:webHidden/>
                <w:lang w:val="en-IN"/>
              </w:rPr>
              <w:tab/>
            </w:r>
            <w:r w:rsidR="00197C0A">
              <w:rPr>
                <w:rStyle w:val="Hyperlink"/>
                <w:rFonts w:ascii="Arial" w:hAnsi="Arial" w:cs="Arial"/>
                <w:webHidden/>
                <w:lang w:val="en-IN"/>
              </w:rPr>
              <w:t xml:space="preserve">            </w:t>
            </w:r>
            <w:r w:rsidRPr="00D76F6C">
              <w:rPr>
                <w:rStyle w:val="Hyperlink"/>
                <w:rFonts w:ascii="Arial" w:hAnsi="Arial" w:cs="Arial"/>
                <w:webHidden/>
                <w:lang w:val="en-IN"/>
              </w:rPr>
              <w:fldChar w:fldCharType="begin"/>
            </w:r>
            <w:r w:rsidRPr="00D76F6C">
              <w:rPr>
                <w:rStyle w:val="Hyperlink"/>
                <w:rFonts w:ascii="Arial" w:hAnsi="Arial" w:cs="Arial"/>
                <w:webHidden/>
                <w:lang w:val="en-IN"/>
              </w:rPr>
              <w:instrText xml:space="preserve"> PAGEREF _Toc213708827 \h </w:instrText>
            </w:r>
            <w:r w:rsidRPr="00D76F6C">
              <w:rPr>
                <w:rStyle w:val="Hyperlink"/>
                <w:rFonts w:ascii="Arial" w:hAnsi="Arial" w:cs="Arial"/>
                <w:webHidden/>
                <w:lang w:val="en-IN"/>
              </w:rPr>
            </w:r>
            <w:r w:rsidRPr="00D76F6C">
              <w:rPr>
                <w:rStyle w:val="Hyperlink"/>
                <w:rFonts w:ascii="Arial" w:hAnsi="Arial" w:cs="Arial"/>
                <w:webHidden/>
                <w:lang w:val="en-IN"/>
              </w:rPr>
              <w:fldChar w:fldCharType="separate"/>
            </w:r>
            <w:r w:rsidRPr="00D76F6C">
              <w:rPr>
                <w:rStyle w:val="Hyperlink"/>
                <w:rFonts w:ascii="Arial" w:hAnsi="Arial" w:cs="Arial"/>
                <w:webHidden/>
                <w:lang w:val="en-IN"/>
              </w:rPr>
              <w:t>5</w:t>
            </w:r>
            <w:r w:rsidRPr="00D76F6C">
              <w:rPr>
                <w:rStyle w:val="Hyperlink"/>
                <w:rFonts w:ascii="Arial" w:hAnsi="Arial" w:cs="Arial"/>
                <w:webHidden/>
              </w:rPr>
              <w:fldChar w:fldCharType="end"/>
            </w:r>
          </w:hyperlink>
        </w:p>
        <w:p w14:paraId="610D2570" w14:textId="23DA85B8" w:rsidR="00D76F6C" w:rsidRPr="00D76F6C" w:rsidRDefault="00D76F6C" w:rsidP="00D76F6C">
          <w:pPr>
            <w:spacing w:line="360" w:lineRule="auto"/>
            <w:ind w:firstLine="454"/>
            <w:rPr>
              <w:rFonts w:ascii="Arial" w:hAnsi="Arial" w:cs="Arial"/>
              <w:lang w:val="en-IN"/>
            </w:rPr>
          </w:pPr>
          <w:hyperlink r:id="rId11" w:anchor="_Toc213708828" w:history="1">
            <w:r w:rsidRPr="00D76F6C">
              <w:rPr>
                <w:rStyle w:val="Hyperlink"/>
                <w:rFonts w:ascii="Arial" w:hAnsi="Arial" w:cs="Arial"/>
                <w:bCs/>
                <w:lang w:val="en-IN"/>
              </w:rPr>
              <w:t>2. Internal Environment Audit</w:t>
            </w:r>
            <w:r w:rsidRPr="00D76F6C">
              <w:rPr>
                <w:rStyle w:val="Hyperlink"/>
                <w:rFonts w:ascii="Arial" w:hAnsi="Arial" w:cs="Arial"/>
                <w:webHidden/>
                <w:lang w:val="en-IN"/>
              </w:rPr>
              <w:tab/>
            </w:r>
            <w:r w:rsidR="00197C0A">
              <w:rPr>
                <w:rStyle w:val="Hyperlink"/>
                <w:rFonts w:ascii="Arial" w:hAnsi="Arial" w:cs="Arial"/>
                <w:webHidden/>
                <w:lang w:val="en-IN"/>
              </w:rPr>
              <w:t xml:space="preserve">            </w:t>
            </w:r>
            <w:r w:rsidRPr="00D76F6C">
              <w:rPr>
                <w:rStyle w:val="Hyperlink"/>
                <w:rFonts w:ascii="Arial" w:hAnsi="Arial" w:cs="Arial"/>
                <w:webHidden/>
                <w:lang w:val="en-IN"/>
              </w:rPr>
              <w:fldChar w:fldCharType="begin"/>
            </w:r>
            <w:r w:rsidRPr="00D76F6C">
              <w:rPr>
                <w:rStyle w:val="Hyperlink"/>
                <w:rFonts w:ascii="Arial" w:hAnsi="Arial" w:cs="Arial"/>
                <w:webHidden/>
                <w:lang w:val="en-IN"/>
              </w:rPr>
              <w:instrText xml:space="preserve"> PAGEREF _Toc213708828 \h </w:instrText>
            </w:r>
            <w:r w:rsidRPr="00D76F6C">
              <w:rPr>
                <w:rStyle w:val="Hyperlink"/>
                <w:rFonts w:ascii="Arial" w:hAnsi="Arial" w:cs="Arial"/>
                <w:webHidden/>
                <w:lang w:val="en-IN"/>
              </w:rPr>
            </w:r>
            <w:r w:rsidRPr="00D76F6C">
              <w:rPr>
                <w:rStyle w:val="Hyperlink"/>
                <w:rFonts w:ascii="Arial" w:hAnsi="Arial" w:cs="Arial"/>
                <w:webHidden/>
                <w:lang w:val="en-IN"/>
              </w:rPr>
              <w:fldChar w:fldCharType="separate"/>
            </w:r>
            <w:r w:rsidRPr="00D76F6C">
              <w:rPr>
                <w:rStyle w:val="Hyperlink"/>
                <w:rFonts w:ascii="Arial" w:hAnsi="Arial" w:cs="Arial"/>
                <w:webHidden/>
                <w:lang w:val="en-IN"/>
              </w:rPr>
              <w:t>8</w:t>
            </w:r>
            <w:r w:rsidRPr="00D76F6C">
              <w:rPr>
                <w:rStyle w:val="Hyperlink"/>
                <w:rFonts w:ascii="Arial" w:hAnsi="Arial" w:cs="Arial"/>
                <w:webHidden/>
              </w:rPr>
              <w:fldChar w:fldCharType="end"/>
            </w:r>
          </w:hyperlink>
        </w:p>
        <w:p w14:paraId="5062238F" w14:textId="430AB9B4" w:rsidR="00D76F6C" w:rsidRPr="00D76F6C" w:rsidRDefault="00D76F6C" w:rsidP="00D76F6C">
          <w:pPr>
            <w:spacing w:line="360" w:lineRule="auto"/>
            <w:ind w:firstLine="454"/>
            <w:rPr>
              <w:rFonts w:ascii="Arial" w:hAnsi="Arial" w:cs="Arial"/>
              <w:lang w:val="en-IN"/>
            </w:rPr>
          </w:pPr>
          <w:hyperlink r:id="rId12" w:anchor="_Toc213708829" w:history="1">
            <w:r w:rsidRPr="00D76F6C">
              <w:rPr>
                <w:rStyle w:val="Hyperlink"/>
                <w:rFonts w:ascii="Arial" w:hAnsi="Arial" w:cs="Arial"/>
                <w:bCs/>
                <w:lang w:val="en-IN"/>
              </w:rPr>
              <w:t>3. SWOT Analysis</w:t>
            </w:r>
            <w:r w:rsidRPr="00D76F6C">
              <w:rPr>
                <w:rStyle w:val="Hyperlink"/>
                <w:rFonts w:ascii="Arial" w:hAnsi="Arial" w:cs="Arial"/>
                <w:webHidden/>
                <w:lang w:val="en-IN"/>
              </w:rPr>
              <w:tab/>
            </w:r>
            <w:r w:rsidR="00197C0A">
              <w:rPr>
                <w:rStyle w:val="Hyperlink"/>
                <w:rFonts w:ascii="Arial" w:hAnsi="Arial" w:cs="Arial"/>
                <w:webHidden/>
                <w:lang w:val="en-IN"/>
              </w:rPr>
              <w:t xml:space="preserve">                      </w:t>
            </w:r>
            <w:r w:rsidRPr="00D76F6C">
              <w:rPr>
                <w:rStyle w:val="Hyperlink"/>
                <w:rFonts w:ascii="Arial" w:hAnsi="Arial" w:cs="Arial"/>
                <w:webHidden/>
                <w:lang w:val="en-IN"/>
              </w:rPr>
              <w:fldChar w:fldCharType="begin"/>
            </w:r>
            <w:r w:rsidRPr="00D76F6C">
              <w:rPr>
                <w:rStyle w:val="Hyperlink"/>
                <w:rFonts w:ascii="Arial" w:hAnsi="Arial" w:cs="Arial"/>
                <w:webHidden/>
                <w:lang w:val="en-IN"/>
              </w:rPr>
              <w:instrText xml:space="preserve"> PAGEREF _Toc213708829 \h </w:instrText>
            </w:r>
            <w:r w:rsidRPr="00D76F6C">
              <w:rPr>
                <w:rStyle w:val="Hyperlink"/>
                <w:rFonts w:ascii="Arial" w:hAnsi="Arial" w:cs="Arial"/>
                <w:webHidden/>
                <w:lang w:val="en-IN"/>
              </w:rPr>
            </w:r>
            <w:r w:rsidRPr="00D76F6C">
              <w:rPr>
                <w:rStyle w:val="Hyperlink"/>
                <w:rFonts w:ascii="Arial" w:hAnsi="Arial" w:cs="Arial"/>
                <w:webHidden/>
                <w:lang w:val="en-IN"/>
              </w:rPr>
              <w:fldChar w:fldCharType="separate"/>
            </w:r>
            <w:r w:rsidRPr="00D76F6C">
              <w:rPr>
                <w:rStyle w:val="Hyperlink"/>
                <w:rFonts w:ascii="Arial" w:hAnsi="Arial" w:cs="Arial"/>
                <w:webHidden/>
                <w:lang w:val="en-IN"/>
              </w:rPr>
              <w:t>10</w:t>
            </w:r>
            <w:r w:rsidRPr="00D76F6C">
              <w:rPr>
                <w:rStyle w:val="Hyperlink"/>
                <w:rFonts w:ascii="Arial" w:hAnsi="Arial" w:cs="Arial"/>
                <w:webHidden/>
              </w:rPr>
              <w:fldChar w:fldCharType="end"/>
            </w:r>
          </w:hyperlink>
        </w:p>
        <w:p w14:paraId="5FFB180A" w14:textId="26F0D678" w:rsidR="00D76F6C" w:rsidRPr="00D76F6C" w:rsidRDefault="00D76F6C" w:rsidP="00D76F6C">
          <w:pPr>
            <w:spacing w:line="360" w:lineRule="auto"/>
            <w:ind w:firstLine="454"/>
            <w:rPr>
              <w:rFonts w:ascii="Arial" w:hAnsi="Arial" w:cs="Arial"/>
              <w:lang w:val="en-IN"/>
            </w:rPr>
          </w:pPr>
          <w:hyperlink r:id="rId13" w:anchor="_Toc213708830" w:history="1">
            <w:r w:rsidRPr="00D76F6C">
              <w:rPr>
                <w:rStyle w:val="Hyperlink"/>
                <w:rFonts w:ascii="Arial" w:hAnsi="Arial" w:cs="Arial"/>
                <w:bCs/>
                <w:lang w:val="en-IN"/>
              </w:rPr>
              <w:t>Strategy Formulation</w:t>
            </w:r>
            <w:r w:rsidRPr="00D76F6C">
              <w:rPr>
                <w:rStyle w:val="Hyperlink"/>
                <w:rFonts w:ascii="Arial" w:hAnsi="Arial" w:cs="Arial"/>
                <w:webHidden/>
                <w:lang w:val="en-IN"/>
              </w:rPr>
              <w:tab/>
            </w:r>
            <w:r w:rsidR="00197C0A">
              <w:rPr>
                <w:rStyle w:val="Hyperlink"/>
                <w:rFonts w:ascii="Arial" w:hAnsi="Arial" w:cs="Arial"/>
                <w:webHidden/>
                <w:lang w:val="en-IN"/>
              </w:rPr>
              <w:t xml:space="preserve">                      </w:t>
            </w:r>
            <w:r w:rsidRPr="00D76F6C">
              <w:rPr>
                <w:rStyle w:val="Hyperlink"/>
                <w:rFonts w:ascii="Arial" w:hAnsi="Arial" w:cs="Arial"/>
                <w:webHidden/>
                <w:lang w:val="en-IN"/>
              </w:rPr>
              <w:fldChar w:fldCharType="begin"/>
            </w:r>
            <w:r w:rsidRPr="00D76F6C">
              <w:rPr>
                <w:rStyle w:val="Hyperlink"/>
                <w:rFonts w:ascii="Arial" w:hAnsi="Arial" w:cs="Arial"/>
                <w:webHidden/>
                <w:lang w:val="en-IN"/>
              </w:rPr>
              <w:instrText xml:space="preserve"> PAGEREF _Toc213708830 \h </w:instrText>
            </w:r>
            <w:r w:rsidRPr="00D76F6C">
              <w:rPr>
                <w:rStyle w:val="Hyperlink"/>
                <w:rFonts w:ascii="Arial" w:hAnsi="Arial" w:cs="Arial"/>
                <w:webHidden/>
                <w:lang w:val="en-IN"/>
              </w:rPr>
            </w:r>
            <w:r w:rsidRPr="00D76F6C">
              <w:rPr>
                <w:rStyle w:val="Hyperlink"/>
                <w:rFonts w:ascii="Arial" w:hAnsi="Arial" w:cs="Arial"/>
                <w:webHidden/>
                <w:lang w:val="en-IN"/>
              </w:rPr>
              <w:fldChar w:fldCharType="separate"/>
            </w:r>
            <w:r w:rsidRPr="00D76F6C">
              <w:rPr>
                <w:rStyle w:val="Hyperlink"/>
                <w:rFonts w:ascii="Arial" w:hAnsi="Arial" w:cs="Arial"/>
                <w:webHidden/>
                <w:lang w:val="en-IN"/>
              </w:rPr>
              <w:t>12</w:t>
            </w:r>
            <w:r w:rsidRPr="00D76F6C">
              <w:rPr>
                <w:rStyle w:val="Hyperlink"/>
                <w:rFonts w:ascii="Arial" w:hAnsi="Arial" w:cs="Arial"/>
                <w:webHidden/>
              </w:rPr>
              <w:fldChar w:fldCharType="end"/>
            </w:r>
          </w:hyperlink>
        </w:p>
        <w:p w14:paraId="3ED61179" w14:textId="77777777" w:rsidR="00D76F6C" w:rsidRPr="00D76F6C" w:rsidRDefault="00D76F6C" w:rsidP="00D76F6C">
          <w:pPr>
            <w:spacing w:line="360" w:lineRule="auto"/>
            <w:ind w:firstLine="454"/>
            <w:rPr>
              <w:rFonts w:ascii="Arial" w:hAnsi="Arial" w:cs="Arial"/>
              <w:lang w:val="en-IN"/>
            </w:rPr>
          </w:pPr>
          <w:hyperlink r:id="rId14" w:anchor="_Toc213708831" w:history="1">
            <w:r w:rsidRPr="00D76F6C">
              <w:rPr>
                <w:rStyle w:val="Hyperlink"/>
                <w:rFonts w:ascii="Arial" w:hAnsi="Arial" w:cs="Arial"/>
                <w:lang w:val="en-IN"/>
              </w:rPr>
              <w:t>Conclusion and Recommendations</w:t>
            </w:r>
            <w:r w:rsidRPr="00D76F6C">
              <w:rPr>
                <w:rStyle w:val="Hyperlink"/>
                <w:rFonts w:ascii="Arial" w:hAnsi="Arial" w:cs="Arial"/>
                <w:webHidden/>
                <w:lang w:val="en-IN"/>
              </w:rPr>
              <w:tab/>
            </w:r>
            <w:r w:rsidRPr="00D76F6C">
              <w:rPr>
                <w:rStyle w:val="Hyperlink"/>
                <w:rFonts w:ascii="Arial" w:hAnsi="Arial" w:cs="Arial"/>
                <w:webHidden/>
                <w:lang w:val="en-IN"/>
              </w:rPr>
              <w:fldChar w:fldCharType="begin"/>
            </w:r>
            <w:r w:rsidRPr="00D76F6C">
              <w:rPr>
                <w:rStyle w:val="Hyperlink"/>
                <w:rFonts w:ascii="Arial" w:hAnsi="Arial" w:cs="Arial"/>
                <w:webHidden/>
                <w:lang w:val="en-IN"/>
              </w:rPr>
              <w:instrText xml:space="preserve"> PAGEREF _Toc213708831 \h </w:instrText>
            </w:r>
            <w:r w:rsidRPr="00D76F6C">
              <w:rPr>
                <w:rStyle w:val="Hyperlink"/>
                <w:rFonts w:ascii="Arial" w:hAnsi="Arial" w:cs="Arial"/>
                <w:webHidden/>
                <w:lang w:val="en-IN"/>
              </w:rPr>
            </w:r>
            <w:r w:rsidRPr="00D76F6C">
              <w:rPr>
                <w:rStyle w:val="Hyperlink"/>
                <w:rFonts w:ascii="Arial" w:hAnsi="Arial" w:cs="Arial"/>
                <w:webHidden/>
                <w:lang w:val="en-IN"/>
              </w:rPr>
              <w:fldChar w:fldCharType="separate"/>
            </w:r>
            <w:r w:rsidRPr="00D76F6C">
              <w:rPr>
                <w:rStyle w:val="Hyperlink"/>
                <w:rFonts w:ascii="Arial" w:hAnsi="Arial" w:cs="Arial"/>
                <w:webHidden/>
                <w:lang w:val="en-IN"/>
              </w:rPr>
              <w:t>14</w:t>
            </w:r>
            <w:r w:rsidRPr="00D76F6C">
              <w:rPr>
                <w:rStyle w:val="Hyperlink"/>
                <w:rFonts w:ascii="Arial" w:hAnsi="Arial" w:cs="Arial"/>
                <w:webHidden/>
              </w:rPr>
              <w:fldChar w:fldCharType="end"/>
            </w:r>
          </w:hyperlink>
        </w:p>
        <w:p w14:paraId="356920A1" w14:textId="393C05D3" w:rsidR="00D76F6C" w:rsidRPr="00D76F6C" w:rsidRDefault="00D76F6C" w:rsidP="00D76F6C">
          <w:pPr>
            <w:spacing w:line="360" w:lineRule="auto"/>
            <w:ind w:firstLine="454"/>
            <w:rPr>
              <w:rFonts w:ascii="Arial" w:hAnsi="Arial" w:cs="Arial"/>
              <w:lang w:val="en-IN"/>
            </w:rPr>
          </w:pPr>
          <w:hyperlink r:id="rId15" w:anchor="_Toc213708832" w:history="1">
            <w:r w:rsidRPr="00D76F6C">
              <w:rPr>
                <w:rStyle w:val="Hyperlink"/>
                <w:rFonts w:ascii="Arial" w:hAnsi="Arial" w:cs="Arial"/>
                <w:bCs/>
                <w:lang w:val="en-IN"/>
              </w:rPr>
              <w:t>References</w:t>
            </w:r>
            <w:r w:rsidRPr="00D76F6C">
              <w:rPr>
                <w:rStyle w:val="Hyperlink"/>
                <w:rFonts w:ascii="Arial" w:hAnsi="Arial" w:cs="Arial"/>
                <w:webHidden/>
                <w:lang w:val="en-IN"/>
              </w:rPr>
              <w:tab/>
            </w:r>
            <w:r w:rsidR="00197C0A">
              <w:rPr>
                <w:rStyle w:val="Hyperlink"/>
                <w:rFonts w:ascii="Arial" w:hAnsi="Arial" w:cs="Arial"/>
                <w:webHidden/>
                <w:lang w:val="en-IN"/>
              </w:rPr>
              <w:t xml:space="preserve">                                   </w:t>
            </w:r>
            <w:r w:rsidRPr="00D76F6C">
              <w:rPr>
                <w:rStyle w:val="Hyperlink"/>
                <w:rFonts w:ascii="Arial" w:hAnsi="Arial" w:cs="Arial"/>
                <w:webHidden/>
                <w:lang w:val="en-IN"/>
              </w:rPr>
              <w:fldChar w:fldCharType="begin"/>
            </w:r>
            <w:r w:rsidRPr="00D76F6C">
              <w:rPr>
                <w:rStyle w:val="Hyperlink"/>
                <w:rFonts w:ascii="Arial" w:hAnsi="Arial" w:cs="Arial"/>
                <w:webHidden/>
                <w:lang w:val="en-IN"/>
              </w:rPr>
              <w:instrText xml:space="preserve"> PAGEREF _Toc213708832 \h </w:instrText>
            </w:r>
            <w:r w:rsidRPr="00D76F6C">
              <w:rPr>
                <w:rStyle w:val="Hyperlink"/>
                <w:rFonts w:ascii="Arial" w:hAnsi="Arial" w:cs="Arial"/>
                <w:webHidden/>
                <w:lang w:val="en-IN"/>
              </w:rPr>
            </w:r>
            <w:r w:rsidRPr="00D76F6C">
              <w:rPr>
                <w:rStyle w:val="Hyperlink"/>
                <w:rFonts w:ascii="Arial" w:hAnsi="Arial" w:cs="Arial"/>
                <w:webHidden/>
                <w:lang w:val="en-IN"/>
              </w:rPr>
              <w:fldChar w:fldCharType="separate"/>
            </w:r>
            <w:r w:rsidRPr="00D76F6C">
              <w:rPr>
                <w:rStyle w:val="Hyperlink"/>
                <w:rFonts w:ascii="Arial" w:hAnsi="Arial" w:cs="Arial"/>
                <w:webHidden/>
                <w:lang w:val="en-IN"/>
              </w:rPr>
              <w:t>15</w:t>
            </w:r>
            <w:r w:rsidRPr="00D76F6C">
              <w:rPr>
                <w:rStyle w:val="Hyperlink"/>
                <w:rFonts w:ascii="Arial" w:hAnsi="Arial" w:cs="Arial"/>
                <w:webHidden/>
              </w:rPr>
              <w:fldChar w:fldCharType="end"/>
            </w:r>
          </w:hyperlink>
        </w:p>
        <w:p w14:paraId="1D1599E1"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rPr>
            <w:fldChar w:fldCharType="end"/>
          </w:r>
        </w:p>
      </w:sdtContent>
    </w:sdt>
    <w:p w14:paraId="60BD1AF6" w14:textId="77777777" w:rsidR="00D76F6C" w:rsidRPr="00D76F6C" w:rsidRDefault="00D76F6C" w:rsidP="00D76F6C">
      <w:pPr>
        <w:spacing w:line="360" w:lineRule="auto"/>
        <w:ind w:firstLine="454"/>
        <w:rPr>
          <w:rFonts w:ascii="Arial" w:hAnsi="Arial" w:cs="Arial"/>
          <w:b/>
          <w:lang w:val="en-US"/>
        </w:rPr>
      </w:pPr>
    </w:p>
    <w:p w14:paraId="51C0417B"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br w:type="page"/>
      </w:r>
    </w:p>
    <w:p w14:paraId="579CFE06" w14:textId="77777777" w:rsidR="00D76F6C" w:rsidRPr="00D76F6C" w:rsidRDefault="00D76F6C" w:rsidP="00D76F6C">
      <w:pPr>
        <w:spacing w:line="360" w:lineRule="auto"/>
        <w:ind w:firstLine="454"/>
        <w:rPr>
          <w:rFonts w:ascii="Arial" w:hAnsi="Arial" w:cs="Arial"/>
          <w:b/>
          <w:bCs/>
          <w:lang w:val="en-IN"/>
        </w:rPr>
      </w:pPr>
      <w:bookmarkStart w:id="0" w:name="_Toc213695742"/>
      <w:r w:rsidRPr="00D76F6C">
        <w:rPr>
          <w:rFonts w:ascii="Arial" w:hAnsi="Arial" w:cs="Arial"/>
          <w:b/>
          <w:bCs/>
          <w:lang w:val="en-IN"/>
        </w:rPr>
        <w:lastRenderedPageBreak/>
        <w:t>Executive Summary</w:t>
      </w:r>
      <w:bookmarkEnd w:id="0"/>
    </w:p>
    <w:p w14:paraId="3CCA0D10"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The present report is mainly concerned with the alteration of the UK car manufacturing sector, which is happening </w:t>
      </w:r>
      <w:proofErr w:type="gramStart"/>
      <w:r w:rsidRPr="00D76F6C">
        <w:rPr>
          <w:rFonts w:ascii="Arial" w:hAnsi="Arial" w:cs="Arial"/>
          <w:lang w:val="en-IN"/>
        </w:rPr>
        <w:t>with regard to</w:t>
      </w:r>
      <w:proofErr w:type="gramEnd"/>
      <w:r w:rsidRPr="00D76F6C">
        <w:rPr>
          <w:rFonts w:ascii="Arial" w:hAnsi="Arial" w:cs="Arial"/>
          <w:lang w:val="en-IN"/>
        </w:rPr>
        <w:t xml:space="preserve"> electric automobiles (EVs) and the environmental rules that are getting stricter and stricter. It likewise examines Jaguar Land Rover's (JLR) tactical stance amid the transformation. By employing PESTLE, Porter’s Five Forces, VRIO, and SWOT analyses, the report points out the strengths of JLR in terms of brand heritage, innovation, and financially supported by Tata. At the same time, it mentions that JLR has challenges in cost efficiency and supply resilience. The suggested strategy consisting of battery localisation and digital transformation not only improves but also makes JLR more sustainable, and future-proof in terms of operations and thus, more profitable. These actions not only present JLR as a pioneer in high-end electric mobility but also help the UK attain its wider net-zero and industrial growth goals.</w:t>
      </w:r>
      <w:r w:rsidRPr="00D76F6C">
        <w:rPr>
          <w:rFonts w:ascii="Arial" w:hAnsi="Arial" w:cs="Arial"/>
          <w:lang w:val="en-IN"/>
        </w:rPr>
        <w:br w:type="page"/>
      </w:r>
    </w:p>
    <w:p w14:paraId="2E63F355" w14:textId="77777777" w:rsidR="00D76F6C" w:rsidRPr="00D76F6C" w:rsidRDefault="00D76F6C" w:rsidP="00D76F6C">
      <w:pPr>
        <w:spacing w:line="360" w:lineRule="auto"/>
        <w:ind w:firstLine="454"/>
        <w:rPr>
          <w:rFonts w:ascii="Arial" w:hAnsi="Arial" w:cs="Arial"/>
          <w:bCs/>
          <w:lang w:val="en-IN"/>
        </w:rPr>
      </w:pPr>
      <w:bookmarkStart w:id="1" w:name="_Toc213695743"/>
      <w:bookmarkStart w:id="2" w:name="_Toc213708825"/>
      <w:r w:rsidRPr="00D76F6C">
        <w:rPr>
          <w:rFonts w:ascii="Arial" w:hAnsi="Arial" w:cs="Arial"/>
          <w:b/>
          <w:bCs/>
          <w:lang w:val="en-IN"/>
        </w:rPr>
        <w:lastRenderedPageBreak/>
        <w:t>Introduction</w:t>
      </w:r>
      <w:bookmarkEnd w:id="1"/>
      <w:bookmarkEnd w:id="2"/>
    </w:p>
    <w:p w14:paraId="4B7AD986"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Strategic management is defined as a systematic process through which organisations evaluate their internal and external environment, design strategies and take actions to accomplish long term goals (Johnson </w:t>
      </w:r>
      <w:r w:rsidRPr="00D76F6C">
        <w:rPr>
          <w:rFonts w:ascii="Arial" w:hAnsi="Arial" w:cs="Arial"/>
          <w:i/>
          <w:iCs/>
          <w:lang w:val="en-IN"/>
        </w:rPr>
        <w:t>et al.,</w:t>
      </w:r>
      <w:r w:rsidRPr="00D76F6C">
        <w:rPr>
          <w:rFonts w:ascii="Arial" w:hAnsi="Arial" w:cs="Arial"/>
          <w:lang w:val="en-IN"/>
        </w:rPr>
        <w:t xml:space="preserve"> 2017). It helps companies to integrate the resources, capabilities, and leadership decisions to maintain competitive advantage during uncertainty (Lynch, 2022). Strategic management is critical to the organisational resilience, innovation, and sustainable development in a fast-changing global economy.</w:t>
      </w:r>
    </w:p>
    <w:p w14:paraId="42F7B4C2"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The automotive industry in the UK is undergoing a radical change that is instigated by change of internal combustion engines (ICE) to electric vehicles (EVs), digitalisation, and increasing environmental policies. The industry adds to the UK economy about 78 billion a year and employs more than 800,000 people (SMMT, 2024). Nevertheless, all these difficult forces of supply-chain variability, skill voids, and a lack of charging infrastructure require strategic nimbleness and enduring innovation (IEA, 2024).</w:t>
      </w:r>
    </w:p>
    <w:p w14:paraId="33DE5077"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Jaguar Land Rover (JLR), Tata Motors owned since 2008 is the largest premium automaker in the UK whose operations are in over 120 world markets. Its products, Jaguar and Land Rover, are a model of British craftsmanship and engineering. JLR aims to transform itself into a net-zero carbon emitter by the year 2039 and transform Jaguar into an all-electric brand by 2025, as guided by its Reimagine Strategy (202139) (Jaguar Land Rover, 2024).</w:t>
      </w:r>
    </w:p>
    <w:p w14:paraId="72C1C4D6"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This report is a critical analysis of JLR within the context of its strategic position and sustainability direction using PESTLE, Porters Five Forces, Value Chain, VRIO, and SWOT analysis and concludes with a set of evidence based strategic recommendation on long term competitiveness.</w:t>
      </w:r>
    </w:p>
    <w:p w14:paraId="0EA93D42" w14:textId="3D0F2835" w:rsidR="00D76F6C" w:rsidRPr="00D76F6C" w:rsidRDefault="00D76F6C" w:rsidP="00D76F6C">
      <w:pPr>
        <w:spacing w:line="360" w:lineRule="auto"/>
        <w:ind w:firstLine="454"/>
        <w:rPr>
          <w:rFonts w:ascii="Arial" w:hAnsi="Arial" w:cs="Arial"/>
          <w:lang w:val="en-IN"/>
        </w:rPr>
      </w:pPr>
      <w:r w:rsidRPr="00D76F6C">
        <w:rPr>
          <w:rFonts w:ascii="Arial" w:hAnsi="Arial" w:cs="Arial"/>
          <w:noProof/>
          <w:lang w:val="en-IN"/>
        </w:rPr>
        <w:lastRenderedPageBreak/>
        <w:drawing>
          <wp:inline distT="0" distB="0" distL="0" distR="0" wp14:anchorId="26CD6C31" wp14:editId="02381876">
            <wp:extent cx="5505450" cy="3200400"/>
            <wp:effectExtent l="0" t="0" r="0" b="0"/>
            <wp:docPr id="931679147" name="Picture 10" descr="The state of the UK Automotive Industry - 2019 UK Automotive Trade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state of the UK Automotive Industry - 2019 UK Automotive Trade Repor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05450" cy="3200400"/>
                    </a:xfrm>
                    <a:prstGeom prst="rect">
                      <a:avLst/>
                    </a:prstGeom>
                    <a:noFill/>
                    <a:ln>
                      <a:noFill/>
                    </a:ln>
                  </pic:spPr>
                </pic:pic>
              </a:graphicData>
            </a:graphic>
          </wp:inline>
        </w:drawing>
      </w:r>
    </w:p>
    <w:p w14:paraId="0D9FB5AB" w14:textId="77777777" w:rsidR="00D76F6C" w:rsidRPr="00D76F6C" w:rsidRDefault="00D76F6C" w:rsidP="00D76F6C">
      <w:pPr>
        <w:spacing w:line="360" w:lineRule="auto"/>
        <w:ind w:firstLine="454"/>
        <w:rPr>
          <w:rFonts w:ascii="Arial" w:hAnsi="Arial" w:cs="Arial"/>
          <w:b/>
          <w:bCs/>
          <w:lang w:val="en-IN"/>
        </w:rPr>
      </w:pPr>
      <w:r w:rsidRPr="00D76F6C">
        <w:rPr>
          <w:rFonts w:ascii="Arial" w:hAnsi="Arial" w:cs="Arial"/>
          <w:b/>
          <w:bCs/>
          <w:lang w:val="en-IN"/>
        </w:rPr>
        <w:t>Figure 1. UK Automotive Industry Trade Overview</w:t>
      </w:r>
    </w:p>
    <w:p w14:paraId="4309066F" w14:textId="77777777" w:rsidR="00D76F6C" w:rsidRPr="00D76F6C" w:rsidRDefault="00D76F6C" w:rsidP="00D76F6C">
      <w:pPr>
        <w:spacing w:line="360" w:lineRule="auto"/>
        <w:ind w:firstLine="454"/>
        <w:rPr>
          <w:rFonts w:ascii="Arial" w:hAnsi="Arial" w:cs="Arial"/>
          <w:b/>
          <w:bCs/>
          <w:i/>
          <w:iCs/>
          <w:lang w:val="en-IN"/>
        </w:rPr>
      </w:pPr>
      <w:r w:rsidRPr="00D76F6C">
        <w:rPr>
          <w:rFonts w:ascii="Arial" w:hAnsi="Arial" w:cs="Arial"/>
          <w:b/>
          <w:bCs/>
          <w:i/>
          <w:iCs/>
          <w:lang w:val="en-IN"/>
        </w:rPr>
        <w:t>Source: (</w:t>
      </w:r>
      <w:proofErr w:type="spellStart"/>
      <w:r w:rsidRPr="00D76F6C">
        <w:rPr>
          <w:rFonts w:ascii="Arial" w:hAnsi="Arial" w:cs="Arial"/>
          <w:b/>
          <w:bCs/>
          <w:i/>
          <w:iCs/>
          <w:lang w:val="en-IN"/>
        </w:rPr>
        <w:t>Driftrock</w:t>
      </w:r>
      <w:proofErr w:type="spellEnd"/>
      <w:r w:rsidRPr="00D76F6C">
        <w:rPr>
          <w:rFonts w:ascii="Arial" w:hAnsi="Arial" w:cs="Arial"/>
          <w:b/>
          <w:bCs/>
          <w:i/>
          <w:iCs/>
          <w:lang w:val="en-IN"/>
        </w:rPr>
        <w:t>, 2019)</w:t>
      </w:r>
    </w:p>
    <w:p w14:paraId="4C48BBB2" w14:textId="77777777" w:rsidR="00D76F6C" w:rsidRPr="00D76F6C" w:rsidRDefault="00D76F6C" w:rsidP="00D76F6C">
      <w:pPr>
        <w:spacing w:line="360" w:lineRule="auto"/>
        <w:ind w:firstLine="454"/>
        <w:rPr>
          <w:rFonts w:ascii="Arial" w:hAnsi="Arial" w:cs="Arial"/>
          <w:bCs/>
          <w:lang w:val="en-IN"/>
        </w:rPr>
      </w:pPr>
      <w:bookmarkStart w:id="3" w:name="_Toc213695744"/>
      <w:bookmarkStart w:id="4" w:name="_Toc213708826"/>
      <w:r w:rsidRPr="00D76F6C">
        <w:rPr>
          <w:rFonts w:ascii="Arial" w:hAnsi="Arial" w:cs="Arial"/>
          <w:b/>
          <w:bCs/>
          <w:lang w:val="en-IN"/>
        </w:rPr>
        <w:t>Strategy Analysis</w:t>
      </w:r>
      <w:bookmarkEnd w:id="3"/>
      <w:bookmarkEnd w:id="4"/>
    </w:p>
    <w:p w14:paraId="1D5580AB" w14:textId="77777777" w:rsidR="00D76F6C" w:rsidRPr="00D76F6C" w:rsidRDefault="00D76F6C" w:rsidP="00D76F6C">
      <w:pPr>
        <w:spacing w:line="360" w:lineRule="auto"/>
        <w:ind w:firstLine="454"/>
        <w:rPr>
          <w:rFonts w:ascii="Arial" w:hAnsi="Arial" w:cs="Arial"/>
          <w:bCs/>
          <w:lang w:val="en-IN"/>
        </w:rPr>
      </w:pPr>
      <w:bookmarkStart w:id="5" w:name="_Toc213695745"/>
      <w:bookmarkStart w:id="6" w:name="_Toc213708827"/>
      <w:r w:rsidRPr="00D76F6C">
        <w:rPr>
          <w:rFonts w:ascii="Arial" w:hAnsi="Arial" w:cs="Arial"/>
          <w:b/>
          <w:bCs/>
          <w:lang w:val="en-IN"/>
        </w:rPr>
        <w:t>1. External Environment Audit</w:t>
      </w:r>
      <w:bookmarkEnd w:id="5"/>
      <w:bookmarkEnd w:id="6"/>
    </w:p>
    <w:p w14:paraId="7435F443" w14:textId="77777777" w:rsidR="00D76F6C" w:rsidRPr="00D76F6C" w:rsidRDefault="00D76F6C" w:rsidP="00D76F6C">
      <w:pPr>
        <w:spacing w:line="360" w:lineRule="auto"/>
        <w:ind w:firstLine="454"/>
        <w:rPr>
          <w:rFonts w:ascii="Arial" w:hAnsi="Arial" w:cs="Arial"/>
          <w:b/>
          <w:bCs/>
          <w:lang w:val="en-IN"/>
        </w:rPr>
      </w:pPr>
      <w:r w:rsidRPr="00D76F6C">
        <w:rPr>
          <w:rFonts w:ascii="Arial" w:hAnsi="Arial" w:cs="Arial"/>
          <w:b/>
          <w:bCs/>
          <w:lang w:val="en-IN"/>
        </w:rPr>
        <w:t>1.1 PESTLE Analysis</w:t>
      </w:r>
    </w:p>
    <w:p w14:paraId="54E8ADDE"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Utilizing a PESTLE analysis uncovers some of the significant external factors that will direct the strategic of Jaguar Land Rover (JLR) on the UK car market. </w:t>
      </w:r>
    </w:p>
    <w:p w14:paraId="7D62FD7A"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b/>
          <w:bCs/>
          <w:lang w:val="en-IN"/>
        </w:rPr>
        <w:t>Political:</w:t>
      </w:r>
      <w:r w:rsidRPr="00D76F6C">
        <w:rPr>
          <w:rFonts w:ascii="Arial" w:hAnsi="Arial" w:cs="Arial"/>
          <w:lang w:val="en-IN"/>
        </w:rPr>
        <w:t xml:space="preserve"> The Rules of Origin for EVs under the post-Brexit trade rules could eventually result in tariffs on JLR’s exports if it is found that the battery content is not sufficiently local. JLR would then be under immense pressure to shift production to regions where batteries are sourced (Gov.UK, 2024). At the same time, the UK’s Automotive Transformation Fund is funding the industry and establishing the new Tata Group’s gigafactory in the UK, working together with EV and battery production (SMMT, 2024).</w:t>
      </w:r>
    </w:p>
    <w:p w14:paraId="59A33DBC"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b/>
          <w:bCs/>
          <w:lang w:val="en-IN"/>
        </w:rPr>
        <w:t>Economic:</w:t>
      </w:r>
      <w:r w:rsidRPr="00D76F6C">
        <w:rPr>
          <w:rFonts w:ascii="Arial" w:hAnsi="Arial" w:cs="Arial"/>
          <w:lang w:val="en-IN"/>
        </w:rPr>
        <w:t xml:space="preserve"> Inflation and high interest rates have impacted the demand for luxury automobiles, but JLR was able to achieve a record revenue of £29 billion for FY2024 due to premium pricing and supply recovery (Jaguar Land Rover, 2024). Cost of raw materials and semiconductors that are still high can adversely affect the profitability (McKinsey, 2024).</w:t>
      </w:r>
    </w:p>
    <w:p w14:paraId="66843E6B"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b/>
          <w:bCs/>
          <w:lang w:val="en-IN"/>
        </w:rPr>
        <w:t>Social:</w:t>
      </w:r>
      <w:r w:rsidRPr="00D76F6C">
        <w:rPr>
          <w:rFonts w:ascii="Arial" w:hAnsi="Arial" w:cs="Arial"/>
          <w:lang w:val="en-IN"/>
        </w:rPr>
        <w:t xml:space="preserve"> The trend is gradually changing towards the use of high-tech, sustainable vehicles; the UK’s EV registries increased by 18% during the year 2024 (IEA, 2024). The </w:t>
      </w:r>
      <w:r w:rsidRPr="00D76F6C">
        <w:rPr>
          <w:rFonts w:ascii="Arial" w:hAnsi="Arial" w:cs="Arial"/>
          <w:lang w:val="en-IN"/>
        </w:rPr>
        <w:lastRenderedPageBreak/>
        <w:t xml:space="preserve">issue of the shortage of skilled </w:t>
      </w:r>
      <w:proofErr w:type="spellStart"/>
      <w:r w:rsidRPr="00D76F6C">
        <w:rPr>
          <w:rFonts w:ascii="Arial" w:hAnsi="Arial" w:cs="Arial"/>
          <w:lang w:val="en-IN"/>
        </w:rPr>
        <w:t>labor</w:t>
      </w:r>
      <w:proofErr w:type="spellEnd"/>
      <w:r w:rsidRPr="00D76F6C">
        <w:rPr>
          <w:rFonts w:ascii="Arial" w:hAnsi="Arial" w:cs="Arial"/>
          <w:lang w:val="en-IN"/>
        </w:rPr>
        <w:t xml:space="preserve"> in the battery and software sectors continues to be a challenge to the human resource sector.</w:t>
      </w:r>
    </w:p>
    <w:p w14:paraId="7A5B8900"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b/>
          <w:bCs/>
          <w:lang w:val="en-IN"/>
        </w:rPr>
        <w:t>Technological:</w:t>
      </w:r>
      <w:r w:rsidRPr="00D76F6C">
        <w:rPr>
          <w:rFonts w:ascii="Arial" w:hAnsi="Arial" w:cs="Arial"/>
          <w:lang w:val="en-IN"/>
        </w:rPr>
        <w:t xml:space="preserve"> Innovations in battery composition, AI and digitalisation are changing the competitive landscape. Besides, through partnerships with Nvidia and Tata Technologies, JLR has increased its capability through the software-defined vehicle and over-the-air (OTA) systems (Deloitte, 2024; BNEF, 2025).</w:t>
      </w:r>
    </w:p>
    <w:p w14:paraId="24A3C80D"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b/>
          <w:bCs/>
          <w:lang w:val="en-IN"/>
        </w:rPr>
        <w:t>Legal:</w:t>
      </w:r>
      <w:r w:rsidRPr="00D76F6C">
        <w:rPr>
          <w:rFonts w:ascii="Arial" w:hAnsi="Arial" w:cs="Arial"/>
          <w:lang w:val="en-IN"/>
        </w:rPr>
        <w:t xml:space="preserve"> The UK’s new rule that in 2035 new petrol/diesel vehicle sales will be completely banned, imposes tough limits on emission and safety which in turn require extensive governance and state-of-the-art security (DfT, 2024).</w:t>
      </w:r>
    </w:p>
    <w:p w14:paraId="3A3E68B9"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b/>
          <w:bCs/>
          <w:lang w:val="en-IN"/>
        </w:rPr>
        <w:t>Environmental:</w:t>
      </w:r>
      <w:r w:rsidRPr="00D76F6C">
        <w:rPr>
          <w:rFonts w:ascii="Arial" w:hAnsi="Arial" w:cs="Arial"/>
          <w:lang w:val="en-IN"/>
        </w:rPr>
        <w:t xml:space="preserve"> Setting a date of 2039 for achieving net-zero emissions, JLR has committed itself to the same destiny that the UK has set for 2050. The application of circular-economy principles and the use of renewable sources have improved the company’s sustainability image (Jaguar Land Rover, 2024).</w:t>
      </w:r>
    </w:p>
    <w:p w14:paraId="07445E6C"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At the same time, JLR </w:t>
      </w:r>
      <w:proofErr w:type="gramStart"/>
      <w:r w:rsidRPr="00D76F6C">
        <w:rPr>
          <w:rFonts w:ascii="Arial" w:hAnsi="Arial" w:cs="Arial"/>
          <w:lang w:val="en-IN"/>
        </w:rPr>
        <w:t>has to</w:t>
      </w:r>
      <w:proofErr w:type="gramEnd"/>
      <w:r w:rsidRPr="00D76F6C">
        <w:rPr>
          <w:rFonts w:ascii="Arial" w:hAnsi="Arial" w:cs="Arial"/>
          <w:lang w:val="en-IN"/>
        </w:rPr>
        <w:t xml:space="preserve"> deal with the ups and downs of regulations and </w:t>
      </w:r>
      <w:proofErr w:type="gramStart"/>
      <w:r w:rsidRPr="00D76F6C">
        <w:rPr>
          <w:rFonts w:ascii="Arial" w:hAnsi="Arial" w:cs="Arial"/>
          <w:lang w:val="en-IN"/>
        </w:rPr>
        <w:t>cost</w:t>
      </w:r>
      <w:proofErr w:type="gramEnd"/>
      <w:r w:rsidRPr="00D76F6C">
        <w:rPr>
          <w:rFonts w:ascii="Arial" w:hAnsi="Arial" w:cs="Arial"/>
          <w:lang w:val="en-IN"/>
        </w:rPr>
        <w:t xml:space="preserve"> but it has strong chances through localization, electrification and digital innovation to become a long-term competitive player in the market.</w:t>
      </w:r>
    </w:p>
    <w:p w14:paraId="64E70736" w14:textId="407165CE" w:rsidR="00D76F6C" w:rsidRPr="00D76F6C" w:rsidRDefault="00D76F6C" w:rsidP="00D76F6C">
      <w:pPr>
        <w:spacing w:line="360" w:lineRule="auto"/>
        <w:ind w:firstLine="454"/>
        <w:rPr>
          <w:rFonts w:ascii="Arial" w:hAnsi="Arial" w:cs="Arial"/>
          <w:lang w:val="en-IN"/>
        </w:rPr>
      </w:pPr>
      <w:r w:rsidRPr="00D76F6C">
        <w:rPr>
          <w:rFonts w:ascii="Arial" w:hAnsi="Arial" w:cs="Arial"/>
          <w:noProof/>
          <w:lang w:val="en-IN"/>
        </w:rPr>
        <w:drawing>
          <wp:inline distT="0" distB="0" distL="0" distR="0" wp14:anchorId="31BC6E64" wp14:editId="078CD26D">
            <wp:extent cx="5048250" cy="2228850"/>
            <wp:effectExtent l="19050" t="19050" r="19050" b="19050"/>
            <wp:docPr id="892897043" name="Picture 9" descr="PESTLE Analysis. How to Conduct a PESTLE Analysis for… | by Anirban  Mukherjee ✍️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How to Conduct a PESTLE Analysis for… | by Anirban  Mukherjee ✍️ | Mediu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48250" cy="2228850"/>
                    </a:xfrm>
                    <a:prstGeom prst="rect">
                      <a:avLst/>
                    </a:prstGeom>
                    <a:noFill/>
                    <a:ln w="9525" cmpd="sng">
                      <a:solidFill>
                        <a:srgbClr val="000000"/>
                      </a:solidFill>
                      <a:miter lim="800000"/>
                      <a:headEnd/>
                      <a:tailEnd/>
                    </a:ln>
                    <a:effectLst/>
                  </pic:spPr>
                </pic:pic>
              </a:graphicData>
            </a:graphic>
          </wp:inline>
        </w:drawing>
      </w:r>
    </w:p>
    <w:p w14:paraId="0E0C8261" w14:textId="77777777" w:rsidR="00D76F6C" w:rsidRPr="00D76F6C" w:rsidRDefault="00D76F6C" w:rsidP="00D76F6C">
      <w:pPr>
        <w:spacing w:line="360" w:lineRule="auto"/>
        <w:ind w:firstLine="454"/>
        <w:rPr>
          <w:rFonts w:ascii="Arial" w:hAnsi="Arial" w:cs="Arial"/>
          <w:b/>
          <w:bCs/>
          <w:lang w:val="en-IN"/>
        </w:rPr>
      </w:pPr>
      <w:r w:rsidRPr="00D76F6C">
        <w:rPr>
          <w:rFonts w:ascii="Arial" w:hAnsi="Arial" w:cs="Arial"/>
          <w:b/>
          <w:bCs/>
          <w:lang w:val="en-IN"/>
        </w:rPr>
        <w:t>Figure 2. PESTLE Analysis</w:t>
      </w:r>
    </w:p>
    <w:p w14:paraId="10F27BF6" w14:textId="77777777" w:rsidR="00D76F6C" w:rsidRPr="00D76F6C" w:rsidRDefault="00D76F6C" w:rsidP="00D76F6C">
      <w:pPr>
        <w:spacing w:line="360" w:lineRule="auto"/>
        <w:ind w:firstLine="454"/>
        <w:rPr>
          <w:rFonts w:ascii="Arial" w:hAnsi="Arial" w:cs="Arial"/>
          <w:b/>
          <w:bCs/>
          <w:i/>
          <w:iCs/>
          <w:lang w:val="en-IN"/>
        </w:rPr>
      </w:pPr>
      <w:r w:rsidRPr="00D76F6C">
        <w:rPr>
          <w:rFonts w:ascii="Arial" w:hAnsi="Arial" w:cs="Arial"/>
          <w:b/>
          <w:bCs/>
          <w:i/>
          <w:iCs/>
          <w:lang w:val="en-IN"/>
        </w:rPr>
        <w:t>Source: (Mukherjee, 2023)</w:t>
      </w:r>
    </w:p>
    <w:p w14:paraId="418A531A" w14:textId="77777777" w:rsidR="00D76F6C" w:rsidRPr="00D76F6C" w:rsidRDefault="00D76F6C" w:rsidP="00D76F6C">
      <w:pPr>
        <w:spacing w:line="360" w:lineRule="auto"/>
        <w:ind w:firstLine="454"/>
        <w:rPr>
          <w:rFonts w:ascii="Arial" w:hAnsi="Arial" w:cs="Arial"/>
          <w:b/>
          <w:bCs/>
          <w:lang w:val="en-IN"/>
        </w:rPr>
      </w:pPr>
      <w:r w:rsidRPr="00D76F6C">
        <w:rPr>
          <w:rFonts w:ascii="Arial" w:hAnsi="Arial" w:cs="Arial"/>
          <w:b/>
          <w:bCs/>
          <w:lang w:val="en-IN"/>
        </w:rPr>
        <w:t>1.2 Porter’s Five Forces Analysis</w:t>
      </w:r>
    </w:p>
    <w:p w14:paraId="72A2D1E7"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The application of Porter's Five Forces indicates that Jaguar Land Rover (JLR) is amidst a tough and very competitive premium automotive market in the UK.</w:t>
      </w:r>
    </w:p>
    <w:p w14:paraId="6B5B735E"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Rivalry among existing competitors: The competition is very sharp between and among BMW, Mercedes-Benz, and Audi, who </w:t>
      </w:r>
      <w:proofErr w:type="gramStart"/>
      <w:r w:rsidRPr="00D76F6C">
        <w:rPr>
          <w:rFonts w:ascii="Arial" w:hAnsi="Arial" w:cs="Arial"/>
          <w:lang w:val="en-IN"/>
        </w:rPr>
        <w:t>lead</w:t>
      </w:r>
      <w:proofErr w:type="gramEnd"/>
      <w:r w:rsidRPr="00D76F6C">
        <w:rPr>
          <w:rFonts w:ascii="Arial" w:hAnsi="Arial" w:cs="Arial"/>
          <w:lang w:val="en-IN"/>
        </w:rPr>
        <w:t xml:space="preserve"> the market through Research and Development </w:t>
      </w:r>
      <w:r w:rsidRPr="00D76F6C">
        <w:rPr>
          <w:rFonts w:ascii="Arial" w:hAnsi="Arial" w:cs="Arial"/>
          <w:lang w:val="en-IN"/>
        </w:rPr>
        <w:lastRenderedPageBreak/>
        <w:t>and global presence. The competition is aggressive from new entrants like Tesla and Polestar who bring along advanced EV technology and direct sales model (McKinsey, 2024).</w:t>
      </w:r>
    </w:p>
    <w:p w14:paraId="2E65BF15"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b/>
          <w:bCs/>
          <w:lang w:val="en-IN"/>
        </w:rPr>
        <w:t>Threat of new entrants:</w:t>
      </w:r>
      <w:r w:rsidRPr="00D76F6C">
        <w:rPr>
          <w:rFonts w:ascii="Arial" w:hAnsi="Arial" w:cs="Arial"/>
          <w:lang w:val="en-IN"/>
        </w:rPr>
        <w:t xml:space="preserve"> The threat is moderate; although the high capital and regulatory costs are the main reasons preventing entry, newcomers like BYD and NIO who produce at lower costs are the emerging threats that come from the Chinese Electric Vehicle market (BNEF, 2025).</w:t>
      </w:r>
    </w:p>
    <w:p w14:paraId="10604BB1"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b/>
          <w:bCs/>
          <w:lang w:val="en-IN"/>
        </w:rPr>
        <w:t>Supplier power:</w:t>
      </w:r>
      <w:r w:rsidRPr="00D76F6C">
        <w:rPr>
          <w:rFonts w:ascii="Arial" w:hAnsi="Arial" w:cs="Arial"/>
          <w:lang w:val="en-IN"/>
        </w:rPr>
        <w:t xml:space="preserve"> The supplier power is classified as moderate to high, especially for battery and chip manufacturers, but the impact of Tata's investment in the UK's gigafactory is likely to lessen the reliance (Jaguar Land Rover, 2024).</w:t>
      </w:r>
    </w:p>
    <w:p w14:paraId="59448E94"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b/>
          <w:bCs/>
          <w:lang w:val="en-IN"/>
        </w:rPr>
        <w:t>Buyer power:</w:t>
      </w:r>
      <w:r w:rsidRPr="00D76F6C">
        <w:rPr>
          <w:rFonts w:ascii="Arial" w:hAnsi="Arial" w:cs="Arial"/>
          <w:lang w:val="en-IN"/>
        </w:rPr>
        <w:t xml:space="preserve"> For the luxury segment customers the buyer power is moderate; they expect creativity and innovation from the brand but are not very sensitive to the prices, on the contrary, fleet buyers are the ones that pressure the prices the most (SMMT, 2024).</w:t>
      </w:r>
    </w:p>
    <w:p w14:paraId="361EB655"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b/>
          <w:bCs/>
          <w:lang w:val="en-IN"/>
        </w:rPr>
        <w:t>Threat of substitutes:</w:t>
      </w:r>
      <w:r w:rsidRPr="00D76F6C">
        <w:rPr>
          <w:rFonts w:ascii="Arial" w:hAnsi="Arial" w:cs="Arial"/>
          <w:lang w:val="en-IN"/>
        </w:rPr>
        <w:t xml:space="preserve"> The threat is rated between low and moderate; there are some alternatives in the form of shared mobility, but premium customers still prefer owning cars (IEA, 2024).</w:t>
      </w:r>
    </w:p>
    <w:p w14:paraId="5345AA4D"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b/>
          <w:bCs/>
          <w:lang w:val="en-IN"/>
        </w:rPr>
        <w:t>Summary:</w:t>
      </w:r>
      <w:r w:rsidRPr="00D76F6C">
        <w:rPr>
          <w:rFonts w:ascii="Arial" w:hAnsi="Arial" w:cs="Arial"/>
          <w:lang w:val="en-IN"/>
        </w:rPr>
        <w:t xml:space="preserve"> The pressure from competitors is still very strong, which means that JLR </w:t>
      </w:r>
      <w:proofErr w:type="gramStart"/>
      <w:r w:rsidRPr="00D76F6C">
        <w:rPr>
          <w:rFonts w:ascii="Arial" w:hAnsi="Arial" w:cs="Arial"/>
          <w:lang w:val="en-IN"/>
        </w:rPr>
        <w:t>has to</w:t>
      </w:r>
      <w:proofErr w:type="gramEnd"/>
      <w:r w:rsidRPr="00D76F6C">
        <w:rPr>
          <w:rFonts w:ascii="Arial" w:hAnsi="Arial" w:cs="Arial"/>
          <w:lang w:val="en-IN"/>
        </w:rPr>
        <w:t xml:space="preserve"> make its localization, software innovation, and sustainability practices even better to be able to keep its long-term differentiation advantages.</w:t>
      </w:r>
    </w:p>
    <w:p w14:paraId="32A33A7E" w14:textId="460610E4" w:rsidR="00D76F6C" w:rsidRPr="00D76F6C" w:rsidRDefault="00D76F6C" w:rsidP="00D76F6C">
      <w:pPr>
        <w:spacing w:line="360" w:lineRule="auto"/>
        <w:ind w:firstLine="454"/>
        <w:rPr>
          <w:rFonts w:ascii="Arial" w:hAnsi="Arial" w:cs="Arial"/>
          <w:lang w:val="en-IN"/>
        </w:rPr>
      </w:pPr>
      <w:r w:rsidRPr="00D76F6C">
        <w:rPr>
          <w:rFonts w:ascii="Arial" w:hAnsi="Arial" w:cs="Arial"/>
          <w:noProof/>
          <w:lang w:val="en-IN"/>
        </w:rPr>
        <w:drawing>
          <wp:inline distT="0" distB="0" distL="0" distR="0" wp14:anchorId="24E3BCF5" wp14:editId="6F45060D">
            <wp:extent cx="3905250" cy="3644900"/>
            <wp:effectExtent l="19050" t="19050" r="19050" b="12700"/>
            <wp:docPr id="1536492222" name="Picture 8" descr="What is Five Forces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Five Forces Analysi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05250" cy="3644900"/>
                    </a:xfrm>
                    <a:prstGeom prst="rect">
                      <a:avLst/>
                    </a:prstGeom>
                    <a:noFill/>
                    <a:ln w="9525" cmpd="sng">
                      <a:solidFill>
                        <a:srgbClr val="000000"/>
                      </a:solidFill>
                      <a:miter lim="800000"/>
                      <a:headEnd/>
                      <a:tailEnd/>
                    </a:ln>
                    <a:effectLst/>
                  </pic:spPr>
                </pic:pic>
              </a:graphicData>
            </a:graphic>
          </wp:inline>
        </w:drawing>
      </w:r>
    </w:p>
    <w:p w14:paraId="3B07CA8B" w14:textId="77777777" w:rsidR="00D76F6C" w:rsidRPr="00D76F6C" w:rsidRDefault="00D76F6C" w:rsidP="00D76F6C">
      <w:pPr>
        <w:spacing w:line="360" w:lineRule="auto"/>
        <w:ind w:firstLine="454"/>
        <w:rPr>
          <w:rFonts w:ascii="Arial" w:hAnsi="Arial" w:cs="Arial"/>
          <w:b/>
          <w:bCs/>
          <w:lang w:val="en-IN"/>
        </w:rPr>
      </w:pPr>
      <w:r w:rsidRPr="00D76F6C">
        <w:rPr>
          <w:rFonts w:ascii="Arial" w:hAnsi="Arial" w:cs="Arial"/>
          <w:b/>
          <w:bCs/>
          <w:lang w:val="en-IN"/>
        </w:rPr>
        <w:lastRenderedPageBreak/>
        <w:t>Figure 3. Porter's Five Forces Analysis</w:t>
      </w:r>
    </w:p>
    <w:p w14:paraId="34F1F703" w14:textId="77777777" w:rsidR="00D76F6C" w:rsidRPr="00D76F6C" w:rsidRDefault="00D76F6C" w:rsidP="00D76F6C">
      <w:pPr>
        <w:spacing w:line="360" w:lineRule="auto"/>
        <w:ind w:firstLine="454"/>
        <w:rPr>
          <w:rFonts w:ascii="Arial" w:hAnsi="Arial" w:cs="Arial"/>
          <w:b/>
          <w:bCs/>
          <w:i/>
          <w:iCs/>
          <w:lang w:val="en-IN"/>
        </w:rPr>
      </w:pPr>
      <w:r w:rsidRPr="00D76F6C">
        <w:rPr>
          <w:rFonts w:ascii="Arial" w:hAnsi="Arial" w:cs="Arial"/>
          <w:b/>
          <w:bCs/>
          <w:i/>
          <w:iCs/>
          <w:lang w:val="en-IN"/>
        </w:rPr>
        <w:t>Source: (Visual Paradigm, 2021)</w:t>
      </w:r>
    </w:p>
    <w:p w14:paraId="419DF0A0" w14:textId="77777777" w:rsidR="00D76F6C" w:rsidRPr="00D76F6C" w:rsidRDefault="00D76F6C" w:rsidP="00D76F6C">
      <w:pPr>
        <w:spacing w:line="360" w:lineRule="auto"/>
        <w:ind w:firstLine="454"/>
        <w:rPr>
          <w:rFonts w:ascii="Arial" w:hAnsi="Arial" w:cs="Arial"/>
          <w:lang w:val="en-IN"/>
        </w:rPr>
      </w:pPr>
    </w:p>
    <w:p w14:paraId="63250F5A" w14:textId="77777777" w:rsidR="00D76F6C" w:rsidRPr="00D76F6C" w:rsidRDefault="00D76F6C" w:rsidP="00D76F6C">
      <w:pPr>
        <w:spacing w:line="360" w:lineRule="auto"/>
        <w:ind w:firstLine="454"/>
        <w:rPr>
          <w:rFonts w:ascii="Arial" w:hAnsi="Arial" w:cs="Arial"/>
          <w:bCs/>
          <w:lang w:val="en-IN"/>
        </w:rPr>
      </w:pPr>
      <w:bookmarkStart w:id="7" w:name="_Toc213695746"/>
      <w:bookmarkStart w:id="8" w:name="_Toc213708828"/>
      <w:r w:rsidRPr="00D76F6C">
        <w:rPr>
          <w:rFonts w:ascii="Arial" w:hAnsi="Arial" w:cs="Arial"/>
          <w:b/>
          <w:bCs/>
          <w:lang w:val="en-IN"/>
        </w:rPr>
        <w:t>2. Internal Environment Audit</w:t>
      </w:r>
      <w:bookmarkEnd w:id="7"/>
      <w:bookmarkEnd w:id="8"/>
    </w:p>
    <w:p w14:paraId="1FCAD8BF" w14:textId="77777777" w:rsidR="00D76F6C" w:rsidRPr="00D76F6C" w:rsidRDefault="00D76F6C" w:rsidP="00D76F6C">
      <w:pPr>
        <w:spacing w:line="360" w:lineRule="auto"/>
        <w:ind w:firstLine="454"/>
        <w:rPr>
          <w:rFonts w:ascii="Arial" w:hAnsi="Arial" w:cs="Arial"/>
          <w:b/>
          <w:bCs/>
          <w:lang w:val="en-IN"/>
        </w:rPr>
      </w:pPr>
      <w:r w:rsidRPr="00D76F6C">
        <w:rPr>
          <w:rFonts w:ascii="Arial" w:hAnsi="Arial" w:cs="Arial"/>
          <w:b/>
          <w:bCs/>
          <w:lang w:val="en-IN"/>
        </w:rPr>
        <w:t>2.1 Value Chain Analysis</w:t>
      </w:r>
    </w:p>
    <w:p w14:paraId="43E9E430"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Porter’s (1985) Value Chain lists the methods through which innovation and premium quality are utilized by Jaguar Land Rover (JLR) to gain more profit. The company’s wide supplier network guarantees that the most important materials will always be available. However, the shortage of semiconductors that took place recently revealed certain weaknesses within the supply chain. To reduce dependence on </w:t>
      </w:r>
      <w:proofErr w:type="gramStart"/>
      <w:r w:rsidRPr="00D76F6C">
        <w:rPr>
          <w:rFonts w:ascii="Arial" w:hAnsi="Arial" w:cs="Arial"/>
          <w:lang w:val="en-IN"/>
        </w:rPr>
        <w:t>foreign imports</w:t>
      </w:r>
      <w:proofErr w:type="gramEnd"/>
      <w:r w:rsidRPr="00D76F6C">
        <w:rPr>
          <w:rFonts w:ascii="Arial" w:hAnsi="Arial" w:cs="Arial"/>
          <w:lang w:val="en-IN"/>
        </w:rPr>
        <w:t xml:space="preserve"> of semiconductor materials, the setting up of the new Tata </w:t>
      </w:r>
      <w:proofErr w:type="spellStart"/>
      <w:r w:rsidRPr="00D76F6C">
        <w:rPr>
          <w:rFonts w:ascii="Arial" w:hAnsi="Arial" w:cs="Arial"/>
          <w:lang w:val="en-IN"/>
        </w:rPr>
        <w:t>Agratas</w:t>
      </w:r>
      <w:proofErr w:type="spellEnd"/>
      <w:r w:rsidRPr="00D76F6C">
        <w:rPr>
          <w:rFonts w:ascii="Arial" w:hAnsi="Arial" w:cs="Arial"/>
          <w:lang w:val="en-IN"/>
        </w:rPr>
        <w:t xml:space="preserve"> gigafactory is planned (SMMT, 2024). The activities at Solihull and Halewood are the main contributors to the high-quality production, among which Halewood is turning into an all-electric plant by 2025 (Reuters, 2024). JLR sales for 70% of its global production, which is facilitated by a strong dealer network, but the company </w:t>
      </w:r>
      <w:proofErr w:type="gramStart"/>
      <w:r w:rsidRPr="00D76F6C">
        <w:rPr>
          <w:rFonts w:ascii="Arial" w:hAnsi="Arial" w:cs="Arial"/>
          <w:lang w:val="en-IN"/>
        </w:rPr>
        <w:t>has to</w:t>
      </w:r>
      <w:proofErr w:type="gramEnd"/>
      <w:r w:rsidRPr="00D76F6C">
        <w:rPr>
          <w:rFonts w:ascii="Arial" w:hAnsi="Arial" w:cs="Arial"/>
          <w:lang w:val="en-IN"/>
        </w:rPr>
        <w:t xml:space="preserve"> cope with the post-Brexit logistics costs (JLR, 2024). Marketing collaborations with Accenture Song will bring in more digital customers (Accenture, 2021), while after-sales services will be more relying on connected technologies from now on (Deloitte, 2024). Gaining support from R&amp;D and AI partnerships (BNEF, 2025), JLR’s value chain indicates being a strong point for innovation but at the same time </w:t>
      </w:r>
      <w:proofErr w:type="gramStart"/>
      <w:r w:rsidRPr="00D76F6C">
        <w:rPr>
          <w:rFonts w:ascii="Arial" w:hAnsi="Arial" w:cs="Arial"/>
          <w:lang w:val="en-IN"/>
        </w:rPr>
        <w:t>has to</w:t>
      </w:r>
      <w:proofErr w:type="gramEnd"/>
      <w:r w:rsidRPr="00D76F6C">
        <w:rPr>
          <w:rFonts w:ascii="Arial" w:hAnsi="Arial" w:cs="Arial"/>
          <w:lang w:val="en-IN"/>
        </w:rPr>
        <w:t xml:space="preserve"> deal with the issues of cost control and supply-chain resilience.</w:t>
      </w:r>
    </w:p>
    <w:p w14:paraId="7EE3E63E" w14:textId="6435A5DB" w:rsidR="00D76F6C" w:rsidRPr="00D76F6C" w:rsidRDefault="00D76F6C" w:rsidP="00D76F6C">
      <w:pPr>
        <w:spacing w:line="360" w:lineRule="auto"/>
        <w:ind w:firstLine="454"/>
        <w:rPr>
          <w:rFonts w:ascii="Arial" w:hAnsi="Arial" w:cs="Arial"/>
          <w:lang w:val="en-IN"/>
        </w:rPr>
      </w:pPr>
      <w:r w:rsidRPr="00D76F6C">
        <w:rPr>
          <w:rFonts w:ascii="Arial" w:hAnsi="Arial" w:cs="Arial"/>
          <w:noProof/>
          <w:lang w:val="en-IN"/>
        </w:rPr>
        <w:drawing>
          <wp:inline distT="0" distB="0" distL="0" distR="0" wp14:anchorId="4FD4D98C" wp14:editId="2EA3FD35">
            <wp:extent cx="4902200" cy="2552700"/>
            <wp:effectExtent l="19050" t="19050" r="12700" b="19050"/>
            <wp:docPr id="182774744" name="Picture 7" descr="Microsoft Value Chain Analysis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icrosoft Value Chain Analysis - Research-Methodology"/>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02200" cy="2552700"/>
                    </a:xfrm>
                    <a:prstGeom prst="rect">
                      <a:avLst/>
                    </a:prstGeom>
                    <a:noFill/>
                    <a:ln w="9525" cmpd="sng">
                      <a:solidFill>
                        <a:srgbClr val="000000"/>
                      </a:solidFill>
                      <a:miter lim="800000"/>
                      <a:headEnd/>
                      <a:tailEnd/>
                    </a:ln>
                    <a:effectLst/>
                  </pic:spPr>
                </pic:pic>
              </a:graphicData>
            </a:graphic>
          </wp:inline>
        </w:drawing>
      </w:r>
    </w:p>
    <w:p w14:paraId="0804CC71" w14:textId="77777777" w:rsidR="00D76F6C" w:rsidRPr="00D76F6C" w:rsidRDefault="00D76F6C" w:rsidP="00D76F6C">
      <w:pPr>
        <w:spacing w:line="360" w:lineRule="auto"/>
        <w:ind w:firstLine="454"/>
        <w:rPr>
          <w:rFonts w:ascii="Arial" w:hAnsi="Arial" w:cs="Arial"/>
          <w:b/>
          <w:bCs/>
          <w:lang w:val="en-IN"/>
        </w:rPr>
      </w:pPr>
      <w:r w:rsidRPr="00D76F6C">
        <w:rPr>
          <w:rFonts w:ascii="Arial" w:hAnsi="Arial" w:cs="Arial"/>
          <w:b/>
          <w:bCs/>
          <w:lang w:val="en-IN"/>
        </w:rPr>
        <w:t xml:space="preserve">Figure 4. Porter’s Value Chain Analysis </w:t>
      </w:r>
    </w:p>
    <w:p w14:paraId="3B23BE87" w14:textId="77777777" w:rsidR="00D76F6C" w:rsidRPr="00D76F6C" w:rsidRDefault="00D76F6C" w:rsidP="00D76F6C">
      <w:pPr>
        <w:spacing w:line="360" w:lineRule="auto"/>
        <w:ind w:firstLine="454"/>
        <w:rPr>
          <w:rFonts w:ascii="Arial" w:hAnsi="Arial" w:cs="Arial"/>
          <w:b/>
          <w:bCs/>
          <w:i/>
          <w:iCs/>
          <w:lang w:val="en-IN"/>
        </w:rPr>
      </w:pPr>
      <w:r w:rsidRPr="00D76F6C">
        <w:rPr>
          <w:rFonts w:ascii="Arial" w:hAnsi="Arial" w:cs="Arial"/>
          <w:b/>
          <w:bCs/>
          <w:i/>
          <w:iCs/>
          <w:lang w:val="en-IN"/>
        </w:rPr>
        <w:t>Source: (Research-Methodology, 2024)</w:t>
      </w:r>
    </w:p>
    <w:p w14:paraId="655112B6" w14:textId="77777777" w:rsidR="00D76F6C" w:rsidRPr="00D76F6C" w:rsidRDefault="00D76F6C" w:rsidP="00D76F6C">
      <w:pPr>
        <w:spacing w:line="360" w:lineRule="auto"/>
        <w:ind w:firstLine="454"/>
        <w:rPr>
          <w:rFonts w:ascii="Arial" w:hAnsi="Arial" w:cs="Arial"/>
          <w:b/>
          <w:bCs/>
          <w:lang w:val="en-IN"/>
        </w:rPr>
      </w:pPr>
      <w:r w:rsidRPr="00D76F6C">
        <w:rPr>
          <w:rFonts w:ascii="Arial" w:hAnsi="Arial" w:cs="Arial"/>
          <w:b/>
          <w:bCs/>
          <w:lang w:val="en-IN"/>
        </w:rPr>
        <w:lastRenderedPageBreak/>
        <w:t>2.2 Resource-Based View (RBV) and VRIO Analysis</w:t>
      </w:r>
    </w:p>
    <w:p w14:paraId="7247CFDE"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The Resource-Based View (RBV) postulates that the companies with the most valuable, rare, inimitable and properly organized (VRIO) resources will obtain the best and longest lasting competitive advantage (Barney, 1991).</w:t>
      </w:r>
    </w:p>
    <w:p w14:paraId="47FE6C3D"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Among the resources and capabilities of JLR, the following are the most important ones:</w:t>
      </w:r>
    </w:p>
    <w:p w14:paraId="068B2BEB" w14:textId="77777777" w:rsidR="00D76F6C" w:rsidRPr="00D76F6C" w:rsidRDefault="00D76F6C" w:rsidP="00D76F6C">
      <w:pPr>
        <w:numPr>
          <w:ilvl w:val="0"/>
          <w:numId w:val="1"/>
        </w:numPr>
        <w:spacing w:line="360" w:lineRule="auto"/>
        <w:ind w:firstLine="454"/>
        <w:rPr>
          <w:rFonts w:ascii="Arial" w:hAnsi="Arial" w:cs="Arial"/>
          <w:lang w:val="en-IN"/>
        </w:rPr>
      </w:pPr>
      <w:r w:rsidRPr="00D76F6C">
        <w:rPr>
          <w:rFonts w:ascii="Arial" w:hAnsi="Arial" w:cs="Arial"/>
          <w:b/>
          <w:bCs/>
          <w:lang w:val="en-IN"/>
        </w:rPr>
        <w:t>Brand equity and heritage:</w:t>
      </w:r>
      <w:r w:rsidRPr="00D76F6C">
        <w:rPr>
          <w:rFonts w:ascii="Arial" w:hAnsi="Arial" w:cs="Arial"/>
          <w:lang w:val="en-IN"/>
        </w:rPr>
        <w:t xml:space="preserve"> The brands of JLR—Jaguar and Land Rover—represent British luxury and performance, thus providing great symbolic and emotional value.</w:t>
      </w:r>
    </w:p>
    <w:p w14:paraId="24207BFD" w14:textId="77777777" w:rsidR="00D76F6C" w:rsidRPr="00D76F6C" w:rsidRDefault="00D76F6C" w:rsidP="00D76F6C">
      <w:pPr>
        <w:numPr>
          <w:ilvl w:val="0"/>
          <w:numId w:val="1"/>
        </w:numPr>
        <w:spacing w:line="360" w:lineRule="auto"/>
        <w:ind w:firstLine="454"/>
        <w:rPr>
          <w:rFonts w:ascii="Arial" w:hAnsi="Arial" w:cs="Arial"/>
          <w:lang w:val="en-IN"/>
        </w:rPr>
      </w:pPr>
      <w:r w:rsidRPr="00D76F6C">
        <w:rPr>
          <w:rFonts w:ascii="Arial" w:hAnsi="Arial" w:cs="Arial"/>
          <w:b/>
          <w:bCs/>
          <w:lang w:val="en-IN"/>
        </w:rPr>
        <w:t>R&amp;D and design capability:</w:t>
      </w:r>
      <w:r w:rsidRPr="00D76F6C">
        <w:rPr>
          <w:rFonts w:ascii="Arial" w:hAnsi="Arial" w:cs="Arial"/>
          <w:lang w:val="en-IN"/>
        </w:rPr>
        <w:t xml:space="preserve"> The company’s investment of £3 billion in FY2024 focuses on the development of new EV platforms, AI, and connectivity (Jaguar Land Rover, 2024).</w:t>
      </w:r>
    </w:p>
    <w:p w14:paraId="0D41536F" w14:textId="77777777" w:rsidR="00D76F6C" w:rsidRPr="00D76F6C" w:rsidRDefault="00D76F6C" w:rsidP="00D76F6C">
      <w:pPr>
        <w:numPr>
          <w:ilvl w:val="0"/>
          <w:numId w:val="1"/>
        </w:numPr>
        <w:spacing w:line="360" w:lineRule="auto"/>
        <w:ind w:firstLine="454"/>
        <w:rPr>
          <w:rFonts w:ascii="Arial" w:hAnsi="Arial" w:cs="Arial"/>
          <w:lang w:val="en-IN"/>
        </w:rPr>
      </w:pPr>
      <w:r w:rsidRPr="00D76F6C">
        <w:rPr>
          <w:rFonts w:ascii="Arial" w:hAnsi="Arial" w:cs="Arial"/>
          <w:b/>
          <w:bCs/>
          <w:lang w:val="en-IN"/>
        </w:rPr>
        <w:t>Tata-backed financial strength:</w:t>
      </w:r>
      <w:r w:rsidRPr="00D76F6C">
        <w:rPr>
          <w:rFonts w:ascii="Arial" w:hAnsi="Arial" w:cs="Arial"/>
          <w:lang w:val="en-IN"/>
        </w:rPr>
        <w:t xml:space="preserve"> The merger with Tata Motors allows access to capital, global know-how, and supply synergies.</w:t>
      </w:r>
    </w:p>
    <w:p w14:paraId="1E2A777C" w14:textId="77777777" w:rsidR="00D76F6C" w:rsidRPr="00D76F6C" w:rsidRDefault="00D76F6C" w:rsidP="00D76F6C">
      <w:pPr>
        <w:numPr>
          <w:ilvl w:val="0"/>
          <w:numId w:val="1"/>
        </w:numPr>
        <w:spacing w:line="360" w:lineRule="auto"/>
        <w:ind w:firstLine="454"/>
        <w:rPr>
          <w:rFonts w:ascii="Arial" w:hAnsi="Arial" w:cs="Arial"/>
          <w:lang w:val="en-IN"/>
        </w:rPr>
      </w:pPr>
      <w:r w:rsidRPr="00D76F6C">
        <w:rPr>
          <w:rFonts w:ascii="Arial" w:hAnsi="Arial" w:cs="Arial"/>
          <w:b/>
          <w:bCs/>
          <w:lang w:val="en-IN"/>
        </w:rPr>
        <w:t>Skilled work force and suppliers’ network:</w:t>
      </w:r>
      <w:r w:rsidRPr="00D76F6C">
        <w:rPr>
          <w:rFonts w:ascii="Arial" w:hAnsi="Arial" w:cs="Arial"/>
          <w:lang w:val="en-IN"/>
        </w:rPr>
        <w:t xml:space="preserve"> More than 40,000 workers worldwide are engaged in engineering and have good relationships with suppliers (SMMT, 2024).</w:t>
      </w:r>
    </w:p>
    <w:p w14:paraId="5E367F53" w14:textId="77777777" w:rsidR="00D76F6C" w:rsidRPr="00D76F6C" w:rsidRDefault="00D76F6C" w:rsidP="00D76F6C">
      <w:pPr>
        <w:numPr>
          <w:ilvl w:val="0"/>
          <w:numId w:val="1"/>
        </w:numPr>
        <w:spacing w:line="360" w:lineRule="auto"/>
        <w:ind w:firstLine="454"/>
        <w:rPr>
          <w:rFonts w:ascii="Arial" w:hAnsi="Arial" w:cs="Arial"/>
          <w:lang w:val="en-IN"/>
        </w:rPr>
      </w:pPr>
      <w:r w:rsidRPr="00D76F6C">
        <w:rPr>
          <w:rFonts w:ascii="Arial" w:hAnsi="Arial" w:cs="Arial"/>
          <w:b/>
          <w:bCs/>
          <w:lang w:val="en-IN"/>
        </w:rPr>
        <w:t>Manufacturing and digital infrastructure:</w:t>
      </w:r>
      <w:r w:rsidRPr="00D76F6C">
        <w:rPr>
          <w:rFonts w:ascii="Arial" w:hAnsi="Arial" w:cs="Arial"/>
          <w:lang w:val="en-IN"/>
        </w:rPr>
        <w:t xml:space="preserve"> The modernized UK plants and the digital platforms increase the ability of the company to be flexible and environmentally friendly.</w:t>
      </w:r>
    </w:p>
    <w:tbl>
      <w:tblPr>
        <w:tblStyle w:val="GridTable5Dark-Accent6"/>
        <w:tblW w:w="0" w:type="auto"/>
        <w:jc w:val="center"/>
        <w:tblLook w:val="04A0" w:firstRow="1" w:lastRow="0" w:firstColumn="1" w:lastColumn="0" w:noHBand="0" w:noVBand="1"/>
      </w:tblPr>
      <w:tblGrid>
        <w:gridCol w:w="2280"/>
        <w:gridCol w:w="1308"/>
        <w:gridCol w:w="974"/>
        <w:gridCol w:w="1406"/>
        <w:gridCol w:w="1455"/>
        <w:gridCol w:w="1593"/>
      </w:tblGrid>
      <w:tr w:rsidR="00D76F6C" w:rsidRPr="00D76F6C" w14:paraId="3B325513" w14:textId="7777777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bottom w:val="single" w:sz="4" w:space="0" w:color="FFFFFF" w:themeColor="background1"/>
            </w:tcBorders>
            <w:hideMark/>
          </w:tcPr>
          <w:p w14:paraId="6BBF8497" w14:textId="77777777" w:rsidR="00D76F6C" w:rsidRPr="00D76F6C" w:rsidRDefault="00D76F6C" w:rsidP="00D76F6C">
            <w:pPr>
              <w:spacing w:after="160" w:line="360" w:lineRule="auto"/>
              <w:ind w:firstLine="454"/>
              <w:rPr>
                <w:rFonts w:ascii="Arial" w:hAnsi="Arial" w:cs="Arial"/>
                <w:lang w:val="en-IN"/>
              </w:rPr>
            </w:pPr>
            <w:r w:rsidRPr="00D76F6C">
              <w:rPr>
                <w:rFonts w:ascii="Arial" w:hAnsi="Arial" w:cs="Arial"/>
                <w:lang w:val="en-IN"/>
              </w:rPr>
              <w:t>Resource/Capability</w:t>
            </w:r>
          </w:p>
        </w:tc>
        <w:tc>
          <w:tcPr>
            <w:tcW w:w="0" w:type="auto"/>
            <w:tcBorders>
              <w:bottom w:val="single" w:sz="4" w:space="0" w:color="FFFFFF" w:themeColor="background1"/>
            </w:tcBorders>
            <w:hideMark/>
          </w:tcPr>
          <w:p w14:paraId="2D4E9536" w14:textId="77777777" w:rsidR="00D76F6C" w:rsidRPr="00D76F6C" w:rsidRDefault="00D76F6C" w:rsidP="00D76F6C">
            <w:pPr>
              <w:spacing w:after="160" w:line="360" w:lineRule="auto"/>
              <w:ind w:firstLine="454"/>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D76F6C">
              <w:rPr>
                <w:rFonts w:ascii="Arial" w:hAnsi="Arial" w:cs="Arial"/>
                <w:lang w:val="en-IN"/>
              </w:rPr>
              <w:t>Valuable</w:t>
            </w:r>
          </w:p>
        </w:tc>
        <w:tc>
          <w:tcPr>
            <w:tcW w:w="0" w:type="auto"/>
            <w:tcBorders>
              <w:bottom w:val="single" w:sz="4" w:space="0" w:color="FFFFFF" w:themeColor="background1"/>
            </w:tcBorders>
            <w:hideMark/>
          </w:tcPr>
          <w:p w14:paraId="3ABEF1F0" w14:textId="77777777" w:rsidR="00D76F6C" w:rsidRPr="00D76F6C" w:rsidRDefault="00D76F6C" w:rsidP="00D76F6C">
            <w:pPr>
              <w:spacing w:after="160" w:line="360" w:lineRule="auto"/>
              <w:ind w:firstLine="454"/>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D76F6C">
              <w:rPr>
                <w:rFonts w:ascii="Arial" w:hAnsi="Arial" w:cs="Arial"/>
                <w:lang w:val="en-IN"/>
              </w:rPr>
              <w:t>Rare</w:t>
            </w:r>
          </w:p>
        </w:tc>
        <w:tc>
          <w:tcPr>
            <w:tcW w:w="0" w:type="auto"/>
            <w:tcBorders>
              <w:bottom w:val="single" w:sz="4" w:space="0" w:color="FFFFFF" w:themeColor="background1"/>
            </w:tcBorders>
            <w:hideMark/>
          </w:tcPr>
          <w:p w14:paraId="4A545C4E" w14:textId="77777777" w:rsidR="00D76F6C" w:rsidRPr="00D76F6C" w:rsidRDefault="00D76F6C" w:rsidP="00D76F6C">
            <w:pPr>
              <w:spacing w:after="160" w:line="360" w:lineRule="auto"/>
              <w:ind w:firstLine="454"/>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D76F6C">
              <w:rPr>
                <w:rFonts w:ascii="Arial" w:hAnsi="Arial" w:cs="Arial"/>
                <w:lang w:val="en-IN"/>
              </w:rPr>
              <w:t>Inimitable</w:t>
            </w:r>
          </w:p>
        </w:tc>
        <w:tc>
          <w:tcPr>
            <w:tcW w:w="0" w:type="auto"/>
            <w:tcBorders>
              <w:bottom w:val="single" w:sz="4" w:space="0" w:color="FFFFFF" w:themeColor="background1"/>
            </w:tcBorders>
            <w:hideMark/>
          </w:tcPr>
          <w:p w14:paraId="2165E731" w14:textId="77777777" w:rsidR="00D76F6C" w:rsidRPr="00D76F6C" w:rsidRDefault="00D76F6C" w:rsidP="00D76F6C">
            <w:pPr>
              <w:spacing w:after="160" w:line="360" w:lineRule="auto"/>
              <w:ind w:firstLine="454"/>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D76F6C">
              <w:rPr>
                <w:rFonts w:ascii="Arial" w:hAnsi="Arial" w:cs="Arial"/>
                <w:lang w:val="en-IN"/>
              </w:rPr>
              <w:t>Organised</w:t>
            </w:r>
          </w:p>
        </w:tc>
        <w:tc>
          <w:tcPr>
            <w:tcW w:w="0" w:type="auto"/>
            <w:tcBorders>
              <w:bottom w:val="single" w:sz="4" w:space="0" w:color="FFFFFF" w:themeColor="background1"/>
            </w:tcBorders>
            <w:hideMark/>
          </w:tcPr>
          <w:p w14:paraId="5D6307E2" w14:textId="77777777" w:rsidR="00D76F6C" w:rsidRPr="00D76F6C" w:rsidRDefault="00D76F6C" w:rsidP="00D76F6C">
            <w:pPr>
              <w:spacing w:after="160" w:line="360" w:lineRule="auto"/>
              <w:ind w:firstLine="454"/>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D76F6C">
              <w:rPr>
                <w:rFonts w:ascii="Arial" w:hAnsi="Arial" w:cs="Arial"/>
                <w:lang w:val="en-IN"/>
              </w:rPr>
              <w:t>Competitive Implication</w:t>
            </w:r>
          </w:p>
        </w:tc>
      </w:tr>
      <w:tr w:rsidR="00D76F6C" w:rsidRPr="00D76F6C" w14:paraId="3E098191"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FFFFF" w:themeColor="background1"/>
              <w:bottom w:val="single" w:sz="4" w:space="0" w:color="FFFFFF" w:themeColor="background1"/>
              <w:right w:val="single" w:sz="4" w:space="0" w:color="FFFFFF" w:themeColor="background1"/>
            </w:tcBorders>
            <w:hideMark/>
          </w:tcPr>
          <w:p w14:paraId="14F689EE" w14:textId="77777777" w:rsidR="00D76F6C" w:rsidRPr="00D76F6C" w:rsidRDefault="00D76F6C" w:rsidP="00D76F6C">
            <w:pPr>
              <w:spacing w:after="160" w:line="360" w:lineRule="auto"/>
              <w:ind w:firstLine="454"/>
              <w:rPr>
                <w:rFonts w:ascii="Arial" w:hAnsi="Arial" w:cs="Arial"/>
                <w:lang w:val="en-IN"/>
              </w:rPr>
            </w:pPr>
            <w:r w:rsidRPr="00D76F6C">
              <w:rPr>
                <w:rFonts w:ascii="Arial" w:hAnsi="Arial" w:cs="Arial"/>
                <w:lang w:val="en-IN"/>
              </w:rPr>
              <w:t>Brand reputation &amp; heritage</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511622A3" w14:textId="77777777" w:rsidR="00D76F6C" w:rsidRPr="00D76F6C" w:rsidRDefault="00D76F6C" w:rsidP="00D76F6C">
            <w:pPr>
              <w:spacing w:after="160" w:line="360" w:lineRule="auto"/>
              <w:ind w:firstLine="454"/>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D76F6C">
              <w:rPr>
                <w:rFonts w:ascii="Segoe UI Symbol" w:hAnsi="Segoe UI Symbol" w:cs="Segoe UI Symbol"/>
                <w:lang w:val="en-IN"/>
              </w:rPr>
              <w:t>✔</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593BA360" w14:textId="77777777" w:rsidR="00D76F6C" w:rsidRPr="00D76F6C" w:rsidRDefault="00D76F6C" w:rsidP="00D76F6C">
            <w:pPr>
              <w:spacing w:after="160" w:line="360" w:lineRule="auto"/>
              <w:ind w:firstLine="454"/>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D76F6C">
              <w:rPr>
                <w:rFonts w:ascii="Segoe UI Symbol" w:hAnsi="Segoe UI Symbol" w:cs="Segoe UI Symbol"/>
                <w:lang w:val="en-IN"/>
              </w:rPr>
              <w:t>✔</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5FF783BF" w14:textId="77777777" w:rsidR="00D76F6C" w:rsidRPr="00D76F6C" w:rsidRDefault="00D76F6C" w:rsidP="00D76F6C">
            <w:pPr>
              <w:spacing w:after="160" w:line="360" w:lineRule="auto"/>
              <w:ind w:firstLine="454"/>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D76F6C">
              <w:rPr>
                <w:rFonts w:ascii="Segoe UI Symbol" w:hAnsi="Segoe UI Symbol" w:cs="Segoe UI Symbol"/>
                <w:lang w:val="en-IN"/>
              </w:rPr>
              <w:t>✔</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586297A" w14:textId="77777777" w:rsidR="00D76F6C" w:rsidRPr="00D76F6C" w:rsidRDefault="00D76F6C" w:rsidP="00D76F6C">
            <w:pPr>
              <w:spacing w:after="160" w:line="360" w:lineRule="auto"/>
              <w:ind w:firstLine="454"/>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D76F6C">
              <w:rPr>
                <w:rFonts w:ascii="Segoe UI Symbol" w:hAnsi="Segoe UI Symbol" w:cs="Segoe UI Symbol"/>
                <w:lang w:val="en-IN"/>
              </w:rPr>
              <w:t>✔</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6F20728" w14:textId="77777777" w:rsidR="00D76F6C" w:rsidRPr="00D76F6C" w:rsidRDefault="00D76F6C" w:rsidP="00D76F6C">
            <w:pPr>
              <w:spacing w:after="160" w:line="360" w:lineRule="auto"/>
              <w:ind w:firstLine="454"/>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D76F6C">
              <w:rPr>
                <w:rFonts w:ascii="Arial" w:hAnsi="Arial" w:cs="Arial"/>
                <w:b/>
                <w:bCs/>
                <w:lang w:val="en-IN"/>
              </w:rPr>
              <w:t>Sustained advantage</w:t>
            </w:r>
          </w:p>
        </w:tc>
      </w:tr>
      <w:tr w:rsidR="00D76F6C" w:rsidRPr="00D76F6C" w14:paraId="5CB65D84"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FFFFF" w:themeColor="background1"/>
              <w:bottom w:val="single" w:sz="4" w:space="0" w:color="FFFFFF" w:themeColor="background1"/>
              <w:right w:val="single" w:sz="4" w:space="0" w:color="FFFFFF" w:themeColor="background1"/>
            </w:tcBorders>
            <w:hideMark/>
          </w:tcPr>
          <w:p w14:paraId="0DBC7138" w14:textId="77777777" w:rsidR="00D76F6C" w:rsidRPr="00D76F6C" w:rsidRDefault="00D76F6C" w:rsidP="00D76F6C">
            <w:pPr>
              <w:spacing w:after="160" w:line="360" w:lineRule="auto"/>
              <w:ind w:firstLine="454"/>
              <w:rPr>
                <w:rFonts w:ascii="Arial" w:hAnsi="Arial" w:cs="Arial"/>
                <w:lang w:val="en-IN"/>
              </w:rPr>
            </w:pPr>
            <w:r w:rsidRPr="00D76F6C">
              <w:rPr>
                <w:rFonts w:ascii="Arial" w:hAnsi="Arial" w:cs="Arial"/>
                <w:lang w:val="en-IN"/>
              </w:rPr>
              <w:t>R&amp;D &amp; design capability</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1502725" w14:textId="77777777" w:rsidR="00D76F6C" w:rsidRPr="00D76F6C" w:rsidRDefault="00D76F6C" w:rsidP="00D76F6C">
            <w:pPr>
              <w:spacing w:after="160" w:line="360" w:lineRule="auto"/>
              <w:ind w:firstLine="454"/>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D76F6C">
              <w:rPr>
                <w:rFonts w:ascii="Segoe UI Symbol" w:hAnsi="Segoe UI Symbol" w:cs="Segoe UI Symbol"/>
                <w:lang w:val="en-IN"/>
              </w:rPr>
              <w:t>✔</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AFA79F4" w14:textId="77777777" w:rsidR="00D76F6C" w:rsidRPr="00D76F6C" w:rsidRDefault="00D76F6C" w:rsidP="00D76F6C">
            <w:pPr>
              <w:spacing w:after="160" w:line="360" w:lineRule="auto"/>
              <w:ind w:firstLine="454"/>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D76F6C">
              <w:rPr>
                <w:rFonts w:ascii="Segoe UI Symbol" w:hAnsi="Segoe UI Symbol" w:cs="Segoe UI Symbol"/>
                <w:lang w:val="en-IN"/>
              </w:rPr>
              <w:t>✔</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625525F" w14:textId="77777777" w:rsidR="00D76F6C" w:rsidRPr="00D76F6C" w:rsidRDefault="00D76F6C" w:rsidP="00D76F6C">
            <w:pPr>
              <w:spacing w:after="160" w:line="360" w:lineRule="auto"/>
              <w:ind w:firstLine="454"/>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D76F6C">
              <w:rPr>
                <w:rFonts w:ascii="Segoe UI Symbol" w:hAnsi="Segoe UI Symbol" w:cs="Segoe UI Symbol"/>
                <w:lang w:val="en-IN"/>
              </w:rPr>
              <w:t>✔</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0D5B9FC" w14:textId="77777777" w:rsidR="00D76F6C" w:rsidRPr="00D76F6C" w:rsidRDefault="00D76F6C" w:rsidP="00D76F6C">
            <w:pPr>
              <w:spacing w:after="160" w:line="360" w:lineRule="auto"/>
              <w:ind w:firstLine="454"/>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D76F6C">
              <w:rPr>
                <w:rFonts w:ascii="Segoe UI Symbol" w:hAnsi="Segoe UI Symbol" w:cs="Segoe UI Symbol"/>
                <w:lang w:val="en-IN"/>
              </w:rPr>
              <w:t>✔</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24CF096" w14:textId="77777777" w:rsidR="00D76F6C" w:rsidRPr="00D76F6C" w:rsidRDefault="00D76F6C" w:rsidP="00D76F6C">
            <w:pPr>
              <w:spacing w:after="160" w:line="360" w:lineRule="auto"/>
              <w:ind w:firstLine="454"/>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D76F6C">
              <w:rPr>
                <w:rFonts w:ascii="Arial" w:hAnsi="Arial" w:cs="Arial"/>
                <w:b/>
                <w:bCs/>
                <w:lang w:val="en-IN"/>
              </w:rPr>
              <w:t>Sustained advantage</w:t>
            </w:r>
          </w:p>
        </w:tc>
      </w:tr>
      <w:tr w:rsidR="00D76F6C" w:rsidRPr="00D76F6C" w14:paraId="0029997E"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FFFFF" w:themeColor="background1"/>
              <w:bottom w:val="single" w:sz="4" w:space="0" w:color="FFFFFF" w:themeColor="background1"/>
              <w:right w:val="single" w:sz="4" w:space="0" w:color="FFFFFF" w:themeColor="background1"/>
            </w:tcBorders>
            <w:hideMark/>
          </w:tcPr>
          <w:p w14:paraId="5B2E858B" w14:textId="77777777" w:rsidR="00D76F6C" w:rsidRPr="00D76F6C" w:rsidRDefault="00D76F6C" w:rsidP="00D76F6C">
            <w:pPr>
              <w:spacing w:after="160" w:line="360" w:lineRule="auto"/>
              <w:ind w:firstLine="454"/>
              <w:rPr>
                <w:rFonts w:ascii="Arial" w:hAnsi="Arial" w:cs="Arial"/>
                <w:lang w:val="en-IN"/>
              </w:rPr>
            </w:pPr>
            <w:r w:rsidRPr="00D76F6C">
              <w:rPr>
                <w:rFonts w:ascii="Arial" w:hAnsi="Arial" w:cs="Arial"/>
                <w:lang w:val="en-IN"/>
              </w:rPr>
              <w:t>Financial backing (Tata Group)</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2C60841" w14:textId="77777777" w:rsidR="00D76F6C" w:rsidRPr="00D76F6C" w:rsidRDefault="00D76F6C" w:rsidP="00D76F6C">
            <w:pPr>
              <w:spacing w:after="160" w:line="360" w:lineRule="auto"/>
              <w:ind w:firstLine="454"/>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D76F6C">
              <w:rPr>
                <w:rFonts w:ascii="Segoe UI Symbol" w:hAnsi="Segoe UI Symbol" w:cs="Segoe UI Symbol"/>
                <w:lang w:val="en-IN"/>
              </w:rPr>
              <w:t>✔</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2376887" w14:textId="77777777" w:rsidR="00D76F6C" w:rsidRPr="00D76F6C" w:rsidRDefault="00D76F6C" w:rsidP="00D76F6C">
            <w:pPr>
              <w:spacing w:after="160" w:line="360" w:lineRule="auto"/>
              <w:ind w:firstLine="454"/>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D76F6C">
              <w:rPr>
                <w:rFonts w:ascii="Segoe UI Symbol" w:hAnsi="Segoe UI Symbol" w:cs="Segoe UI Symbol"/>
                <w:lang w:val="en-IN"/>
              </w:rPr>
              <w:t>✔</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2B1BE63" w14:textId="77777777" w:rsidR="00D76F6C" w:rsidRPr="00D76F6C" w:rsidRDefault="00D76F6C" w:rsidP="00D76F6C">
            <w:pPr>
              <w:spacing w:after="160" w:line="360" w:lineRule="auto"/>
              <w:ind w:firstLine="454"/>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D76F6C">
              <w:rPr>
                <w:rFonts w:ascii="Segoe UI Symbol" w:hAnsi="Segoe UI Symbol" w:cs="Segoe UI Symbol"/>
                <w:lang w:val="en-IN"/>
              </w:rPr>
              <w:t>✖</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7E1B069" w14:textId="77777777" w:rsidR="00D76F6C" w:rsidRPr="00D76F6C" w:rsidRDefault="00D76F6C" w:rsidP="00D76F6C">
            <w:pPr>
              <w:spacing w:after="160" w:line="360" w:lineRule="auto"/>
              <w:ind w:firstLine="454"/>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D76F6C">
              <w:rPr>
                <w:rFonts w:ascii="Segoe UI Symbol" w:hAnsi="Segoe UI Symbol" w:cs="Segoe UI Symbol"/>
                <w:lang w:val="en-IN"/>
              </w:rPr>
              <w:t>✔</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8397AD1" w14:textId="77777777" w:rsidR="00D76F6C" w:rsidRPr="00D76F6C" w:rsidRDefault="00D76F6C" w:rsidP="00D76F6C">
            <w:pPr>
              <w:spacing w:after="160" w:line="360" w:lineRule="auto"/>
              <w:ind w:firstLine="454"/>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D76F6C">
              <w:rPr>
                <w:rFonts w:ascii="Arial" w:hAnsi="Arial" w:cs="Arial"/>
                <w:b/>
                <w:bCs/>
                <w:lang w:val="en-IN"/>
              </w:rPr>
              <w:t>Temporary advantage</w:t>
            </w:r>
          </w:p>
        </w:tc>
      </w:tr>
      <w:tr w:rsidR="00D76F6C" w:rsidRPr="00D76F6C" w14:paraId="66706EE1"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FFFFF" w:themeColor="background1"/>
              <w:bottom w:val="single" w:sz="4" w:space="0" w:color="FFFFFF" w:themeColor="background1"/>
              <w:right w:val="single" w:sz="4" w:space="0" w:color="FFFFFF" w:themeColor="background1"/>
            </w:tcBorders>
            <w:hideMark/>
          </w:tcPr>
          <w:p w14:paraId="56F22A06" w14:textId="77777777" w:rsidR="00D76F6C" w:rsidRPr="00D76F6C" w:rsidRDefault="00D76F6C" w:rsidP="00D76F6C">
            <w:pPr>
              <w:spacing w:after="160" w:line="360" w:lineRule="auto"/>
              <w:ind w:firstLine="454"/>
              <w:rPr>
                <w:rFonts w:ascii="Arial" w:hAnsi="Arial" w:cs="Arial"/>
                <w:lang w:val="en-IN"/>
              </w:rPr>
            </w:pPr>
            <w:r w:rsidRPr="00D76F6C">
              <w:rPr>
                <w:rFonts w:ascii="Arial" w:hAnsi="Arial" w:cs="Arial"/>
                <w:lang w:val="en-IN"/>
              </w:rPr>
              <w:lastRenderedPageBreak/>
              <w:t>Skilled workforce &amp; supplier relations</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3430B50" w14:textId="77777777" w:rsidR="00D76F6C" w:rsidRPr="00D76F6C" w:rsidRDefault="00D76F6C" w:rsidP="00D76F6C">
            <w:pPr>
              <w:spacing w:after="160" w:line="360" w:lineRule="auto"/>
              <w:ind w:firstLine="454"/>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D76F6C">
              <w:rPr>
                <w:rFonts w:ascii="Segoe UI Symbol" w:hAnsi="Segoe UI Symbol" w:cs="Segoe UI Symbol"/>
                <w:lang w:val="en-IN"/>
              </w:rPr>
              <w:t>✔</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5E15C9D6" w14:textId="77777777" w:rsidR="00D76F6C" w:rsidRPr="00D76F6C" w:rsidRDefault="00D76F6C" w:rsidP="00D76F6C">
            <w:pPr>
              <w:spacing w:after="160" w:line="360" w:lineRule="auto"/>
              <w:ind w:firstLine="454"/>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D76F6C">
              <w:rPr>
                <w:rFonts w:ascii="Segoe UI Symbol" w:hAnsi="Segoe UI Symbol" w:cs="Segoe UI Symbol"/>
                <w:lang w:val="en-IN"/>
              </w:rPr>
              <w:t>✖</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4ED056A" w14:textId="77777777" w:rsidR="00D76F6C" w:rsidRPr="00D76F6C" w:rsidRDefault="00D76F6C" w:rsidP="00D76F6C">
            <w:pPr>
              <w:spacing w:after="160" w:line="360" w:lineRule="auto"/>
              <w:ind w:firstLine="454"/>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D76F6C">
              <w:rPr>
                <w:rFonts w:ascii="Segoe UI Symbol" w:hAnsi="Segoe UI Symbol" w:cs="Segoe UI Symbol"/>
                <w:lang w:val="en-IN"/>
              </w:rPr>
              <w:t>✖</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3F571DA" w14:textId="77777777" w:rsidR="00D76F6C" w:rsidRPr="00D76F6C" w:rsidRDefault="00D76F6C" w:rsidP="00D76F6C">
            <w:pPr>
              <w:spacing w:after="160" w:line="360" w:lineRule="auto"/>
              <w:ind w:firstLine="454"/>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D76F6C">
              <w:rPr>
                <w:rFonts w:ascii="Segoe UI Symbol" w:hAnsi="Segoe UI Symbol" w:cs="Segoe UI Symbol"/>
                <w:lang w:val="en-IN"/>
              </w:rPr>
              <w:t>✔</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A1D7077" w14:textId="77777777" w:rsidR="00D76F6C" w:rsidRPr="00D76F6C" w:rsidRDefault="00D76F6C" w:rsidP="00D76F6C">
            <w:pPr>
              <w:spacing w:after="160" w:line="360" w:lineRule="auto"/>
              <w:ind w:firstLine="454"/>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D76F6C">
              <w:rPr>
                <w:rFonts w:ascii="Arial" w:hAnsi="Arial" w:cs="Arial"/>
                <w:b/>
                <w:bCs/>
                <w:lang w:val="en-IN"/>
              </w:rPr>
              <w:t>Competitive parity</w:t>
            </w:r>
          </w:p>
        </w:tc>
      </w:tr>
      <w:tr w:rsidR="00D76F6C" w:rsidRPr="00D76F6C" w14:paraId="2BEE3CE8"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FFFFF" w:themeColor="background1"/>
              <w:right w:val="single" w:sz="4" w:space="0" w:color="FFFFFF" w:themeColor="background1"/>
            </w:tcBorders>
            <w:hideMark/>
          </w:tcPr>
          <w:p w14:paraId="025A8BED" w14:textId="77777777" w:rsidR="00D76F6C" w:rsidRPr="00D76F6C" w:rsidRDefault="00D76F6C" w:rsidP="00D76F6C">
            <w:pPr>
              <w:spacing w:after="160" w:line="360" w:lineRule="auto"/>
              <w:ind w:firstLine="454"/>
              <w:rPr>
                <w:rFonts w:ascii="Arial" w:hAnsi="Arial" w:cs="Arial"/>
                <w:lang w:val="en-IN"/>
              </w:rPr>
            </w:pPr>
            <w:r w:rsidRPr="00D76F6C">
              <w:rPr>
                <w:rFonts w:ascii="Arial" w:hAnsi="Arial" w:cs="Arial"/>
                <w:lang w:val="en-IN"/>
              </w:rPr>
              <w:t>Manufacturing &amp; digital infrastructure</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6B6C2EF" w14:textId="77777777" w:rsidR="00D76F6C" w:rsidRPr="00D76F6C" w:rsidRDefault="00D76F6C" w:rsidP="00D76F6C">
            <w:pPr>
              <w:spacing w:after="160" w:line="360" w:lineRule="auto"/>
              <w:ind w:firstLine="454"/>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D76F6C">
              <w:rPr>
                <w:rFonts w:ascii="Segoe UI Symbol" w:hAnsi="Segoe UI Symbol" w:cs="Segoe UI Symbol"/>
                <w:lang w:val="en-IN"/>
              </w:rPr>
              <w:t>✔</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C6141BE" w14:textId="77777777" w:rsidR="00D76F6C" w:rsidRPr="00D76F6C" w:rsidRDefault="00D76F6C" w:rsidP="00D76F6C">
            <w:pPr>
              <w:spacing w:after="160" w:line="360" w:lineRule="auto"/>
              <w:ind w:firstLine="454"/>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D76F6C">
              <w:rPr>
                <w:rFonts w:ascii="Segoe UI Symbol" w:hAnsi="Segoe UI Symbol" w:cs="Segoe UI Symbol"/>
                <w:lang w:val="en-IN"/>
              </w:rPr>
              <w:t>✖</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A23C442" w14:textId="77777777" w:rsidR="00D76F6C" w:rsidRPr="00D76F6C" w:rsidRDefault="00D76F6C" w:rsidP="00D76F6C">
            <w:pPr>
              <w:spacing w:after="160" w:line="360" w:lineRule="auto"/>
              <w:ind w:firstLine="454"/>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D76F6C">
              <w:rPr>
                <w:rFonts w:ascii="Segoe UI Symbol" w:hAnsi="Segoe UI Symbol" w:cs="Segoe UI Symbol"/>
                <w:lang w:val="en-IN"/>
              </w:rPr>
              <w:t>✖</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92CCE3A" w14:textId="77777777" w:rsidR="00D76F6C" w:rsidRPr="00D76F6C" w:rsidRDefault="00D76F6C" w:rsidP="00D76F6C">
            <w:pPr>
              <w:spacing w:after="160" w:line="360" w:lineRule="auto"/>
              <w:ind w:firstLine="454"/>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D76F6C">
              <w:rPr>
                <w:rFonts w:ascii="Segoe UI Symbol" w:hAnsi="Segoe UI Symbol" w:cs="Segoe UI Symbol"/>
                <w:lang w:val="en-IN"/>
              </w:rPr>
              <w:t>✔</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6F04E06" w14:textId="77777777" w:rsidR="00D76F6C" w:rsidRPr="00D76F6C" w:rsidRDefault="00D76F6C" w:rsidP="00D76F6C">
            <w:pPr>
              <w:spacing w:after="160" w:line="360" w:lineRule="auto"/>
              <w:ind w:firstLine="454"/>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D76F6C">
              <w:rPr>
                <w:rFonts w:ascii="Arial" w:hAnsi="Arial" w:cs="Arial"/>
                <w:b/>
                <w:bCs/>
                <w:lang w:val="en-IN"/>
              </w:rPr>
              <w:t>Temporary advantage</w:t>
            </w:r>
          </w:p>
        </w:tc>
      </w:tr>
    </w:tbl>
    <w:p w14:paraId="6DA36C5E" w14:textId="77777777" w:rsidR="00D76F6C" w:rsidRPr="00D76F6C" w:rsidRDefault="00D76F6C" w:rsidP="00D76F6C">
      <w:pPr>
        <w:spacing w:line="360" w:lineRule="auto"/>
        <w:ind w:firstLine="454"/>
        <w:rPr>
          <w:rFonts w:ascii="Arial" w:hAnsi="Arial" w:cs="Arial"/>
          <w:lang w:val="en-IN"/>
        </w:rPr>
      </w:pPr>
    </w:p>
    <w:p w14:paraId="3181350E"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The most potent factors of competition for JLR are the brand heritage, the ability to innovate, and the merger with Tata Motors. Its manufacturing base and workforce, to some extent, grant JLR solid operational capabilities, but they are not unique or easily replicated. </w:t>
      </w:r>
      <w:proofErr w:type="gramStart"/>
      <w:r w:rsidRPr="00D76F6C">
        <w:rPr>
          <w:rFonts w:ascii="Arial" w:hAnsi="Arial" w:cs="Arial"/>
          <w:lang w:val="en-IN"/>
        </w:rPr>
        <w:t>In order to</w:t>
      </w:r>
      <w:proofErr w:type="gramEnd"/>
      <w:r w:rsidRPr="00D76F6C">
        <w:rPr>
          <w:rFonts w:ascii="Arial" w:hAnsi="Arial" w:cs="Arial"/>
          <w:lang w:val="en-IN"/>
        </w:rPr>
        <w:t xml:space="preserve"> keep its advantage, JLR </w:t>
      </w:r>
      <w:proofErr w:type="gramStart"/>
      <w:r w:rsidRPr="00D76F6C">
        <w:rPr>
          <w:rFonts w:ascii="Arial" w:hAnsi="Arial" w:cs="Arial"/>
          <w:lang w:val="en-IN"/>
        </w:rPr>
        <w:t>has to</w:t>
      </w:r>
      <w:proofErr w:type="gramEnd"/>
      <w:r w:rsidRPr="00D76F6C">
        <w:rPr>
          <w:rFonts w:ascii="Arial" w:hAnsi="Arial" w:cs="Arial"/>
          <w:lang w:val="en-IN"/>
        </w:rPr>
        <w:t xml:space="preserve"> radically transform its technological know-how and software capabilities into very specific data-based value propositions that will be supported by ongoing organizational learning and investment.</w:t>
      </w:r>
    </w:p>
    <w:p w14:paraId="44DD2AEF" w14:textId="77777777" w:rsidR="00D76F6C" w:rsidRPr="00D76F6C" w:rsidRDefault="00D76F6C" w:rsidP="00D76F6C">
      <w:pPr>
        <w:spacing w:line="360" w:lineRule="auto"/>
        <w:ind w:firstLine="454"/>
        <w:rPr>
          <w:rFonts w:ascii="Arial" w:hAnsi="Arial" w:cs="Arial"/>
          <w:lang w:val="en-IN"/>
        </w:rPr>
      </w:pPr>
    </w:p>
    <w:p w14:paraId="73C4EC49" w14:textId="77777777" w:rsidR="00D76F6C" w:rsidRPr="00D76F6C" w:rsidRDefault="00D76F6C" w:rsidP="00D76F6C">
      <w:pPr>
        <w:spacing w:line="360" w:lineRule="auto"/>
        <w:ind w:firstLine="454"/>
        <w:rPr>
          <w:rFonts w:ascii="Arial" w:hAnsi="Arial" w:cs="Arial"/>
          <w:bCs/>
          <w:lang w:val="en-IN"/>
        </w:rPr>
      </w:pPr>
      <w:bookmarkStart w:id="9" w:name="_Toc213695747"/>
      <w:bookmarkStart w:id="10" w:name="_Toc213708829"/>
      <w:r w:rsidRPr="00D76F6C">
        <w:rPr>
          <w:rFonts w:ascii="Arial" w:hAnsi="Arial" w:cs="Arial"/>
          <w:b/>
          <w:bCs/>
          <w:lang w:val="en-IN"/>
        </w:rPr>
        <w:t>3. SWOT Analysis</w:t>
      </w:r>
      <w:bookmarkEnd w:id="9"/>
      <w:bookmarkEnd w:id="10"/>
    </w:p>
    <w:p w14:paraId="64A9A813"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A SWOT analysis captures the strengths and weaknesses of the company together with its opportunities and threats to determine the strategic position of Jaguar Land Rover (JLR).</w:t>
      </w:r>
    </w:p>
    <w:p w14:paraId="5BA1CEF8"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b/>
          <w:bCs/>
          <w:lang w:val="en-IN"/>
        </w:rPr>
        <w:t>Strengths:</w:t>
      </w:r>
      <w:r w:rsidRPr="00D76F6C">
        <w:rPr>
          <w:rFonts w:ascii="Arial" w:hAnsi="Arial" w:cs="Arial"/>
          <w:lang w:val="en-IN"/>
        </w:rPr>
        <w:t xml:space="preserve"> JLR stands out as a top brand with broad and wide-ranging capabilities, which consists of very good engineering, strong financial recovery, and a £3 billion annual investment in R&amp;D (Jaguar Land Rover, 2024). The support from Tata Motors improves global coverage, capital power, and supply-chain resilience (SMMT, 2024).</w:t>
      </w:r>
    </w:p>
    <w:p w14:paraId="698DF9C6"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b/>
          <w:bCs/>
          <w:lang w:val="en-IN"/>
        </w:rPr>
        <w:t>Weaknesses:</w:t>
      </w:r>
      <w:r w:rsidRPr="00D76F6C">
        <w:rPr>
          <w:rFonts w:ascii="Arial" w:hAnsi="Arial" w:cs="Arial"/>
          <w:lang w:val="en-IN"/>
        </w:rPr>
        <w:t xml:space="preserve"> JLR’s high production and electrification costs are eroding the margins while the continuous reliance on imported semiconductors and batteries makes the company vulnerable to supply disruptions (Reuters, 2024).</w:t>
      </w:r>
    </w:p>
    <w:p w14:paraId="06B42089"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b/>
          <w:bCs/>
          <w:lang w:val="en-IN"/>
        </w:rPr>
        <w:t xml:space="preserve">Opportunities: </w:t>
      </w:r>
      <w:r w:rsidRPr="00D76F6C">
        <w:rPr>
          <w:rFonts w:ascii="Arial" w:hAnsi="Arial" w:cs="Arial"/>
          <w:lang w:val="en-IN"/>
        </w:rPr>
        <w:t xml:space="preserve">The growth in the global demand for battery electric vehicles (BEVs), the speed-up of digital transformation, and the setting up of battery manufacturing close to the market through the new Tata </w:t>
      </w:r>
      <w:proofErr w:type="spellStart"/>
      <w:r w:rsidRPr="00D76F6C">
        <w:rPr>
          <w:rFonts w:ascii="Arial" w:hAnsi="Arial" w:cs="Arial"/>
          <w:lang w:val="en-IN"/>
        </w:rPr>
        <w:t>Agratas</w:t>
      </w:r>
      <w:proofErr w:type="spellEnd"/>
      <w:r w:rsidRPr="00D76F6C">
        <w:rPr>
          <w:rFonts w:ascii="Arial" w:hAnsi="Arial" w:cs="Arial"/>
          <w:lang w:val="en-IN"/>
        </w:rPr>
        <w:t xml:space="preserve"> gigafactory are some of the ways to achieve sustainable growth in the future (IEA, 2024; McKinsey, 2024).</w:t>
      </w:r>
    </w:p>
    <w:p w14:paraId="4750E80F"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b/>
          <w:bCs/>
          <w:lang w:val="en-IN"/>
        </w:rPr>
        <w:t>Threats:</w:t>
      </w:r>
      <w:r w:rsidRPr="00D76F6C">
        <w:rPr>
          <w:rFonts w:ascii="Arial" w:hAnsi="Arial" w:cs="Arial"/>
          <w:lang w:val="en-IN"/>
        </w:rPr>
        <w:t xml:space="preserve"> The competition in the premium EV market (Tesla, BMW, BYD) is becoming more intense and the regulatory instability concerning carbon emission targets is going to be a major factor affecting profitability. The continual differences between EVs and other types of vehicles in terms of price are also expected to restrict mass adoption (BNEF, 2025).</w:t>
      </w:r>
    </w:p>
    <w:p w14:paraId="05E35B73" w14:textId="77777777" w:rsidR="00D76F6C" w:rsidRPr="00D76F6C" w:rsidRDefault="00D76F6C" w:rsidP="00D76F6C">
      <w:pPr>
        <w:spacing w:line="360" w:lineRule="auto"/>
        <w:ind w:firstLine="454"/>
        <w:rPr>
          <w:rFonts w:ascii="Arial" w:hAnsi="Arial" w:cs="Arial"/>
          <w:b/>
          <w:bCs/>
          <w:lang w:val="en-IN"/>
        </w:rPr>
      </w:pPr>
      <w:r w:rsidRPr="00D76F6C">
        <w:rPr>
          <w:rFonts w:ascii="Arial" w:hAnsi="Arial" w:cs="Arial"/>
          <w:b/>
          <w:bCs/>
          <w:lang w:val="en-IN"/>
        </w:rPr>
        <w:lastRenderedPageBreak/>
        <w:t xml:space="preserve">SWOT Matrix </w:t>
      </w:r>
    </w:p>
    <w:tbl>
      <w:tblPr>
        <w:tblW w:w="8994"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88"/>
        <w:gridCol w:w="4506"/>
      </w:tblGrid>
      <w:tr w:rsidR="00D76F6C" w:rsidRPr="00D76F6C" w14:paraId="3E5D824E" w14:textId="77777777">
        <w:trPr>
          <w:trHeight w:val="622"/>
          <w:tblHeader/>
          <w:tblCellSpacing w:w="15" w:type="dxa"/>
          <w:jc w:val="center"/>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E37EFA3" w14:textId="77777777" w:rsidR="00D76F6C" w:rsidRPr="00D76F6C" w:rsidRDefault="00D76F6C" w:rsidP="00D76F6C">
            <w:pPr>
              <w:spacing w:line="360" w:lineRule="auto"/>
              <w:ind w:firstLine="454"/>
              <w:rPr>
                <w:rFonts w:ascii="Arial" w:hAnsi="Arial" w:cs="Arial"/>
                <w:b/>
                <w:bCs/>
                <w:lang w:val="en-IN"/>
              </w:rPr>
            </w:pPr>
            <w:r w:rsidRPr="00D76F6C">
              <w:rPr>
                <w:rFonts w:ascii="Arial" w:hAnsi="Arial" w:cs="Arial"/>
                <w:b/>
                <w:bCs/>
                <w:lang w:val="en-IN"/>
              </w:rPr>
              <w:t>Strengths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2F14E81" w14:textId="77777777" w:rsidR="00D76F6C" w:rsidRPr="00D76F6C" w:rsidRDefault="00D76F6C" w:rsidP="00D76F6C">
            <w:pPr>
              <w:spacing w:line="360" w:lineRule="auto"/>
              <w:ind w:firstLine="454"/>
              <w:rPr>
                <w:rFonts w:ascii="Arial" w:hAnsi="Arial" w:cs="Arial"/>
                <w:b/>
                <w:bCs/>
                <w:lang w:val="en-IN"/>
              </w:rPr>
            </w:pPr>
            <w:r w:rsidRPr="00D76F6C">
              <w:rPr>
                <w:rFonts w:ascii="Arial" w:hAnsi="Arial" w:cs="Arial"/>
                <w:b/>
                <w:bCs/>
                <w:lang w:val="en-IN"/>
              </w:rPr>
              <w:t>Weaknesses</w:t>
            </w:r>
          </w:p>
        </w:tc>
      </w:tr>
      <w:tr w:rsidR="00D76F6C" w:rsidRPr="00D76F6C" w14:paraId="047F6CA2" w14:textId="77777777">
        <w:trPr>
          <w:trHeight w:val="609"/>
          <w:tblCellSpacing w:w="15" w:type="dxa"/>
          <w:jc w:val="center"/>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45CC334"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Iconic brand heritage and luxury positioning</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5B965B4"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High production and electrification costs</w:t>
            </w:r>
          </w:p>
        </w:tc>
      </w:tr>
      <w:tr w:rsidR="00D76F6C" w:rsidRPr="00D76F6C" w14:paraId="3DB338E2" w14:textId="77777777">
        <w:trPr>
          <w:trHeight w:val="622"/>
          <w:tblCellSpacing w:w="15" w:type="dxa"/>
          <w:jc w:val="center"/>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77725D8"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Strong R&amp;D and innovation investment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0F3A2A4"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Supply chain dependence (chips, batteries)</w:t>
            </w:r>
          </w:p>
        </w:tc>
      </w:tr>
      <w:tr w:rsidR="00D76F6C" w:rsidRPr="00D76F6C" w14:paraId="7BD5715A" w14:textId="77777777">
        <w:trPr>
          <w:trHeight w:val="609"/>
          <w:tblCellSpacing w:w="15" w:type="dxa"/>
          <w:jc w:val="center"/>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F99FEA2"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Financial support from Tata Group</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1CA6018"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Limited digital retail maturity</w:t>
            </w:r>
          </w:p>
        </w:tc>
      </w:tr>
    </w:tbl>
    <w:p w14:paraId="466A749E" w14:textId="77777777" w:rsidR="00D76F6C" w:rsidRPr="00D76F6C" w:rsidRDefault="00D76F6C" w:rsidP="00D76F6C">
      <w:pPr>
        <w:spacing w:line="360" w:lineRule="auto"/>
        <w:ind w:firstLine="454"/>
        <w:rPr>
          <w:rFonts w:ascii="Arial" w:hAnsi="Arial" w:cs="Arial"/>
          <w:lang w:val="en-IN"/>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78"/>
        <w:gridCol w:w="4738"/>
      </w:tblGrid>
      <w:tr w:rsidR="00D76F6C" w:rsidRPr="00D76F6C" w14:paraId="282D0D8D" w14:textId="77777777">
        <w:trPr>
          <w:tblHeader/>
          <w:tblCellSpacing w:w="15" w:type="dxa"/>
          <w:jc w:val="center"/>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D08B307" w14:textId="77777777" w:rsidR="00D76F6C" w:rsidRPr="00D76F6C" w:rsidRDefault="00D76F6C" w:rsidP="00D76F6C">
            <w:pPr>
              <w:spacing w:line="360" w:lineRule="auto"/>
              <w:ind w:firstLine="454"/>
              <w:rPr>
                <w:rFonts w:ascii="Arial" w:hAnsi="Arial" w:cs="Arial"/>
                <w:b/>
                <w:bCs/>
                <w:lang w:val="en-IN"/>
              </w:rPr>
            </w:pPr>
            <w:r w:rsidRPr="00D76F6C">
              <w:rPr>
                <w:rFonts w:ascii="Arial" w:hAnsi="Arial" w:cs="Arial"/>
                <w:b/>
                <w:bCs/>
                <w:lang w:val="en-IN"/>
              </w:rPr>
              <w:t>Opportunities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1C90762" w14:textId="77777777" w:rsidR="00D76F6C" w:rsidRPr="00D76F6C" w:rsidRDefault="00D76F6C" w:rsidP="00D76F6C">
            <w:pPr>
              <w:spacing w:line="360" w:lineRule="auto"/>
              <w:ind w:firstLine="454"/>
              <w:rPr>
                <w:rFonts w:ascii="Arial" w:hAnsi="Arial" w:cs="Arial"/>
                <w:b/>
                <w:bCs/>
                <w:lang w:val="en-IN"/>
              </w:rPr>
            </w:pPr>
            <w:r w:rsidRPr="00D76F6C">
              <w:rPr>
                <w:rFonts w:ascii="Arial" w:hAnsi="Arial" w:cs="Arial"/>
                <w:b/>
                <w:bCs/>
                <w:lang w:val="en-IN"/>
              </w:rPr>
              <w:t>Threats</w:t>
            </w:r>
          </w:p>
        </w:tc>
      </w:tr>
      <w:tr w:rsidR="00D76F6C" w:rsidRPr="00D76F6C" w14:paraId="4CBD1727" w14:textId="77777777">
        <w:trPr>
          <w:tblCellSpacing w:w="15" w:type="dxa"/>
          <w:jc w:val="center"/>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36D909E"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Growing global BEV and sustainability markets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D51F8A7"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Fierce competition from established and new EV players</w:t>
            </w:r>
          </w:p>
        </w:tc>
      </w:tr>
      <w:tr w:rsidR="00D76F6C" w:rsidRPr="00D76F6C" w14:paraId="2815C913" w14:textId="77777777">
        <w:trPr>
          <w:tblCellSpacing w:w="15" w:type="dxa"/>
          <w:jc w:val="center"/>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D2E1002"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Battery localisation (UK gigafactory)</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B28D23A"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Regulatory and cost uncertainties</w:t>
            </w:r>
          </w:p>
        </w:tc>
      </w:tr>
      <w:tr w:rsidR="00D76F6C" w:rsidRPr="00D76F6C" w14:paraId="0BE1EC1E" w14:textId="77777777">
        <w:trPr>
          <w:tblCellSpacing w:w="15" w:type="dxa"/>
          <w:jc w:val="center"/>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6CF94BF"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Expansion of software and digital services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48A6217"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EV affordability challenges</w:t>
            </w:r>
          </w:p>
        </w:tc>
      </w:tr>
    </w:tbl>
    <w:p w14:paraId="752BF39E" w14:textId="77777777" w:rsidR="00D76F6C" w:rsidRPr="00D76F6C" w:rsidRDefault="00D76F6C" w:rsidP="00D76F6C">
      <w:pPr>
        <w:spacing w:line="360" w:lineRule="auto"/>
        <w:ind w:firstLine="454"/>
        <w:rPr>
          <w:rFonts w:ascii="Arial" w:hAnsi="Arial" w:cs="Arial"/>
          <w:lang w:val="en-IN"/>
        </w:rPr>
      </w:pPr>
    </w:p>
    <w:p w14:paraId="322DE17F" w14:textId="627B0096" w:rsidR="00D76F6C" w:rsidRPr="00D76F6C" w:rsidRDefault="00D76F6C" w:rsidP="00D76F6C">
      <w:pPr>
        <w:spacing w:line="360" w:lineRule="auto"/>
        <w:ind w:firstLine="454"/>
        <w:rPr>
          <w:rFonts w:ascii="Arial" w:hAnsi="Arial" w:cs="Arial"/>
          <w:lang w:val="en-IN"/>
        </w:rPr>
      </w:pPr>
      <w:r w:rsidRPr="00D76F6C">
        <w:rPr>
          <w:rFonts w:ascii="Arial" w:hAnsi="Arial" w:cs="Arial"/>
          <w:noProof/>
          <w:lang w:val="en-IN"/>
        </w:rPr>
        <w:drawing>
          <wp:inline distT="0" distB="0" distL="0" distR="0" wp14:anchorId="33AAA1D5" wp14:editId="456C3005">
            <wp:extent cx="4565650" cy="2705100"/>
            <wp:effectExtent l="0" t="0" r="6350" b="0"/>
            <wp:docPr id="1192033366" name="Picture 6" descr="Why Your Business Needs Regular HR SWOT Analysis to Attract Top Talent | T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y Your Business Needs Regular HR SWOT Analysis to Attract Top Talent | TMI"/>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65650" cy="2705100"/>
                    </a:xfrm>
                    <a:prstGeom prst="rect">
                      <a:avLst/>
                    </a:prstGeom>
                    <a:noFill/>
                    <a:ln>
                      <a:noFill/>
                    </a:ln>
                  </pic:spPr>
                </pic:pic>
              </a:graphicData>
            </a:graphic>
          </wp:inline>
        </w:drawing>
      </w:r>
    </w:p>
    <w:p w14:paraId="25308A99" w14:textId="77777777" w:rsidR="00D76F6C" w:rsidRPr="00D76F6C" w:rsidRDefault="00D76F6C" w:rsidP="00D76F6C">
      <w:pPr>
        <w:spacing w:line="360" w:lineRule="auto"/>
        <w:ind w:firstLine="454"/>
        <w:rPr>
          <w:rFonts w:ascii="Arial" w:hAnsi="Arial" w:cs="Arial"/>
          <w:b/>
          <w:bCs/>
          <w:lang w:val="en-IN"/>
        </w:rPr>
      </w:pPr>
      <w:r w:rsidRPr="00D76F6C">
        <w:rPr>
          <w:rFonts w:ascii="Arial" w:hAnsi="Arial" w:cs="Arial"/>
          <w:b/>
          <w:bCs/>
          <w:lang w:val="en-IN"/>
        </w:rPr>
        <w:t xml:space="preserve">Figure 5. SWOT Analysis </w:t>
      </w:r>
    </w:p>
    <w:p w14:paraId="5241D1AB" w14:textId="77777777" w:rsidR="00D76F6C" w:rsidRPr="00D76F6C" w:rsidRDefault="00D76F6C" w:rsidP="00D76F6C">
      <w:pPr>
        <w:spacing w:line="360" w:lineRule="auto"/>
        <w:ind w:firstLine="454"/>
        <w:rPr>
          <w:rFonts w:ascii="Arial" w:hAnsi="Arial" w:cs="Arial"/>
          <w:b/>
          <w:bCs/>
          <w:i/>
          <w:iCs/>
          <w:lang w:val="en-IN"/>
        </w:rPr>
      </w:pPr>
      <w:r w:rsidRPr="00D76F6C">
        <w:rPr>
          <w:rFonts w:ascii="Arial" w:hAnsi="Arial" w:cs="Arial"/>
          <w:b/>
          <w:bCs/>
          <w:i/>
          <w:iCs/>
          <w:lang w:val="en-IN"/>
        </w:rPr>
        <w:t>Source: (TMI, 2023)</w:t>
      </w:r>
    </w:p>
    <w:p w14:paraId="42156EE7" w14:textId="77777777" w:rsidR="00D76F6C" w:rsidRPr="00D76F6C" w:rsidRDefault="00D76F6C" w:rsidP="00D76F6C">
      <w:pPr>
        <w:spacing w:line="360" w:lineRule="auto"/>
        <w:ind w:firstLine="454"/>
        <w:rPr>
          <w:rFonts w:ascii="Arial" w:hAnsi="Arial" w:cs="Arial"/>
          <w:b/>
          <w:bCs/>
          <w:i/>
          <w:iCs/>
          <w:lang w:val="en-IN"/>
        </w:rPr>
      </w:pPr>
    </w:p>
    <w:p w14:paraId="4B4C6F55" w14:textId="77777777" w:rsidR="00D76F6C" w:rsidRPr="00D76F6C" w:rsidRDefault="00D76F6C" w:rsidP="00D76F6C">
      <w:pPr>
        <w:spacing w:line="360" w:lineRule="auto"/>
        <w:ind w:firstLine="454"/>
        <w:rPr>
          <w:rFonts w:ascii="Arial" w:hAnsi="Arial" w:cs="Arial"/>
          <w:bCs/>
          <w:lang w:val="en-IN"/>
        </w:rPr>
      </w:pPr>
      <w:bookmarkStart w:id="11" w:name="_Toc213695748"/>
      <w:bookmarkStart w:id="12" w:name="_Toc213708830"/>
      <w:r w:rsidRPr="00D76F6C">
        <w:rPr>
          <w:rFonts w:ascii="Arial" w:hAnsi="Arial" w:cs="Arial"/>
          <w:b/>
          <w:bCs/>
          <w:lang w:val="en-IN"/>
        </w:rPr>
        <w:t>Strategy Formulation</w:t>
      </w:r>
      <w:bookmarkEnd w:id="11"/>
      <w:bookmarkEnd w:id="12"/>
    </w:p>
    <w:p w14:paraId="4E57DA6F" w14:textId="77777777" w:rsidR="00D76F6C" w:rsidRPr="00D76F6C" w:rsidRDefault="00D76F6C" w:rsidP="00D76F6C">
      <w:pPr>
        <w:spacing w:line="360" w:lineRule="auto"/>
        <w:ind w:firstLine="454"/>
        <w:rPr>
          <w:rFonts w:ascii="Arial" w:hAnsi="Arial" w:cs="Arial"/>
          <w:lang w:val="en-IN"/>
        </w:rPr>
      </w:pPr>
      <w:proofErr w:type="gramStart"/>
      <w:r w:rsidRPr="00D76F6C">
        <w:rPr>
          <w:rFonts w:ascii="Arial" w:hAnsi="Arial" w:cs="Arial"/>
          <w:lang w:val="en-IN"/>
        </w:rPr>
        <w:t>In order to</w:t>
      </w:r>
      <w:proofErr w:type="gramEnd"/>
      <w:r w:rsidRPr="00D76F6C">
        <w:rPr>
          <w:rFonts w:ascii="Arial" w:hAnsi="Arial" w:cs="Arial"/>
          <w:lang w:val="en-IN"/>
        </w:rPr>
        <w:t xml:space="preserve"> strengthen its competitive position and to ensure that it will be around for a long time, Jaguar Land Rover (JLR) </w:t>
      </w:r>
      <w:proofErr w:type="gramStart"/>
      <w:r w:rsidRPr="00D76F6C">
        <w:rPr>
          <w:rFonts w:ascii="Arial" w:hAnsi="Arial" w:cs="Arial"/>
          <w:lang w:val="en-IN"/>
        </w:rPr>
        <w:t>has to</w:t>
      </w:r>
      <w:proofErr w:type="gramEnd"/>
      <w:r w:rsidRPr="00D76F6C">
        <w:rPr>
          <w:rFonts w:ascii="Arial" w:hAnsi="Arial" w:cs="Arial"/>
          <w:lang w:val="en-IN"/>
        </w:rPr>
        <w:t xml:space="preserve"> come up with strategies that will enable it to deal with the challenges of electrification, digitalisation, and sustainability. The PESTLE, Porter’s Five Forces and VRIO analyses have all been conducted and three strategic alternatives have been assessed through the Suitability, Feasibility and Acceptability (SFA) framework (Johnson </w:t>
      </w:r>
      <w:r w:rsidRPr="00D76F6C">
        <w:rPr>
          <w:rFonts w:ascii="Arial" w:hAnsi="Arial" w:cs="Arial"/>
          <w:i/>
          <w:iCs/>
          <w:lang w:val="en-IN"/>
        </w:rPr>
        <w:t>et al</w:t>
      </w:r>
      <w:r w:rsidRPr="00D76F6C">
        <w:rPr>
          <w:rFonts w:ascii="Arial" w:hAnsi="Arial" w:cs="Arial"/>
          <w:lang w:val="en-IN"/>
        </w:rPr>
        <w:t>., 2017).</w:t>
      </w:r>
    </w:p>
    <w:p w14:paraId="1B63A3E7" w14:textId="77777777" w:rsidR="00D76F6C" w:rsidRPr="00D76F6C" w:rsidRDefault="00D76F6C" w:rsidP="00D76F6C">
      <w:pPr>
        <w:spacing w:line="360" w:lineRule="auto"/>
        <w:ind w:firstLine="454"/>
        <w:rPr>
          <w:rFonts w:ascii="Arial" w:hAnsi="Arial" w:cs="Arial"/>
          <w:b/>
          <w:bCs/>
          <w:lang w:val="en-IN"/>
        </w:rPr>
      </w:pPr>
      <w:r w:rsidRPr="00D76F6C">
        <w:rPr>
          <w:rFonts w:ascii="Arial" w:hAnsi="Arial" w:cs="Arial"/>
          <w:b/>
          <w:bCs/>
          <w:lang w:val="en-IN"/>
        </w:rPr>
        <w:t>Option 1: Battery Localisation and Vertical Integration</w:t>
      </w:r>
    </w:p>
    <w:p w14:paraId="589384A5"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One of the strategies is to electrify and i.e. to construct the local battery capacity via the Tata Group-supported </w:t>
      </w:r>
      <w:proofErr w:type="spellStart"/>
      <w:r w:rsidRPr="00D76F6C">
        <w:rPr>
          <w:rFonts w:ascii="Arial" w:hAnsi="Arial" w:cs="Arial"/>
          <w:lang w:val="en-IN"/>
        </w:rPr>
        <w:t>Agratas</w:t>
      </w:r>
      <w:proofErr w:type="spellEnd"/>
      <w:r w:rsidRPr="00D76F6C">
        <w:rPr>
          <w:rFonts w:ascii="Arial" w:hAnsi="Arial" w:cs="Arial"/>
          <w:lang w:val="en-IN"/>
        </w:rPr>
        <w:t xml:space="preserve"> Gigafactory which is expected to be operational by 2026 (Reuters, 2024). It will tackle the issue of supply-chain disruptions and at the same time it will help strengthening the compliance with the UK-EU Rules of Origin (Gov.UK, 2024). This is a fitting strategy since it has the potential to reduce costs and increase sustainability while being in line with JLR’s Reimagine electrification roadmap (Jaguar Land Rover, 2024). Its high feasibility is based on JLR’s £2.3 billion free cash flow and the financial support from Tata, however, high setup costs are still an issue (McKinsey, 2024). The stakeholders' acceptance is very high </w:t>
      </w:r>
      <w:proofErr w:type="gramStart"/>
      <w:r w:rsidRPr="00D76F6C">
        <w:rPr>
          <w:rFonts w:ascii="Arial" w:hAnsi="Arial" w:cs="Arial"/>
          <w:lang w:val="en-IN"/>
        </w:rPr>
        <w:t>as a result of</w:t>
      </w:r>
      <w:proofErr w:type="gramEnd"/>
      <w:r w:rsidRPr="00D76F6C">
        <w:rPr>
          <w:rFonts w:ascii="Arial" w:hAnsi="Arial" w:cs="Arial"/>
          <w:lang w:val="en-IN"/>
        </w:rPr>
        <w:t xml:space="preserve"> job creation and the alignment with UK net-zero goals.</w:t>
      </w:r>
    </w:p>
    <w:p w14:paraId="2E54A2D5" w14:textId="77777777" w:rsidR="00D76F6C" w:rsidRPr="00D76F6C" w:rsidRDefault="00D76F6C" w:rsidP="00D76F6C">
      <w:pPr>
        <w:spacing w:line="360" w:lineRule="auto"/>
        <w:ind w:firstLine="454"/>
        <w:rPr>
          <w:rFonts w:ascii="Arial" w:hAnsi="Arial" w:cs="Arial"/>
          <w:b/>
          <w:bCs/>
          <w:lang w:val="en-IN"/>
        </w:rPr>
      </w:pPr>
      <w:r w:rsidRPr="00D76F6C">
        <w:rPr>
          <w:rFonts w:ascii="Arial" w:hAnsi="Arial" w:cs="Arial"/>
          <w:b/>
          <w:bCs/>
          <w:lang w:val="en-IN"/>
        </w:rPr>
        <w:t>Option 2: Digital Transformation and Software-Driven Revenue</w:t>
      </w:r>
    </w:p>
    <w:p w14:paraId="7FF786A3"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Through this strategy, JLR will be turned into a software-defined vehicle (SDV) company that will depend mainly on connected platforms, over-the-air updates, and subscription-based features. The company will utilize the help of Nvidia, Accenture, and Tata Technologies (Accenture, 2021) as partners. The suitability is very strong since digital innovation is a feature that distinguishes premium </w:t>
      </w:r>
      <w:proofErr w:type="gramStart"/>
      <w:r w:rsidRPr="00D76F6C">
        <w:rPr>
          <w:rFonts w:ascii="Arial" w:hAnsi="Arial" w:cs="Arial"/>
          <w:lang w:val="en-IN"/>
        </w:rPr>
        <w:t>brands</w:t>
      </w:r>
      <w:proofErr w:type="gramEnd"/>
      <w:r w:rsidRPr="00D76F6C">
        <w:rPr>
          <w:rFonts w:ascii="Arial" w:hAnsi="Arial" w:cs="Arial"/>
          <w:lang w:val="en-IN"/>
        </w:rPr>
        <w:t xml:space="preserve"> and it also determines less product obsolescence (Deloitte, 2024). The feasibility is founded on JLR’s £3 billion R&amp;D budget and digital infrastructure (BNEF, 2025), but the company will have to invest in upskilling its workforce in areas like AI and cybersecurity to fill the talent gaps. Acceptability is high among investors and customers who are looking for premium digital experience.</w:t>
      </w:r>
    </w:p>
    <w:p w14:paraId="55F5236F" w14:textId="77777777" w:rsidR="00D76F6C" w:rsidRPr="00D76F6C" w:rsidRDefault="00D76F6C" w:rsidP="00D76F6C">
      <w:pPr>
        <w:spacing w:line="360" w:lineRule="auto"/>
        <w:ind w:firstLine="454"/>
        <w:rPr>
          <w:rFonts w:ascii="Arial" w:hAnsi="Arial" w:cs="Arial"/>
          <w:b/>
          <w:bCs/>
          <w:lang w:val="en-IN"/>
        </w:rPr>
      </w:pPr>
      <w:r w:rsidRPr="00D76F6C">
        <w:rPr>
          <w:rFonts w:ascii="Arial" w:hAnsi="Arial" w:cs="Arial"/>
          <w:b/>
          <w:bCs/>
          <w:lang w:val="en-IN"/>
        </w:rPr>
        <w:t>Option 3: Portfolio Rationalisation and Premium Market Focus</w:t>
      </w:r>
    </w:p>
    <w:p w14:paraId="385D3BDB"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The strategy is to intertwine high-end models—Range Rover, Defender, and Jaguar BEVs—while cutting down on complexity. It fits the premium EV market's (BNEF, 2025) growth and is consistent with JLR's brand repositioning. The feasibility is there but it requires </w:t>
      </w:r>
      <w:r w:rsidRPr="00D76F6C">
        <w:rPr>
          <w:rFonts w:ascii="Arial" w:hAnsi="Arial" w:cs="Arial"/>
          <w:lang w:val="en-IN"/>
        </w:rPr>
        <w:lastRenderedPageBreak/>
        <w:t>very good communication and coordination with the dealers while the degree of acceptance is moderate because it might push away some consumers in the middle-tier market.</w:t>
      </w:r>
    </w:p>
    <w:p w14:paraId="6BCE14ED" w14:textId="77777777" w:rsidR="00D76F6C" w:rsidRPr="00D76F6C" w:rsidRDefault="00D76F6C" w:rsidP="00D76F6C">
      <w:pPr>
        <w:spacing w:line="360" w:lineRule="auto"/>
        <w:ind w:firstLine="454"/>
        <w:rPr>
          <w:rFonts w:ascii="Arial" w:hAnsi="Arial" w:cs="Arial"/>
          <w:b/>
          <w:bCs/>
          <w:lang w:val="en-IN"/>
        </w:rPr>
      </w:pPr>
      <w:r w:rsidRPr="00D76F6C">
        <w:rPr>
          <w:rFonts w:ascii="Arial" w:hAnsi="Arial" w:cs="Arial"/>
          <w:b/>
          <w:bCs/>
          <w:lang w:val="en-IN"/>
        </w:rPr>
        <w:t>Recommended Strategy:</w:t>
      </w:r>
    </w:p>
    <w:p w14:paraId="5C05B62A"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The JLR Company should go for a “twofold” battery localisation (Option 1) and digital transformation (Option 2) policy to secure supply, cost efficacy, and digital income. Rationalization of the portfolio should be the icing on the cake to keep the profitability flow.</w:t>
      </w:r>
    </w:p>
    <w:p w14:paraId="622A6304" w14:textId="77777777" w:rsidR="00D76F6C" w:rsidRPr="00D76F6C" w:rsidRDefault="00D76F6C" w:rsidP="00D76F6C">
      <w:pPr>
        <w:spacing w:line="360" w:lineRule="auto"/>
        <w:ind w:firstLine="454"/>
        <w:rPr>
          <w:rFonts w:ascii="Arial" w:hAnsi="Arial" w:cs="Arial"/>
          <w:b/>
          <w:bCs/>
          <w:lang w:val="en-IN"/>
        </w:rPr>
      </w:pPr>
      <w:r w:rsidRPr="00D76F6C">
        <w:rPr>
          <w:rFonts w:ascii="Arial" w:hAnsi="Arial" w:cs="Arial"/>
          <w:b/>
          <w:bCs/>
          <w:lang w:val="en-IN"/>
        </w:rPr>
        <w:t>Expected Outcomes:</w:t>
      </w:r>
    </w:p>
    <w:p w14:paraId="0F2570AA"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The competitiveness will be boosted by means of localization and innovation; besides, revenue will be more diversified; the company’s ability to withstand supply volatility will be increased; and lastly, net-zero targets will be achieved. Alliance of these actions gives JLR the status of being the sustainable leader among the premium EV market players by 2030.</w:t>
      </w:r>
    </w:p>
    <w:p w14:paraId="2A5FE5ED" w14:textId="77777777" w:rsidR="00D76F6C" w:rsidRPr="00D76F6C" w:rsidRDefault="00D76F6C" w:rsidP="00D76F6C">
      <w:pPr>
        <w:spacing w:line="360" w:lineRule="auto"/>
        <w:ind w:firstLine="454"/>
        <w:rPr>
          <w:rFonts w:ascii="Arial" w:hAnsi="Arial" w:cs="Arial"/>
          <w:lang w:val="en-IN"/>
        </w:rPr>
      </w:pPr>
    </w:p>
    <w:p w14:paraId="3C048978" w14:textId="77777777" w:rsidR="00D76F6C" w:rsidRPr="00D76F6C" w:rsidRDefault="00D76F6C" w:rsidP="00D76F6C">
      <w:pPr>
        <w:spacing w:line="360" w:lineRule="auto"/>
        <w:ind w:firstLine="454"/>
        <w:rPr>
          <w:rFonts w:ascii="Arial" w:hAnsi="Arial" w:cs="Arial"/>
          <w:lang w:val="en-IN"/>
        </w:rPr>
      </w:pPr>
      <w:bookmarkStart w:id="13" w:name="_Toc213695749"/>
      <w:bookmarkStart w:id="14" w:name="_Toc213708831"/>
      <w:r w:rsidRPr="00D76F6C">
        <w:rPr>
          <w:rFonts w:ascii="Arial" w:hAnsi="Arial" w:cs="Arial"/>
          <w:b/>
          <w:lang w:val="en-IN"/>
        </w:rPr>
        <w:t>Conclusion and Recommendations</w:t>
      </w:r>
      <w:bookmarkEnd w:id="13"/>
      <w:bookmarkEnd w:id="14"/>
    </w:p>
    <w:p w14:paraId="151A884E"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Jaguar Land Rover (JLR) is amidst the transition to electric vehicles and digitalisation to achieve their sustainability targets, which is the very core of their fast-evolving environment. The outlook included showing the government incentives for EVs and the demand for premium sustainable mobility as the other points while the global competition and supply instability were considered as threats (SMMT, 2024; IEA, 2024). However, JLR's brand history, R&amp;D capability, and Tata's financial backing give the company a lot of </w:t>
      </w:r>
      <w:proofErr w:type="gramStart"/>
      <w:r w:rsidRPr="00D76F6C">
        <w:rPr>
          <w:rFonts w:ascii="Arial" w:hAnsi="Arial" w:cs="Arial"/>
          <w:lang w:val="en-IN"/>
        </w:rPr>
        <w:t>power, yet</w:t>
      </w:r>
      <w:proofErr w:type="gramEnd"/>
      <w:r w:rsidRPr="00D76F6C">
        <w:rPr>
          <w:rFonts w:ascii="Arial" w:hAnsi="Arial" w:cs="Arial"/>
          <w:lang w:val="en-IN"/>
        </w:rPr>
        <w:t xml:space="preserve"> cost pressures and supply risks are still there (Jaguar Land Rover, 2024).</w:t>
      </w:r>
    </w:p>
    <w:p w14:paraId="35EBC54B"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The two-pronged strategy of integrating battery localisation and digital transformation is the most effective way forward. Production localization is a strategy that not only keeps the expenses under control but also plays a vital role in the accomplishment of the firm's eco-friendliness objectives. In contrast, the digital transformation process has resulted in the creation of new avenues for revenue </w:t>
      </w:r>
      <w:proofErr w:type="gramStart"/>
      <w:r w:rsidRPr="00D76F6C">
        <w:rPr>
          <w:rFonts w:ascii="Arial" w:hAnsi="Arial" w:cs="Arial"/>
          <w:lang w:val="en-IN"/>
        </w:rPr>
        <w:t>and also</w:t>
      </w:r>
      <w:proofErr w:type="gramEnd"/>
      <w:r w:rsidRPr="00D76F6C">
        <w:rPr>
          <w:rFonts w:ascii="Arial" w:hAnsi="Arial" w:cs="Arial"/>
          <w:lang w:val="en-IN"/>
        </w:rPr>
        <w:t xml:space="preserve"> increased the interaction with customers (Reuters, 2024; Deloitte, 2024).</w:t>
      </w:r>
    </w:p>
    <w:p w14:paraId="30FCA77D" w14:textId="77777777" w:rsidR="00D76F6C" w:rsidRPr="00D76F6C" w:rsidRDefault="00D76F6C" w:rsidP="00D76F6C">
      <w:pPr>
        <w:spacing w:line="360" w:lineRule="auto"/>
        <w:ind w:firstLine="454"/>
        <w:rPr>
          <w:rFonts w:ascii="Arial" w:hAnsi="Arial" w:cs="Arial"/>
          <w:b/>
          <w:bCs/>
          <w:lang w:val="en-IN"/>
        </w:rPr>
      </w:pPr>
      <w:r w:rsidRPr="00D76F6C">
        <w:rPr>
          <w:rFonts w:ascii="Arial" w:hAnsi="Arial" w:cs="Arial"/>
          <w:b/>
          <w:bCs/>
          <w:lang w:val="en-IN"/>
        </w:rPr>
        <w:t>Recommendations:</w:t>
      </w:r>
    </w:p>
    <w:p w14:paraId="67B226B2" w14:textId="77777777" w:rsidR="00D76F6C" w:rsidRPr="00D76F6C" w:rsidRDefault="00D76F6C" w:rsidP="00D76F6C">
      <w:pPr>
        <w:numPr>
          <w:ilvl w:val="0"/>
          <w:numId w:val="2"/>
        </w:numPr>
        <w:spacing w:line="360" w:lineRule="auto"/>
        <w:ind w:firstLine="454"/>
        <w:rPr>
          <w:rFonts w:ascii="Arial" w:hAnsi="Arial" w:cs="Arial"/>
          <w:lang w:val="en-IN"/>
        </w:rPr>
      </w:pPr>
      <w:r w:rsidRPr="00D76F6C">
        <w:rPr>
          <w:rFonts w:ascii="Arial" w:hAnsi="Arial" w:cs="Arial"/>
          <w:lang w:val="en-IN"/>
        </w:rPr>
        <w:t>Get the UK battery joint venture done by 2026.</w:t>
      </w:r>
    </w:p>
    <w:p w14:paraId="38837506" w14:textId="77777777" w:rsidR="00D76F6C" w:rsidRPr="00D76F6C" w:rsidRDefault="00D76F6C" w:rsidP="00D76F6C">
      <w:pPr>
        <w:numPr>
          <w:ilvl w:val="0"/>
          <w:numId w:val="2"/>
        </w:numPr>
        <w:spacing w:line="360" w:lineRule="auto"/>
        <w:ind w:firstLine="454"/>
        <w:rPr>
          <w:rFonts w:ascii="Arial" w:hAnsi="Arial" w:cs="Arial"/>
          <w:lang w:val="en-IN"/>
        </w:rPr>
      </w:pPr>
      <w:r w:rsidRPr="00D76F6C">
        <w:rPr>
          <w:rFonts w:ascii="Arial" w:hAnsi="Arial" w:cs="Arial"/>
          <w:lang w:val="en-IN"/>
        </w:rPr>
        <w:t>Start JLR Software and Services Division.</w:t>
      </w:r>
    </w:p>
    <w:p w14:paraId="262D3269" w14:textId="77777777" w:rsidR="00D76F6C" w:rsidRPr="00D76F6C" w:rsidRDefault="00D76F6C" w:rsidP="00D76F6C">
      <w:pPr>
        <w:numPr>
          <w:ilvl w:val="0"/>
          <w:numId w:val="2"/>
        </w:numPr>
        <w:spacing w:line="360" w:lineRule="auto"/>
        <w:ind w:firstLine="454"/>
        <w:rPr>
          <w:rFonts w:ascii="Arial" w:hAnsi="Arial" w:cs="Arial"/>
          <w:lang w:val="en-IN"/>
        </w:rPr>
      </w:pPr>
      <w:r w:rsidRPr="00D76F6C">
        <w:rPr>
          <w:rFonts w:ascii="Arial" w:hAnsi="Arial" w:cs="Arial"/>
          <w:lang w:val="en-IN"/>
        </w:rPr>
        <w:t>Increase digital retail and connected platforms.</w:t>
      </w:r>
    </w:p>
    <w:p w14:paraId="2EF3A7B5" w14:textId="77777777" w:rsidR="00D76F6C" w:rsidRPr="00D76F6C" w:rsidRDefault="00D76F6C" w:rsidP="00D76F6C">
      <w:pPr>
        <w:numPr>
          <w:ilvl w:val="0"/>
          <w:numId w:val="2"/>
        </w:numPr>
        <w:spacing w:line="360" w:lineRule="auto"/>
        <w:ind w:firstLine="454"/>
        <w:rPr>
          <w:rFonts w:ascii="Arial" w:hAnsi="Arial" w:cs="Arial"/>
          <w:lang w:val="en-IN"/>
        </w:rPr>
      </w:pPr>
      <w:r w:rsidRPr="00D76F6C">
        <w:rPr>
          <w:rFonts w:ascii="Arial" w:hAnsi="Arial" w:cs="Arial"/>
          <w:lang w:val="en-IN"/>
        </w:rPr>
        <w:t>Supplier and cybersecurity resilience to be robust.</w:t>
      </w:r>
    </w:p>
    <w:p w14:paraId="5475A21F" w14:textId="77777777" w:rsidR="00D76F6C" w:rsidRPr="00D76F6C" w:rsidRDefault="00D76F6C" w:rsidP="00D76F6C">
      <w:pPr>
        <w:numPr>
          <w:ilvl w:val="0"/>
          <w:numId w:val="2"/>
        </w:numPr>
        <w:spacing w:line="360" w:lineRule="auto"/>
        <w:ind w:firstLine="454"/>
        <w:rPr>
          <w:rFonts w:ascii="Arial" w:hAnsi="Arial" w:cs="Arial"/>
          <w:lang w:val="en-IN"/>
        </w:rPr>
      </w:pPr>
      <w:r w:rsidRPr="00D76F6C">
        <w:rPr>
          <w:rFonts w:ascii="Arial" w:hAnsi="Arial" w:cs="Arial"/>
          <w:lang w:val="en-IN"/>
        </w:rPr>
        <w:lastRenderedPageBreak/>
        <w:t>Collect the indicators related to sustainability to attain the target of Net Zero by 2039.</w:t>
      </w:r>
    </w:p>
    <w:p w14:paraId="3FD95129"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This decision not only secures but also continues to strengthen JLR's position in the eco-friendly and premium electric vehicle market.</w:t>
      </w:r>
    </w:p>
    <w:p w14:paraId="0F0B59D4"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br w:type="page"/>
      </w:r>
    </w:p>
    <w:p w14:paraId="4181DBE1" w14:textId="77777777" w:rsidR="00D76F6C" w:rsidRPr="00D76F6C" w:rsidRDefault="00D76F6C" w:rsidP="00D76F6C">
      <w:pPr>
        <w:spacing w:line="360" w:lineRule="auto"/>
        <w:ind w:firstLine="454"/>
        <w:rPr>
          <w:rFonts w:ascii="Arial" w:hAnsi="Arial" w:cs="Arial"/>
          <w:bCs/>
          <w:lang w:val="en-IN"/>
        </w:rPr>
      </w:pPr>
      <w:bookmarkStart w:id="15" w:name="_Toc213708832"/>
      <w:r w:rsidRPr="00D76F6C">
        <w:rPr>
          <w:rFonts w:ascii="Arial" w:hAnsi="Arial" w:cs="Arial"/>
          <w:b/>
          <w:bCs/>
          <w:lang w:val="en-IN"/>
        </w:rPr>
        <w:lastRenderedPageBreak/>
        <w:t>References</w:t>
      </w:r>
      <w:bookmarkEnd w:id="15"/>
    </w:p>
    <w:p w14:paraId="2DDD139E"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Accenture (2021) </w:t>
      </w:r>
      <w:r w:rsidRPr="00D76F6C">
        <w:rPr>
          <w:rFonts w:ascii="Arial" w:hAnsi="Arial" w:cs="Arial"/>
          <w:i/>
          <w:iCs/>
          <w:lang w:val="en-IN"/>
        </w:rPr>
        <w:t>Jaguar Land Rover transforms its global marketing communications model</w:t>
      </w:r>
      <w:r w:rsidRPr="00D76F6C">
        <w:rPr>
          <w:rFonts w:ascii="Arial" w:hAnsi="Arial" w:cs="Arial"/>
          <w:lang w:val="en-IN"/>
        </w:rPr>
        <w:t xml:space="preserve">. Accenture Press Release, 6 May. </w:t>
      </w:r>
      <w:hyperlink r:id="rId21" w:history="1">
        <w:r w:rsidRPr="00D76F6C">
          <w:rPr>
            <w:rStyle w:val="Hyperlink"/>
            <w:rFonts w:ascii="Arial" w:hAnsi="Arial" w:cs="Arial"/>
            <w:lang w:val="en-IN"/>
          </w:rPr>
          <w:t>https://newsroom.accenture.com/news/2021/jaguar-land-rover-transforms-global-marketing-communications-model</w:t>
        </w:r>
      </w:hyperlink>
      <w:r w:rsidRPr="00D76F6C">
        <w:rPr>
          <w:rFonts w:ascii="Arial" w:hAnsi="Arial" w:cs="Arial"/>
          <w:lang w:val="en-IN"/>
        </w:rPr>
        <w:t xml:space="preserve"> </w:t>
      </w:r>
    </w:p>
    <w:p w14:paraId="154655D0"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Barney, J., (1991). Firm resources and sustained competitive advantage. </w:t>
      </w:r>
      <w:r w:rsidRPr="00D76F6C">
        <w:rPr>
          <w:rFonts w:ascii="Arial" w:hAnsi="Arial" w:cs="Arial"/>
          <w:i/>
          <w:iCs/>
          <w:lang w:val="en-IN"/>
        </w:rPr>
        <w:t>Journal of management</w:t>
      </w:r>
      <w:r w:rsidRPr="00D76F6C">
        <w:rPr>
          <w:rFonts w:ascii="Arial" w:hAnsi="Arial" w:cs="Arial"/>
          <w:lang w:val="en-IN"/>
        </w:rPr>
        <w:t xml:space="preserve">, 17(1), pp.99-120. </w:t>
      </w:r>
      <w:hyperlink r:id="rId22" w:history="1">
        <w:r w:rsidRPr="00D76F6C">
          <w:rPr>
            <w:rStyle w:val="Hyperlink"/>
            <w:rFonts w:ascii="Arial" w:hAnsi="Arial" w:cs="Arial"/>
            <w:lang w:val="en-IN"/>
          </w:rPr>
          <w:t>https://doi.org/10.1177/014920639101700108</w:t>
        </w:r>
      </w:hyperlink>
      <w:r w:rsidRPr="00D76F6C">
        <w:rPr>
          <w:rFonts w:ascii="Arial" w:hAnsi="Arial" w:cs="Arial"/>
          <w:lang w:val="en-IN"/>
        </w:rPr>
        <w:t xml:space="preserve"> </w:t>
      </w:r>
    </w:p>
    <w:p w14:paraId="4656D5FE"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Bloomberg New Energy Finance (BNEF) (2025) </w:t>
      </w:r>
      <w:r w:rsidRPr="00D76F6C">
        <w:rPr>
          <w:rFonts w:ascii="Arial" w:hAnsi="Arial" w:cs="Arial"/>
          <w:i/>
          <w:iCs/>
          <w:lang w:val="en-IN"/>
        </w:rPr>
        <w:t>Electric Vehicle Outlook 2025.</w:t>
      </w:r>
      <w:r w:rsidRPr="00D76F6C">
        <w:rPr>
          <w:rFonts w:ascii="Arial" w:hAnsi="Arial" w:cs="Arial"/>
          <w:lang w:val="en-IN"/>
        </w:rPr>
        <w:t xml:space="preserve"> </w:t>
      </w:r>
      <w:proofErr w:type="spellStart"/>
      <w:r w:rsidRPr="00D76F6C">
        <w:rPr>
          <w:rFonts w:ascii="Arial" w:hAnsi="Arial" w:cs="Arial"/>
          <w:lang w:val="en-IN"/>
        </w:rPr>
        <w:t>BloombergNEF</w:t>
      </w:r>
      <w:proofErr w:type="spellEnd"/>
      <w:r w:rsidRPr="00D76F6C">
        <w:rPr>
          <w:rFonts w:ascii="Arial" w:hAnsi="Arial" w:cs="Arial"/>
          <w:lang w:val="en-IN"/>
        </w:rPr>
        <w:t xml:space="preserve">. </w:t>
      </w:r>
      <w:hyperlink r:id="rId23" w:history="1">
        <w:r w:rsidRPr="00D76F6C">
          <w:rPr>
            <w:rStyle w:val="Hyperlink"/>
            <w:rFonts w:ascii="Arial" w:hAnsi="Arial" w:cs="Arial"/>
            <w:lang w:val="en-IN"/>
          </w:rPr>
          <w:t>https://about.bnef.com/insights/clean-transport/electric-vehicle-outlook/</w:t>
        </w:r>
      </w:hyperlink>
      <w:r w:rsidRPr="00D76F6C">
        <w:rPr>
          <w:rFonts w:ascii="Arial" w:hAnsi="Arial" w:cs="Arial"/>
          <w:lang w:val="en-IN"/>
        </w:rPr>
        <w:t xml:space="preserve"> </w:t>
      </w:r>
    </w:p>
    <w:p w14:paraId="0C5C4B6A"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Deloitte (2024) </w:t>
      </w:r>
      <w:r w:rsidRPr="00D76F6C">
        <w:rPr>
          <w:rFonts w:ascii="Arial" w:hAnsi="Arial" w:cs="Arial"/>
          <w:i/>
          <w:iCs/>
          <w:lang w:val="en-IN"/>
        </w:rPr>
        <w:t>Automotive Software Transformation Report 2024.</w:t>
      </w:r>
      <w:r w:rsidRPr="00D76F6C">
        <w:rPr>
          <w:rFonts w:ascii="Arial" w:hAnsi="Arial" w:cs="Arial"/>
          <w:lang w:val="en-IN"/>
        </w:rPr>
        <w:t xml:space="preserve"> Deloitte Insights.</w:t>
      </w:r>
    </w:p>
    <w:p w14:paraId="4BC5E8B0"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Department for Transport (DfT) (2021) </w:t>
      </w:r>
      <w:r w:rsidRPr="00D76F6C">
        <w:rPr>
          <w:rFonts w:ascii="Arial" w:hAnsi="Arial" w:cs="Arial"/>
          <w:i/>
          <w:iCs/>
          <w:lang w:val="en-IN"/>
        </w:rPr>
        <w:t>Transport Decarbonisation Plan: A Better, Greener Britain. London: UK Government.</w:t>
      </w:r>
      <w:r w:rsidRPr="00D76F6C">
        <w:rPr>
          <w:rFonts w:ascii="Arial" w:hAnsi="Arial" w:cs="Arial"/>
          <w:lang w:val="en-IN"/>
        </w:rPr>
        <w:t xml:space="preserve"> </w:t>
      </w:r>
      <w:hyperlink r:id="rId24" w:history="1">
        <w:r w:rsidRPr="00D76F6C">
          <w:rPr>
            <w:rStyle w:val="Hyperlink"/>
            <w:rFonts w:ascii="Arial" w:hAnsi="Arial" w:cs="Arial"/>
            <w:lang w:val="en-IN"/>
          </w:rPr>
          <w:t>https://www.gov.uk/government/speeches/transport-decarbonisation-plan?utm_source=</w:t>
        </w:r>
      </w:hyperlink>
      <w:r w:rsidRPr="00D76F6C">
        <w:rPr>
          <w:rFonts w:ascii="Arial" w:hAnsi="Arial" w:cs="Arial"/>
          <w:lang w:val="en-IN"/>
        </w:rPr>
        <w:t xml:space="preserve"> </w:t>
      </w:r>
    </w:p>
    <w:p w14:paraId="027C9736" w14:textId="77777777" w:rsidR="00D76F6C" w:rsidRPr="00D76F6C" w:rsidRDefault="00D76F6C" w:rsidP="00D76F6C">
      <w:pPr>
        <w:spacing w:line="360" w:lineRule="auto"/>
        <w:ind w:firstLine="454"/>
        <w:rPr>
          <w:rFonts w:ascii="Arial" w:hAnsi="Arial" w:cs="Arial"/>
          <w:lang w:val="en-IN"/>
        </w:rPr>
      </w:pPr>
      <w:proofErr w:type="spellStart"/>
      <w:r w:rsidRPr="00D76F6C">
        <w:rPr>
          <w:rFonts w:ascii="Arial" w:hAnsi="Arial" w:cs="Arial"/>
          <w:lang w:val="en-IN"/>
        </w:rPr>
        <w:t>Driftrock</w:t>
      </w:r>
      <w:proofErr w:type="spellEnd"/>
      <w:r w:rsidRPr="00D76F6C">
        <w:rPr>
          <w:rFonts w:ascii="Arial" w:hAnsi="Arial" w:cs="Arial"/>
          <w:lang w:val="en-IN"/>
        </w:rPr>
        <w:t xml:space="preserve"> (2019) The state of the UK Automotive Industry – 2019 UK Automotive Trade Report. </w:t>
      </w:r>
      <w:proofErr w:type="spellStart"/>
      <w:r w:rsidRPr="00D76F6C">
        <w:rPr>
          <w:rFonts w:ascii="Arial" w:hAnsi="Arial" w:cs="Arial"/>
          <w:lang w:val="en-IN"/>
        </w:rPr>
        <w:t>Driftrock</w:t>
      </w:r>
      <w:proofErr w:type="spellEnd"/>
      <w:r w:rsidRPr="00D76F6C">
        <w:rPr>
          <w:rFonts w:ascii="Arial" w:hAnsi="Arial" w:cs="Arial"/>
          <w:lang w:val="en-IN"/>
        </w:rPr>
        <w:t xml:space="preserve"> Blog, 7 July. Available at: </w:t>
      </w:r>
      <w:hyperlink r:id="rId25" w:history="1">
        <w:r w:rsidRPr="00D76F6C">
          <w:rPr>
            <w:rStyle w:val="Hyperlink"/>
            <w:rFonts w:ascii="Arial" w:hAnsi="Arial" w:cs="Arial"/>
            <w:lang w:val="en-IN"/>
          </w:rPr>
          <w:t>https://www.driftrock.com/blog/the-state-of-the-uk-automotive-industry-2019-uk-automotive-trade-report</w:t>
        </w:r>
      </w:hyperlink>
      <w:r w:rsidRPr="00D76F6C">
        <w:rPr>
          <w:rFonts w:ascii="Arial" w:hAnsi="Arial" w:cs="Arial"/>
          <w:lang w:val="en-IN"/>
        </w:rPr>
        <w:t xml:space="preserve"> </w:t>
      </w:r>
    </w:p>
    <w:p w14:paraId="00C19BFB"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UK Government (2023) </w:t>
      </w:r>
      <w:r w:rsidRPr="00D76F6C">
        <w:rPr>
          <w:rFonts w:ascii="Arial" w:hAnsi="Arial" w:cs="Arial"/>
          <w:i/>
          <w:iCs/>
          <w:lang w:val="en-IN"/>
        </w:rPr>
        <w:t>Trade and Cooperation Agreement Partnership Council Decision Number 1 (2023): electric vehicle rules of origin.</w:t>
      </w:r>
      <w:r w:rsidRPr="00D76F6C">
        <w:rPr>
          <w:rFonts w:ascii="Arial" w:hAnsi="Arial" w:cs="Arial"/>
          <w:lang w:val="en-IN"/>
        </w:rPr>
        <w:t xml:space="preserve"> Published 21 December 2023. </w:t>
      </w:r>
      <w:hyperlink r:id="rId26" w:history="1">
        <w:r w:rsidRPr="00D76F6C">
          <w:rPr>
            <w:rStyle w:val="Hyperlink"/>
            <w:rFonts w:ascii="Arial" w:hAnsi="Arial" w:cs="Arial"/>
            <w:lang w:val="en-IN"/>
          </w:rPr>
          <w:t>https://www.gov.uk/government/publications/trade-and-cooperation-agreement-partnership-council-decision-number-1-2023-electric-vehicle-rules-of-origin?utm_source=</w:t>
        </w:r>
      </w:hyperlink>
      <w:r w:rsidRPr="00D76F6C">
        <w:rPr>
          <w:rFonts w:ascii="Arial" w:hAnsi="Arial" w:cs="Arial"/>
          <w:lang w:val="en-IN"/>
        </w:rPr>
        <w:t xml:space="preserve"> </w:t>
      </w:r>
    </w:p>
    <w:p w14:paraId="1E89A9DB"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International Energy Agency (IEA) (2024) </w:t>
      </w:r>
      <w:r w:rsidRPr="00D76F6C">
        <w:rPr>
          <w:rFonts w:ascii="Arial" w:hAnsi="Arial" w:cs="Arial"/>
          <w:i/>
          <w:iCs/>
          <w:lang w:val="en-IN"/>
        </w:rPr>
        <w:t xml:space="preserve">Global EV Outlook 2024. </w:t>
      </w:r>
      <w:r w:rsidRPr="00D76F6C">
        <w:rPr>
          <w:rFonts w:ascii="Arial" w:hAnsi="Arial" w:cs="Arial"/>
          <w:lang w:val="en-IN"/>
        </w:rPr>
        <w:t xml:space="preserve">Paris: IEA Publications. </w:t>
      </w:r>
      <w:hyperlink r:id="rId27" w:history="1">
        <w:r w:rsidRPr="00D76F6C">
          <w:rPr>
            <w:rStyle w:val="Hyperlink"/>
            <w:rFonts w:ascii="Arial" w:hAnsi="Arial" w:cs="Arial"/>
            <w:lang w:val="en-IN"/>
          </w:rPr>
          <w:t>https://www.iea.org/reports/global-ev-outlook-2024</w:t>
        </w:r>
      </w:hyperlink>
      <w:r w:rsidRPr="00D76F6C">
        <w:rPr>
          <w:rFonts w:ascii="Arial" w:hAnsi="Arial" w:cs="Arial"/>
          <w:lang w:val="en-IN"/>
        </w:rPr>
        <w:t xml:space="preserve"> </w:t>
      </w:r>
    </w:p>
    <w:p w14:paraId="2245ED7A"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Jaguar Land Rover (2024)</w:t>
      </w:r>
      <w:r w:rsidRPr="00D76F6C">
        <w:rPr>
          <w:rFonts w:ascii="Arial" w:hAnsi="Arial" w:cs="Arial"/>
          <w:i/>
          <w:iCs/>
          <w:lang w:val="en-IN"/>
        </w:rPr>
        <w:t xml:space="preserve"> Annual Report and Accounts 2024.</w:t>
      </w:r>
      <w:r w:rsidRPr="00D76F6C">
        <w:rPr>
          <w:rFonts w:ascii="Arial" w:hAnsi="Arial" w:cs="Arial"/>
          <w:lang w:val="en-IN"/>
        </w:rPr>
        <w:t xml:space="preserve"> Coventry: Jaguar Land Rover. </w:t>
      </w:r>
    </w:p>
    <w:p w14:paraId="6FB42D7B"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Johnson, G., Scholes, K. and Whittington, R. (2017) </w:t>
      </w:r>
      <w:r w:rsidRPr="00D76F6C">
        <w:rPr>
          <w:rFonts w:ascii="Arial" w:hAnsi="Arial" w:cs="Arial"/>
          <w:i/>
          <w:iCs/>
          <w:lang w:val="en-IN"/>
        </w:rPr>
        <w:t>Exploring Strategy</w:t>
      </w:r>
      <w:r w:rsidRPr="00D76F6C">
        <w:rPr>
          <w:rFonts w:ascii="Arial" w:hAnsi="Arial" w:cs="Arial"/>
          <w:lang w:val="en-IN"/>
        </w:rPr>
        <w:t xml:space="preserve">, 11th </w:t>
      </w:r>
      <w:proofErr w:type="spellStart"/>
      <w:r w:rsidRPr="00D76F6C">
        <w:rPr>
          <w:rFonts w:ascii="Arial" w:hAnsi="Arial" w:cs="Arial"/>
          <w:lang w:val="en-IN"/>
        </w:rPr>
        <w:t>edn</w:t>
      </w:r>
      <w:proofErr w:type="spellEnd"/>
      <w:r w:rsidRPr="00D76F6C">
        <w:rPr>
          <w:rFonts w:ascii="Arial" w:hAnsi="Arial" w:cs="Arial"/>
          <w:lang w:val="en-IN"/>
        </w:rPr>
        <w:t xml:space="preserve">. Harlow: Pearson Education. </w:t>
      </w:r>
    </w:p>
    <w:p w14:paraId="6E41CD2A"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Lynch, R. (2022) </w:t>
      </w:r>
      <w:r w:rsidRPr="00D76F6C">
        <w:rPr>
          <w:rFonts w:ascii="Arial" w:hAnsi="Arial" w:cs="Arial"/>
          <w:i/>
          <w:iCs/>
          <w:lang w:val="en-IN"/>
        </w:rPr>
        <w:t>Corporate Strategy</w:t>
      </w:r>
      <w:r w:rsidRPr="00D76F6C">
        <w:rPr>
          <w:rFonts w:ascii="Arial" w:hAnsi="Arial" w:cs="Arial"/>
          <w:lang w:val="en-IN"/>
        </w:rPr>
        <w:t xml:space="preserve">, 10th </w:t>
      </w:r>
      <w:proofErr w:type="spellStart"/>
      <w:r w:rsidRPr="00D76F6C">
        <w:rPr>
          <w:rFonts w:ascii="Arial" w:hAnsi="Arial" w:cs="Arial"/>
          <w:lang w:val="en-IN"/>
        </w:rPr>
        <w:t>edn</w:t>
      </w:r>
      <w:proofErr w:type="spellEnd"/>
      <w:r w:rsidRPr="00D76F6C">
        <w:rPr>
          <w:rFonts w:ascii="Arial" w:hAnsi="Arial" w:cs="Arial"/>
          <w:lang w:val="en-IN"/>
        </w:rPr>
        <w:t xml:space="preserve">. Harlow: Pearson Education. </w:t>
      </w:r>
    </w:p>
    <w:p w14:paraId="6D68C80E"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McKinsey &amp; Company (2024) </w:t>
      </w:r>
      <w:r w:rsidRPr="00D76F6C">
        <w:rPr>
          <w:rFonts w:ascii="Arial" w:hAnsi="Arial" w:cs="Arial"/>
          <w:i/>
          <w:iCs/>
          <w:lang w:val="en-IN"/>
        </w:rPr>
        <w:t>Electric Vehicles and the Road to 2035: European Mobility Report.</w:t>
      </w:r>
      <w:r w:rsidRPr="00D76F6C">
        <w:rPr>
          <w:rFonts w:ascii="Arial" w:hAnsi="Arial" w:cs="Arial"/>
          <w:lang w:val="en-IN"/>
        </w:rPr>
        <w:t xml:space="preserve"> London: McKinsey &amp; Company. </w:t>
      </w:r>
      <w:hyperlink r:id="rId28" w:history="1">
        <w:r w:rsidRPr="00D76F6C">
          <w:rPr>
            <w:rStyle w:val="Hyperlink"/>
            <w:rFonts w:ascii="Arial" w:hAnsi="Arial" w:cs="Arial"/>
            <w:lang w:val="en-IN"/>
          </w:rPr>
          <w:t>https://www.mckinsey.com/industries/automotive-and-assembly/our-insights/europes-economic-potential-in-the-shift-to-electric-vehicles</w:t>
        </w:r>
      </w:hyperlink>
      <w:r w:rsidRPr="00D76F6C">
        <w:rPr>
          <w:rFonts w:ascii="Arial" w:hAnsi="Arial" w:cs="Arial"/>
          <w:lang w:val="en-IN"/>
        </w:rPr>
        <w:t xml:space="preserve"> </w:t>
      </w:r>
    </w:p>
    <w:p w14:paraId="67CFAE67"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lastRenderedPageBreak/>
        <w:t>Mukherjee, A. (2023) ‘</w:t>
      </w:r>
      <w:r w:rsidRPr="00D76F6C">
        <w:rPr>
          <w:rFonts w:ascii="Arial" w:hAnsi="Arial" w:cs="Arial"/>
          <w:i/>
          <w:iCs/>
          <w:lang w:val="en-IN"/>
        </w:rPr>
        <w:t>PESTLE Analysis — How to conduct a PESTLE analysis for your business</w:t>
      </w:r>
      <w:r w:rsidRPr="00D76F6C">
        <w:rPr>
          <w:rFonts w:ascii="Arial" w:hAnsi="Arial" w:cs="Arial"/>
          <w:lang w:val="en-IN"/>
        </w:rPr>
        <w:t xml:space="preserve">’, Medium, 29 Aug. Available at: </w:t>
      </w:r>
      <w:hyperlink r:id="rId29" w:history="1">
        <w:r w:rsidRPr="00D76F6C">
          <w:rPr>
            <w:rStyle w:val="Hyperlink"/>
            <w:rFonts w:ascii="Arial" w:hAnsi="Arial" w:cs="Arial"/>
            <w:lang w:val="en-IN"/>
          </w:rPr>
          <w:t>https://medium.com/@anirbanmukherjee1311/pestle-analysis-c6b822164d4</w:t>
        </w:r>
      </w:hyperlink>
      <w:r w:rsidRPr="00D76F6C">
        <w:rPr>
          <w:rFonts w:ascii="Arial" w:hAnsi="Arial" w:cs="Arial"/>
          <w:lang w:val="en-IN"/>
        </w:rPr>
        <w:t xml:space="preserve"> </w:t>
      </w:r>
    </w:p>
    <w:p w14:paraId="2562A639"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Porter, M.E. (1985) </w:t>
      </w:r>
      <w:r w:rsidRPr="00D76F6C">
        <w:rPr>
          <w:rFonts w:ascii="Arial" w:hAnsi="Arial" w:cs="Arial"/>
          <w:i/>
          <w:iCs/>
          <w:lang w:val="en-IN"/>
        </w:rPr>
        <w:t>Competitive Advantage: Creating and Sustaining Superior Performance</w:t>
      </w:r>
      <w:r w:rsidRPr="00D76F6C">
        <w:rPr>
          <w:rFonts w:ascii="Arial" w:hAnsi="Arial" w:cs="Arial"/>
          <w:lang w:val="en-IN"/>
        </w:rPr>
        <w:t xml:space="preserve">. New York: Free Press. </w:t>
      </w:r>
      <w:hyperlink r:id="rId30" w:history="1">
        <w:r w:rsidRPr="00D76F6C">
          <w:rPr>
            <w:rStyle w:val="Hyperlink"/>
            <w:rFonts w:ascii="Arial" w:hAnsi="Arial" w:cs="Arial"/>
            <w:lang w:val="en-IN"/>
          </w:rPr>
          <w:t>https://www.scirp.org/reference/referencespapers?referenceid=2038625</w:t>
        </w:r>
      </w:hyperlink>
      <w:r w:rsidRPr="00D76F6C">
        <w:rPr>
          <w:rFonts w:ascii="Arial" w:hAnsi="Arial" w:cs="Arial"/>
          <w:lang w:val="en-IN"/>
        </w:rPr>
        <w:t xml:space="preserve"> </w:t>
      </w:r>
    </w:p>
    <w:p w14:paraId="548F9566"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Reuters (2024) </w:t>
      </w:r>
      <w:r w:rsidRPr="00D76F6C">
        <w:rPr>
          <w:rFonts w:ascii="Arial" w:hAnsi="Arial" w:cs="Arial"/>
          <w:i/>
          <w:iCs/>
          <w:lang w:val="en-IN"/>
        </w:rPr>
        <w:t>Tata to invest £500m in Halewood EV transformation</w:t>
      </w:r>
      <w:r w:rsidRPr="00D76F6C">
        <w:rPr>
          <w:rFonts w:ascii="Arial" w:hAnsi="Arial" w:cs="Arial"/>
          <w:lang w:val="en-IN"/>
        </w:rPr>
        <w:t xml:space="preserve">, 25 September. </w:t>
      </w:r>
    </w:p>
    <w:p w14:paraId="236348D7"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Research-Methodology (2024)</w:t>
      </w:r>
      <w:r w:rsidRPr="00D76F6C">
        <w:rPr>
          <w:rFonts w:ascii="Arial" w:hAnsi="Arial" w:cs="Arial"/>
          <w:i/>
          <w:iCs/>
          <w:lang w:val="en-IN"/>
        </w:rPr>
        <w:t xml:space="preserve"> Microsoft Value Chain Analysis.</w:t>
      </w:r>
      <w:r w:rsidRPr="00D76F6C">
        <w:rPr>
          <w:rFonts w:ascii="Arial" w:hAnsi="Arial" w:cs="Arial"/>
          <w:lang w:val="en-IN"/>
        </w:rPr>
        <w:t xml:space="preserve"> Available at: </w:t>
      </w:r>
      <w:hyperlink r:id="rId31" w:history="1">
        <w:r w:rsidRPr="00D76F6C">
          <w:rPr>
            <w:rStyle w:val="Hyperlink"/>
            <w:rFonts w:ascii="Arial" w:hAnsi="Arial" w:cs="Arial"/>
            <w:lang w:val="en-IN"/>
          </w:rPr>
          <w:t>https://research-methodology.net/microsoft-value-chain-analysis-2-2/</w:t>
        </w:r>
      </w:hyperlink>
      <w:r w:rsidRPr="00D76F6C">
        <w:rPr>
          <w:rFonts w:ascii="Arial" w:hAnsi="Arial" w:cs="Arial"/>
          <w:lang w:val="en-IN"/>
        </w:rPr>
        <w:t xml:space="preserve"> (Accessed: 10 November 2025).</w:t>
      </w:r>
    </w:p>
    <w:p w14:paraId="32EE3154"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Society of Motor Manufacturers and Traders (SMMT) (2024) </w:t>
      </w:r>
      <w:r w:rsidRPr="00D76F6C">
        <w:rPr>
          <w:rFonts w:ascii="Arial" w:hAnsi="Arial" w:cs="Arial"/>
          <w:i/>
          <w:iCs/>
          <w:lang w:val="en-IN"/>
        </w:rPr>
        <w:t>Motor Industry Facts 2024.</w:t>
      </w:r>
      <w:r w:rsidRPr="00D76F6C">
        <w:rPr>
          <w:rFonts w:ascii="Arial" w:hAnsi="Arial" w:cs="Arial"/>
          <w:lang w:val="en-IN"/>
        </w:rPr>
        <w:t xml:space="preserve"> London: SMMT. </w:t>
      </w:r>
      <w:hyperlink r:id="rId32" w:history="1">
        <w:r w:rsidRPr="00D76F6C">
          <w:rPr>
            <w:rStyle w:val="Hyperlink"/>
            <w:rFonts w:ascii="Arial" w:hAnsi="Arial" w:cs="Arial"/>
            <w:lang w:val="en-IN"/>
          </w:rPr>
          <w:t>https://www.smmt.co.uk/smmt-motor-industry-facts-2024/</w:t>
        </w:r>
      </w:hyperlink>
      <w:r w:rsidRPr="00D76F6C">
        <w:rPr>
          <w:rFonts w:ascii="Arial" w:hAnsi="Arial" w:cs="Arial"/>
          <w:lang w:val="en-IN"/>
        </w:rPr>
        <w:t xml:space="preserve"> </w:t>
      </w:r>
    </w:p>
    <w:p w14:paraId="76E73975"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TMI (2023) </w:t>
      </w:r>
      <w:r w:rsidRPr="00D76F6C">
        <w:rPr>
          <w:rFonts w:ascii="Arial" w:hAnsi="Arial" w:cs="Arial"/>
          <w:i/>
          <w:iCs/>
          <w:lang w:val="en-IN"/>
        </w:rPr>
        <w:t>Why Your Business Needs Regular HR SWOT Analysis to Attract Top Talent.</w:t>
      </w:r>
      <w:r w:rsidRPr="00D76F6C">
        <w:rPr>
          <w:rFonts w:ascii="Arial" w:hAnsi="Arial" w:cs="Arial"/>
          <w:lang w:val="en-IN"/>
        </w:rPr>
        <w:t xml:space="preserve"> TMI Blogs, 18 May. Available at: </w:t>
      </w:r>
      <w:hyperlink r:id="rId33" w:history="1">
        <w:r w:rsidRPr="00D76F6C">
          <w:rPr>
            <w:rStyle w:val="Hyperlink"/>
            <w:rFonts w:ascii="Arial" w:hAnsi="Arial" w:cs="Arial"/>
            <w:lang w:val="en-IN"/>
          </w:rPr>
          <w:t>https://www.tmi.org/blogs/why-your-business-needs-regular-hr-swot-analysis-to-attract-top-talent</w:t>
        </w:r>
      </w:hyperlink>
      <w:r w:rsidRPr="00D76F6C">
        <w:rPr>
          <w:rFonts w:ascii="Arial" w:hAnsi="Arial" w:cs="Arial"/>
          <w:lang w:val="en-IN"/>
        </w:rPr>
        <w:t xml:space="preserve"> (Accessed: 10 November 2025).</w:t>
      </w:r>
    </w:p>
    <w:p w14:paraId="1F942475" w14:textId="77777777" w:rsidR="00D76F6C" w:rsidRPr="00D76F6C" w:rsidRDefault="00D76F6C" w:rsidP="00D76F6C">
      <w:pPr>
        <w:spacing w:line="360" w:lineRule="auto"/>
        <w:ind w:firstLine="454"/>
        <w:rPr>
          <w:rFonts w:ascii="Arial" w:hAnsi="Arial" w:cs="Arial"/>
          <w:lang w:val="en-IN"/>
        </w:rPr>
      </w:pPr>
      <w:r w:rsidRPr="00D76F6C">
        <w:rPr>
          <w:rFonts w:ascii="Arial" w:hAnsi="Arial" w:cs="Arial"/>
          <w:lang w:val="en-IN"/>
        </w:rPr>
        <w:t xml:space="preserve">Visual Paradigm (2021) </w:t>
      </w:r>
      <w:r w:rsidRPr="00D76F6C">
        <w:rPr>
          <w:rFonts w:ascii="Arial" w:hAnsi="Arial" w:cs="Arial"/>
          <w:i/>
          <w:iCs/>
          <w:lang w:val="en-IN"/>
        </w:rPr>
        <w:t>What is Five Forces Analysis?</w:t>
      </w:r>
      <w:r w:rsidRPr="00D76F6C">
        <w:rPr>
          <w:rFonts w:ascii="Arial" w:hAnsi="Arial" w:cs="Arial"/>
          <w:lang w:val="en-IN"/>
        </w:rPr>
        <w:t xml:space="preserve"> Available at: </w:t>
      </w:r>
      <w:hyperlink r:id="rId34" w:history="1">
        <w:r w:rsidRPr="00D76F6C">
          <w:rPr>
            <w:rStyle w:val="Hyperlink"/>
            <w:rFonts w:ascii="Arial" w:hAnsi="Arial" w:cs="Arial"/>
            <w:lang w:val="en-IN"/>
          </w:rPr>
          <w:t>https://www.visual-paradigm.com/guide/strategic-analysis/what-is-five-forces-analysis/</w:t>
        </w:r>
      </w:hyperlink>
      <w:r w:rsidRPr="00D76F6C">
        <w:rPr>
          <w:rFonts w:ascii="Arial" w:hAnsi="Arial" w:cs="Arial"/>
          <w:lang w:val="en-IN"/>
        </w:rPr>
        <w:t xml:space="preserve"> </w:t>
      </w:r>
    </w:p>
    <w:p w14:paraId="4A6980E0" w14:textId="77777777" w:rsidR="00A96F25" w:rsidRPr="00D76F6C" w:rsidRDefault="00A96F25" w:rsidP="00D76F6C">
      <w:pPr>
        <w:spacing w:line="360" w:lineRule="auto"/>
        <w:ind w:firstLine="454"/>
        <w:rPr>
          <w:rFonts w:ascii="Arial" w:hAnsi="Arial" w:cs="Arial"/>
        </w:rPr>
      </w:pPr>
    </w:p>
    <w:sectPr w:rsidR="00A96F25" w:rsidRPr="00D76F6C">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8070DE" w14:textId="77777777" w:rsidR="005B0D6F" w:rsidRDefault="005B0D6F" w:rsidP="00197C0A">
      <w:pPr>
        <w:spacing w:after="0" w:line="240" w:lineRule="auto"/>
      </w:pPr>
      <w:r>
        <w:separator/>
      </w:r>
    </w:p>
  </w:endnote>
  <w:endnote w:type="continuationSeparator" w:id="0">
    <w:p w14:paraId="70C89B01" w14:textId="77777777" w:rsidR="005B0D6F" w:rsidRDefault="005B0D6F" w:rsidP="00197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019605"/>
      <w:docPartObj>
        <w:docPartGallery w:val="Page Numbers (Bottom of Page)"/>
        <w:docPartUnique/>
      </w:docPartObj>
    </w:sdtPr>
    <w:sdtEndPr/>
    <w:sdtContent>
      <w:p w14:paraId="22D799F2" w14:textId="03CA40BB" w:rsidR="00197C0A" w:rsidRDefault="00197C0A">
        <w:pPr>
          <w:pStyle w:val="Footer"/>
          <w:jc w:val="center"/>
        </w:pPr>
        <w:r>
          <w:fldChar w:fldCharType="begin"/>
        </w:r>
        <w:r>
          <w:instrText>PAGE   \* MERGEFORMAT</w:instrText>
        </w:r>
        <w:r>
          <w:fldChar w:fldCharType="separate"/>
        </w:r>
        <w:r>
          <w:t>2</w:t>
        </w:r>
        <w:r>
          <w:fldChar w:fldCharType="end"/>
        </w:r>
      </w:p>
    </w:sdtContent>
  </w:sdt>
  <w:p w14:paraId="35750B23" w14:textId="77777777" w:rsidR="00197C0A" w:rsidRDefault="00197C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C3253C" w14:textId="77777777" w:rsidR="005B0D6F" w:rsidRDefault="005B0D6F" w:rsidP="00197C0A">
      <w:pPr>
        <w:spacing w:after="0" w:line="240" w:lineRule="auto"/>
      </w:pPr>
      <w:r>
        <w:separator/>
      </w:r>
    </w:p>
  </w:footnote>
  <w:footnote w:type="continuationSeparator" w:id="0">
    <w:p w14:paraId="378E5733" w14:textId="77777777" w:rsidR="005B0D6F" w:rsidRDefault="005B0D6F" w:rsidP="00197C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2A6AA9"/>
    <w:multiLevelType w:val="hybridMultilevel"/>
    <w:tmpl w:val="5D0E4F5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15:restartNumberingAfterBreak="0">
    <w:nsid w:val="76D46241"/>
    <w:multiLevelType w:val="hybridMultilevel"/>
    <w:tmpl w:val="6AE65EB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16cid:durableId="1613516848">
    <w:abstractNumId w:val="1"/>
  </w:num>
  <w:num w:numId="2" w16cid:durableId="743249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F6C"/>
    <w:rsid w:val="00034946"/>
    <w:rsid w:val="00197C0A"/>
    <w:rsid w:val="001D3BC5"/>
    <w:rsid w:val="00242A33"/>
    <w:rsid w:val="0034139E"/>
    <w:rsid w:val="005B0D6F"/>
    <w:rsid w:val="005D2893"/>
    <w:rsid w:val="007A5838"/>
    <w:rsid w:val="008D71C4"/>
    <w:rsid w:val="00912FA1"/>
    <w:rsid w:val="00A96F25"/>
    <w:rsid w:val="00D41791"/>
    <w:rsid w:val="00D4586F"/>
    <w:rsid w:val="00D75589"/>
    <w:rsid w:val="00D76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D1B0C"/>
  <w15:chartTrackingRefBased/>
  <w15:docId w15:val="{B44832FF-EF8F-4D20-A94C-645E25D4F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589"/>
  </w:style>
  <w:style w:type="paragraph" w:styleId="Heading1">
    <w:name w:val="heading 1"/>
    <w:basedOn w:val="Normal"/>
    <w:next w:val="Normal"/>
    <w:link w:val="Heading1Char"/>
    <w:uiPriority w:val="9"/>
    <w:qFormat/>
    <w:rsid w:val="00D7558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7558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7558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7558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7558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755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55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55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55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58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7558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7558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7558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7558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755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55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55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5589"/>
    <w:rPr>
      <w:rFonts w:eastAsiaTheme="majorEastAsia" w:cstheme="majorBidi"/>
      <w:color w:val="272727" w:themeColor="text1" w:themeTint="D8"/>
    </w:rPr>
  </w:style>
  <w:style w:type="paragraph" w:styleId="Title">
    <w:name w:val="Title"/>
    <w:basedOn w:val="Normal"/>
    <w:next w:val="Normal"/>
    <w:link w:val="TitleChar"/>
    <w:uiPriority w:val="10"/>
    <w:qFormat/>
    <w:rsid w:val="00D755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55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55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5589"/>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D75589"/>
    <w:pPr>
      <w:ind w:left="720"/>
      <w:contextualSpacing/>
    </w:pPr>
  </w:style>
  <w:style w:type="paragraph" w:styleId="Quote">
    <w:name w:val="Quote"/>
    <w:basedOn w:val="Normal"/>
    <w:next w:val="Normal"/>
    <w:link w:val="QuoteChar"/>
    <w:uiPriority w:val="29"/>
    <w:qFormat/>
    <w:rsid w:val="00D75589"/>
    <w:pPr>
      <w:spacing w:before="160"/>
      <w:jc w:val="center"/>
    </w:pPr>
    <w:rPr>
      <w:i/>
      <w:iCs/>
      <w:color w:val="404040" w:themeColor="text1" w:themeTint="BF"/>
    </w:rPr>
  </w:style>
  <w:style w:type="character" w:customStyle="1" w:styleId="QuoteChar">
    <w:name w:val="Quote Char"/>
    <w:basedOn w:val="DefaultParagraphFont"/>
    <w:link w:val="Quote"/>
    <w:uiPriority w:val="29"/>
    <w:rsid w:val="00D75589"/>
    <w:rPr>
      <w:i/>
      <w:iCs/>
      <w:color w:val="404040" w:themeColor="text1" w:themeTint="BF"/>
    </w:rPr>
  </w:style>
  <w:style w:type="paragraph" w:styleId="IntenseQuote">
    <w:name w:val="Intense Quote"/>
    <w:basedOn w:val="Normal"/>
    <w:next w:val="Normal"/>
    <w:link w:val="IntenseQuoteChar"/>
    <w:uiPriority w:val="30"/>
    <w:qFormat/>
    <w:rsid w:val="00D7558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75589"/>
    <w:rPr>
      <w:i/>
      <w:iCs/>
      <w:color w:val="2F5496" w:themeColor="accent1" w:themeShade="BF"/>
    </w:rPr>
  </w:style>
  <w:style w:type="character" w:styleId="IntenseEmphasis">
    <w:name w:val="Intense Emphasis"/>
    <w:basedOn w:val="DefaultParagraphFont"/>
    <w:uiPriority w:val="21"/>
    <w:qFormat/>
    <w:rsid w:val="00D75589"/>
    <w:rPr>
      <w:i/>
      <w:iCs/>
      <w:color w:val="2F5496" w:themeColor="accent1" w:themeShade="BF"/>
    </w:rPr>
  </w:style>
  <w:style w:type="character" w:styleId="IntenseReference">
    <w:name w:val="Intense Reference"/>
    <w:basedOn w:val="DefaultParagraphFont"/>
    <w:uiPriority w:val="32"/>
    <w:qFormat/>
    <w:rsid w:val="00D75589"/>
    <w:rPr>
      <w:b/>
      <w:bCs/>
      <w:smallCaps/>
      <w:color w:val="2F5496" w:themeColor="accent1" w:themeShade="BF"/>
      <w:spacing w:val="5"/>
    </w:rPr>
  </w:style>
  <w:style w:type="table" w:styleId="GridTable5Dark-Accent6">
    <w:name w:val="Grid Table 5 Dark Accent 6"/>
    <w:basedOn w:val="TableNormal"/>
    <w:uiPriority w:val="50"/>
    <w:rsid w:val="00D76F6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styleId="Hyperlink">
    <w:name w:val="Hyperlink"/>
    <w:basedOn w:val="DefaultParagraphFont"/>
    <w:uiPriority w:val="99"/>
    <w:unhideWhenUsed/>
    <w:rsid w:val="00D76F6C"/>
    <w:rPr>
      <w:color w:val="0563C1" w:themeColor="hyperlink"/>
      <w:u w:val="single"/>
    </w:rPr>
  </w:style>
  <w:style w:type="character" w:styleId="UnresolvedMention">
    <w:name w:val="Unresolved Mention"/>
    <w:basedOn w:val="DefaultParagraphFont"/>
    <w:uiPriority w:val="99"/>
    <w:semiHidden/>
    <w:unhideWhenUsed/>
    <w:rsid w:val="00D76F6C"/>
    <w:rPr>
      <w:color w:val="605E5C"/>
      <w:shd w:val="clear" w:color="auto" w:fill="E1DFDD"/>
    </w:rPr>
  </w:style>
  <w:style w:type="paragraph" w:styleId="Header">
    <w:name w:val="header"/>
    <w:basedOn w:val="Normal"/>
    <w:link w:val="HeaderChar"/>
    <w:uiPriority w:val="99"/>
    <w:unhideWhenUsed/>
    <w:rsid w:val="00197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7C0A"/>
  </w:style>
  <w:style w:type="paragraph" w:styleId="Footer">
    <w:name w:val="footer"/>
    <w:basedOn w:val="Normal"/>
    <w:link w:val="FooterChar"/>
    <w:uiPriority w:val="99"/>
    <w:unhideWhenUsed/>
    <w:rsid w:val="00197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7C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docs.live.net/ce72650ba7679c40/Desktop/Strategic%20Management%20and%20Sustainability%20Analysis%20of%20Jaguar%20Land%20Rover%20(JLR).docx" TargetMode="External"/><Relationship Id="rId18" Type="http://schemas.openxmlformats.org/officeDocument/2006/relationships/image" Target="media/image4.png"/><Relationship Id="rId26" Type="http://schemas.openxmlformats.org/officeDocument/2006/relationships/hyperlink" Target="https://www.gov.uk/government/publications/trade-and-cooperation-agreement-partnership-council-decision-number-1-2023-electric-vehicle-rules-of-origin?utm_source=" TargetMode="External"/><Relationship Id="rId21" Type="http://schemas.openxmlformats.org/officeDocument/2006/relationships/hyperlink" Target="https://newsroom.accenture.com/news/2021/jaguar-land-rover-transforms-global-marketing-communications-model" TargetMode="External"/><Relationship Id="rId34" Type="http://schemas.openxmlformats.org/officeDocument/2006/relationships/hyperlink" Target="https://www.visual-paradigm.com/guide/strategic-analysis/what-is-five-forces-analysis/" TargetMode="External"/><Relationship Id="rId7" Type="http://schemas.openxmlformats.org/officeDocument/2006/relationships/image" Target="media/image1.png"/><Relationship Id="rId12" Type="http://schemas.openxmlformats.org/officeDocument/2006/relationships/hyperlink" Target="https://d.docs.live.net/ce72650ba7679c40/Desktop/Strategic%20Management%20and%20Sustainability%20Analysis%20of%20Jaguar%20Land%20Rover%20(JLR).docx" TargetMode="External"/><Relationship Id="rId17" Type="http://schemas.openxmlformats.org/officeDocument/2006/relationships/image" Target="media/image3.jpeg"/><Relationship Id="rId25" Type="http://schemas.openxmlformats.org/officeDocument/2006/relationships/hyperlink" Target="https://www.driftrock.com/blog/the-state-of-the-uk-automotive-industry-2019-uk-automotive-trade-report" TargetMode="External"/><Relationship Id="rId33" Type="http://schemas.openxmlformats.org/officeDocument/2006/relationships/hyperlink" Target="https://www.tmi.org/blogs/why-your-business-needs-regular-hr-swot-analysis-to-attract-top-talent" TargetMode="Externa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6.jpeg"/><Relationship Id="rId29" Type="http://schemas.openxmlformats.org/officeDocument/2006/relationships/hyperlink" Target="https://medium.com/@anirbanmukherjee1311/pestle-analysis-c6b822164d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docs.live.net/ce72650ba7679c40/Desktop/Strategic%20Management%20and%20Sustainability%20Analysis%20of%20Jaguar%20Land%20Rover%20(JLR).docx" TargetMode="External"/><Relationship Id="rId24" Type="http://schemas.openxmlformats.org/officeDocument/2006/relationships/hyperlink" Target="https://www.gov.uk/government/speeches/transport-decarbonisation-plan?utm_source=" TargetMode="External"/><Relationship Id="rId32" Type="http://schemas.openxmlformats.org/officeDocument/2006/relationships/hyperlink" Target="https://www.smmt.co.uk/smmt-motor-industry-facts-2024/"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docs.live.net/ce72650ba7679c40/Desktop/Strategic%20Management%20and%20Sustainability%20Analysis%20of%20Jaguar%20Land%20Rover%20(JLR).docx" TargetMode="External"/><Relationship Id="rId23" Type="http://schemas.openxmlformats.org/officeDocument/2006/relationships/hyperlink" Target="https://about.bnef.com/insights/clean-transport/electric-vehicle-outlook/" TargetMode="External"/><Relationship Id="rId28" Type="http://schemas.openxmlformats.org/officeDocument/2006/relationships/hyperlink" Target="https://www.mckinsey.com/industries/automotive-and-assembly/our-insights/europes-economic-potential-in-the-shift-to-electric-vehicles" TargetMode="External"/><Relationship Id="rId36" Type="http://schemas.openxmlformats.org/officeDocument/2006/relationships/fontTable" Target="fontTable.xml"/><Relationship Id="rId10" Type="http://schemas.openxmlformats.org/officeDocument/2006/relationships/hyperlink" Target="https://d.docs.live.net/ce72650ba7679c40/Desktop/Strategic%20Management%20and%20Sustainability%20Analysis%20of%20Jaguar%20Land%20Rover%20(JLR).docx" TargetMode="External"/><Relationship Id="rId19" Type="http://schemas.openxmlformats.org/officeDocument/2006/relationships/image" Target="media/image5.png"/><Relationship Id="rId31" Type="http://schemas.openxmlformats.org/officeDocument/2006/relationships/hyperlink" Target="https://research-methodology.net/microsoft-value-chain-analysis-2-2/" TargetMode="External"/><Relationship Id="rId4" Type="http://schemas.openxmlformats.org/officeDocument/2006/relationships/webSettings" Target="webSettings.xml"/><Relationship Id="rId9" Type="http://schemas.openxmlformats.org/officeDocument/2006/relationships/hyperlink" Target="https://d.docs.live.net/ce72650ba7679c40/Desktop/Strategic%20Management%20and%20Sustainability%20Analysis%20of%20Jaguar%20Land%20Rover%20(JLR).docx" TargetMode="External"/><Relationship Id="rId14" Type="http://schemas.openxmlformats.org/officeDocument/2006/relationships/hyperlink" Target="https://d.docs.live.net/ce72650ba7679c40/Desktop/Strategic%20Management%20and%20Sustainability%20Analysis%20of%20Jaguar%20Land%20Rover%20(JLR).docx" TargetMode="External"/><Relationship Id="rId22" Type="http://schemas.openxmlformats.org/officeDocument/2006/relationships/hyperlink" Target="https://doi.org/10.1177/014920639101700108" TargetMode="External"/><Relationship Id="rId27" Type="http://schemas.openxmlformats.org/officeDocument/2006/relationships/hyperlink" Target="https://www.iea.org/reports/global-ev-outlook-2024" TargetMode="External"/><Relationship Id="rId30" Type="http://schemas.openxmlformats.org/officeDocument/2006/relationships/hyperlink" Target="https://www.scirp.org/reference/referencespapers?referenceid=2038625" TargetMode="External"/><Relationship Id="rId35" Type="http://schemas.openxmlformats.org/officeDocument/2006/relationships/footer" Target="footer1.xml"/><Relationship Id="rId8" Type="http://schemas.openxmlformats.org/officeDocument/2006/relationships/hyperlink" Target="https://d.docs.live.net/ce72650ba7679c40/Desktop/Strategic%20Management%20and%20Sustainability%20Analysis%20of%20Jaguar%20Land%20Rover%20(JLR).docx"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16</Pages>
  <Words>3674</Words>
  <Characters>20944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 andra;Emanuel</dc:creator>
  <cp:keywords/>
  <dc:description/>
  <cp:lastModifiedBy>alexa andra</cp:lastModifiedBy>
  <cp:revision>4</cp:revision>
  <dcterms:created xsi:type="dcterms:W3CDTF">2025-11-12T14:22:00Z</dcterms:created>
  <dcterms:modified xsi:type="dcterms:W3CDTF">2025-11-12T14:41:00Z</dcterms:modified>
</cp:coreProperties>
</file>