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92"/>
      </w:tblGrid>
      <w:tr w:rsidR="00F927A1" w:rsidRPr="005D3F07" w14:paraId="68CAA39D" w14:textId="77777777" w:rsidTr="00D10BFC">
        <w:trPr>
          <w:trHeight w:val="4063"/>
        </w:trPr>
        <w:tc>
          <w:tcPr>
            <w:tcW w:w="10892" w:type="dxa"/>
            <w:shd w:val="clear" w:color="auto" w:fill="auto"/>
          </w:tcPr>
          <w:p w14:paraId="02F8EE88" w14:textId="70B63E6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10BFC">
              <w:rPr>
                <w:rFonts w:ascii="Times New Roman" w:hAnsi="Times New Roman" w:cs="Times New Roman"/>
                <w:b/>
                <w:color w:val="auto"/>
                <w:sz w:val="48"/>
              </w:rPr>
              <w:t xml:space="preserve">Dawn Edwards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57503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10BFC">
              <w:rPr>
                <w:rFonts w:ascii="Times New Roman" w:hAnsi="Times New Roman" w:cs="Times New Roman"/>
                <w:b/>
                <w:color w:val="auto"/>
                <w:sz w:val="48"/>
              </w:rPr>
              <w:t xml:space="preserve"> daw.ny.54@hotmail.co.uk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8261CB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10BFC" w:rsidRPr="00D10BFC">
              <w:rPr>
                <w:rFonts w:ascii="Times New Roman" w:hAnsi="Times New Roman" w:cs="Times New Roman"/>
                <w:b/>
                <w:color w:val="auto"/>
                <w:sz w:val="48"/>
                <w:szCs w:val="48"/>
              </w:rPr>
              <w:t xml:space="preserve"> </w:t>
            </w:r>
            <w:r w:rsidR="00D10BFC" w:rsidRPr="00D10BFC">
              <w:rPr>
                <w:rFonts w:ascii="Times New Roman" w:hAnsi="Times New Roman" w:cs="Times New Roman"/>
                <w:b/>
                <w:bCs/>
                <w:sz w:val="48"/>
                <w:szCs w:val="48"/>
                <w:shd w:val="clear" w:color="auto" w:fill="F1F1F1"/>
              </w:rPr>
              <w:t>2239163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169542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1F0555">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4D85332" w14:textId="77777777" w:rsidR="00D10BFC" w:rsidRDefault="00D10BFC" w:rsidP="00D10BFC">
            <w:pPr>
              <w:spacing w:line="276" w:lineRule="auto"/>
              <w:jc w:val="both"/>
              <w:rPr>
                <w:sz w:val="24"/>
                <w:szCs w:val="24"/>
              </w:rPr>
            </w:pPr>
            <w:r w:rsidRPr="00D10BFC">
              <w:rPr>
                <w:color w:val="303030"/>
                <w:sz w:val="24"/>
                <w:szCs w:val="24"/>
              </w:rPr>
              <w:t>Adult safeguarding is defined as “</w:t>
            </w:r>
            <w:r w:rsidRPr="00D10BFC">
              <w:rPr>
                <w:color w:val="0B0C0C"/>
                <w:sz w:val="24"/>
                <w:szCs w:val="24"/>
              </w:rPr>
              <w:t xml:space="preserve">protecting an adult’s right to live in safety, free from abuse and </w:t>
            </w:r>
            <w:r w:rsidRPr="00D10BFC">
              <w:rPr>
                <w:sz w:val="24"/>
                <w:szCs w:val="24"/>
              </w:rPr>
              <w:t xml:space="preserve">neglect” (Care Act 2014, Social Services and Well-Being (2014) Act (SSWA2014)). </w:t>
            </w:r>
            <w:r w:rsidRPr="00D10BFC">
              <w:rPr>
                <w:sz w:val="24"/>
                <w:szCs w:val="24"/>
                <w:lang w:val="en"/>
              </w:rPr>
              <w:t xml:space="preserve">If an adult is considered to have needs for care and support following a needs assessment the local authority has a duty to “consider what could be done to meet those needs” (SSWA2014). There are different categories of harm for adults including but not restricted to </w:t>
            </w:r>
            <w:r w:rsidRPr="00D10BFC">
              <w:rPr>
                <w:sz w:val="24"/>
                <w:szCs w:val="24"/>
              </w:rPr>
              <w:t xml:space="preserve">physical, sexual, psychological, </w:t>
            </w:r>
            <w:proofErr w:type="gramStart"/>
            <w:r w:rsidRPr="00D10BFC">
              <w:rPr>
                <w:sz w:val="24"/>
                <w:szCs w:val="24"/>
              </w:rPr>
              <w:t>emotional</w:t>
            </w:r>
            <w:proofErr w:type="gramEnd"/>
            <w:r w:rsidRPr="00D10BFC">
              <w:rPr>
                <w:sz w:val="24"/>
                <w:szCs w:val="24"/>
              </w:rPr>
              <w:t xml:space="preserve"> or financial abuse and neglect which includes domestic violence, modern slavery and criminal exploitation (Wales Safeguarding Procedures 2024 (WSP2024). The Department of Health and Social Care in England and The Welsh Government in Wales are responsible for government policy and legislation on safeguarding adults at risk. In safeguarding enquiries, the General Data Protection Regulations (Information Commissioners Office,2018) and </w:t>
            </w:r>
            <w:r w:rsidRPr="00D10BFC">
              <w:rPr>
                <w:rStyle w:val="Strong"/>
                <w:b w:val="0"/>
                <w:bCs w:val="0"/>
                <w:sz w:val="24"/>
                <w:szCs w:val="24"/>
                <w:shd w:val="clear" w:color="auto" w:fill="FFFFFF"/>
              </w:rPr>
              <w:t xml:space="preserve">the </w:t>
            </w:r>
            <w:bookmarkStart w:id="0" w:name="_Hlk157186945"/>
            <w:r w:rsidRPr="00D10BFC">
              <w:rPr>
                <w:rStyle w:val="Strong"/>
                <w:b w:val="0"/>
                <w:bCs w:val="0"/>
                <w:sz w:val="24"/>
                <w:szCs w:val="24"/>
                <w:shd w:val="clear" w:color="auto" w:fill="FFFFFF"/>
              </w:rPr>
              <w:t>Wales Accord on the Sharing of Personal Information</w:t>
            </w:r>
            <w:r w:rsidRPr="00D10BFC">
              <w:rPr>
                <w:rStyle w:val="Strong"/>
                <w:sz w:val="24"/>
                <w:szCs w:val="24"/>
                <w:shd w:val="clear" w:color="auto" w:fill="FFFFFF"/>
              </w:rPr>
              <w:t xml:space="preserve"> </w:t>
            </w:r>
            <w:bookmarkEnd w:id="0"/>
            <w:r w:rsidRPr="00D10BFC">
              <w:rPr>
                <w:rStyle w:val="Strong"/>
                <w:sz w:val="24"/>
                <w:szCs w:val="24"/>
                <w:shd w:val="clear" w:color="auto" w:fill="FFFFFF"/>
              </w:rPr>
              <w:t>(</w:t>
            </w:r>
            <w:r w:rsidRPr="00D10BFC">
              <w:rPr>
                <w:sz w:val="24"/>
                <w:szCs w:val="24"/>
                <w:lang w:val="en"/>
              </w:rPr>
              <w:t xml:space="preserve">Welsh Government,2024). </w:t>
            </w:r>
            <w:r w:rsidRPr="00D10BFC">
              <w:rPr>
                <w:sz w:val="24"/>
                <w:szCs w:val="24"/>
              </w:rPr>
              <w:t xml:space="preserve">allow for sharing of personal information when necessary for the purpose it is being shared and with only those who need it. </w:t>
            </w:r>
          </w:p>
          <w:p w14:paraId="43626AC1" w14:textId="77777777" w:rsidR="00D10BFC" w:rsidRPr="00D10BFC" w:rsidRDefault="00D10BFC" w:rsidP="00D10BFC">
            <w:pPr>
              <w:spacing w:line="276" w:lineRule="auto"/>
              <w:jc w:val="both"/>
              <w:rPr>
                <w:sz w:val="24"/>
                <w:szCs w:val="24"/>
              </w:rPr>
            </w:pPr>
          </w:p>
          <w:p w14:paraId="59FCA152" w14:textId="77777777" w:rsidR="00D10BFC" w:rsidRDefault="00D10BFC" w:rsidP="00D10BFC">
            <w:pPr>
              <w:pStyle w:val="pf0"/>
              <w:spacing w:line="276" w:lineRule="auto"/>
              <w:ind w:left="0"/>
              <w:jc w:val="both"/>
              <w:rPr>
                <w:rStyle w:val="cf01"/>
                <w:rFonts w:ascii="Arial" w:hAnsi="Arial" w:cs="Arial"/>
                <w:sz w:val="24"/>
                <w:szCs w:val="24"/>
              </w:rPr>
            </w:pPr>
            <w:r w:rsidRPr="00D10BFC">
              <w:rPr>
                <w:rStyle w:val="cf01"/>
                <w:rFonts w:ascii="Arial" w:hAnsi="Arial" w:cs="Arial"/>
                <w:sz w:val="24"/>
                <w:szCs w:val="24"/>
              </w:rPr>
              <w:t xml:space="preserve">The WSP2024 for children and adults at risk of abuse and neglect were launched in November 2019 with the aim to implement the changes from April 2020. They were produced to help practitioners apply the legislation and statutory guidance SSWA2014. The procedures are updated regularly to keep in line with changes to legislation, </w:t>
            </w:r>
            <w:proofErr w:type="gramStart"/>
            <w:r w:rsidRPr="00D10BFC">
              <w:rPr>
                <w:rStyle w:val="cf01"/>
                <w:rFonts w:ascii="Arial" w:hAnsi="Arial" w:cs="Arial"/>
                <w:sz w:val="24"/>
                <w:szCs w:val="24"/>
              </w:rPr>
              <w:t>guidance</w:t>
            </w:r>
            <w:proofErr w:type="gramEnd"/>
            <w:r w:rsidRPr="00D10BFC">
              <w:rPr>
                <w:rStyle w:val="cf01"/>
                <w:rFonts w:ascii="Arial" w:hAnsi="Arial" w:cs="Arial"/>
                <w:sz w:val="24"/>
                <w:szCs w:val="24"/>
              </w:rPr>
              <w:t xml:space="preserve"> and practice developments. </w:t>
            </w:r>
          </w:p>
          <w:p w14:paraId="700AA725" w14:textId="77777777" w:rsidR="00D10BFC" w:rsidRPr="00D10BFC" w:rsidRDefault="00D10BFC" w:rsidP="00D10BFC">
            <w:pPr>
              <w:pStyle w:val="pf0"/>
              <w:spacing w:line="276" w:lineRule="auto"/>
              <w:ind w:left="0"/>
              <w:jc w:val="both"/>
              <w:rPr>
                <w:rFonts w:ascii="Arial" w:hAnsi="Arial" w:cs="Arial"/>
              </w:rPr>
            </w:pPr>
          </w:p>
          <w:p w14:paraId="4BC59FCE" w14:textId="77777777" w:rsidR="00D10BFC" w:rsidRDefault="00D10BFC" w:rsidP="00D10BFC">
            <w:pPr>
              <w:spacing w:line="276" w:lineRule="auto"/>
              <w:jc w:val="both"/>
              <w:rPr>
                <w:sz w:val="24"/>
                <w:szCs w:val="24"/>
                <w:lang w:val="en"/>
              </w:rPr>
            </w:pPr>
            <w:r w:rsidRPr="00D10BFC">
              <w:rPr>
                <w:sz w:val="24"/>
                <w:szCs w:val="24"/>
                <w:lang w:val="en"/>
              </w:rPr>
              <w:t xml:space="preserve">The SSWA2014 emphasises adopting person centered approaches. Providing a Welsh </w:t>
            </w:r>
            <w:proofErr w:type="gramStart"/>
            <w:r w:rsidRPr="00D10BFC">
              <w:rPr>
                <w:sz w:val="24"/>
                <w:szCs w:val="24"/>
                <w:lang w:val="en"/>
              </w:rPr>
              <w:t>resident</w:t>
            </w:r>
            <w:proofErr w:type="gramEnd"/>
            <w:r w:rsidRPr="00D10BFC">
              <w:rPr>
                <w:sz w:val="24"/>
                <w:szCs w:val="24"/>
                <w:lang w:val="en"/>
              </w:rPr>
              <w:t xml:space="preserve"> the opportunity for communication in the Welsh language reinforces the ‘Active Offer’ and ‘More than words’ framework provided by the Welsh Government (</w:t>
            </w:r>
            <w:proofErr w:type="spellStart"/>
            <w:r w:rsidRPr="00D10BFC">
              <w:rPr>
                <w:sz w:val="24"/>
                <w:szCs w:val="24"/>
                <w:lang w:val="en"/>
              </w:rPr>
              <w:t>Gov.Wales</w:t>
            </w:r>
            <w:proofErr w:type="spellEnd"/>
            <w:r w:rsidRPr="00D10BFC">
              <w:rPr>
                <w:sz w:val="24"/>
                <w:szCs w:val="24"/>
                <w:lang w:val="en"/>
              </w:rPr>
              <w:t xml:space="preserve">, </w:t>
            </w:r>
            <w:proofErr w:type="spellStart"/>
            <w:r w:rsidRPr="00D10BFC">
              <w:rPr>
                <w:sz w:val="24"/>
                <w:szCs w:val="24"/>
                <w:lang w:val="en"/>
              </w:rPr>
              <w:t>n.d</w:t>
            </w:r>
            <w:proofErr w:type="spellEnd"/>
            <w:r w:rsidRPr="00D10BFC">
              <w:rPr>
                <w:sz w:val="24"/>
                <w:szCs w:val="24"/>
                <w:lang w:val="en"/>
              </w:rPr>
              <w:t xml:space="preserve">), </w:t>
            </w:r>
            <w:r w:rsidRPr="00D10BFC">
              <w:rPr>
                <w:sz w:val="24"/>
                <w:szCs w:val="24"/>
                <w:lang w:val="en"/>
              </w:rPr>
              <w:lastRenderedPageBreak/>
              <w:t xml:space="preserve">promoting anti-discrimination practice and reinforcing the Equality Act 2010 by preventing unfair and unequal treatment. </w:t>
            </w:r>
          </w:p>
          <w:p w14:paraId="200F6AFC" w14:textId="77777777" w:rsidR="00D10BFC" w:rsidRPr="00D10BFC" w:rsidRDefault="00D10BFC" w:rsidP="00D10BFC">
            <w:pPr>
              <w:spacing w:line="276" w:lineRule="auto"/>
              <w:jc w:val="both"/>
              <w:rPr>
                <w:sz w:val="24"/>
                <w:szCs w:val="24"/>
                <w:lang w:val="en"/>
              </w:rPr>
            </w:pPr>
          </w:p>
          <w:p w14:paraId="77907394" w14:textId="77777777" w:rsidR="00D10BFC" w:rsidRPr="00AE32AC" w:rsidRDefault="00D10BFC" w:rsidP="00D10BFC">
            <w:pPr>
              <w:spacing w:line="276" w:lineRule="auto"/>
              <w:jc w:val="both"/>
              <w:rPr>
                <w:sz w:val="24"/>
                <w:szCs w:val="24"/>
              </w:rPr>
            </w:pPr>
            <w:r w:rsidRPr="00AE32AC">
              <w:rPr>
                <w:sz w:val="24"/>
                <w:szCs w:val="24"/>
              </w:rPr>
              <w:t xml:space="preserve">The local authority should work in partnership with the person they are making safeguarding enquiries about, however different factors should be considered such as a person’s right to refuse participation. </w:t>
            </w:r>
            <w:r>
              <w:rPr>
                <w:sz w:val="24"/>
                <w:szCs w:val="24"/>
              </w:rPr>
              <w:t>This</w:t>
            </w:r>
            <w:r w:rsidRPr="00AE32AC">
              <w:rPr>
                <w:sz w:val="24"/>
                <w:szCs w:val="24"/>
              </w:rPr>
              <w:t xml:space="preserve"> does not automatically relive the local authority of its duty of safeguarding enquir</w:t>
            </w:r>
            <w:r>
              <w:rPr>
                <w:sz w:val="24"/>
                <w:szCs w:val="24"/>
              </w:rPr>
              <w:t>ies</w:t>
            </w:r>
            <w:r w:rsidRPr="00AE32AC">
              <w:rPr>
                <w:sz w:val="24"/>
                <w:szCs w:val="24"/>
              </w:rPr>
              <w:t xml:space="preserve"> but may impact the inquiry process (SSWA2014). The Mental Capacity Act 2005 which aims to empower and protect people who cannot make decisions freely states that “a person is not to be treated as unable to </w:t>
            </w:r>
            <w:proofErr w:type="gramStart"/>
            <w:r w:rsidRPr="00AE32AC">
              <w:rPr>
                <w:sz w:val="24"/>
                <w:szCs w:val="24"/>
              </w:rPr>
              <w:t>make a decision</w:t>
            </w:r>
            <w:proofErr w:type="gramEnd"/>
            <w:r w:rsidRPr="00AE32AC">
              <w:rPr>
                <w:sz w:val="24"/>
                <w:szCs w:val="24"/>
              </w:rPr>
              <w:t xml:space="preserve"> merely because he makes an unwise decision. A person must be assumed to have capacity unless it is established that he lacks capacity”. Application to a magistrate’s court for an </w:t>
            </w:r>
            <w:proofErr w:type="gramStart"/>
            <w:r w:rsidRPr="00AE32AC">
              <w:rPr>
                <w:sz w:val="24"/>
                <w:szCs w:val="24"/>
              </w:rPr>
              <w:t>adults</w:t>
            </w:r>
            <w:proofErr w:type="gramEnd"/>
            <w:r w:rsidRPr="00AE32AC">
              <w:rPr>
                <w:sz w:val="24"/>
                <w:szCs w:val="24"/>
              </w:rPr>
              <w:t xml:space="preserve"> protection and support order under SSWA2014 may be sought to enable an authorised officer to speak privately to a person suspected of being at risk to assess any risk and </w:t>
            </w:r>
            <w:r>
              <w:rPr>
                <w:sz w:val="24"/>
                <w:szCs w:val="24"/>
              </w:rPr>
              <w:t>decision making</w:t>
            </w:r>
            <w:r w:rsidRPr="00AE32AC">
              <w:rPr>
                <w:sz w:val="24"/>
                <w:szCs w:val="24"/>
              </w:rPr>
              <w:t xml:space="preserve">. </w:t>
            </w:r>
          </w:p>
          <w:p w14:paraId="7BAEFB7C" w14:textId="77777777" w:rsidR="00D10BFC" w:rsidRPr="00AE32AC" w:rsidRDefault="00D10BFC" w:rsidP="00D10BFC">
            <w:pPr>
              <w:shd w:val="clear" w:color="auto" w:fill="FFFFFF"/>
              <w:spacing w:line="276" w:lineRule="auto"/>
              <w:jc w:val="both"/>
              <w:rPr>
                <w:sz w:val="24"/>
                <w:szCs w:val="24"/>
              </w:rPr>
            </w:pPr>
          </w:p>
          <w:p w14:paraId="02F2B4AB" w14:textId="77777777" w:rsidR="00D10BFC" w:rsidRPr="00AE32AC" w:rsidRDefault="00D10BFC" w:rsidP="00D10BFC">
            <w:pPr>
              <w:shd w:val="clear" w:color="auto" w:fill="FFFFFF"/>
              <w:spacing w:line="276" w:lineRule="auto"/>
              <w:jc w:val="both"/>
              <w:rPr>
                <w:sz w:val="24"/>
                <w:szCs w:val="24"/>
              </w:rPr>
            </w:pPr>
            <w:r w:rsidRPr="00AE32AC">
              <w:rPr>
                <w:color w:val="0B0C0C"/>
                <w:sz w:val="24"/>
                <w:szCs w:val="24"/>
              </w:rPr>
              <w:t xml:space="preserve">Where a person has been assessed as </w:t>
            </w:r>
            <w:r w:rsidRPr="00AE32AC">
              <w:rPr>
                <w:sz w:val="24"/>
                <w:szCs w:val="24"/>
              </w:rPr>
              <w:t xml:space="preserve">objectively ‘not free to leave’ and ‘under continuous supervision and control’ it may be necessary to apply for a </w:t>
            </w:r>
            <w:r w:rsidRPr="00AE32AC">
              <w:rPr>
                <w:color w:val="0B0C0C"/>
                <w:sz w:val="24"/>
                <w:szCs w:val="24"/>
              </w:rPr>
              <w:t>deprivation of liberty under t</w:t>
            </w:r>
            <w:r w:rsidRPr="00AE32AC">
              <w:rPr>
                <w:sz w:val="24"/>
                <w:szCs w:val="24"/>
              </w:rPr>
              <w:t>he Mental Capacity (Amendment) Act 2019. However, the assessment process and period of authorisation an “appropriate person” will be appointed and is a “key role in securing the person’s wishes and feelings about their care, treatment and support”. Such restrictions can take away a person’s freedom and so deprive them of their liberty along with rights to a private life (Human Rights Act</w:t>
            </w:r>
            <w:r>
              <w:rPr>
                <w:sz w:val="24"/>
                <w:szCs w:val="24"/>
              </w:rPr>
              <w:t>,</w:t>
            </w:r>
            <w:r w:rsidRPr="00AE32AC">
              <w:rPr>
                <w:sz w:val="24"/>
                <w:szCs w:val="24"/>
              </w:rPr>
              <w:t xml:space="preserve">1998). </w:t>
            </w:r>
          </w:p>
          <w:p w14:paraId="3409B7E6" w14:textId="77777777" w:rsidR="00D10BFC" w:rsidRPr="00AE32AC" w:rsidRDefault="00D10BFC" w:rsidP="00D10BFC">
            <w:pPr>
              <w:spacing w:line="276" w:lineRule="auto"/>
              <w:jc w:val="both"/>
              <w:rPr>
                <w:sz w:val="24"/>
                <w:szCs w:val="24"/>
              </w:rPr>
            </w:pPr>
          </w:p>
          <w:p w14:paraId="73E0B9BC" w14:textId="77777777" w:rsidR="00D10BFC" w:rsidRDefault="00D10BFC" w:rsidP="00D10BFC">
            <w:pPr>
              <w:shd w:val="clear" w:color="auto" w:fill="FFFFFF"/>
              <w:spacing w:before="60" w:after="60" w:line="276" w:lineRule="auto"/>
              <w:jc w:val="both"/>
              <w:rPr>
                <w:color w:val="212529"/>
                <w:sz w:val="24"/>
                <w:szCs w:val="24"/>
              </w:rPr>
            </w:pPr>
            <w:r w:rsidRPr="00AE32AC">
              <w:rPr>
                <w:sz w:val="24"/>
                <w:szCs w:val="24"/>
              </w:rPr>
              <w:t xml:space="preserve">Under the both the SSWA2014 and the Care Act 2014 local authorities must establish multi-agency </w:t>
            </w:r>
            <w:r w:rsidRPr="00AE32AC">
              <w:rPr>
                <w:color w:val="212529"/>
                <w:sz w:val="24"/>
                <w:szCs w:val="24"/>
              </w:rPr>
              <w:t xml:space="preserve">Safeguarding Adult Boards comprised of representatives of the local authority whom co-ordinate the effectiveness of safeguarding work in their area. </w:t>
            </w:r>
          </w:p>
          <w:p w14:paraId="0F426792" w14:textId="77777777" w:rsidR="00D10BFC" w:rsidRDefault="00D10BFC" w:rsidP="00D10BFC">
            <w:pPr>
              <w:shd w:val="clear" w:color="auto" w:fill="FFFFFF"/>
              <w:spacing w:before="60" w:after="60" w:line="276" w:lineRule="auto"/>
              <w:jc w:val="both"/>
              <w:rPr>
                <w:color w:val="212529"/>
                <w:sz w:val="24"/>
                <w:szCs w:val="24"/>
              </w:rPr>
            </w:pPr>
          </w:p>
          <w:p w14:paraId="018C12B3" w14:textId="77777777" w:rsidR="00D10BFC" w:rsidRPr="00AE32AC" w:rsidRDefault="00D10BFC" w:rsidP="00D10BFC">
            <w:pPr>
              <w:shd w:val="clear" w:color="auto" w:fill="FFFFFF"/>
              <w:spacing w:before="60" w:after="60" w:line="276" w:lineRule="auto"/>
              <w:jc w:val="both"/>
              <w:rPr>
                <w:color w:val="212529"/>
                <w:sz w:val="24"/>
                <w:szCs w:val="24"/>
              </w:rPr>
            </w:pPr>
            <w:r>
              <w:rPr>
                <w:color w:val="212529"/>
                <w:sz w:val="24"/>
                <w:szCs w:val="24"/>
              </w:rPr>
              <w:t>Word Count: 550</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ABE426" w14:textId="77777777" w:rsidR="00FC0334" w:rsidRDefault="00FC0334" w:rsidP="00FC0334">
            <w:pPr>
              <w:jc w:val="both"/>
              <w:rPr>
                <w:sz w:val="24"/>
                <w:szCs w:val="24"/>
              </w:rPr>
            </w:pPr>
          </w:p>
          <w:p w14:paraId="60BB2862" w14:textId="77777777" w:rsidR="00D10BFC" w:rsidRPr="00B035E1" w:rsidRDefault="00D10BFC" w:rsidP="00D10BFC">
            <w:pPr>
              <w:spacing w:before="100" w:beforeAutospacing="1" w:after="100" w:afterAutospacing="1"/>
              <w:jc w:val="both"/>
              <w:rPr>
                <w:sz w:val="24"/>
                <w:szCs w:val="24"/>
              </w:rPr>
            </w:pPr>
            <w:r w:rsidRPr="00B035E1">
              <w:rPr>
                <w:sz w:val="24"/>
                <w:szCs w:val="24"/>
              </w:rPr>
              <w:t xml:space="preserve">There are differences in the laws and policies that shape how adults and children are safeguarded. The law defines a child as being up to the age of 18 </w:t>
            </w:r>
            <w:bookmarkStart w:id="1" w:name="_Hlk526775634"/>
            <w:r w:rsidRPr="00B035E1">
              <w:rPr>
                <w:sz w:val="24"/>
                <w:szCs w:val="24"/>
              </w:rPr>
              <w:t xml:space="preserve">and an adult being over the age of 18 </w:t>
            </w:r>
            <w:bookmarkEnd w:id="1"/>
            <w:r w:rsidRPr="00B035E1">
              <w:rPr>
                <w:sz w:val="24"/>
                <w:szCs w:val="24"/>
              </w:rPr>
              <w:t xml:space="preserve">(SSWA2014). Both children and adults can experience the same type of harm and the causes can be similar. However, there are differences in the legislation for adult and child safeguarding in areas such as victims of sexual exploitation, modern slavery, financial and </w:t>
            </w:r>
            <w:r w:rsidRPr="00B035E1">
              <w:rPr>
                <w:sz w:val="24"/>
                <w:szCs w:val="24"/>
              </w:rPr>
              <w:lastRenderedPageBreak/>
              <w:t xml:space="preserve">domestic abuse </w:t>
            </w:r>
            <w:r w:rsidRPr="00B035E1">
              <w:rPr>
                <w:noProof/>
                <w:sz w:val="24"/>
                <w:szCs w:val="24"/>
              </w:rPr>
              <w:t>(SSWA2014)</w:t>
            </w:r>
            <w:r w:rsidRPr="00B035E1">
              <w:rPr>
                <w:sz w:val="24"/>
                <w:szCs w:val="24"/>
              </w:rPr>
              <w:t xml:space="preserve">. There is a duty to investigate if a child has witnessed or experienced domestic abuse, however there is no duty to investigate this for an adult unless there is a need for care and support.   </w:t>
            </w:r>
          </w:p>
          <w:p w14:paraId="070913D8" w14:textId="77777777" w:rsidR="00D10BFC" w:rsidRDefault="00D10BFC" w:rsidP="00D10BFC">
            <w:pPr>
              <w:spacing w:before="100" w:beforeAutospacing="1" w:after="100" w:afterAutospacing="1"/>
              <w:jc w:val="both"/>
              <w:rPr>
                <w:sz w:val="24"/>
                <w:szCs w:val="24"/>
              </w:rPr>
            </w:pPr>
            <w:r w:rsidRPr="00B035E1">
              <w:rPr>
                <w:sz w:val="24"/>
                <w:szCs w:val="24"/>
              </w:rPr>
              <w:t>A child’s welfare and safety are always paramount and where a child is suspected to or has experienced harm there is a duty for relevant partners to report this</w:t>
            </w:r>
            <w:r>
              <w:rPr>
                <w:sz w:val="24"/>
                <w:szCs w:val="24"/>
              </w:rPr>
              <w:t xml:space="preserve"> (SSWA2014)</w:t>
            </w:r>
            <w:r w:rsidRPr="00B035E1">
              <w:rPr>
                <w:sz w:val="24"/>
                <w:szCs w:val="24"/>
              </w:rPr>
              <w:t xml:space="preserve">. The local authority </w:t>
            </w:r>
            <w:r>
              <w:rPr>
                <w:sz w:val="24"/>
                <w:szCs w:val="24"/>
              </w:rPr>
              <w:t>has</w:t>
            </w:r>
            <w:r w:rsidRPr="00B035E1">
              <w:rPr>
                <w:sz w:val="24"/>
                <w:szCs w:val="24"/>
              </w:rPr>
              <w:t xml:space="preserve"> a duty to make enquiries under section 47 of the Children Act 1989 and it is likely that action and decisions would be taken by the police or a social worker to protect them and can sometimes be </w:t>
            </w:r>
            <w:r w:rsidRPr="000E69C2">
              <w:rPr>
                <w:sz w:val="24"/>
                <w:szCs w:val="24"/>
              </w:rPr>
              <w:t xml:space="preserve">without the agreement of a parent/ carer. Children are not considered to have the capacity to make these kinds of decisions themselves. However, there are exceptions to this within </w:t>
            </w:r>
            <w:r w:rsidRPr="000E69C2">
              <w:rPr>
                <w:spacing w:val="-1"/>
                <w:sz w:val="24"/>
                <w:szCs w:val="24"/>
                <w:shd w:val="clear" w:color="auto" w:fill="FFFFFF"/>
              </w:rPr>
              <w:t>Gillick competency and Fraser guidelines which are used to assess if a child has maturity to make their own decisions and understand the implications.</w:t>
            </w:r>
            <w:r>
              <w:rPr>
                <w:rFonts w:ascii="Verdana" w:hAnsi="Verdana"/>
                <w:spacing w:val="-1"/>
                <w:sz w:val="27"/>
                <w:szCs w:val="27"/>
                <w:shd w:val="clear" w:color="auto" w:fill="FFFFFF"/>
              </w:rPr>
              <w:t xml:space="preserve"> </w:t>
            </w:r>
          </w:p>
          <w:p w14:paraId="024AE997" w14:textId="77777777" w:rsidR="00D10BFC" w:rsidRPr="00B035E1" w:rsidRDefault="00D10BFC" w:rsidP="00D10BFC">
            <w:pPr>
              <w:spacing w:before="100" w:beforeAutospacing="1" w:after="100" w:afterAutospacing="1"/>
              <w:jc w:val="both"/>
              <w:rPr>
                <w:sz w:val="24"/>
                <w:szCs w:val="24"/>
              </w:rPr>
            </w:pPr>
            <w:r w:rsidRPr="00B035E1">
              <w:rPr>
                <w:sz w:val="24"/>
                <w:szCs w:val="24"/>
              </w:rPr>
              <w:t>The same duty to report also applies if it is an adult that is suspected of or experiencing harm</w:t>
            </w:r>
            <w:r>
              <w:rPr>
                <w:sz w:val="24"/>
                <w:szCs w:val="24"/>
              </w:rPr>
              <w:t xml:space="preserve"> (SSWA2014)</w:t>
            </w:r>
            <w:r w:rsidRPr="00B035E1">
              <w:rPr>
                <w:sz w:val="24"/>
                <w:szCs w:val="24"/>
              </w:rPr>
              <w:t xml:space="preserve">. Adults have the right to make their own decisions even if this is considered by others as a risk and they have the right of refusal in participation, although this does not automatically relieve the local authority. The law does however intervene where an adult is assessed as lacking in capacity (Mental Capacity Act 2005) or have needs for care and support. The local authority can apply for an adult protection and support order to speak to a person to assess if they are making their own choices. The right to a private life is enshrined in Article 8 of the European Convention on Human Rights and the Human Rights Act 1988 but where children are in the house the welfare and safety of the children overrides this. </w:t>
            </w:r>
          </w:p>
          <w:p w14:paraId="24A7E14D" w14:textId="7BF6F978" w:rsidR="00D10BFC" w:rsidRDefault="00D10BFC" w:rsidP="00D10BFC">
            <w:pPr>
              <w:spacing w:before="100" w:beforeAutospacing="1" w:after="100" w:afterAutospacing="1"/>
              <w:jc w:val="both"/>
              <w:rPr>
                <w:sz w:val="24"/>
                <w:szCs w:val="24"/>
              </w:rPr>
            </w:pPr>
            <w:r w:rsidRPr="00B035E1">
              <w:rPr>
                <w:sz w:val="24"/>
                <w:szCs w:val="24"/>
              </w:rPr>
              <w:t xml:space="preserve">The overarching principles of the SSWA2014 is to enable both children and adults to live a life free from abuse or neglect, listen to what people want (Code of Professional Practice 2023) and to consider their culture, </w:t>
            </w:r>
            <w:proofErr w:type="gramStart"/>
            <w:r w:rsidRPr="00B035E1">
              <w:rPr>
                <w:sz w:val="24"/>
                <w:szCs w:val="24"/>
              </w:rPr>
              <w:t>beliefs</w:t>
            </w:r>
            <w:proofErr w:type="gramEnd"/>
            <w:r w:rsidRPr="00B035E1">
              <w:rPr>
                <w:sz w:val="24"/>
                <w:szCs w:val="24"/>
              </w:rPr>
              <w:t xml:space="preserve"> and language (Equality Act 2010, Welsh Language (Wales) Measure 2011)</w:t>
            </w:r>
          </w:p>
          <w:p w14:paraId="7F3C6190" w14:textId="77777777" w:rsidR="00D10BFC" w:rsidRDefault="00D10BFC" w:rsidP="00D10BFC">
            <w:pPr>
              <w:spacing w:before="100" w:beforeAutospacing="1" w:after="100" w:afterAutospacing="1"/>
              <w:jc w:val="both"/>
              <w:rPr>
                <w:sz w:val="24"/>
                <w:szCs w:val="24"/>
              </w:rPr>
            </w:pPr>
          </w:p>
          <w:p w14:paraId="577B05C3" w14:textId="77777777" w:rsidR="00D10BFC" w:rsidRPr="00B035E1" w:rsidRDefault="00D10BFC" w:rsidP="00D10BFC">
            <w:pPr>
              <w:spacing w:before="100" w:beforeAutospacing="1" w:after="100" w:afterAutospacing="1"/>
              <w:jc w:val="both"/>
              <w:rPr>
                <w:sz w:val="24"/>
                <w:szCs w:val="24"/>
              </w:rPr>
            </w:pPr>
            <w:r>
              <w:rPr>
                <w:sz w:val="24"/>
                <w:szCs w:val="24"/>
              </w:rPr>
              <w:t>Word Count: 439</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0555"/>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34D3"/>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05B7"/>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BFC"/>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D10BFC"/>
    <w:rPr>
      <w:b/>
      <w:bCs/>
    </w:rPr>
  </w:style>
  <w:style w:type="character" w:customStyle="1" w:styleId="cf01">
    <w:name w:val="cf01"/>
    <w:basedOn w:val="DefaultParagraphFont"/>
    <w:rsid w:val="00D10BFC"/>
    <w:rPr>
      <w:rFonts w:ascii="Segoe UI" w:hAnsi="Segoe UI" w:cs="Segoe UI" w:hint="default"/>
      <w:sz w:val="18"/>
      <w:szCs w:val="18"/>
    </w:rPr>
  </w:style>
  <w:style w:type="paragraph" w:customStyle="1" w:styleId="pf0">
    <w:name w:val="pf0"/>
    <w:basedOn w:val="Normal"/>
    <w:rsid w:val="00D10BFC"/>
    <w:pPr>
      <w:overflowPunct/>
      <w:autoSpaceDE/>
      <w:autoSpaceDN/>
      <w:adjustRightInd/>
      <w:spacing w:before="100" w:beforeAutospacing="1" w:after="100" w:afterAutospacing="1"/>
      <w:ind w:left="56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1196</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Dawn Edwards</cp:lastModifiedBy>
  <cp:revision>4</cp:revision>
  <cp:lastPrinted>2020-02-11T19:20:00Z</cp:lastPrinted>
  <dcterms:created xsi:type="dcterms:W3CDTF">2024-01-26T18:47:00Z</dcterms:created>
  <dcterms:modified xsi:type="dcterms:W3CDTF">2024-01-26T19:02:00Z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