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heme="majorHAnsi" w:eastAsiaTheme="majorEastAsia" w:hAnsiTheme="majorHAnsi" w:cstheme="majorBidi"/>
          <w:b/>
          <w:bCs/>
          <w:color w:val="2F5496" w:themeColor="accent1" w:themeShade="BF"/>
          <w:sz w:val="28"/>
          <w:szCs w:val="28"/>
          <w:lang w:val="en-GB"/>
        </w:rPr>
        <w:id w:val="993300106"/>
        <w:docPartObj>
          <w:docPartGallery w:val="Cover Pages"/>
          <w:docPartUnique/>
        </w:docPartObj>
      </w:sdtPr>
      <w:sdtEndPr>
        <w:rPr>
          <w:rFonts w:ascii="Times New Roman" w:eastAsiaTheme="minorHAnsi" w:hAnsi="Times New Roman" w:cs="Times New Roman"/>
          <w:b w:val="0"/>
          <w:bCs w:val="0"/>
          <w:color w:val="auto"/>
          <w:sz w:val="24"/>
          <w:szCs w:val="24"/>
          <w:lang w:val="en-US"/>
        </w:rPr>
      </w:sdtEndPr>
      <w:sdtContent>
        <w:p w14:paraId="54D0F3B2" w14:textId="77777777" w:rsidR="00E2659D" w:rsidRDefault="004F0757" w:rsidP="002A3B15">
          <w:pPr>
            <w:jc w:val="both"/>
          </w:pPr>
          <w:r>
            <w:rPr>
              <w:noProof/>
            </w:rPr>
            <mc:AlternateContent>
              <mc:Choice Requires="wpg">
                <w:drawing>
                  <wp:anchor distT="0" distB="0" distL="114300" distR="114300" simplePos="0" relativeHeight="251659264" behindDoc="1" locked="0" layoutInCell="1" allowOverlap="1" wp14:anchorId="6F21C6D5" wp14:editId="0AA607DF">
                    <wp:simplePos x="0" y="0"/>
                    <wp:positionH relativeFrom="page">
                      <wp:posOffset>-66675</wp:posOffset>
                    </wp:positionH>
                    <wp:positionV relativeFrom="page">
                      <wp:posOffset>257175</wp:posOffset>
                    </wp:positionV>
                    <wp:extent cx="7553325" cy="9719310"/>
                    <wp:effectExtent l="0" t="0" r="0" b="0"/>
                    <wp:wrapNone/>
                    <wp:docPr id="119" name="Group 119"/>
                    <wp:cNvGraphicFramePr/>
                    <a:graphic xmlns:a="http://schemas.openxmlformats.org/drawingml/2006/main">
                      <a:graphicData uri="http://schemas.microsoft.com/office/word/2010/wordprocessingGroup">
                        <wpg:wgp>
                          <wpg:cNvGrpSpPr/>
                          <wpg:grpSpPr>
                            <a:xfrm>
                              <a:off x="0" y="0"/>
                              <a:ext cx="7553325" cy="9719310"/>
                              <a:chOff x="-419100" y="-447671"/>
                              <a:chExt cx="7553325" cy="9719421"/>
                            </a:xfrm>
                          </wpg:grpSpPr>
                          <wps:wsp>
                            <wps:cNvPr id="120" name="Rectangle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7439025"/>
                                <a:ext cx="6858000" cy="183272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Content>
                                    <w:p w14:paraId="35A87283" w14:textId="1F0AF636" w:rsidR="00E2659D" w:rsidRDefault="00E2659D">
                                      <w:pPr>
                                        <w:pStyle w:val="NoSpacing"/>
                                        <w:rPr>
                                          <w:color w:val="FFFFFF" w:themeColor="background1"/>
                                          <w:sz w:val="32"/>
                                          <w:szCs w:val="32"/>
                                        </w:rPr>
                                      </w:pPr>
                                      <w:r>
                                        <w:rPr>
                                          <w:color w:val="FFFFFF" w:themeColor="background1"/>
                                          <w:sz w:val="32"/>
                                          <w:szCs w:val="32"/>
                                        </w:rPr>
                                        <w:t>MD R Ahmed</w:t>
                                      </w:r>
                                    </w:p>
                                  </w:sdtContent>
                                </w:sdt>
                                <w:p w14:paraId="1A3DE309" w14:textId="15F7C4F6" w:rsidR="00E2659D" w:rsidRDefault="00000000">
                                  <w:pPr>
                                    <w:pStyle w:val="NoSpacing"/>
                                    <w:rPr>
                                      <w:caps/>
                                      <w:color w:val="FFFFFF" w:themeColor="background1"/>
                                    </w:rPr>
                                  </w:pPr>
                                  <w:sdt>
                                    <w:sdtPr>
                                      <w:rPr>
                                        <w:caps/>
                                        <w:color w:val="FFFFFF" w:themeColor="background1"/>
                                      </w:rPr>
                                      <w:alias w:val="Company"/>
                                      <w:tag w:val=""/>
                                      <w:id w:val="922067218"/>
                                      <w:showingPlcHdr/>
                                      <w:dataBinding w:prefixMappings="xmlns:ns0='http://schemas.openxmlformats.org/officeDocument/2006/extended-properties' " w:xpath="/ns0:Properties[1]/ns0:Company[1]" w:storeItemID="{6668398D-A668-4E3E-A5EB-62B293D839F1}"/>
                                      <w:text/>
                                    </w:sdtPr>
                                    <w:sdtContent>
                                      <w:r w:rsidR="00E2659D">
                                        <w:rPr>
                                          <w:caps/>
                                          <w:color w:val="FFFFFF" w:themeColor="background1"/>
                                        </w:rPr>
                                        <w:t xml:space="preserve">     </w:t>
                                      </w:r>
                                    </w:sdtContent>
                                  </w:sdt>
                                  <w:r w:rsidR="00E2659D">
                                    <w:rPr>
                                      <w:caps/>
                                      <w:color w:val="FFFFFF" w:themeColor="background1"/>
                                    </w:rPr>
                                    <w:t xml:space="preserve"> </w:t>
                                  </w:r>
                                  <w:r w:rsidR="00357783">
                                    <w:rPr>
                                      <w:caps/>
                                      <w:color w:val="FFFFFF" w:themeColor="background1"/>
                                    </w:rPr>
                                    <w:t>202</w:t>
                                  </w:r>
                                  <w:r w:rsidR="00ED393E">
                                    <w:rPr>
                                      <w:caps/>
                                      <w:color w:val="FFFFFF" w:themeColor="background1"/>
                                    </w:rPr>
                                    <w:t>3</w:t>
                                  </w:r>
                                  <w:r w:rsidR="00E2659D">
                                    <w:rPr>
                                      <w:caps/>
                                      <w:color w:val="FFFFFF" w:themeColor="background1"/>
                                    </w:rPr>
                                    <w:t xml:space="preserve"> </w:t>
                                  </w:r>
                                  <w:sdt>
                                    <w:sdtPr>
                                      <w:rPr>
                                        <w:caps/>
                                        <w:color w:val="FFFFFF" w:themeColor="background1"/>
                                      </w:rPr>
                                      <w:alias w:val="Address"/>
                                      <w:tag w:val=""/>
                                      <w:id w:val="2113163453"/>
                                      <w:showingPlcHdr/>
                                      <w:dataBinding w:prefixMappings="xmlns:ns0='http://schemas.microsoft.com/office/2006/coverPageProps' " w:xpath="/ns0:CoverPageProperties[1]/ns0:CompanyAddress[1]" w:storeItemID="{55AF091B-3C7A-41E3-B477-F2FDAA23CFDA}"/>
                                      <w:text/>
                                    </w:sdtPr>
                                    <w:sdtContent>
                                      <w:r w:rsidR="00E2659D">
                                        <w:rPr>
                                          <w:caps/>
                                          <w:color w:val="FFFFFF" w:themeColor="background1"/>
                                        </w:rPr>
                                        <w:t xml:space="preserve">     </w:t>
                                      </w:r>
                                    </w:sdtContent>
                                  </w:sdt>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419100" y="-447671"/>
                                <a:ext cx="7553325" cy="3876719"/>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33B82C5" w14:textId="34E9EA68" w:rsidR="00E2659D" w:rsidRPr="00E2659D" w:rsidRDefault="007B7AE7" w:rsidP="007B7AE7">
                                  <w:pPr>
                                    <w:pStyle w:val="NoSpacing"/>
                                    <w:pBdr>
                                      <w:bottom w:val="single" w:sz="6" w:space="4" w:color="7F7F7F" w:themeColor="text1" w:themeTint="80"/>
                                    </w:pBdr>
                                    <w:jc w:val="center"/>
                                    <w:rPr>
                                      <w:rFonts w:ascii="Times New Roman" w:eastAsiaTheme="majorEastAsia" w:hAnsi="Times New Roman" w:cs="Times New Roman"/>
                                      <w:color w:val="70AD47" w:themeColor="accent6"/>
                                      <w:sz w:val="72"/>
                                      <w:szCs w:val="72"/>
                                    </w:rPr>
                                  </w:pPr>
                                  <w:r>
                                    <w:rPr>
                                      <w:rFonts w:ascii="Times New Roman" w:eastAsiaTheme="majorEastAsia" w:hAnsi="Times New Roman" w:cs="Times New Roman"/>
                                      <w:color w:val="70AD47" w:themeColor="accent6"/>
                                      <w:sz w:val="72"/>
                                      <w:szCs w:val="72"/>
                                    </w:rPr>
                                    <w:t>LLB</w:t>
                                  </w:r>
                                  <w:r w:rsidR="003D20D9">
                                    <w:rPr>
                                      <w:rFonts w:ascii="Times New Roman" w:eastAsiaTheme="majorEastAsia" w:hAnsi="Times New Roman" w:cs="Times New Roman"/>
                                      <w:color w:val="70AD47" w:themeColor="accent6"/>
                                      <w:sz w:val="72"/>
                                      <w:szCs w:val="72"/>
                                    </w:rPr>
                                    <w:t xml:space="preserve"> Law and Legal Practice</w:t>
                                  </w:r>
                                </w:p>
                                <w:p w14:paraId="2D14A9BE" w14:textId="27201070" w:rsidR="00E2659D" w:rsidRPr="00A426D8" w:rsidRDefault="00000000" w:rsidP="00E2659D">
                                  <w:pPr>
                                    <w:pStyle w:val="NoSpacing"/>
                                    <w:spacing w:before="240"/>
                                    <w:jc w:val="center"/>
                                    <w:rPr>
                                      <w:rFonts w:ascii="Times New Roman" w:hAnsi="Times New Roman" w:cs="Times New Roman"/>
                                      <w:caps/>
                                      <w:color w:val="7030A0"/>
                                      <w:sz w:val="28"/>
                                      <w:szCs w:val="28"/>
                                    </w:rPr>
                                  </w:pPr>
                                  <w:sdt>
                                    <w:sdtPr>
                                      <w:rPr>
                                        <w:rFonts w:ascii="Times New Roman" w:hAnsi="Times New Roman"/>
                                        <w:b/>
                                        <w:color w:val="7030A0"/>
                                        <w:sz w:val="28"/>
                                        <w:szCs w:val="28"/>
                                        <w:lang w:val="en-GB"/>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Content>
                                      <w:r w:rsidR="00905E0D">
                                        <w:rPr>
                                          <w:rFonts w:ascii="Times New Roman" w:hAnsi="Times New Roman"/>
                                          <w:b/>
                                          <w:color w:val="7030A0"/>
                                          <w:sz w:val="28"/>
                                          <w:szCs w:val="28"/>
                                          <w:lang w:val="en-GB"/>
                                        </w:rPr>
                                        <w:t>Assignment 1: Property Law</w:t>
                                      </w:r>
                                    </w:sdtContent>
                                  </w:sdt>
                                </w:p>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6F21C6D5" id="Group 119" o:spid="_x0000_s1026" style="position:absolute;left:0;text-align:left;margin-left:-5.25pt;margin-top:20.25pt;width:594.75pt;height:765.3pt;z-index:-251657216;mso-position-horizontal-relative:page;mso-position-vertical-relative:page" coordorigin="-4191,-4476" coordsize="75533,971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1FixxwMAAKwOAAAOAAAAZHJzL2Uyb0RvYy54bWzsV21v4zYM/j5g/0Hw99bxS5rEqHvoemsx&#10;oLgrrh3usyLLsTFb0iSldvfrR0q2m75kV/TQ3oDtSyKZFEU+Jh/Sxx/6tiG3XJtaijyIDmcB4YLJ&#10;ohabPPj95vxgGRBjqShoIwXPgztugg8nP/903KmMx7KSTcE1ASPCZJ3Kg8palYWhYRVvqTmUigsQ&#10;llK31MJWb8JC0w6st00Yz2ZHYSd1obRk3Bh4+tELgxNnvyw5s5/L0nBLmjwA36z71e53jb/hyTHN&#10;NpqqqmaDG/QVXrS0FnDpZOojtZRsdf3EVFszLY0s7SGTbSjLsmbcxQDRRLNH0VxouVUulk3WbdQE&#10;E0D7CKdXm2Wfbi+0ulZXGpDo1AawcDuMpS91i//gJekdZHcTZLy3hMHDxXyeJPE8IAxkq0W0SqIB&#10;VFYB8njuII1W0QzAB42DNF0cLSIPO6t+3WcljZ1OODoRPnCtU5As5h4P8314XFdUcQezyQCPK03q&#10;AnI5BpcFbSFpv0AaUbFpOMGHDiinOcFmMgMI7sVskURzSFYf9Yjc0XK+nCEsiFyUJtEyRoUpZJop&#10;bewFly3BRR5o8MLlGL29NNarjip4tZFNXZzXTeM2WED8rNHklkLqU8a4sCOmDzQbgfpC4klvFJ8A&#10;4GNQbmXvGo56jfjCS8AH3mvsnHGV+vQi50NFC+7vn0OkLn4IbzrhgnUGUbuE+yfb0T/Z9l4O+niU&#10;u0KfDs++fXg64W6Wwk6H21pI/ZyBZoKv9PojSB4aRGktizvIHi09zRjFzmt4dZfU2CuqgVfgbQNX&#10;2s/wUzayywM5rAJSSf3Xc89RH9IbpAHpgKfywPy5pZoHpPlNQOKvojQFs9Zt0vkCs1bvSta7ErFt&#10;zyTkQwSsrJhbor5txmWpZfsVKPUUbwURFQzuzgNm9bg5s54/gZQZPz11akBmitpLca0YGkdUMTVv&#10;+q9UqyF/LWT+JzkWG80epbHXxZNCnm6tLGuX4/e4DnhD4SNTvQsDAExPGcBVEToAXPFiBkiT1Qxo&#10;ElIX0nVgvYcMsEzihdd4SwoYOeZ/CngbCrD9uoeXfJ+178sGjgAmOoCWslxOfDDKdggBZK9mhPV/&#10;kA/ikQ9usIZ/kT0MBK6iduiA2B4EyIJDHuwZDfaORSM9PBitkiXOTavvmxCmJo99nED7OUrmvllO&#10;EuAePxD48hgGDQzPh+FWzwwDL+i5z3f6Fxx8705f/DEOSns7PZa5nxLHt/wjev9Y0TvN/62q/V/W&#10;/933AHwSuRFy+HzDb67dvZsX7j8yT/4GAAD//wMAUEsDBBQABgAIAAAAIQB5s/nJ4QAAAAwBAAAP&#10;AAAAZHJzL2Rvd25yZXYueG1sTI9BS8NAEIXvgv9hGcFbu1k1tsZsSinqqQi2gvQ2TaZJaHY2ZLdJ&#10;+u/dnPQ0M7zHm++lq9E0oqfO1ZY1qHkEgji3Rc2lhu/9+2wJwnnkAhvLpOFKDlbZ7U2KSWEH/qJ+&#10;50sRQtglqKHyvk2kdHlFBt3ctsRBO9nOoA9nV8qiwyGEm0Y+RNGzNFhz+FBhS5uK8vPuYjR8DDis&#10;H9Vbvz2fNtfDPv782SrS+v5uXL+C8DT6PzNM+AEdssB0tBcunGg0zFQUB6uGp2lOBrV4Ce2OYYsX&#10;SoHMUvm/RPYLAAD//wMAUEsBAi0AFAAGAAgAAAAhALaDOJL+AAAA4QEAABMAAAAAAAAAAAAAAAAA&#10;AAAAAFtDb250ZW50X1R5cGVzXS54bWxQSwECLQAUAAYACAAAACEAOP0h/9YAAACUAQAACwAAAAAA&#10;AAAAAAAAAAAvAQAAX3JlbHMvLnJlbHNQSwECLQAUAAYACAAAACEAONRYsccDAACsDgAADgAAAAAA&#10;AAAAAAAAAAAuAgAAZHJzL2Uyb0RvYy54bWxQSwECLQAUAAYACAAAACEAebP5yeEAAAAMAQAADwAA&#10;AAAAAAAAAAAAAAAhBgAAZHJzL2Rvd25yZXYueG1sUEsFBgAAAAAEAAQA8wAAAC8HAAAAAA==&#10;">
                    <v:rect id="Rectangle 120" o:spid="_x0000_s1027" style="position:absolute;top:73152;width:68580;height:1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l5RxgAAANwAAAAPAAAAZHJzL2Rvd25yZXYueG1sRI9Ba8JA&#10;EIXvBf/DMkJvdaNCK6mriCCUIoVGPfQ2ZMdsNDsbstsY++s7h0JvM7w3732zXA++UT11sQ5sYDrJ&#10;QBGXwdZcGTgedk8LUDEhW2wCk4E7RVivRg9LzG248Sf1RaqUhHDM0YBLqc21jqUjj3ESWmLRzqHz&#10;mGTtKm07vEm4b/Qsy561x5qlwWFLW0fltfj2Bt4vL/PC9Zv+Z/5BJxdO+6/dNhrzOB42r6ASDenf&#10;/Hf9ZgV/JvjyjEygV78AAAD//wMAUEsBAi0AFAAGAAgAAAAhANvh9svuAAAAhQEAABMAAAAAAAAA&#10;AAAAAAAAAAAAAFtDb250ZW50X1R5cGVzXS54bWxQSwECLQAUAAYACAAAACEAWvQsW78AAAAVAQAA&#10;CwAAAAAAAAAAAAAAAAAfAQAAX3JlbHMvLnJlbHNQSwECLQAUAAYACAAAACEAGypeUcYAAADcAAAA&#10;DwAAAAAAAAAAAAAAAAAHAgAAZHJzL2Rvd25yZXYueG1sUEsFBgAAAAADAAMAtwAAAPoCAAAAAA==&#10;" fillcolor="#4472c4 [3204]" stroked="f" strokeweight="1pt"/>
                    <v:rect id="Rectangle 121" o:spid="_x0000_s1028" style="position:absolute;top:74390;width:68580;height:1832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jDSwQAAANwAAAAPAAAAZHJzL2Rvd25yZXYueG1sRE9Li8Iw&#10;EL4v+B/CCF4WTfXgSjWKCoplWfB5H5qxLW0mpYla//1GELzNx/ec2aI1lbhT4wrLCoaDCARxanXB&#10;mYLzadOfgHAeWWNlmRQ8ycFi3vmaYaztgw90P/pMhBB2MSrIva9jKV2ak0E3sDVx4K62MegDbDKp&#10;G3yEcFPJURSNpcGCQ0OONa1zSsvjzSjY/a7S4qc68L7clttLkkySv2+nVK/bLqcgPLX+I367dzrM&#10;Hw3h9Uy4QM7/AQAA//8DAFBLAQItABQABgAIAAAAIQDb4fbL7gAAAIUBAAATAAAAAAAAAAAAAAAA&#10;AAAAAABbQ29udGVudF9UeXBlc10ueG1sUEsBAi0AFAAGAAgAAAAhAFr0LFu/AAAAFQEAAAsAAAAA&#10;AAAAAAAAAAAAHwEAAF9yZWxzLy5yZWxzUEsBAi0AFAAGAAgAAAAhAGQyMNLBAAAA3AAAAA8AAAAA&#10;AAAAAAAAAAAABwIAAGRycy9kb3ducmV2LnhtbFBLBQYAAAAAAwADALcAAAD1AgAAAAA=&#10;" fillcolor="#ed7d31 [3205]" stroked="f" strokeweight="1pt">
                      <v:textbox inset="36pt,14.4pt,36pt,36pt">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Content>
                              <w:p w14:paraId="35A87283" w14:textId="1F0AF636" w:rsidR="00E2659D" w:rsidRDefault="00E2659D">
                                <w:pPr>
                                  <w:pStyle w:val="NoSpacing"/>
                                  <w:rPr>
                                    <w:color w:val="FFFFFF" w:themeColor="background1"/>
                                    <w:sz w:val="32"/>
                                    <w:szCs w:val="32"/>
                                  </w:rPr>
                                </w:pPr>
                                <w:r>
                                  <w:rPr>
                                    <w:color w:val="FFFFFF" w:themeColor="background1"/>
                                    <w:sz w:val="32"/>
                                    <w:szCs w:val="32"/>
                                  </w:rPr>
                                  <w:t>MD R Ahmed</w:t>
                                </w:r>
                              </w:p>
                            </w:sdtContent>
                          </w:sdt>
                          <w:p w14:paraId="1A3DE309" w14:textId="15F7C4F6" w:rsidR="00E2659D" w:rsidRDefault="00000000">
                            <w:pPr>
                              <w:pStyle w:val="NoSpacing"/>
                              <w:rPr>
                                <w:caps/>
                                <w:color w:val="FFFFFF" w:themeColor="background1"/>
                              </w:rPr>
                            </w:pPr>
                            <w:sdt>
                              <w:sdtPr>
                                <w:rPr>
                                  <w:caps/>
                                  <w:color w:val="FFFFFF" w:themeColor="background1"/>
                                </w:rPr>
                                <w:alias w:val="Company"/>
                                <w:tag w:val=""/>
                                <w:id w:val="922067218"/>
                                <w:showingPlcHdr/>
                                <w:dataBinding w:prefixMappings="xmlns:ns0='http://schemas.openxmlformats.org/officeDocument/2006/extended-properties' " w:xpath="/ns0:Properties[1]/ns0:Company[1]" w:storeItemID="{6668398D-A668-4E3E-A5EB-62B293D839F1}"/>
                                <w:text/>
                              </w:sdtPr>
                              <w:sdtContent>
                                <w:r w:rsidR="00E2659D">
                                  <w:rPr>
                                    <w:caps/>
                                    <w:color w:val="FFFFFF" w:themeColor="background1"/>
                                  </w:rPr>
                                  <w:t xml:space="preserve">     </w:t>
                                </w:r>
                              </w:sdtContent>
                            </w:sdt>
                            <w:r w:rsidR="00E2659D">
                              <w:rPr>
                                <w:caps/>
                                <w:color w:val="FFFFFF" w:themeColor="background1"/>
                              </w:rPr>
                              <w:t xml:space="preserve"> </w:t>
                            </w:r>
                            <w:r w:rsidR="00357783">
                              <w:rPr>
                                <w:caps/>
                                <w:color w:val="FFFFFF" w:themeColor="background1"/>
                              </w:rPr>
                              <w:t>202</w:t>
                            </w:r>
                            <w:r w:rsidR="00ED393E">
                              <w:rPr>
                                <w:caps/>
                                <w:color w:val="FFFFFF" w:themeColor="background1"/>
                              </w:rPr>
                              <w:t>3</w:t>
                            </w:r>
                            <w:r w:rsidR="00E2659D">
                              <w:rPr>
                                <w:caps/>
                                <w:color w:val="FFFFFF" w:themeColor="background1"/>
                              </w:rPr>
                              <w:t xml:space="preserve"> </w:t>
                            </w:r>
                            <w:sdt>
                              <w:sdtPr>
                                <w:rPr>
                                  <w:caps/>
                                  <w:color w:val="FFFFFF" w:themeColor="background1"/>
                                </w:rPr>
                                <w:alias w:val="Address"/>
                                <w:tag w:val=""/>
                                <w:id w:val="2113163453"/>
                                <w:showingPlcHdr/>
                                <w:dataBinding w:prefixMappings="xmlns:ns0='http://schemas.microsoft.com/office/2006/coverPageProps' " w:xpath="/ns0:CoverPageProperties[1]/ns0:CompanyAddress[1]" w:storeItemID="{55AF091B-3C7A-41E3-B477-F2FDAA23CFDA}"/>
                                <w:text/>
                              </w:sdtPr>
                              <w:sdtContent>
                                <w:r w:rsidR="00E2659D">
                                  <w:rPr>
                                    <w:caps/>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22" o:spid="_x0000_s1029" type="#_x0000_t202" style="position:absolute;left:-4191;top:-4476;width:75533;height:3876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hvlwgAAANwAAAAPAAAAZHJzL2Rvd25yZXYueG1sRE9Na8JA&#10;EL0X+h+WKXirm4YiJbqKiEKhXjSiHsfsmA1mZ0N2NWl/vSsUvM3jfc5k1tta3Kj1lWMFH8MEBHHh&#10;dMWlgl2+ev8C4QOyxtoxKfglD7Pp68sEM+063tBtG0oRQ9hnqMCE0GRS+sKQRT90DXHkzq61GCJs&#10;S6lb7GK4rWWaJCNpseLYYLChhaHisr1aBatDf+L872dnjsvlZ3c9FbzP10oN3vr5GESgPjzF/+5v&#10;HeenKTyeiRfI6R0AAP//AwBQSwECLQAUAAYACAAAACEA2+H2y+4AAACFAQAAEwAAAAAAAAAAAAAA&#10;AAAAAAAAW0NvbnRlbnRfVHlwZXNdLnhtbFBLAQItABQABgAIAAAAIQBa9CxbvwAAABUBAAALAAAA&#10;AAAAAAAAAAAAAB8BAABfcmVscy8ucmVsc1BLAQItABQABgAIAAAAIQDm6hvlwgAAANwAAAAPAAAA&#10;AAAAAAAAAAAAAAcCAABkcnMvZG93bnJldi54bWxQSwUGAAAAAAMAAwC3AAAA9gIAAAAA&#10;" filled="f" stroked="f" strokeweight=".5pt">
                      <v:textbox inset="36pt,36pt,36pt,36pt">
                        <w:txbxContent>
                          <w:p w14:paraId="533B82C5" w14:textId="34E9EA68" w:rsidR="00E2659D" w:rsidRPr="00E2659D" w:rsidRDefault="007B7AE7" w:rsidP="007B7AE7">
                            <w:pPr>
                              <w:pStyle w:val="NoSpacing"/>
                              <w:pBdr>
                                <w:bottom w:val="single" w:sz="6" w:space="4" w:color="7F7F7F" w:themeColor="text1" w:themeTint="80"/>
                              </w:pBdr>
                              <w:jc w:val="center"/>
                              <w:rPr>
                                <w:rFonts w:ascii="Times New Roman" w:eastAsiaTheme="majorEastAsia" w:hAnsi="Times New Roman" w:cs="Times New Roman"/>
                                <w:color w:val="70AD47" w:themeColor="accent6"/>
                                <w:sz w:val="72"/>
                                <w:szCs w:val="72"/>
                              </w:rPr>
                            </w:pPr>
                            <w:r>
                              <w:rPr>
                                <w:rFonts w:ascii="Times New Roman" w:eastAsiaTheme="majorEastAsia" w:hAnsi="Times New Roman" w:cs="Times New Roman"/>
                                <w:color w:val="70AD47" w:themeColor="accent6"/>
                                <w:sz w:val="72"/>
                                <w:szCs w:val="72"/>
                              </w:rPr>
                              <w:t>LLB</w:t>
                            </w:r>
                            <w:r w:rsidR="003D20D9">
                              <w:rPr>
                                <w:rFonts w:ascii="Times New Roman" w:eastAsiaTheme="majorEastAsia" w:hAnsi="Times New Roman" w:cs="Times New Roman"/>
                                <w:color w:val="70AD47" w:themeColor="accent6"/>
                                <w:sz w:val="72"/>
                                <w:szCs w:val="72"/>
                              </w:rPr>
                              <w:t xml:space="preserve"> Law and Legal Practice</w:t>
                            </w:r>
                          </w:p>
                          <w:p w14:paraId="2D14A9BE" w14:textId="27201070" w:rsidR="00E2659D" w:rsidRPr="00A426D8" w:rsidRDefault="00000000" w:rsidP="00E2659D">
                            <w:pPr>
                              <w:pStyle w:val="NoSpacing"/>
                              <w:spacing w:before="240"/>
                              <w:jc w:val="center"/>
                              <w:rPr>
                                <w:rFonts w:ascii="Times New Roman" w:hAnsi="Times New Roman" w:cs="Times New Roman"/>
                                <w:caps/>
                                <w:color w:val="7030A0"/>
                                <w:sz w:val="28"/>
                                <w:szCs w:val="28"/>
                              </w:rPr>
                            </w:pPr>
                            <w:sdt>
                              <w:sdtPr>
                                <w:rPr>
                                  <w:rFonts w:ascii="Times New Roman" w:hAnsi="Times New Roman"/>
                                  <w:b/>
                                  <w:color w:val="7030A0"/>
                                  <w:sz w:val="28"/>
                                  <w:szCs w:val="28"/>
                                  <w:lang w:val="en-GB"/>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Content>
                                <w:r w:rsidR="00905E0D">
                                  <w:rPr>
                                    <w:rFonts w:ascii="Times New Roman" w:hAnsi="Times New Roman"/>
                                    <w:b/>
                                    <w:color w:val="7030A0"/>
                                    <w:sz w:val="28"/>
                                    <w:szCs w:val="28"/>
                                    <w:lang w:val="en-GB"/>
                                  </w:rPr>
                                  <w:t>Assignment 1: Property Law</w:t>
                                </w:r>
                              </w:sdtContent>
                            </w:sdt>
                          </w:p>
                        </w:txbxContent>
                      </v:textbox>
                    </v:shape>
                    <w10:wrap anchorx="page" anchory="page"/>
                  </v:group>
                </w:pict>
              </mc:Fallback>
            </mc:AlternateContent>
          </w:r>
          <w:r w:rsidRPr="00A406E5">
            <w:rPr>
              <w:rFonts w:ascii="Arial" w:hAnsi="Arial" w:cs="Arial"/>
              <w:noProof/>
            </w:rPr>
            <w:drawing>
              <wp:anchor distT="0" distB="0" distL="114300" distR="114300" simplePos="0" relativeHeight="251661312" behindDoc="0" locked="0" layoutInCell="1" allowOverlap="1" wp14:anchorId="7BB1E4E5" wp14:editId="22DD5A1A">
                <wp:simplePos x="0" y="0"/>
                <wp:positionH relativeFrom="margin">
                  <wp:align>left</wp:align>
                </wp:positionH>
                <wp:positionV relativeFrom="paragraph">
                  <wp:posOffset>9525</wp:posOffset>
                </wp:positionV>
                <wp:extent cx="1809750" cy="723900"/>
                <wp:effectExtent l="0" t="0" r="0" b="0"/>
                <wp:wrapSquare wrapText="bothSides"/>
                <wp:docPr id="2" name="Picture 2"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2CA8AAC9" w14:textId="77777777" w:rsidR="00906201" w:rsidRDefault="00357783" w:rsidP="00245A3B">
          <w:pPr>
            <w:spacing w:after="0" w:line="480" w:lineRule="auto"/>
            <w:contextualSpacing/>
            <w:jc w:val="both"/>
            <w:rPr>
              <w:rFonts w:ascii="Times New Roman" w:hAnsi="Times New Roman"/>
            </w:rPr>
          </w:pPr>
          <w:r w:rsidRPr="00357783">
            <w:rPr>
              <w:rFonts w:asciiTheme="minorHAnsi" w:hAnsiTheme="minorHAnsi" w:cstheme="minorBidi"/>
              <w:noProof/>
              <w:sz w:val="22"/>
              <w:szCs w:val="22"/>
            </w:rPr>
            <mc:AlternateContent>
              <mc:Choice Requires="wps">
                <w:drawing>
                  <wp:anchor distT="0" distB="0" distL="114300" distR="114300" simplePos="0" relativeHeight="251663360" behindDoc="0" locked="0" layoutInCell="1" allowOverlap="1" wp14:anchorId="4A2F6A95" wp14:editId="5461CF1B">
                    <wp:simplePos x="0" y="0"/>
                    <wp:positionH relativeFrom="margin">
                      <wp:align>right</wp:align>
                    </wp:positionH>
                    <wp:positionV relativeFrom="paragraph">
                      <wp:posOffset>2183130</wp:posOffset>
                    </wp:positionV>
                    <wp:extent cx="5467350" cy="3133725"/>
                    <wp:effectExtent l="76200" t="57150" r="76200" b="123825"/>
                    <wp:wrapNone/>
                    <wp:docPr id="3" name="Rectangle 3"/>
                    <wp:cNvGraphicFramePr/>
                    <a:graphic xmlns:a="http://schemas.openxmlformats.org/drawingml/2006/main">
                      <a:graphicData uri="http://schemas.microsoft.com/office/word/2010/wordprocessingShape">
                        <wps:wsp>
                          <wps:cNvSpPr/>
                          <wps:spPr>
                            <a:xfrm>
                              <a:off x="0" y="0"/>
                              <a:ext cx="5467350" cy="3133725"/>
                            </a:xfrm>
                            <a:prstGeom prst="rect">
                              <a:avLst/>
                            </a:prstGeom>
                            <a:solidFill>
                              <a:srgbClr val="FFC000">
                                <a:lumMod val="60000"/>
                                <a:lumOff val="40000"/>
                              </a:srgbClr>
                            </a:solidFill>
                            <a:ln w="6350" cap="flat" cmpd="sng" algn="ctr">
                              <a:noFill/>
                              <a:prstDash val="solid"/>
                              <a:miter lim="800000"/>
                            </a:ln>
                            <a:effectLst>
                              <a:outerShdw blurRad="44450" dist="27940" dir="5400000" algn="ctr">
                                <a:srgbClr val="000000">
                                  <a:alpha val="32000"/>
                                </a:srgbClr>
                              </a:outerShdw>
                            </a:effectLst>
                            <a:scene3d>
                              <a:camera prst="orthographicFront">
                                <a:rot lat="0" lon="0" rev="0"/>
                              </a:camera>
                              <a:lightRig rig="balanced" dir="t">
                                <a:rot lat="0" lon="0" rev="8700000"/>
                              </a:lightRig>
                            </a:scene3d>
                            <a:sp3d>
                              <a:bevelT w="190500" h="38100"/>
                            </a:sp3d>
                          </wps:spPr>
                          <wps:txbx>
                            <w:txbxContent>
                              <w:p w14:paraId="35D99AA2" w14:textId="77777777" w:rsidR="00357783" w:rsidRPr="00357783" w:rsidRDefault="00357783" w:rsidP="00357783">
                                <w:pPr>
                                  <w:jc w:val="both"/>
                                  <w:rPr>
                                    <w:rFonts w:ascii="Times New Roman" w:hAnsi="Times New Roman"/>
                                    <w:b/>
                                    <w:sz w:val="32"/>
                                    <w:szCs w:val="32"/>
                                  </w:rPr>
                                </w:pPr>
                                <w:r w:rsidRPr="00357783">
                                  <w:rPr>
                                    <w:rFonts w:ascii="Times New Roman" w:hAnsi="Times New Roman"/>
                                    <w:b/>
                                    <w:sz w:val="32"/>
                                    <w:szCs w:val="32"/>
                                  </w:rPr>
                                  <w:t>Student Name: MD ROSHID AHMED</w:t>
                                </w:r>
                              </w:p>
                              <w:p w14:paraId="780E129D" w14:textId="77777777" w:rsidR="00357783" w:rsidRPr="00357783" w:rsidRDefault="00357783" w:rsidP="00357783">
                                <w:pPr>
                                  <w:jc w:val="both"/>
                                  <w:rPr>
                                    <w:rFonts w:ascii="Times New Roman" w:hAnsi="Times New Roman"/>
                                    <w:b/>
                                    <w:sz w:val="32"/>
                                    <w:szCs w:val="32"/>
                                  </w:rPr>
                                </w:pPr>
                                <w:r w:rsidRPr="00357783">
                                  <w:rPr>
                                    <w:rFonts w:ascii="Times New Roman" w:hAnsi="Times New Roman"/>
                                    <w:b/>
                                    <w:sz w:val="32"/>
                                    <w:szCs w:val="32"/>
                                  </w:rPr>
                                  <w:t>Student ID: 1922561</w:t>
                                </w:r>
                              </w:p>
                              <w:p w14:paraId="4EED0D91" w14:textId="6DFDE90F" w:rsidR="00357783" w:rsidRPr="00357783" w:rsidRDefault="00357783" w:rsidP="00357783">
                                <w:pPr>
                                  <w:jc w:val="both"/>
                                  <w:rPr>
                                    <w:rFonts w:ascii="Times New Roman" w:hAnsi="Times New Roman"/>
                                    <w:b/>
                                    <w:sz w:val="32"/>
                                    <w:szCs w:val="32"/>
                                  </w:rPr>
                                </w:pPr>
                                <w:r w:rsidRPr="00357783">
                                  <w:rPr>
                                    <w:rFonts w:ascii="Times New Roman" w:hAnsi="Times New Roman"/>
                                    <w:b/>
                                    <w:sz w:val="32"/>
                                    <w:szCs w:val="32"/>
                                  </w:rPr>
                                  <w:t xml:space="preserve">Course Lecturer: </w:t>
                                </w:r>
                                <w:r w:rsidR="002A0FA0">
                                  <w:rPr>
                                    <w:rFonts w:ascii="Times New Roman" w:hAnsi="Times New Roman"/>
                                    <w:b/>
                                    <w:sz w:val="32"/>
                                    <w:szCs w:val="32"/>
                                  </w:rPr>
                                  <w:t>Sian Turvey</w:t>
                                </w:r>
                              </w:p>
                              <w:p w14:paraId="772E4951" w14:textId="2F14812B" w:rsidR="00357783" w:rsidRPr="00357783" w:rsidRDefault="00357783" w:rsidP="00357783">
                                <w:pPr>
                                  <w:jc w:val="both"/>
                                  <w:rPr>
                                    <w:rFonts w:ascii="Times New Roman" w:hAnsi="Times New Roman"/>
                                    <w:b/>
                                    <w:sz w:val="32"/>
                                    <w:szCs w:val="32"/>
                                  </w:rPr>
                                </w:pPr>
                                <w:r w:rsidRPr="00357783">
                                  <w:rPr>
                                    <w:rFonts w:ascii="Times New Roman" w:hAnsi="Times New Roman"/>
                                    <w:b/>
                                    <w:sz w:val="32"/>
                                    <w:szCs w:val="32"/>
                                  </w:rPr>
                                  <w:t>Course Module:</w:t>
                                </w:r>
                                <w:r w:rsidR="00A426D8">
                                  <w:rPr>
                                    <w:rFonts w:ascii="Times New Roman" w:hAnsi="Times New Roman"/>
                                    <w:b/>
                                    <w:sz w:val="32"/>
                                    <w:szCs w:val="32"/>
                                  </w:rPr>
                                  <w:t xml:space="preserve"> </w:t>
                                </w:r>
                                <w:r w:rsidR="00644A19">
                                  <w:rPr>
                                    <w:rFonts w:ascii="Times New Roman" w:hAnsi="Times New Roman"/>
                                    <w:b/>
                                    <w:sz w:val="32"/>
                                    <w:szCs w:val="32"/>
                                  </w:rPr>
                                  <w:t>Property Law</w:t>
                                </w:r>
                              </w:p>
                              <w:p w14:paraId="45BF99DE" w14:textId="3F0502FD" w:rsidR="00357783" w:rsidRPr="00357783" w:rsidRDefault="00357783" w:rsidP="00357783">
                                <w:pPr>
                                  <w:jc w:val="both"/>
                                  <w:rPr>
                                    <w:rFonts w:ascii="Times New Roman" w:hAnsi="Times New Roman"/>
                                    <w:b/>
                                    <w:sz w:val="32"/>
                                    <w:szCs w:val="32"/>
                                  </w:rPr>
                                </w:pPr>
                                <w:r w:rsidRPr="00357783">
                                  <w:rPr>
                                    <w:rFonts w:ascii="Times New Roman" w:hAnsi="Times New Roman"/>
                                    <w:b/>
                                    <w:sz w:val="32"/>
                                    <w:szCs w:val="32"/>
                                  </w:rPr>
                                  <w:t xml:space="preserve">Course Code: </w:t>
                                </w:r>
                                <w:r w:rsidR="000778BB">
                                  <w:rPr>
                                    <w:rFonts w:ascii="Times New Roman" w:hAnsi="Times New Roman"/>
                                    <w:b/>
                                    <w:sz w:val="32"/>
                                    <w:szCs w:val="32"/>
                                  </w:rPr>
                                  <w:t>BMLW</w:t>
                                </w:r>
                                <w:r w:rsidR="006E77A7">
                                  <w:rPr>
                                    <w:rFonts w:ascii="Times New Roman" w:hAnsi="Times New Roman"/>
                                    <w:b/>
                                    <w:sz w:val="32"/>
                                    <w:szCs w:val="32"/>
                                  </w:rPr>
                                  <w:t>6006</w:t>
                                </w:r>
                              </w:p>
                              <w:p w14:paraId="627EB3C9" w14:textId="5310BFB1" w:rsidR="00357783" w:rsidRPr="00357783" w:rsidRDefault="00ED393E" w:rsidP="00357783">
                                <w:pPr>
                                  <w:jc w:val="both"/>
                                  <w:rPr>
                                    <w:rFonts w:ascii="Times New Roman" w:hAnsi="Times New Roman"/>
                                    <w:b/>
                                    <w:sz w:val="32"/>
                                    <w:szCs w:val="32"/>
                                  </w:rPr>
                                </w:pPr>
                                <w:r>
                                  <w:rPr>
                                    <w:rFonts w:ascii="Times New Roman" w:hAnsi="Times New Roman"/>
                                    <w:b/>
                                    <w:sz w:val="32"/>
                                    <w:szCs w:val="32"/>
                                  </w:rPr>
                                  <w:t xml:space="preserve">Rework </w:t>
                                </w:r>
                                <w:r w:rsidR="00357783" w:rsidRPr="00357783">
                                  <w:rPr>
                                    <w:rFonts w:ascii="Times New Roman" w:hAnsi="Times New Roman"/>
                                    <w:b/>
                                    <w:sz w:val="32"/>
                                    <w:szCs w:val="32"/>
                                  </w:rPr>
                                  <w:t xml:space="preserve">Submission Deadline: </w:t>
                                </w:r>
                                <w:r>
                                  <w:rPr>
                                    <w:rFonts w:ascii="Times New Roman" w:hAnsi="Times New Roman"/>
                                    <w:b/>
                                    <w:sz w:val="32"/>
                                    <w:szCs w:val="32"/>
                                  </w:rPr>
                                  <w:t>21 July</w:t>
                                </w:r>
                                <w:r w:rsidR="006E77A7">
                                  <w:rPr>
                                    <w:rFonts w:ascii="Times New Roman" w:hAnsi="Times New Roman"/>
                                    <w:b/>
                                    <w:sz w:val="32"/>
                                    <w:szCs w:val="32"/>
                                  </w:rPr>
                                  <w:t xml:space="preserve"> </w:t>
                                </w:r>
                                <w:r w:rsidR="00357783" w:rsidRPr="00357783">
                                  <w:rPr>
                                    <w:rFonts w:ascii="Times New Roman" w:hAnsi="Times New Roman"/>
                                    <w:b/>
                                    <w:sz w:val="32"/>
                                    <w:szCs w:val="32"/>
                                  </w:rPr>
                                  <w:t>202</w:t>
                                </w:r>
                                <w:r>
                                  <w:rPr>
                                    <w:rFonts w:ascii="Times New Roman" w:hAnsi="Times New Roman"/>
                                    <w:b/>
                                    <w:sz w:val="32"/>
                                    <w:szCs w:val="32"/>
                                  </w:rP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A2F6A95" id="Rectangle 3" o:spid="_x0000_s1030" style="position:absolute;left:0;text-align:left;margin-left:379.3pt;margin-top:171.9pt;width:430.5pt;height:246.75pt;z-index:25166336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TREVHgMAAHEGAAAOAAAAZHJzL2Uyb0RvYy54bWysVdtqGzEQfS/0H8S+N7u+xY7JOhgHl0La&#10;hDglz7JW6xVoJVWSL+nX90hax05aKJS+yJoZ7cyZMxdf3xxaSXbcOqFVmfUuioxwxXQl1KbMvj8t&#10;P00y4jxVFZVa8TJ74S67mX38cL03U97XjZYVtwROlJvuTZk13ptpnjvW8Ja6C224grHWtqUeot3k&#10;laV7eG9l3i+Ky3yvbWWsZtw5aG+TMZtF/3XNmb+va8c9kWUGbD6eNp7rcOazazrdWGoawToY9B9Q&#10;tFQoBH11dUs9JVsrfnPVCma107W/YLrNdV0LxmMOyKZXvMtm1VDDYy4gx5lXmtz/c8u+7VbmwYKG&#10;vXFTh2vI4lDbNvwCHzlEsl5eyeIHTxiUo+HleDACpwy2QW8wGPdHgc789Lmxzn/muiXhUmYW1Ygk&#10;0d2d8+np8UmI5rQU1VJIGQW7WS+kJTuKyi2Xi6Io4rdy237VVVJfQtmVEGoUOqmHRzWguOQmwnrj&#10;XyqyL7PLlAFF59WSeiTTmqrMnNpkhMoNWpp5G+MqHZDFdgmYb6lrUrToNfVRKzyaWYq2zCYBQ8QG&#10;EFKFjHhsR2Qemd3i6aqp9mQtt/aRIuhwOAx0ViJw1R9fDaOAXh3FhCC9RdSlllDEcIkhKk1Dk3aA&#10;ETmCOGdCH6NHXt4Ac4wrPqgCRkZbbmlXPG19o7tBWVqtUiWtxmRR4AU6DHj8tXzXNQtSTz6CNyk2&#10;jX8UG2IFVsOaSqoYr0K+SPEv3ibjmF/XXkdPqagnvM4k3Gu+4/IplLd3VYxAAGnQoZPeiYr4MD91&#10;fLj5w/pABOrQD2GCZq2rlwdLkGPMyxm2FCj9HXX+gVqsCXjG6vP3OGqpEU93N0TU9uef9OE9phfW&#10;jOyxdtBrP7bUctD3RWGur3rDUHcfheFo3Idgzy3rc4vatguN+ehhyRoWr+G9l8drbXX7jA05D1Fh&#10;AueInbq6ExYeMkzYsYzP5/GO3WSov1Mrw4LzUL7Q9E+HZ2pN1xAei+CbPq4oOn031Olt+FLp+dbr&#10;WsSJP/GK6gUBey3WsWutsDjP5fjq9E8x+wUAAP//AwBQSwMEFAAGAAgAAAAhAGEmMk/eAAAACAEA&#10;AA8AAABkcnMvZG93bnJldi54bWxMj0FPwkAQhe8m/ofNkHiTLa6hpHZLjImJ3gQk4Ti0Y1voztbu&#10;AvXfO57wNjPv5c338uXoOnWmIbSeLcymCSji0lct1xY+N6/3C1AhIlfYeSYLPxRgWdze5JhV/sIr&#10;Oq9jrSSEQ4YWmhj7TOtQNuQwTH1PLNqXHxxGWYdaVwNeJNx1+iFJ5tphy/KhwZ5eGiqP65Oz8K23&#10;ZluGg/FH3Hyk7/3ubZXurL2bjM9PoCKN8WqGP3xBh0KY9v7EVVCdBSkSLZhHIwVEXsxnctnLYFID&#10;usj1/wLFLwAAAP//AwBQSwECLQAUAAYACAAAACEAtoM4kv4AAADhAQAAEwAAAAAAAAAAAAAAAAAA&#10;AAAAW0NvbnRlbnRfVHlwZXNdLnhtbFBLAQItABQABgAIAAAAIQA4/SH/1gAAAJQBAAALAAAAAAAA&#10;AAAAAAAAAC8BAABfcmVscy8ucmVsc1BLAQItABQABgAIAAAAIQDYTREVHgMAAHEGAAAOAAAAAAAA&#10;AAAAAAAAAC4CAABkcnMvZTJvRG9jLnhtbFBLAQItABQABgAIAAAAIQBhJjJP3gAAAAgBAAAPAAAA&#10;AAAAAAAAAAAAAHgFAABkcnMvZG93bnJldi54bWxQSwUGAAAAAAQABADzAAAAgwYAAAAA&#10;" fillcolor="#ffd966" stroked="f" strokeweight=".5pt">
                    <v:shadow on="t" color="black" opacity="20971f" offset="0,2.2pt"/>
                    <v:textbox>
                      <w:txbxContent>
                        <w:p w14:paraId="35D99AA2" w14:textId="77777777" w:rsidR="00357783" w:rsidRPr="00357783" w:rsidRDefault="00357783" w:rsidP="00357783">
                          <w:pPr>
                            <w:jc w:val="both"/>
                            <w:rPr>
                              <w:rFonts w:ascii="Times New Roman" w:hAnsi="Times New Roman"/>
                              <w:b/>
                              <w:sz w:val="32"/>
                              <w:szCs w:val="32"/>
                            </w:rPr>
                          </w:pPr>
                          <w:r w:rsidRPr="00357783">
                            <w:rPr>
                              <w:rFonts w:ascii="Times New Roman" w:hAnsi="Times New Roman"/>
                              <w:b/>
                              <w:sz w:val="32"/>
                              <w:szCs w:val="32"/>
                            </w:rPr>
                            <w:t>Student Name: MD ROSHID AHMED</w:t>
                          </w:r>
                        </w:p>
                        <w:p w14:paraId="780E129D" w14:textId="77777777" w:rsidR="00357783" w:rsidRPr="00357783" w:rsidRDefault="00357783" w:rsidP="00357783">
                          <w:pPr>
                            <w:jc w:val="both"/>
                            <w:rPr>
                              <w:rFonts w:ascii="Times New Roman" w:hAnsi="Times New Roman"/>
                              <w:b/>
                              <w:sz w:val="32"/>
                              <w:szCs w:val="32"/>
                            </w:rPr>
                          </w:pPr>
                          <w:r w:rsidRPr="00357783">
                            <w:rPr>
                              <w:rFonts w:ascii="Times New Roman" w:hAnsi="Times New Roman"/>
                              <w:b/>
                              <w:sz w:val="32"/>
                              <w:szCs w:val="32"/>
                            </w:rPr>
                            <w:t>Student ID: 1922561</w:t>
                          </w:r>
                        </w:p>
                        <w:p w14:paraId="4EED0D91" w14:textId="6DFDE90F" w:rsidR="00357783" w:rsidRPr="00357783" w:rsidRDefault="00357783" w:rsidP="00357783">
                          <w:pPr>
                            <w:jc w:val="both"/>
                            <w:rPr>
                              <w:rFonts w:ascii="Times New Roman" w:hAnsi="Times New Roman"/>
                              <w:b/>
                              <w:sz w:val="32"/>
                              <w:szCs w:val="32"/>
                            </w:rPr>
                          </w:pPr>
                          <w:r w:rsidRPr="00357783">
                            <w:rPr>
                              <w:rFonts w:ascii="Times New Roman" w:hAnsi="Times New Roman"/>
                              <w:b/>
                              <w:sz w:val="32"/>
                              <w:szCs w:val="32"/>
                            </w:rPr>
                            <w:t xml:space="preserve">Course Lecturer: </w:t>
                          </w:r>
                          <w:r w:rsidR="002A0FA0">
                            <w:rPr>
                              <w:rFonts w:ascii="Times New Roman" w:hAnsi="Times New Roman"/>
                              <w:b/>
                              <w:sz w:val="32"/>
                              <w:szCs w:val="32"/>
                            </w:rPr>
                            <w:t>Sian Turvey</w:t>
                          </w:r>
                        </w:p>
                        <w:p w14:paraId="772E4951" w14:textId="2F14812B" w:rsidR="00357783" w:rsidRPr="00357783" w:rsidRDefault="00357783" w:rsidP="00357783">
                          <w:pPr>
                            <w:jc w:val="both"/>
                            <w:rPr>
                              <w:rFonts w:ascii="Times New Roman" w:hAnsi="Times New Roman"/>
                              <w:b/>
                              <w:sz w:val="32"/>
                              <w:szCs w:val="32"/>
                            </w:rPr>
                          </w:pPr>
                          <w:r w:rsidRPr="00357783">
                            <w:rPr>
                              <w:rFonts w:ascii="Times New Roman" w:hAnsi="Times New Roman"/>
                              <w:b/>
                              <w:sz w:val="32"/>
                              <w:szCs w:val="32"/>
                            </w:rPr>
                            <w:t>Course Module:</w:t>
                          </w:r>
                          <w:r w:rsidR="00A426D8">
                            <w:rPr>
                              <w:rFonts w:ascii="Times New Roman" w:hAnsi="Times New Roman"/>
                              <w:b/>
                              <w:sz w:val="32"/>
                              <w:szCs w:val="32"/>
                            </w:rPr>
                            <w:t xml:space="preserve"> </w:t>
                          </w:r>
                          <w:r w:rsidR="00644A19">
                            <w:rPr>
                              <w:rFonts w:ascii="Times New Roman" w:hAnsi="Times New Roman"/>
                              <w:b/>
                              <w:sz w:val="32"/>
                              <w:szCs w:val="32"/>
                            </w:rPr>
                            <w:t>Property Law</w:t>
                          </w:r>
                        </w:p>
                        <w:p w14:paraId="45BF99DE" w14:textId="3F0502FD" w:rsidR="00357783" w:rsidRPr="00357783" w:rsidRDefault="00357783" w:rsidP="00357783">
                          <w:pPr>
                            <w:jc w:val="both"/>
                            <w:rPr>
                              <w:rFonts w:ascii="Times New Roman" w:hAnsi="Times New Roman"/>
                              <w:b/>
                              <w:sz w:val="32"/>
                              <w:szCs w:val="32"/>
                            </w:rPr>
                          </w:pPr>
                          <w:r w:rsidRPr="00357783">
                            <w:rPr>
                              <w:rFonts w:ascii="Times New Roman" w:hAnsi="Times New Roman"/>
                              <w:b/>
                              <w:sz w:val="32"/>
                              <w:szCs w:val="32"/>
                            </w:rPr>
                            <w:t xml:space="preserve">Course Code: </w:t>
                          </w:r>
                          <w:r w:rsidR="000778BB">
                            <w:rPr>
                              <w:rFonts w:ascii="Times New Roman" w:hAnsi="Times New Roman"/>
                              <w:b/>
                              <w:sz w:val="32"/>
                              <w:szCs w:val="32"/>
                            </w:rPr>
                            <w:t>BMLW</w:t>
                          </w:r>
                          <w:r w:rsidR="006E77A7">
                            <w:rPr>
                              <w:rFonts w:ascii="Times New Roman" w:hAnsi="Times New Roman"/>
                              <w:b/>
                              <w:sz w:val="32"/>
                              <w:szCs w:val="32"/>
                            </w:rPr>
                            <w:t>6006</w:t>
                          </w:r>
                        </w:p>
                        <w:p w14:paraId="627EB3C9" w14:textId="5310BFB1" w:rsidR="00357783" w:rsidRPr="00357783" w:rsidRDefault="00ED393E" w:rsidP="00357783">
                          <w:pPr>
                            <w:jc w:val="both"/>
                            <w:rPr>
                              <w:rFonts w:ascii="Times New Roman" w:hAnsi="Times New Roman"/>
                              <w:b/>
                              <w:sz w:val="32"/>
                              <w:szCs w:val="32"/>
                            </w:rPr>
                          </w:pPr>
                          <w:r>
                            <w:rPr>
                              <w:rFonts w:ascii="Times New Roman" w:hAnsi="Times New Roman"/>
                              <w:b/>
                              <w:sz w:val="32"/>
                              <w:szCs w:val="32"/>
                            </w:rPr>
                            <w:t xml:space="preserve">Rework </w:t>
                          </w:r>
                          <w:r w:rsidR="00357783" w:rsidRPr="00357783">
                            <w:rPr>
                              <w:rFonts w:ascii="Times New Roman" w:hAnsi="Times New Roman"/>
                              <w:b/>
                              <w:sz w:val="32"/>
                              <w:szCs w:val="32"/>
                            </w:rPr>
                            <w:t xml:space="preserve">Submission Deadline: </w:t>
                          </w:r>
                          <w:r>
                            <w:rPr>
                              <w:rFonts w:ascii="Times New Roman" w:hAnsi="Times New Roman"/>
                              <w:b/>
                              <w:sz w:val="32"/>
                              <w:szCs w:val="32"/>
                            </w:rPr>
                            <w:t>21 July</w:t>
                          </w:r>
                          <w:r w:rsidR="006E77A7">
                            <w:rPr>
                              <w:rFonts w:ascii="Times New Roman" w:hAnsi="Times New Roman"/>
                              <w:b/>
                              <w:sz w:val="32"/>
                              <w:szCs w:val="32"/>
                            </w:rPr>
                            <w:t xml:space="preserve"> </w:t>
                          </w:r>
                          <w:r w:rsidR="00357783" w:rsidRPr="00357783">
                            <w:rPr>
                              <w:rFonts w:ascii="Times New Roman" w:hAnsi="Times New Roman"/>
                              <w:b/>
                              <w:sz w:val="32"/>
                              <w:szCs w:val="32"/>
                            </w:rPr>
                            <w:t>202</w:t>
                          </w:r>
                          <w:r>
                            <w:rPr>
                              <w:rFonts w:ascii="Times New Roman" w:hAnsi="Times New Roman"/>
                              <w:b/>
                              <w:sz w:val="32"/>
                              <w:szCs w:val="32"/>
                            </w:rPr>
                            <w:t>3</w:t>
                          </w:r>
                        </w:p>
                      </w:txbxContent>
                    </v:textbox>
                    <w10:wrap anchorx="margin"/>
                  </v:rect>
                </w:pict>
              </mc:Fallback>
            </mc:AlternateContent>
          </w:r>
          <w:r w:rsidR="00E2659D">
            <w:rPr>
              <w:rFonts w:ascii="Times New Roman" w:hAnsi="Times New Roman"/>
            </w:rPr>
            <w:br w:type="page"/>
          </w:r>
        </w:p>
      </w:sdtContent>
    </w:sdt>
    <w:p w14:paraId="7BC5B1F6" w14:textId="7E7E4A68" w:rsidR="00131C0A" w:rsidRPr="00365781" w:rsidRDefault="00906201" w:rsidP="00131C0A">
      <w:pPr>
        <w:spacing w:after="0" w:line="480" w:lineRule="auto"/>
        <w:jc w:val="both"/>
        <w:rPr>
          <w:rFonts w:ascii="Times New Roman" w:eastAsia="Times New Roman" w:hAnsi="Times New Roman"/>
          <w:sz w:val="28"/>
          <w:szCs w:val="28"/>
          <w:lang w:val="en-GB"/>
        </w:rPr>
      </w:pPr>
      <w:r w:rsidRPr="00365781">
        <w:rPr>
          <w:rFonts w:ascii="Times New Roman" w:hAnsi="Times New Roman"/>
          <w:sz w:val="28"/>
          <w:szCs w:val="28"/>
        </w:rPr>
        <w:lastRenderedPageBreak/>
        <w:t>This essay aims to analyse the circumstances under which an easement may be created by prescription. The concept of prescription refers to the acquisition of a right through the continuous and uninterrupted use of another person's property for a specified period of time. By examining the relevant legal framework and case law, this analysis will provide insights into the requirements for establishing an easement by prescription.</w:t>
      </w:r>
      <w:r w:rsidR="00245A3B" w:rsidRPr="00365781">
        <w:rPr>
          <w:rFonts w:ascii="Times New Roman" w:hAnsi="Times New Roman"/>
          <w:sz w:val="28"/>
          <w:szCs w:val="28"/>
        </w:rPr>
        <w:t xml:space="preserve"> </w:t>
      </w:r>
      <w:r w:rsidR="00245A3B" w:rsidRPr="00365781">
        <w:rPr>
          <w:rFonts w:ascii="Times New Roman" w:hAnsi="Times New Roman"/>
          <w:i/>
          <w:iCs/>
          <w:sz w:val="28"/>
          <w:szCs w:val="28"/>
        </w:rPr>
        <w:t>(Roche, 2018).</w:t>
      </w:r>
      <w:r w:rsidR="00131C0A" w:rsidRPr="00365781">
        <w:rPr>
          <w:rFonts w:ascii="Times New Roman" w:hAnsi="Times New Roman"/>
          <w:sz w:val="28"/>
          <w:szCs w:val="28"/>
        </w:rPr>
        <w:t xml:space="preserve"> </w:t>
      </w:r>
      <w:r w:rsidR="00131C0A" w:rsidRPr="00BC27DB">
        <w:rPr>
          <w:rFonts w:ascii="Times New Roman" w:eastAsia="Times New Roman" w:hAnsi="Times New Roman"/>
          <w:sz w:val="28"/>
          <w:szCs w:val="28"/>
          <w:lang w:val="en-GB"/>
        </w:rPr>
        <w:t xml:space="preserve">Effective knowledge related to An Easement indicates a prescriptive easement which is considered as a type of adverse possession where someone acquires an easement. This essentially indicates giving the right to another person to use a person’s property in some way. However, in order to understand the concept of easement effectively, it is essential to understand the definition of prescription. This indicates a type of naturalness that provide the right to use another person’ property. In this context, in order to understand the way an easement can be created by prescription, understanding of Time Immemorial, Doctrine of Lost Modern Grant and Statute is essential. It is also essential to mention here that according to the application of Law of Property Act 1925, the creation of legal easement is prominent in the Section 187 of the act </w:t>
      </w:r>
      <w:r w:rsidR="00131C0A" w:rsidRPr="003B52D5">
        <w:rPr>
          <w:rFonts w:ascii="Times New Roman" w:eastAsia="Times New Roman" w:hAnsi="Times New Roman"/>
          <w:i/>
          <w:iCs/>
          <w:sz w:val="28"/>
          <w:szCs w:val="28"/>
          <w:lang w:val="en-GB"/>
        </w:rPr>
        <w:t>(lLgislation.gov.uk, 2017).</w:t>
      </w:r>
      <w:r w:rsidR="00131C0A" w:rsidRPr="00BC27DB">
        <w:rPr>
          <w:rFonts w:ascii="Times New Roman" w:eastAsia="Times New Roman" w:hAnsi="Times New Roman"/>
          <w:sz w:val="28"/>
          <w:szCs w:val="28"/>
          <w:lang w:val="en-GB"/>
        </w:rPr>
        <w:t xml:space="preserve"> On the other hand, based on the understanding of the </w:t>
      </w:r>
      <w:r w:rsidR="00131C0A" w:rsidRPr="003B52D5">
        <w:rPr>
          <w:rFonts w:ascii="Times New Roman" w:eastAsia="Times New Roman" w:hAnsi="Times New Roman"/>
          <w:i/>
          <w:iCs/>
          <w:sz w:val="28"/>
          <w:szCs w:val="28"/>
          <w:lang w:val="en-GB"/>
        </w:rPr>
        <w:t>Re Ellenborough Park [1955] EWCA Civ 4,</w:t>
      </w:r>
      <w:r w:rsidR="00131C0A" w:rsidRPr="00BC27DB">
        <w:rPr>
          <w:rFonts w:ascii="Times New Roman" w:eastAsia="Times New Roman" w:hAnsi="Times New Roman"/>
          <w:sz w:val="28"/>
          <w:szCs w:val="28"/>
          <w:lang w:val="en-GB"/>
        </w:rPr>
        <w:t xml:space="preserve"> the knowledge of easement indicates the use of the land with the question that is connected to the use of the dominant land. </w:t>
      </w:r>
      <w:r w:rsidR="00131C0A" w:rsidRPr="00365781">
        <w:rPr>
          <w:rFonts w:ascii="Times New Roman" w:eastAsia="Times New Roman" w:hAnsi="Times New Roman"/>
          <w:sz w:val="28"/>
          <w:szCs w:val="28"/>
          <w:lang w:val="en-GB"/>
        </w:rPr>
        <w:t xml:space="preserve">Moreover, the easement is claimed by prescription adhering to the application and aligning with the exclusive rights of prescription without any pressure or secrecy. For example, in the case, </w:t>
      </w:r>
      <w:r w:rsidR="00131C0A" w:rsidRPr="00365781">
        <w:rPr>
          <w:rFonts w:ascii="Times New Roman" w:eastAsia="Times New Roman" w:hAnsi="Times New Roman"/>
          <w:i/>
          <w:sz w:val="28"/>
          <w:szCs w:val="28"/>
          <w:lang w:val="en-GB"/>
        </w:rPr>
        <w:t xml:space="preserve">Anchor Brewhouse Developments v Berkley House (Docklands) </w:t>
      </w:r>
      <w:r w:rsidR="00131C0A" w:rsidRPr="00365781">
        <w:rPr>
          <w:rFonts w:ascii="Times New Roman" w:eastAsia="Times New Roman" w:hAnsi="Times New Roman"/>
          <w:i/>
          <w:sz w:val="28"/>
          <w:szCs w:val="28"/>
          <w:lang w:val="en-GB"/>
        </w:rPr>
        <w:lastRenderedPageBreak/>
        <w:t xml:space="preserve">Developments [1987], </w:t>
      </w:r>
      <w:r w:rsidR="00131C0A" w:rsidRPr="00365781">
        <w:rPr>
          <w:rFonts w:ascii="Times New Roman" w:eastAsia="Times New Roman" w:hAnsi="Times New Roman"/>
          <w:sz w:val="28"/>
          <w:szCs w:val="28"/>
          <w:lang w:val="en-GB"/>
        </w:rPr>
        <w:t xml:space="preserve">the crane's job was trespassing in the air directly upwards to the claimant's not the respect of giving the landowner that to make property due to which an injunction was initiated to reduce such activities in future. Furthermore, land law also includes easement, which is a right provided to the owner of land for acquiring advantages of the land by commencing activities of their choice or prohibiting certain activities. </w:t>
      </w:r>
    </w:p>
    <w:p w14:paraId="6A49313C" w14:textId="7397D671" w:rsidR="00131C0A" w:rsidRPr="00BC27DB" w:rsidRDefault="00131C0A" w:rsidP="00131C0A">
      <w:pPr>
        <w:spacing w:after="0" w:line="480" w:lineRule="auto"/>
        <w:ind w:firstLine="720"/>
        <w:jc w:val="both"/>
        <w:rPr>
          <w:rFonts w:ascii="Times New Roman" w:eastAsia="Times New Roman" w:hAnsi="Times New Roman"/>
          <w:sz w:val="28"/>
          <w:szCs w:val="28"/>
          <w:lang w:val="en-GB"/>
        </w:rPr>
      </w:pPr>
      <w:bookmarkStart w:id="0" w:name="_heading=h.2i785q64iwr1" w:colFirst="0" w:colLast="0"/>
      <w:bookmarkEnd w:id="0"/>
      <w:r w:rsidRPr="00BC27DB">
        <w:rPr>
          <w:rFonts w:ascii="Times New Roman" w:eastAsia="Times New Roman" w:hAnsi="Times New Roman"/>
          <w:sz w:val="28"/>
          <w:szCs w:val="28"/>
          <w:lang w:val="en-GB"/>
        </w:rPr>
        <w:t xml:space="preserve">Effective knowledge related to easement under the English Law also indicates not the aspect of giving the </w:t>
      </w:r>
      <w:r w:rsidR="00BC27DB" w:rsidRPr="00BC27DB">
        <w:rPr>
          <w:rFonts w:ascii="Times New Roman" w:eastAsia="Times New Roman" w:hAnsi="Times New Roman"/>
          <w:sz w:val="28"/>
          <w:szCs w:val="28"/>
          <w:lang w:val="en-GB"/>
        </w:rPr>
        <w:t>landowner</w:t>
      </w:r>
      <w:r w:rsidRPr="00BC27DB">
        <w:rPr>
          <w:rFonts w:ascii="Times New Roman" w:eastAsia="Times New Roman" w:hAnsi="Times New Roman"/>
          <w:sz w:val="28"/>
          <w:szCs w:val="28"/>
          <w:lang w:val="en-GB"/>
        </w:rPr>
        <w:t xml:space="preserve"> an exclusive right of a land but giving the land</w:t>
      </w:r>
      <w:r w:rsidR="003B52D5">
        <w:rPr>
          <w:rFonts w:ascii="Times New Roman" w:eastAsia="Times New Roman" w:hAnsi="Times New Roman"/>
          <w:sz w:val="28"/>
          <w:szCs w:val="28"/>
          <w:lang w:val="en-GB"/>
        </w:rPr>
        <w:t>-</w:t>
      </w:r>
      <w:r w:rsidRPr="00BC27DB">
        <w:rPr>
          <w:rFonts w:ascii="Times New Roman" w:eastAsia="Times New Roman" w:hAnsi="Times New Roman"/>
          <w:sz w:val="28"/>
          <w:szCs w:val="28"/>
          <w:lang w:val="en-GB"/>
        </w:rPr>
        <w:t xml:space="preserve"> owner the right to make use of another area of land for the betterment of his own land </w:t>
      </w:r>
      <w:r w:rsidRPr="00BC27DB">
        <w:rPr>
          <w:rFonts w:ascii="Times New Roman" w:eastAsia="Times New Roman" w:hAnsi="Times New Roman"/>
          <w:i/>
          <w:sz w:val="28"/>
          <w:szCs w:val="28"/>
          <w:lang w:val="en-GB"/>
        </w:rPr>
        <w:t>(McFarlane, Hopkins, and Nield, 2018)</w:t>
      </w:r>
      <w:r w:rsidRPr="00BC27DB">
        <w:rPr>
          <w:rFonts w:ascii="Times New Roman" w:eastAsia="Times New Roman" w:hAnsi="Times New Roman"/>
          <w:sz w:val="28"/>
          <w:szCs w:val="28"/>
          <w:lang w:val="en-GB"/>
        </w:rPr>
        <w:t>. Under the Prescription Act 1832 in order to obtain and is meant it is essential to follow the rule regarding the acquisition of a right through long use or enjoyment. The Prescription Act 1832 also indicates the following three methods regarding the acquisition of easement through the creation of prescription. This indicates Time Immemorial, doctrine of lost modern grant and statute.</w:t>
      </w:r>
    </w:p>
    <w:p w14:paraId="14F2C934" w14:textId="77777777" w:rsidR="00131C0A" w:rsidRPr="00365781" w:rsidRDefault="00131C0A" w:rsidP="00131C0A">
      <w:pPr>
        <w:spacing w:after="0" w:line="480" w:lineRule="auto"/>
        <w:ind w:firstLine="720"/>
        <w:jc w:val="both"/>
        <w:rPr>
          <w:rFonts w:ascii="Times New Roman" w:eastAsia="Times New Roman" w:hAnsi="Times New Roman"/>
          <w:sz w:val="28"/>
          <w:szCs w:val="28"/>
          <w:lang w:val="en-GB"/>
        </w:rPr>
      </w:pPr>
      <w:r w:rsidRPr="00365781">
        <w:rPr>
          <w:rFonts w:ascii="Times New Roman" w:eastAsia="Times New Roman" w:hAnsi="Times New Roman"/>
          <w:sz w:val="28"/>
          <w:szCs w:val="28"/>
          <w:lang w:val="en-GB"/>
        </w:rPr>
        <w:t>The concept of easement is defined as the non-possessory right to enter and utilise the real property of others without actually owning it (</w:t>
      </w:r>
      <w:r w:rsidRPr="00BA3AF3">
        <w:rPr>
          <w:rFonts w:ascii="Times New Roman" w:eastAsia="Times New Roman" w:hAnsi="Times New Roman"/>
          <w:i/>
          <w:iCs/>
          <w:sz w:val="28"/>
          <w:szCs w:val="28"/>
          <w:highlight w:val="white"/>
          <w:lang w:val="en-GB"/>
        </w:rPr>
        <w:t>Castellano, 2015</w:t>
      </w:r>
      <w:r w:rsidRPr="00BA3AF3">
        <w:rPr>
          <w:rFonts w:ascii="Times New Roman" w:eastAsia="Times New Roman" w:hAnsi="Times New Roman"/>
          <w:i/>
          <w:iCs/>
          <w:sz w:val="28"/>
          <w:szCs w:val="28"/>
          <w:lang w:val="en-GB"/>
        </w:rPr>
        <w:t xml:space="preserve">). </w:t>
      </w:r>
      <w:r w:rsidRPr="00365781">
        <w:rPr>
          <w:rFonts w:ascii="Times New Roman" w:eastAsia="Times New Roman" w:hAnsi="Times New Roman"/>
          <w:sz w:val="28"/>
          <w:szCs w:val="28"/>
          <w:lang w:val="en-GB"/>
        </w:rPr>
        <w:t>In a positive context, easement means a person has the right to exercise activities on another's land, also known as the right of way</w:t>
      </w:r>
      <w:r w:rsidRPr="00BC27DB">
        <w:rPr>
          <w:rFonts w:ascii="Times New Roman" w:eastAsia="Times New Roman" w:hAnsi="Times New Roman"/>
          <w:sz w:val="28"/>
          <w:szCs w:val="28"/>
          <w:lang w:val="en-GB"/>
        </w:rPr>
        <w:t xml:space="preserve">. The two other examples of easement indicate a right to light, and a right of support. </w:t>
      </w:r>
      <w:r w:rsidRPr="00365781">
        <w:rPr>
          <w:rFonts w:ascii="Times New Roman" w:eastAsia="Times New Roman" w:hAnsi="Times New Roman"/>
          <w:sz w:val="28"/>
          <w:szCs w:val="28"/>
          <w:lang w:val="en-GB"/>
        </w:rPr>
        <w:t xml:space="preserve">In contrast, the negative easement is considered the rights showcased by the rights holder to restrict the landowner from </w:t>
      </w:r>
      <w:r w:rsidRPr="00365781">
        <w:rPr>
          <w:rFonts w:ascii="Times New Roman" w:eastAsia="Times New Roman" w:hAnsi="Times New Roman"/>
          <w:sz w:val="28"/>
          <w:szCs w:val="28"/>
          <w:lang w:val="en-GB"/>
        </w:rPr>
        <w:lastRenderedPageBreak/>
        <w:t xml:space="preserve">acting in a specific way on the land, known as the right of light. The easement rights are considered private, and two land parcels are always involved, also known as tenements. Moreover, the land which acquires immense benefits and pros of easement is considered a dominant tenement. However, the land which is prone to burden and on which the rights of the landowner are exercised is referred to as a servient tenement </w:t>
      </w:r>
      <w:r w:rsidRPr="00365781">
        <w:rPr>
          <w:rFonts w:ascii="Times New Roman" w:eastAsia="Times New Roman" w:hAnsi="Times New Roman"/>
          <w:i/>
          <w:sz w:val="28"/>
          <w:szCs w:val="28"/>
          <w:lang w:val="en-GB"/>
        </w:rPr>
        <w:t>(Gray and Gray, 2013).</w:t>
      </w:r>
      <w:r w:rsidRPr="00365781">
        <w:rPr>
          <w:rFonts w:ascii="Times New Roman" w:eastAsia="Times New Roman" w:hAnsi="Times New Roman"/>
          <w:sz w:val="28"/>
          <w:szCs w:val="28"/>
          <w:lang w:val="en-GB"/>
        </w:rPr>
        <w:t xml:space="preserve"> In several cases, the servient owner is restricted from any expenditures of the easement. However, situations such as easement are exerted for taking care of or developing a fence and obligation to ensure proper cleanliness and well-maintained. These are the two exceptions where the servient owner is subjected to bear the expenditure of easement. Furthermore, the concept of easement depicts that dominant and servient land should be owned by different people, so it is easy to provide easement rights. As examined in the case of </w:t>
      </w:r>
      <w:r w:rsidRPr="00365781">
        <w:rPr>
          <w:rFonts w:ascii="Times New Roman" w:eastAsia="Times New Roman" w:hAnsi="Times New Roman"/>
          <w:i/>
          <w:sz w:val="28"/>
          <w:szCs w:val="28"/>
          <w:lang w:val="en-GB"/>
        </w:rPr>
        <w:t xml:space="preserve">Rance V Elvin </w:t>
      </w:r>
      <w:r w:rsidRPr="00365781">
        <w:rPr>
          <w:rFonts w:ascii="Times New Roman" w:eastAsia="Times New Roman" w:hAnsi="Times New Roman"/>
          <w:sz w:val="28"/>
          <w:szCs w:val="28"/>
          <w:lang w:val="en-GB"/>
        </w:rPr>
        <w:t xml:space="preserve">(1985) the case was transferred to court where court promoted positive obligation. However, the servient owner was so obligated that water reaches the private system.  </w:t>
      </w:r>
      <w:r w:rsidRPr="00365781">
        <w:rPr>
          <w:rFonts w:ascii="Times New Roman" w:eastAsia="Times New Roman" w:hAnsi="Times New Roman"/>
          <w:i/>
          <w:sz w:val="28"/>
          <w:szCs w:val="28"/>
          <w:lang w:val="en-GB"/>
        </w:rPr>
        <w:t>(Waite, 1985).</w:t>
      </w:r>
    </w:p>
    <w:p w14:paraId="411D93C7" w14:textId="1C42154E" w:rsidR="00131C0A" w:rsidRPr="00054E7E" w:rsidRDefault="00131C0A" w:rsidP="00131C0A">
      <w:pPr>
        <w:spacing w:after="0" w:line="480" w:lineRule="auto"/>
        <w:jc w:val="both"/>
        <w:rPr>
          <w:rFonts w:ascii="Times New Roman" w:eastAsia="Times New Roman" w:hAnsi="Times New Roman"/>
          <w:sz w:val="28"/>
          <w:szCs w:val="28"/>
          <w:lang w:val="en-GB"/>
        </w:rPr>
      </w:pPr>
      <w:r w:rsidRPr="00365781">
        <w:rPr>
          <w:rFonts w:ascii="Times New Roman" w:eastAsia="Times New Roman" w:hAnsi="Times New Roman"/>
          <w:sz w:val="28"/>
          <w:szCs w:val="28"/>
          <w:lang w:val="en-GB"/>
        </w:rPr>
        <w:tab/>
      </w:r>
      <w:r w:rsidRPr="00054E7E">
        <w:rPr>
          <w:rFonts w:ascii="Times New Roman" w:eastAsia="Times New Roman" w:hAnsi="Times New Roman"/>
          <w:sz w:val="28"/>
          <w:szCs w:val="28"/>
          <w:lang w:val="en-GB"/>
        </w:rPr>
        <w:t xml:space="preserve">The primary aspect of making easement legal in the UK essentially indicates the aspect of creating rights in which two heritages get adjacent to each other. The aspect of making easement legal, it is essential to apply for a registration of an easement in which both the benefiting land and servient land will be registered. Based on the fulfilment of the registration requirement, there is a possibility for meeting the rule 90 of the Land Registration Rule 2003 of the UK in order to ensure the legality of easement </w:t>
      </w:r>
      <w:r w:rsidRPr="00C259B0">
        <w:rPr>
          <w:rFonts w:ascii="Times New Roman" w:eastAsia="Times New Roman" w:hAnsi="Times New Roman"/>
          <w:i/>
          <w:iCs/>
          <w:sz w:val="28"/>
          <w:szCs w:val="28"/>
          <w:lang w:val="en-GB"/>
        </w:rPr>
        <w:t>(Gov.uk, 2021).</w:t>
      </w:r>
      <w:r w:rsidRPr="00054E7E">
        <w:rPr>
          <w:rFonts w:ascii="Times New Roman" w:eastAsia="Times New Roman" w:hAnsi="Times New Roman"/>
          <w:sz w:val="28"/>
          <w:szCs w:val="28"/>
          <w:lang w:val="en-GB"/>
        </w:rPr>
        <w:t xml:space="preserve"> </w:t>
      </w:r>
      <w:r w:rsidRPr="00365781">
        <w:rPr>
          <w:rFonts w:ascii="Times New Roman" w:eastAsia="Times New Roman" w:hAnsi="Times New Roman"/>
          <w:sz w:val="28"/>
          <w:szCs w:val="28"/>
          <w:lang w:val="en-GB"/>
        </w:rPr>
        <w:t xml:space="preserve">However, an easement constructed for uncertain and </w:t>
      </w:r>
      <w:r w:rsidRPr="00365781">
        <w:rPr>
          <w:rFonts w:ascii="Times New Roman" w:eastAsia="Times New Roman" w:hAnsi="Times New Roman"/>
          <w:sz w:val="28"/>
          <w:szCs w:val="28"/>
          <w:lang w:val="en-GB"/>
        </w:rPr>
        <w:lastRenderedPageBreak/>
        <w:t xml:space="preserve">irregular duration has no potential to become legal as per section S1(3) Law of Property Act 1925. It is important to adhere to the terms and conditions of the Law of Property Act 1925 to ensure the legality of easement. Furthermore, new easements are often considered as becoming analogous to the already existing easements. For instance- the right to park corresponds to the easement right for storage </w:t>
      </w:r>
      <w:r w:rsidRPr="00365781">
        <w:rPr>
          <w:rFonts w:ascii="Times New Roman" w:eastAsia="Times New Roman" w:hAnsi="Times New Roman"/>
          <w:i/>
          <w:sz w:val="28"/>
          <w:szCs w:val="28"/>
          <w:lang w:val="en-GB"/>
        </w:rPr>
        <w:t xml:space="preserve">(Romero, 2013). </w:t>
      </w:r>
      <w:r w:rsidRPr="00054E7E">
        <w:rPr>
          <w:rFonts w:ascii="Times New Roman" w:eastAsia="Times New Roman" w:hAnsi="Times New Roman"/>
          <w:sz w:val="28"/>
          <w:szCs w:val="28"/>
          <w:lang w:val="en-GB"/>
        </w:rPr>
        <w:t xml:space="preserve">Based on the need of making easement legal and valid, it is essential for the existence of two valid lands or property which indicates one to be dominant and the other one to be servient heritage. Moreover, with the aspect of determining whether the easement made over a land is valid and legal or not, it is essential to look after the registration that has been conducted </w:t>
      </w:r>
      <w:r w:rsidR="00054E7E" w:rsidRPr="00054E7E">
        <w:rPr>
          <w:rFonts w:ascii="Times New Roman" w:eastAsia="Times New Roman" w:hAnsi="Times New Roman"/>
          <w:sz w:val="28"/>
          <w:szCs w:val="28"/>
          <w:lang w:val="en-GB"/>
        </w:rPr>
        <w:t>on</w:t>
      </w:r>
      <w:r w:rsidRPr="00054E7E">
        <w:rPr>
          <w:rFonts w:ascii="Times New Roman" w:eastAsia="Times New Roman" w:hAnsi="Times New Roman"/>
          <w:sz w:val="28"/>
          <w:szCs w:val="28"/>
          <w:lang w:val="en-GB"/>
        </w:rPr>
        <w:t xml:space="preserve"> the land.</w:t>
      </w:r>
    </w:p>
    <w:p w14:paraId="26BB0280" w14:textId="77777777" w:rsidR="00131C0A" w:rsidRPr="00365781" w:rsidRDefault="00131C0A" w:rsidP="00131C0A">
      <w:pPr>
        <w:spacing w:after="0" w:line="480" w:lineRule="auto"/>
        <w:jc w:val="both"/>
        <w:rPr>
          <w:rFonts w:ascii="Times New Roman" w:eastAsia="Times New Roman" w:hAnsi="Times New Roman"/>
          <w:sz w:val="28"/>
          <w:szCs w:val="28"/>
          <w:lang w:val="en-GB"/>
        </w:rPr>
      </w:pPr>
      <w:bookmarkStart w:id="1" w:name="_heading=h.30j0zll" w:colFirst="0" w:colLast="0"/>
      <w:bookmarkEnd w:id="1"/>
      <w:r w:rsidRPr="00365781">
        <w:rPr>
          <w:rFonts w:ascii="Times New Roman" w:eastAsia="Times New Roman" w:hAnsi="Times New Roman"/>
          <w:sz w:val="28"/>
          <w:szCs w:val="28"/>
          <w:lang w:val="en-GB"/>
        </w:rPr>
        <w:tab/>
        <w:t xml:space="preserve">In addition, according to </w:t>
      </w:r>
      <w:r w:rsidRPr="00365781">
        <w:rPr>
          <w:rFonts w:ascii="Times New Roman" w:eastAsia="Times New Roman" w:hAnsi="Times New Roman"/>
          <w:i/>
          <w:sz w:val="28"/>
          <w:szCs w:val="28"/>
          <w:lang w:val="en-GB"/>
        </w:rPr>
        <w:t>Re-Ellenborough Park [1956] CH 131,</w:t>
      </w:r>
      <w:r w:rsidRPr="00365781">
        <w:rPr>
          <w:rFonts w:ascii="Times New Roman" w:eastAsia="Times New Roman" w:hAnsi="Times New Roman"/>
          <w:sz w:val="28"/>
          <w:szCs w:val="28"/>
          <w:lang w:val="en-GB"/>
        </w:rPr>
        <w:t xml:space="preserve"> the critical features of easement state that easement should compulsorily consist of a dominant and a servient tenement where the easement is accommodated and offered to the dominant tenement. The benefits and rights ensured in the easement should be enjoyed by the dominant tenement. Moreover, the claimed rights should have the potential to be presented in a written document. The easement only pertains to its value when linked to the dominant land. However, an easement cannot sustain in gross where only service tenement is known and has no signs of the dominant land. Future owners or buyers of the dominant land have the potential to acquire easement rights and benefits </w:t>
      </w:r>
      <w:r w:rsidRPr="00365781">
        <w:rPr>
          <w:rFonts w:ascii="Times New Roman" w:eastAsia="Times New Roman" w:hAnsi="Times New Roman"/>
          <w:i/>
          <w:sz w:val="28"/>
          <w:szCs w:val="28"/>
          <w:lang w:val="en-GB"/>
        </w:rPr>
        <w:t>(Egan-Ronayne, 2017).</w:t>
      </w:r>
      <w:r w:rsidRPr="00365781">
        <w:rPr>
          <w:rFonts w:ascii="Times New Roman" w:eastAsia="Times New Roman" w:hAnsi="Times New Roman"/>
          <w:sz w:val="28"/>
          <w:szCs w:val="28"/>
          <w:lang w:val="en-GB"/>
        </w:rPr>
        <w:t xml:space="preserve"> As per </w:t>
      </w:r>
      <w:r w:rsidRPr="00365781">
        <w:rPr>
          <w:rFonts w:ascii="Times New Roman" w:eastAsia="Times New Roman" w:hAnsi="Times New Roman"/>
          <w:i/>
          <w:sz w:val="28"/>
          <w:szCs w:val="28"/>
          <w:lang w:val="en-GB"/>
        </w:rPr>
        <w:t xml:space="preserve">Metropolitan Railway Co v Fowler (1893), </w:t>
      </w:r>
      <w:r w:rsidRPr="00365781">
        <w:rPr>
          <w:rFonts w:ascii="Times New Roman" w:eastAsia="Times New Roman" w:hAnsi="Times New Roman"/>
          <w:sz w:val="28"/>
          <w:szCs w:val="28"/>
          <w:lang w:val="en-GB"/>
        </w:rPr>
        <w:t xml:space="preserve">an easement can never happen on your land because it comes under the rights over the servant’s land. </w:t>
      </w:r>
      <w:r w:rsidRPr="00365781">
        <w:rPr>
          <w:rFonts w:ascii="Times New Roman" w:eastAsia="Times New Roman" w:hAnsi="Times New Roman"/>
          <w:sz w:val="28"/>
          <w:szCs w:val="28"/>
          <w:lang w:val="en-GB"/>
        </w:rPr>
        <w:lastRenderedPageBreak/>
        <w:t xml:space="preserve">However, a tenant can exert rights over the landlord's land. Moreover, the grantor and grantee involved in the easement should be competent, and the rights should also be entirely fulfilling </w:t>
      </w:r>
      <w:r w:rsidRPr="00365781">
        <w:rPr>
          <w:rFonts w:ascii="Times New Roman" w:eastAsia="Times New Roman" w:hAnsi="Times New Roman"/>
          <w:i/>
          <w:sz w:val="28"/>
          <w:szCs w:val="28"/>
          <w:lang w:val="en-GB"/>
        </w:rPr>
        <w:t>(Kowallis, 2018).</w:t>
      </w:r>
    </w:p>
    <w:p w14:paraId="6F5BADBB" w14:textId="7647A2C9" w:rsidR="00131C0A" w:rsidRPr="00CA0C48" w:rsidRDefault="00131C0A" w:rsidP="00131C0A">
      <w:pPr>
        <w:spacing w:after="0" w:line="480" w:lineRule="auto"/>
        <w:ind w:firstLine="720"/>
        <w:jc w:val="both"/>
        <w:rPr>
          <w:rFonts w:ascii="Times New Roman" w:eastAsia="Times New Roman" w:hAnsi="Times New Roman"/>
          <w:i/>
          <w:sz w:val="28"/>
          <w:szCs w:val="28"/>
          <w:lang w:val="en-GB"/>
        </w:rPr>
      </w:pPr>
      <w:r w:rsidRPr="00CA0C48">
        <w:rPr>
          <w:rFonts w:ascii="Times New Roman" w:eastAsia="Times New Roman" w:hAnsi="Times New Roman"/>
          <w:sz w:val="28"/>
          <w:szCs w:val="28"/>
          <w:lang w:val="en-GB"/>
        </w:rPr>
        <w:t xml:space="preserve">Based on the aspect of making easement well established for a buyer, it is essential to identify and determine whether the easement of a land is fulfilling all the characteristics of the legal rule or not </w:t>
      </w:r>
      <w:r w:rsidRPr="00C259B0">
        <w:rPr>
          <w:rFonts w:ascii="Times New Roman" w:eastAsia="Times New Roman" w:hAnsi="Times New Roman"/>
          <w:i/>
          <w:iCs/>
          <w:sz w:val="28"/>
          <w:szCs w:val="28"/>
          <w:lang w:val="en-GB"/>
        </w:rPr>
        <w:t>(Lawcom.gov.uk, 2015).</w:t>
      </w:r>
      <w:r w:rsidRPr="00CA0C48">
        <w:rPr>
          <w:rFonts w:ascii="Times New Roman" w:eastAsia="Times New Roman" w:hAnsi="Times New Roman"/>
          <w:sz w:val="28"/>
          <w:szCs w:val="28"/>
          <w:lang w:val="en-GB"/>
        </w:rPr>
        <w:t xml:space="preserve"> This indicates the presence of a dominant tenement and servient tenement, the aspect of the easement to accommodate the dominant tenement, the dominant and servient tenements </w:t>
      </w:r>
      <w:r w:rsidR="00C259B0" w:rsidRPr="00CA0C48">
        <w:rPr>
          <w:rFonts w:ascii="Times New Roman" w:eastAsia="Times New Roman" w:hAnsi="Times New Roman"/>
          <w:sz w:val="28"/>
          <w:szCs w:val="28"/>
          <w:lang w:val="en-GB"/>
        </w:rPr>
        <w:t>need</w:t>
      </w:r>
      <w:r w:rsidRPr="00CA0C48">
        <w:rPr>
          <w:rFonts w:ascii="Times New Roman" w:eastAsia="Times New Roman" w:hAnsi="Times New Roman"/>
          <w:sz w:val="28"/>
          <w:szCs w:val="28"/>
          <w:lang w:val="en-GB"/>
        </w:rPr>
        <w:t xml:space="preserve"> to be owned by different persons and the easement needs to be effective and capable of forming the subject matter of a grant. In the case of profit, it can be exerted in gross as only servient tenement is needed for profit creation </w:t>
      </w:r>
      <w:r w:rsidRPr="00CA0C48">
        <w:rPr>
          <w:rFonts w:ascii="Times New Roman" w:eastAsia="Times New Roman" w:hAnsi="Times New Roman"/>
          <w:i/>
          <w:sz w:val="28"/>
          <w:szCs w:val="28"/>
          <w:lang w:val="en-GB"/>
        </w:rPr>
        <w:t>(Thompson and George, 2017).</w:t>
      </w:r>
    </w:p>
    <w:p w14:paraId="2B24D8D8" w14:textId="3493785A" w:rsidR="00131C0A" w:rsidRPr="00C96854" w:rsidRDefault="00131C0A" w:rsidP="00131C0A">
      <w:pPr>
        <w:spacing w:after="0" w:line="480" w:lineRule="auto"/>
        <w:ind w:firstLine="720"/>
        <w:jc w:val="both"/>
        <w:rPr>
          <w:rFonts w:ascii="Times New Roman" w:eastAsia="Times New Roman" w:hAnsi="Times New Roman"/>
          <w:i/>
          <w:iCs/>
          <w:sz w:val="28"/>
          <w:szCs w:val="28"/>
          <w:lang w:val="en-GB"/>
        </w:rPr>
      </w:pPr>
      <w:r w:rsidRPr="00CA0C48">
        <w:rPr>
          <w:rFonts w:ascii="Times New Roman" w:eastAsia="Times New Roman" w:hAnsi="Times New Roman"/>
          <w:sz w:val="28"/>
          <w:szCs w:val="28"/>
          <w:lang w:val="en-GB"/>
        </w:rPr>
        <w:t xml:space="preserve">The primary aspect of obtaining easement is possible through the creation of a deed or a will which needs to be in writing format. The writing of the will of deed will be in respect of the registered land and the overall development of easement will be done through the completion of a registration. However, with the aspect of knowing whether an easement is developed according to a prescription or not, it is essential for the acquisition of the easement by prescriptive users. In this context, according to Law of Property Act 1925 it is essential for an easement to represent appropriate pleading and proof to ensure that it is legal </w:t>
      </w:r>
      <w:r w:rsidRPr="00CA0C48">
        <w:rPr>
          <w:rFonts w:ascii="Times New Roman" w:eastAsia="Times New Roman" w:hAnsi="Times New Roman"/>
          <w:i/>
          <w:sz w:val="28"/>
          <w:szCs w:val="28"/>
          <w:lang w:val="en-GB"/>
        </w:rPr>
        <w:t>(Roche, 2018)</w:t>
      </w:r>
      <w:r w:rsidRPr="00CA0C48">
        <w:rPr>
          <w:rFonts w:ascii="Times New Roman" w:eastAsia="Times New Roman" w:hAnsi="Times New Roman"/>
          <w:sz w:val="28"/>
          <w:szCs w:val="28"/>
          <w:lang w:val="en-GB"/>
        </w:rPr>
        <w:t xml:space="preserve">. As for the effective maintenance of the easement in the UK, the servient owner ensures the maintenance and repair of the easement. However, there is also a possibility for the dominant owner to take the </w:t>
      </w:r>
      <w:r w:rsidRPr="00CA0C48">
        <w:rPr>
          <w:rFonts w:ascii="Times New Roman" w:eastAsia="Times New Roman" w:hAnsi="Times New Roman"/>
          <w:sz w:val="28"/>
          <w:szCs w:val="28"/>
          <w:lang w:val="en-GB"/>
        </w:rPr>
        <w:lastRenderedPageBreak/>
        <w:t xml:space="preserve">responsibility of maintaining the </w:t>
      </w:r>
      <w:r w:rsidR="009D596B" w:rsidRPr="00CA0C48">
        <w:rPr>
          <w:rFonts w:ascii="Times New Roman" w:eastAsia="Times New Roman" w:hAnsi="Times New Roman"/>
          <w:sz w:val="28"/>
          <w:szCs w:val="28"/>
          <w:lang w:val="en-GB"/>
        </w:rPr>
        <w:t>easement,</w:t>
      </w:r>
      <w:r w:rsidRPr="00CA0C48">
        <w:rPr>
          <w:rFonts w:ascii="Times New Roman" w:eastAsia="Times New Roman" w:hAnsi="Times New Roman"/>
          <w:sz w:val="28"/>
          <w:szCs w:val="28"/>
          <w:lang w:val="en-GB"/>
        </w:rPr>
        <w:t xml:space="preserve"> but the owner needs to bear the cost of the maintenance or repairmen</w:t>
      </w:r>
      <w:r w:rsidR="00C96854">
        <w:rPr>
          <w:rFonts w:ascii="Times New Roman" w:eastAsia="Times New Roman" w:hAnsi="Times New Roman"/>
          <w:sz w:val="28"/>
          <w:szCs w:val="28"/>
          <w:lang w:val="en-GB"/>
        </w:rPr>
        <w:t xml:space="preserve"> </w:t>
      </w:r>
      <w:r w:rsidR="00C96854" w:rsidRPr="00C96854">
        <w:rPr>
          <w:rFonts w:ascii="Times New Roman" w:eastAsia="Times New Roman" w:hAnsi="Times New Roman"/>
          <w:i/>
          <w:iCs/>
          <w:sz w:val="28"/>
          <w:szCs w:val="28"/>
          <w:lang w:val="en-GB"/>
        </w:rPr>
        <w:t>(</w:t>
      </w:r>
      <w:r w:rsidR="00C96854" w:rsidRPr="00C96854">
        <w:rPr>
          <w:rFonts w:ascii="Times New Roman" w:eastAsia="Times New Roman" w:hAnsi="Times New Roman"/>
          <w:i/>
          <w:iCs/>
          <w:sz w:val="28"/>
          <w:szCs w:val="28"/>
          <w:highlight w:val="white"/>
          <w:lang w:val="en-GB"/>
        </w:rPr>
        <w:t>Davis, C.J. (2000)</w:t>
      </w:r>
    </w:p>
    <w:p w14:paraId="3F9F9E53" w14:textId="2B17E0D8" w:rsidR="00131C0A" w:rsidRPr="00365781" w:rsidRDefault="00131C0A" w:rsidP="00131C0A">
      <w:pPr>
        <w:shd w:val="clear" w:color="auto" w:fill="FFFFFF"/>
        <w:spacing w:after="0" w:line="480" w:lineRule="auto"/>
        <w:ind w:firstLine="720"/>
        <w:jc w:val="both"/>
        <w:rPr>
          <w:rFonts w:ascii="Times New Roman" w:eastAsia="Times New Roman" w:hAnsi="Times New Roman"/>
          <w:sz w:val="28"/>
          <w:szCs w:val="28"/>
          <w:lang w:val="en-GB"/>
        </w:rPr>
      </w:pPr>
      <w:r w:rsidRPr="00365781">
        <w:rPr>
          <w:rFonts w:ascii="Times New Roman" w:eastAsia="Times New Roman" w:hAnsi="Times New Roman"/>
          <w:sz w:val="28"/>
          <w:szCs w:val="28"/>
          <w:lang w:val="en-GB"/>
        </w:rPr>
        <w:t xml:space="preserve">On the other hand, it has also been asserted that the legislation of the UK also determines the extent to which the interest of both parties would go as well as how that interest could be dealt with under </w:t>
      </w:r>
      <w:bookmarkStart w:id="2" w:name="_Hlk140762387"/>
      <w:r w:rsidRPr="00365781">
        <w:rPr>
          <w:rFonts w:ascii="Times New Roman" w:eastAsia="Times New Roman" w:hAnsi="Times New Roman"/>
          <w:sz w:val="28"/>
          <w:szCs w:val="28"/>
          <w:lang w:val="en-GB"/>
        </w:rPr>
        <w:t xml:space="preserve">the Trusts of Land and Appointment of Trustees Act 1996 </w:t>
      </w:r>
      <w:bookmarkEnd w:id="2"/>
      <w:r w:rsidRPr="00365781">
        <w:rPr>
          <w:rFonts w:ascii="Times New Roman" w:eastAsia="Times New Roman" w:hAnsi="Times New Roman"/>
          <w:i/>
          <w:sz w:val="28"/>
          <w:szCs w:val="28"/>
          <w:lang w:val="en-GB"/>
        </w:rPr>
        <w:t xml:space="preserve">(TOLATA 1996). </w:t>
      </w:r>
      <w:r w:rsidRPr="00365781">
        <w:rPr>
          <w:rFonts w:ascii="Times New Roman" w:eastAsia="Times New Roman" w:hAnsi="Times New Roman"/>
          <w:sz w:val="28"/>
          <w:szCs w:val="28"/>
          <w:lang w:val="en-GB"/>
        </w:rPr>
        <w:t xml:space="preserve">It allows the owner to sell his </w:t>
      </w:r>
      <w:r w:rsidRPr="00CA0C48">
        <w:rPr>
          <w:rFonts w:ascii="Times New Roman" w:eastAsia="Times New Roman" w:hAnsi="Times New Roman"/>
          <w:sz w:val="28"/>
          <w:szCs w:val="28"/>
          <w:lang w:val="en-GB"/>
        </w:rPr>
        <w:t xml:space="preserve">property to another individual regarding a particular purpose which essentially becomes an </w:t>
      </w:r>
      <w:r w:rsidR="00A77008" w:rsidRPr="00CA0C48">
        <w:rPr>
          <w:rFonts w:ascii="Times New Roman" w:eastAsia="Times New Roman" w:hAnsi="Times New Roman"/>
          <w:sz w:val="28"/>
          <w:szCs w:val="28"/>
          <w:lang w:val="en-GB"/>
        </w:rPr>
        <w:t>easement.</w:t>
      </w:r>
      <w:r w:rsidRPr="00365781">
        <w:rPr>
          <w:rFonts w:ascii="Times New Roman" w:eastAsia="Times New Roman" w:hAnsi="Times New Roman"/>
          <w:sz w:val="28"/>
          <w:szCs w:val="28"/>
          <w:lang w:val="en-GB"/>
        </w:rPr>
        <w:t xml:space="preserve"> Not only this, but it also offers many benefits to the owner of the property who owns the prescription of easement. Under section 12 of this act, beneficiaries are also allowed to occupy the property </w:t>
      </w:r>
      <w:r w:rsidRPr="00365781">
        <w:rPr>
          <w:rFonts w:ascii="Times New Roman" w:eastAsia="Times New Roman" w:hAnsi="Times New Roman"/>
          <w:i/>
          <w:sz w:val="28"/>
          <w:szCs w:val="28"/>
          <w:lang w:val="en-GB"/>
        </w:rPr>
        <w:t>(Dickinson, 2020).</w:t>
      </w:r>
      <w:r w:rsidRPr="00365781">
        <w:rPr>
          <w:rFonts w:ascii="Times New Roman" w:eastAsia="Times New Roman" w:hAnsi="Times New Roman"/>
          <w:sz w:val="28"/>
          <w:szCs w:val="28"/>
          <w:lang w:val="en-GB"/>
        </w:rPr>
        <w:t xml:space="preserve"> </w:t>
      </w:r>
    </w:p>
    <w:p w14:paraId="6989B768" w14:textId="77777777" w:rsidR="00131C0A" w:rsidRPr="00365781" w:rsidRDefault="00131C0A" w:rsidP="00131C0A">
      <w:pPr>
        <w:shd w:val="clear" w:color="auto" w:fill="FFFFFF"/>
        <w:spacing w:after="0" w:line="480" w:lineRule="auto"/>
        <w:ind w:firstLine="709"/>
        <w:jc w:val="both"/>
        <w:rPr>
          <w:rFonts w:ascii="Times New Roman" w:eastAsia="Times New Roman" w:hAnsi="Times New Roman"/>
          <w:sz w:val="28"/>
          <w:szCs w:val="28"/>
          <w:lang w:val="en-GB"/>
        </w:rPr>
      </w:pPr>
      <w:r w:rsidRPr="00365781">
        <w:rPr>
          <w:rFonts w:ascii="Times New Roman" w:eastAsia="Times New Roman" w:hAnsi="Times New Roman"/>
          <w:sz w:val="28"/>
          <w:szCs w:val="28"/>
          <w:lang w:val="en-GB"/>
        </w:rPr>
        <w:t xml:space="preserve">Even though there were already a significant number of laws and acts concerning easements, the legislation of easement needs more effectiveness. So, in order to enhance effectiveness of legislation regarding the easement, the UK Act of Parliament passed The Land Charges Act in 1972, which entails updating the system for registering charges on unregistered land in England and Wales. The Land Charges Act of 1925 as well as some other laws that were affecting real property rights from the owner's perspective were modified in order to reflect effectiveness of this act in easement </w:t>
      </w:r>
      <w:r w:rsidRPr="00365781">
        <w:rPr>
          <w:rFonts w:ascii="Times New Roman" w:eastAsia="Times New Roman" w:hAnsi="Times New Roman"/>
          <w:i/>
          <w:sz w:val="28"/>
          <w:szCs w:val="28"/>
          <w:lang w:val="en-GB"/>
        </w:rPr>
        <w:t>(Legislation UK, 2022</w:t>
      </w:r>
      <w:r w:rsidRPr="00365781">
        <w:rPr>
          <w:rFonts w:ascii="Times New Roman" w:eastAsia="Times New Roman" w:hAnsi="Times New Roman"/>
          <w:i/>
          <w:sz w:val="28"/>
          <w:szCs w:val="28"/>
          <w:vertAlign w:val="subscript"/>
          <w:lang w:val="en-GB"/>
        </w:rPr>
        <w:t>2</w:t>
      </w:r>
      <w:r w:rsidRPr="00365781">
        <w:rPr>
          <w:rFonts w:ascii="Times New Roman" w:eastAsia="Times New Roman" w:hAnsi="Times New Roman"/>
          <w:i/>
          <w:sz w:val="28"/>
          <w:szCs w:val="28"/>
          <w:lang w:val="en-GB"/>
        </w:rPr>
        <w:t>).</w:t>
      </w:r>
    </w:p>
    <w:p w14:paraId="634E0824" w14:textId="77777777" w:rsidR="00131C0A" w:rsidRPr="00365781" w:rsidRDefault="00131C0A" w:rsidP="00131C0A">
      <w:pPr>
        <w:shd w:val="clear" w:color="auto" w:fill="FFFFFF"/>
        <w:spacing w:after="0" w:line="480" w:lineRule="auto"/>
        <w:ind w:firstLine="709"/>
        <w:jc w:val="both"/>
        <w:rPr>
          <w:rFonts w:ascii="Times New Roman" w:eastAsia="Times New Roman" w:hAnsi="Times New Roman"/>
          <w:i/>
          <w:sz w:val="28"/>
          <w:szCs w:val="28"/>
          <w:lang w:val="en-GB"/>
        </w:rPr>
      </w:pPr>
      <w:r w:rsidRPr="00365781">
        <w:rPr>
          <w:rFonts w:ascii="Times New Roman" w:eastAsia="Times New Roman" w:hAnsi="Times New Roman"/>
          <w:sz w:val="28"/>
          <w:szCs w:val="28"/>
          <w:lang w:val="en-GB"/>
        </w:rPr>
        <w:t xml:space="preserve">Besides that, the legislation also established the Prescription Act of 1832. It states that if land under easement has been used by a non-owner openly for an adequate period without even granting permission from its owner, then a grant has to be made </w:t>
      </w:r>
      <w:r w:rsidRPr="00365781">
        <w:rPr>
          <w:rFonts w:ascii="Times New Roman" w:eastAsia="Times New Roman" w:hAnsi="Times New Roman"/>
          <w:sz w:val="28"/>
          <w:szCs w:val="28"/>
          <w:lang w:val="en-GB"/>
        </w:rPr>
        <w:lastRenderedPageBreak/>
        <w:t xml:space="preserve">for easement so that the non-owner would continue to use the land without seeking the owner’s permission. As per this act, the minimum period for land to be used without an owner's permission is twenty years </w:t>
      </w:r>
      <w:r w:rsidRPr="00365781">
        <w:rPr>
          <w:rFonts w:ascii="Times New Roman" w:eastAsia="Times New Roman" w:hAnsi="Times New Roman"/>
          <w:i/>
          <w:sz w:val="28"/>
          <w:szCs w:val="28"/>
          <w:lang w:val="en-GB"/>
        </w:rPr>
        <w:t>(LexisNexis, 2022).</w:t>
      </w:r>
    </w:p>
    <w:p w14:paraId="439B347B" w14:textId="35FA1136" w:rsidR="00131C0A" w:rsidRDefault="00131C0A" w:rsidP="00131C0A">
      <w:pPr>
        <w:shd w:val="clear" w:color="auto" w:fill="FFFFFF"/>
        <w:spacing w:after="0" w:line="480" w:lineRule="auto"/>
        <w:ind w:firstLine="720"/>
        <w:jc w:val="both"/>
        <w:rPr>
          <w:rFonts w:ascii="Times New Roman" w:eastAsia="Times New Roman" w:hAnsi="Times New Roman"/>
          <w:sz w:val="28"/>
          <w:szCs w:val="28"/>
          <w:lang w:val="en-GB"/>
        </w:rPr>
      </w:pPr>
      <w:r w:rsidRPr="00CA0C48">
        <w:rPr>
          <w:rFonts w:ascii="Times New Roman" w:eastAsia="Times New Roman" w:hAnsi="Times New Roman"/>
          <w:sz w:val="28"/>
          <w:szCs w:val="28"/>
          <w:lang w:val="en-GB"/>
        </w:rPr>
        <w:t xml:space="preserve">In order to obtain an effective understanding related to easement, the application of the case </w:t>
      </w:r>
      <w:r w:rsidRPr="00CA0C48">
        <w:rPr>
          <w:rFonts w:ascii="Times New Roman" w:eastAsia="Times New Roman" w:hAnsi="Times New Roman"/>
          <w:i/>
          <w:sz w:val="28"/>
          <w:szCs w:val="28"/>
          <w:lang w:val="en-GB"/>
        </w:rPr>
        <w:t xml:space="preserve">Goldberg v Edwards [1950] Ch 247 </w:t>
      </w:r>
      <w:r w:rsidRPr="00CA0C48">
        <w:rPr>
          <w:rFonts w:ascii="Times New Roman" w:eastAsia="Times New Roman" w:hAnsi="Times New Roman"/>
          <w:sz w:val="28"/>
          <w:szCs w:val="28"/>
          <w:lang w:val="en-GB"/>
        </w:rPr>
        <w:t xml:space="preserve">is prominent here. This indicates Mrs Edward owning a property that consists of a house and annex. As the annex was connected with the back of the house through a covered </w:t>
      </w:r>
      <w:r w:rsidR="00F3336F" w:rsidRPr="00CA0C48">
        <w:rPr>
          <w:rFonts w:ascii="Times New Roman" w:eastAsia="Times New Roman" w:hAnsi="Times New Roman"/>
          <w:sz w:val="28"/>
          <w:szCs w:val="28"/>
          <w:lang w:val="en-GB"/>
        </w:rPr>
        <w:t>passageway</w:t>
      </w:r>
      <w:r w:rsidRPr="00CA0C48">
        <w:rPr>
          <w:rFonts w:ascii="Times New Roman" w:eastAsia="Times New Roman" w:hAnsi="Times New Roman"/>
          <w:sz w:val="28"/>
          <w:szCs w:val="28"/>
          <w:lang w:val="en-GB"/>
        </w:rPr>
        <w:t xml:space="preserve">, there was a possibility to access the annex through the house and also through the covered passage-way. As Mrs Edwards let other tenants use the </w:t>
      </w:r>
      <w:r w:rsidR="00F3336F" w:rsidRPr="00CA0C48">
        <w:rPr>
          <w:rFonts w:ascii="Times New Roman" w:eastAsia="Times New Roman" w:hAnsi="Times New Roman"/>
          <w:sz w:val="28"/>
          <w:szCs w:val="28"/>
          <w:lang w:val="en-GB"/>
        </w:rPr>
        <w:t>annex, the</w:t>
      </w:r>
      <w:r w:rsidRPr="00CA0C48">
        <w:rPr>
          <w:rFonts w:ascii="Times New Roman" w:eastAsia="Times New Roman" w:hAnsi="Times New Roman"/>
          <w:sz w:val="28"/>
          <w:szCs w:val="28"/>
          <w:lang w:val="en-GB"/>
        </w:rPr>
        <w:t xml:space="preserve"> court of appeal represented whether right to access to the house is implied under the lease as mentioned in the doctrine of Wheeldon v Burrows. Moreover, another case example of </w:t>
      </w:r>
      <w:r w:rsidRPr="00CA0C48">
        <w:rPr>
          <w:rFonts w:ascii="Times New Roman" w:eastAsia="Times New Roman" w:hAnsi="Times New Roman"/>
          <w:i/>
          <w:sz w:val="28"/>
          <w:szCs w:val="28"/>
          <w:lang w:val="en-GB"/>
        </w:rPr>
        <w:t xml:space="preserve">Hill v Tupper (1863) 159 ER </w:t>
      </w:r>
      <w:r w:rsidR="00672E61" w:rsidRPr="00CA0C48">
        <w:rPr>
          <w:rFonts w:ascii="Times New Roman" w:eastAsia="Times New Roman" w:hAnsi="Times New Roman"/>
          <w:i/>
          <w:sz w:val="28"/>
          <w:szCs w:val="28"/>
          <w:lang w:val="en-GB"/>
        </w:rPr>
        <w:t xml:space="preserve">51 </w:t>
      </w:r>
      <w:r w:rsidR="00672E61" w:rsidRPr="00CA0C48">
        <w:rPr>
          <w:rFonts w:ascii="Times New Roman" w:eastAsia="Times New Roman" w:hAnsi="Times New Roman"/>
          <w:sz w:val="28"/>
          <w:szCs w:val="28"/>
          <w:lang w:val="en-GB"/>
        </w:rPr>
        <w:t>also</w:t>
      </w:r>
      <w:r w:rsidRPr="00CA0C48">
        <w:rPr>
          <w:rFonts w:ascii="Times New Roman" w:eastAsia="Times New Roman" w:hAnsi="Times New Roman"/>
          <w:sz w:val="28"/>
          <w:szCs w:val="28"/>
          <w:lang w:val="en-GB"/>
        </w:rPr>
        <w:t xml:space="preserve"> indicates a proper example of easement. The case indicates the owner of a land on the bank of a canal that has claimed his right to operate both from the canal according to the amount of an easement. Representation of the case the claim was to be rejected by the court's decision by considering the fact that the clement contractual right in order to operate boards on the canal is not accommodating the dominant tenement but on the other hand delivering a mer. In this way based on representation of </w:t>
      </w:r>
      <w:r w:rsidR="0030484F" w:rsidRPr="00CA0C48">
        <w:rPr>
          <w:rFonts w:ascii="Times New Roman" w:eastAsia="Times New Roman" w:hAnsi="Times New Roman"/>
          <w:sz w:val="28"/>
          <w:szCs w:val="28"/>
          <w:lang w:val="en-GB"/>
        </w:rPr>
        <w:t>both</w:t>
      </w:r>
      <w:r w:rsidRPr="00CA0C48">
        <w:rPr>
          <w:rFonts w:ascii="Times New Roman" w:eastAsia="Times New Roman" w:hAnsi="Times New Roman"/>
          <w:sz w:val="28"/>
          <w:szCs w:val="28"/>
          <w:lang w:val="en-GB"/>
        </w:rPr>
        <w:t xml:space="preserve"> cases it can be addressed here that the determination of making an easement legal is essential to see whether both the individuals within the legal easement are having the right or not. More of the development of prescriptive easement indicates the acquisition of legal rights in order to obtain log use or enjoyment. For an </w:t>
      </w:r>
      <w:r w:rsidRPr="00CA0C48">
        <w:rPr>
          <w:rFonts w:ascii="Times New Roman" w:eastAsia="Times New Roman" w:hAnsi="Times New Roman"/>
          <w:sz w:val="28"/>
          <w:szCs w:val="28"/>
          <w:lang w:val="en-GB"/>
        </w:rPr>
        <w:lastRenderedPageBreak/>
        <w:t xml:space="preserve">easement to be legal, it needs to be granted through express grant such as deed of grant, </w:t>
      </w:r>
      <w:r w:rsidR="0013099D" w:rsidRPr="00CA0C48">
        <w:rPr>
          <w:rFonts w:ascii="Times New Roman" w:eastAsia="Times New Roman" w:hAnsi="Times New Roman"/>
          <w:sz w:val="28"/>
          <w:szCs w:val="28"/>
          <w:lang w:val="en-GB"/>
        </w:rPr>
        <w:t>conveyance,</w:t>
      </w:r>
      <w:r w:rsidRPr="00CA0C48">
        <w:rPr>
          <w:rFonts w:ascii="Times New Roman" w:eastAsia="Times New Roman" w:hAnsi="Times New Roman"/>
          <w:sz w:val="28"/>
          <w:szCs w:val="28"/>
          <w:lang w:val="en-GB"/>
        </w:rPr>
        <w:t xml:space="preserve"> and transfer or through the acquisition of common law under the Prescription Act 1832.</w:t>
      </w:r>
      <w:r w:rsidR="000C41DE" w:rsidRPr="00CA0C48">
        <w:rPr>
          <w:rFonts w:ascii="Times New Roman" w:eastAsia="Times New Roman" w:hAnsi="Times New Roman"/>
          <w:sz w:val="28"/>
          <w:szCs w:val="28"/>
          <w:lang w:val="en-GB"/>
        </w:rPr>
        <w:t xml:space="preserve"> </w:t>
      </w:r>
      <w:r w:rsidR="000C41DE" w:rsidRPr="00CA0C48">
        <w:rPr>
          <w:rFonts w:ascii="Times New Roman" w:eastAsia="Times New Roman" w:hAnsi="Times New Roman"/>
          <w:i/>
          <w:iCs/>
          <w:sz w:val="28"/>
          <w:szCs w:val="28"/>
          <w:lang w:val="en-GB"/>
        </w:rPr>
        <w:t>(</w:t>
      </w:r>
      <w:r w:rsidR="000C41DE" w:rsidRPr="00CA0C48">
        <w:rPr>
          <w:rFonts w:ascii="Times New Roman" w:eastAsia="Times New Roman" w:hAnsi="Times New Roman"/>
          <w:i/>
          <w:iCs/>
          <w:sz w:val="28"/>
          <w:szCs w:val="28"/>
          <w:lang w:val="en-GB"/>
        </w:rPr>
        <w:t>Davis, C.J. (2000)</w:t>
      </w:r>
    </w:p>
    <w:p w14:paraId="3855FCFD" w14:textId="5D24F85E" w:rsidR="00EF4438" w:rsidRPr="00A9378C" w:rsidRDefault="00EF4438" w:rsidP="002C3AD2">
      <w:pPr>
        <w:spacing w:after="0" w:line="480" w:lineRule="auto"/>
        <w:ind w:firstLine="720"/>
        <w:jc w:val="both"/>
        <w:rPr>
          <w:rFonts w:ascii="Times New Roman" w:eastAsia="Times New Roman" w:hAnsi="Times New Roman"/>
          <w:sz w:val="28"/>
          <w:szCs w:val="28"/>
          <w:lang w:val="en-GB"/>
        </w:rPr>
      </w:pPr>
      <w:r w:rsidRPr="00A9378C">
        <w:rPr>
          <w:rFonts w:ascii="Times New Roman" w:eastAsia="Times New Roman" w:hAnsi="Times New Roman"/>
          <w:sz w:val="28"/>
          <w:szCs w:val="28"/>
          <w:lang w:val="en-GB"/>
        </w:rPr>
        <w:t xml:space="preserve">When establishing an easement by prescription, it is common to consider the concept of "time immemorial." Time immemorial refers to a period of unending tradition or history, beyond the reach of records or memory. In legal terms, it refers to any date or year that lacks legal evidence or falls outside the scope of legal memory </w:t>
      </w:r>
      <w:r w:rsidRPr="000A5695">
        <w:rPr>
          <w:rFonts w:ascii="Times New Roman" w:eastAsia="Times New Roman" w:hAnsi="Times New Roman"/>
          <w:i/>
          <w:iCs/>
          <w:sz w:val="28"/>
          <w:szCs w:val="28"/>
          <w:lang w:val="en-GB"/>
        </w:rPr>
        <w:t>(Bevan, 2022).</w:t>
      </w:r>
    </w:p>
    <w:p w14:paraId="3E831CC9" w14:textId="6E591865" w:rsidR="00EF4438" w:rsidRPr="00A9378C" w:rsidRDefault="00EF4438" w:rsidP="002C3AD2">
      <w:pPr>
        <w:spacing w:after="0" w:line="480" w:lineRule="auto"/>
        <w:ind w:firstLine="720"/>
        <w:jc w:val="both"/>
        <w:rPr>
          <w:rFonts w:ascii="Times New Roman" w:eastAsia="Times New Roman" w:hAnsi="Times New Roman"/>
          <w:sz w:val="28"/>
          <w:szCs w:val="28"/>
          <w:lang w:val="en-GB"/>
        </w:rPr>
      </w:pPr>
      <w:r w:rsidRPr="00A9378C">
        <w:rPr>
          <w:rFonts w:ascii="Times New Roman" w:eastAsia="Times New Roman" w:hAnsi="Times New Roman"/>
          <w:sz w:val="28"/>
          <w:szCs w:val="28"/>
          <w:lang w:val="en-GB"/>
        </w:rPr>
        <w:t xml:space="preserve">The principle of prescription, which is the basis for establishing an easement, can be traced back to time immemorial. If a right has been enjoyed since time immemorial, it is presumed to have a lawful basis. In statutory terms, "since time immemorial" is defined as beginning in 1189. Under common law, the burden of proof lies with the applicant to demonstrate that the property has been used "since the beginning of time." The Statute of Westminster 1275 established 1189 as the starting point for this purpose. However, it is important to note that such a claim can be easily invalidated if it can be shown that the right did not exist at that time </w:t>
      </w:r>
      <w:r w:rsidRPr="004F0171">
        <w:rPr>
          <w:rFonts w:ascii="Times New Roman" w:eastAsia="Times New Roman" w:hAnsi="Times New Roman"/>
          <w:i/>
          <w:iCs/>
          <w:sz w:val="28"/>
          <w:szCs w:val="28"/>
          <w:lang w:val="en-GB"/>
        </w:rPr>
        <w:t>(Law Commission, 2011).</w:t>
      </w:r>
    </w:p>
    <w:p w14:paraId="209B4D8F" w14:textId="6B09CA42" w:rsidR="00EF4438" w:rsidRPr="004F0171" w:rsidRDefault="00EF4438" w:rsidP="002C3AD2">
      <w:pPr>
        <w:spacing w:after="0" w:line="480" w:lineRule="auto"/>
        <w:ind w:firstLine="720"/>
        <w:jc w:val="both"/>
        <w:rPr>
          <w:rFonts w:ascii="Times New Roman" w:eastAsia="Times New Roman" w:hAnsi="Times New Roman"/>
          <w:i/>
          <w:iCs/>
          <w:sz w:val="28"/>
          <w:szCs w:val="28"/>
          <w:lang w:val="en-GB"/>
        </w:rPr>
      </w:pPr>
      <w:r w:rsidRPr="00A9378C">
        <w:rPr>
          <w:rFonts w:ascii="Times New Roman" w:eastAsia="Times New Roman" w:hAnsi="Times New Roman"/>
          <w:sz w:val="28"/>
          <w:szCs w:val="28"/>
          <w:lang w:val="en-GB"/>
        </w:rPr>
        <w:t xml:space="preserve">For example, in the case of </w:t>
      </w:r>
      <w:r w:rsidRPr="004F0171">
        <w:rPr>
          <w:rFonts w:ascii="Times New Roman" w:eastAsia="Times New Roman" w:hAnsi="Times New Roman"/>
          <w:i/>
          <w:iCs/>
          <w:sz w:val="28"/>
          <w:szCs w:val="28"/>
          <w:lang w:val="en-GB"/>
        </w:rPr>
        <w:t>Hollins v Verney,</w:t>
      </w:r>
      <w:r w:rsidRPr="00A9378C">
        <w:rPr>
          <w:rFonts w:ascii="Times New Roman" w:eastAsia="Times New Roman" w:hAnsi="Times New Roman"/>
          <w:sz w:val="28"/>
          <w:szCs w:val="28"/>
          <w:lang w:val="en-GB"/>
        </w:rPr>
        <w:t xml:space="preserve"> the UK court rejected a claim for a prescriptive easement because the right had only been exercised on three occasions, each separated by a 12-year period. Continuous use for the past 20 years or longer can </w:t>
      </w:r>
      <w:r w:rsidRPr="00A9378C">
        <w:rPr>
          <w:rFonts w:ascii="Times New Roman" w:eastAsia="Times New Roman" w:hAnsi="Times New Roman"/>
          <w:sz w:val="28"/>
          <w:szCs w:val="28"/>
          <w:lang w:val="en-GB"/>
        </w:rPr>
        <w:lastRenderedPageBreak/>
        <w:t xml:space="preserve">raise a presumption of use since time immemorial, which is the year 1189 </w:t>
      </w:r>
      <w:r w:rsidRPr="004F0171">
        <w:rPr>
          <w:rFonts w:ascii="Times New Roman" w:eastAsia="Times New Roman" w:hAnsi="Times New Roman"/>
          <w:i/>
          <w:iCs/>
          <w:sz w:val="28"/>
          <w:szCs w:val="28"/>
          <w:lang w:val="en-GB"/>
        </w:rPr>
        <w:t>(Davis, 2000).</w:t>
      </w:r>
    </w:p>
    <w:p w14:paraId="4008AD0A" w14:textId="71A131A5" w:rsidR="00EF4438" w:rsidRPr="00A9378C" w:rsidRDefault="00EF4438" w:rsidP="002C3AD2">
      <w:pPr>
        <w:spacing w:after="0" w:line="480" w:lineRule="auto"/>
        <w:ind w:firstLine="720"/>
        <w:jc w:val="both"/>
        <w:rPr>
          <w:rFonts w:ascii="Times New Roman" w:eastAsia="Times New Roman" w:hAnsi="Times New Roman"/>
          <w:sz w:val="28"/>
          <w:szCs w:val="28"/>
          <w:lang w:val="en-GB"/>
        </w:rPr>
      </w:pPr>
      <w:r w:rsidRPr="00A9378C">
        <w:rPr>
          <w:rFonts w:ascii="Times New Roman" w:eastAsia="Times New Roman" w:hAnsi="Times New Roman"/>
          <w:sz w:val="28"/>
          <w:szCs w:val="28"/>
          <w:lang w:val="en-GB"/>
        </w:rPr>
        <w:t xml:space="preserve">The doctrine of the Lost Modern Grant is another aspect related to easements by prescription. It presumes that continuous and prolonged use or possession of land implies that the associated rights have been conveyed, even if the physical instrument of conveyance has been lost. This doctrine was developed to prevent claims that could be easily defeated by proving an easement. However, the court does not apply this doctrine if the grantor is disabled. The doctrine assumes that continuous use for more than 20 years, with permission or stealth, constitutes a formal grant of easement that cannot be rebutted. It was introduced to address issues related to common law prescriptions </w:t>
      </w:r>
      <w:r w:rsidRPr="003B5D51">
        <w:rPr>
          <w:rFonts w:ascii="Times New Roman" w:eastAsia="Times New Roman" w:hAnsi="Times New Roman"/>
          <w:i/>
          <w:iCs/>
          <w:sz w:val="28"/>
          <w:szCs w:val="28"/>
          <w:lang w:val="en-GB"/>
        </w:rPr>
        <w:t>(French, 2016).</w:t>
      </w:r>
    </w:p>
    <w:p w14:paraId="5384188A" w14:textId="4FFA87E4" w:rsidR="00EF4438" w:rsidRPr="00A9378C" w:rsidRDefault="00EF4438" w:rsidP="002C3AD2">
      <w:pPr>
        <w:spacing w:after="0" w:line="480" w:lineRule="auto"/>
        <w:ind w:firstLine="720"/>
        <w:jc w:val="both"/>
        <w:rPr>
          <w:rFonts w:ascii="Times New Roman" w:eastAsia="Times New Roman" w:hAnsi="Times New Roman"/>
          <w:sz w:val="28"/>
          <w:szCs w:val="28"/>
          <w:lang w:val="en-GB"/>
        </w:rPr>
      </w:pPr>
      <w:r w:rsidRPr="00A9378C">
        <w:rPr>
          <w:rFonts w:ascii="Times New Roman" w:eastAsia="Times New Roman" w:hAnsi="Times New Roman"/>
          <w:sz w:val="28"/>
          <w:szCs w:val="28"/>
          <w:lang w:val="en-GB"/>
        </w:rPr>
        <w:t xml:space="preserve">In the case of </w:t>
      </w:r>
      <w:r w:rsidRPr="003B5D51">
        <w:rPr>
          <w:rFonts w:ascii="Times New Roman" w:eastAsia="Times New Roman" w:hAnsi="Times New Roman"/>
          <w:i/>
          <w:iCs/>
          <w:sz w:val="28"/>
          <w:szCs w:val="28"/>
          <w:lang w:val="en-GB"/>
        </w:rPr>
        <w:t>Dalton v Angus (1881),</w:t>
      </w:r>
      <w:r w:rsidRPr="00A9378C">
        <w:rPr>
          <w:rFonts w:ascii="Times New Roman" w:eastAsia="Times New Roman" w:hAnsi="Times New Roman"/>
          <w:sz w:val="28"/>
          <w:szCs w:val="28"/>
          <w:lang w:val="en-GB"/>
        </w:rPr>
        <w:t xml:space="preserve"> where two parties had adjoining houses with lateral support for more than 20 years, the court held that the right to lateral support could be claimed due to uninterrupted use of the land for that period. Changes to the buildings did not dissolve the right, and the plaintiff was entitled to support and compensation for damages </w:t>
      </w:r>
      <w:r w:rsidRPr="003B5D51">
        <w:rPr>
          <w:rFonts w:ascii="Times New Roman" w:eastAsia="Times New Roman" w:hAnsi="Times New Roman"/>
          <w:i/>
          <w:iCs/>
          <w:sz w:val="28"/>
          <w:szCs w:val="28"/>
          <w:lang w:val="en-GB"/>
        </w:rPr>
        <w:t>(Mee, 2015).</w:t>
      </w:r>
    </w:p>
    <w:p w14:paraId="71042330" w14:textId="593C26E5" w:rsidR="00EF4438" w:rsidRPr="00A9378C" w:rsidRDefault="00EF4438" w:rsidP="002C3AD2">
      <w:pPr>
        <w:spacing w:after="0" w:line="480" w:lineRule="auto"/>
        <w:ind w:firstLine="720"/>
        <w:jc w:val="both"/>
        <w:rPr>
          <w:rFonts w:ascii="Times New Roman" w:eastAsia="Times New Roman" w:hAnsi="Times New Roman"/>
          <w:sz w:val="28"/>
          <w:szCs w:val="28"/>
          <w:lang w:val="en-GB"/>
        </w:rPr>
      </w:pPr>
      <w:r w:rsidRPr="00A9378C">
        <w:rPr>
          <w:rFonts w:ascii="Times New Roman" w:eastAsia="Times New Roman" w:hAnsi="Times New Roman"/>
          <w:sz w:val="28"/>
          <w:szCs w:val="28"/>
          <w:lang w:val="en-GB"/>
        </w:rPr>
        <w:t xml:space="preserve">Easements by prescription have certain essential features, including open and unrestricted use, uninterrupted use for 20 years or more, and compliance with the limitations set out in Section 17 of the Prescription Act 1832. For example, easements that result in the destruction of property, obstruct free passage of air or light, or interfere </w:t>
      </w:r>
      <w:r w:rsidRPr="00A9378C">
        <w:rPr>
          <w:rFonts w:ascii="Times New Roman" w:eastAsia="Times New Roman" w:hAnsi="Times New Roman"/>
          <w:sz w:val="28"/>
          <w:szCs w:val="28"/>
          <w:lang w:val="en-GB"/>
        </w:rPr>
        <w:lastRenderedPageBreak/>
        <w:t xml:space="preserve">with open space or surface water cannot be acquired through prescription </w:t>
      </w:r>
      <w:r w:rsidRPr="00904026">
        <w:rPr>
          <w:rFonts w:ascii="Times New Roman" w:eastAsia="Times New Roman" w:hAnsi="Times New Roman"/>
          <w:i/>
          <w:iCs/>
          <w:sz w:val="28"/>
          <w:szCs w:val="28"/>
          <w:lang w:val="en-GB"/>
        </w:rPr>
        <w:t>(Bright, 2011).</w:t>
      </w:r>
    </w:p>
    <w:p w14:paraId="5442B681" w14:textId="73ACFCB3" w:rsidR="00EF4438" w:rsidRPr="00A9378C" w:rsidRDefault="00EF4438" w:rsidP="002C3AD2">
      <w:pPr>
        <w:spacing w:after="0" w:line="480" w:lineRule="auto"/>
        <w:ind w:firstLine="720"/>
        <w:jc w:val="both"/>
        <w:rPr>
          <w:rFonts w:ascii="Times New Roman" w:eastAsia="Times New Roman" w:hAnsi="Times New Roman"/>
          <w:sz w:val="28"/>
          <w:szCs w:val="28"/>
          <w:lang w:val="en-GB"/>
        </w:rPr>
      </w:pPr>
      <w:r w:rsidRPr="00A9378C">
        <w:rPr>
          <w:rFonts w:ascii="Times New Roman" w:eastAsia="Times New Roman" w:hAnsi="Times New Roman"/>
          <w:sz w:val="28"/>
          <w:szCs w:val="28"/>
          <w:lang w:val="en-GB"/>
        </w:rPr>
        <w:t xml:space="preserve">In the case of </w:t>
      </w:r>
      <w:r w:rsidRPr="00904026">
        <w:rPr>
          <w:rFonts w:ascii="Times New Roman" w:eastAsia="Times New Roman" w:hAnsi="Times New Roman"/>
          <w:i/>
          <w:iCs/>
          <w:sz w:val="28"/>
          <w:szCs w:val="28"/>
          <w:lang w:val="en-GB"/>
        </w:rPr>
        <w:t>Duke of Norfolk v Arbuthnot,</w:t>
      </w:r>
      <w:r w:rsidRPr="00A9378C">
        <w:rPr>
          <w:rFonts w:ascii="Times New Roman" w:eastAsia="Times New Roman" w:hAnsi="Times New Roman"/>
          <w:sz w:val="28"/>
          <w:szCs w:val="28"/>
          <w:lang w:val="en-GB"/>
        </w:rPr>
        <w:t xml:space="preserve"> where the defendant pulled down a wall claiming it obstructed light to the chancel of a church, the court held that the defendant had no right to make changes without proper justification. Section 71 of the Prescription Act 1832 applied, and no right was provided under common law for the destruction of property </w:t>
      </w:r>
      <w:r w:rsidRPr="00904026">
        <w:rPr>
          <w:rFonts w:ascii="Times New Roman" w:eastAsia="Times New Roman" w:hAnsi="Times New Roman"/>
          <w:i/>
          <w:iCs/>
          <w:sz w:val="28"/>
          <w:szCs w:val="28"/>
          <w:lang w:val="en-GB"/>
        </w:rPr>
        <w:t>(Bevan, 2022).</w:t>
      </w:r>
    </w:p>
    <w:p w14:paraId="70E3F61E" w14:textId="00496A1A" w:rsidR="00EF4438" w:rsidRPr="00904026" w:rsidRDefault="00EF4438" w:rsidP="002C3AD2">
      <w:pPr>
        <w:spacing w:after="0" w:line="480" w:lineRule="auto"/>
        <w:ind w:firstLine="720"/>
        <w:jc w:val="both"/>
        <w:rPr>
          <w:rFonts w:ascii="Times New Roman" w:eastAsia="Times New Roman" w:hAnsi="Times New Roman"/>
          <w:i/>
          <w:iCs/>
          <w:sz w:val="28"/>
          <w:szCs w:val="28"/>
          <w:lang w:val="en-GB"/>
        </w:rPr>
      </w:pPr>
      <w:r w:rsidRPr="00A9378C">
        <w:rPr>
          <w:rFonts w:ascii="Times New Roman" w:eastAsia="Times New Roman" w:hAnsi="Times New Roman"/>
          <w:sz w:val="28"/>
          <w:szCs w:val="28"/>
          <w:lang w:val="en-GB"/>
        </w:rPr>
        <w:t xml:space="preserve">Issues regarding the continuity of use can arise in cases involving easements on land. In the case of </w:t>
      </w:r>
      <w:r w:rsidRPr="00904026">
        <w:rPr>
          <w:rFonts w:ascii="Times New Roman" w:eastAsia="Times New Roman" w:hAnsi="Times New Roman"/>
          <w:i/>
          <w:iCs/>
          <w:sz w:val="28"/>
          <w:szCs w:val="28"/>
          <w:lang w:val="en-GB"/>
        </w:rPr>
        <w:t>Orme v Lyons (2012),</w:t>
      </w:r>
      <w:r w:rsidRPr="00A9378C">
        <w:rPr>
          <w:rFonts w:ascii="Times New Roman" w:eastAsia="Times New Roman" w:hAnsi="Times New Roman"/>
          <w:sz w:val="28"/>
          <w:szCs w:val="28"/>
          <w:lang w:val="en-GB"/>
        </w:rPr>
        <w:t xml:space="preserve"> Lyons claimed vehicular rights over a track on Orme's property. Orme disputed the claim due to irregular use. However, the district adjudicator ruled in </w:t>
      </w:r>
      <w:r w:rsidR="00904026" w:rsidRPr="00A9378C">
        <w:rPr>
          <w:rFonts w:ascii="Times New Roman" w:eastAsia="Times New Roman" w:hAnsi="Times New Roman"/>
          <w:sz w:val="28"/>
          <w:szCs w:val="28"/>
          <w:lang w:val="en-GB"/>
        </w:rPr>
        <w:t>favour</w:t>
      </w:r>
      <w:r w:rsidRPr="00A9378C">
        <w:rPr>
          <w:rFonts w:ascii="Times New Roman" w:eastAsia="Times New Roman" w:hAnsi="Times New Roman"/>
          <w:sz w:val="28"/>
          <w:szCs w:val="28"/>
          <w:lang w:val="en-GB"/>
        </w:rPr>
        <w:t xml:space="preserve"> of Lyons, stating that the right to continuous use existed, even if it was used as an alternative when the main entrance was blocked. The doctrine of the lost modern grant was applicable in this case </w:t>
      </w:r>
      <w:r w:rsidRPr="00904026">
        <w:rPr>
          <w:rFonts w:ascii="Times New Roman" w:eastAsia="Times New Roman" w:hAnsi="Times New Roman"/>
          <w:i/>
          <w:iCs/>
          <w:sz w:val="28"/>
          <w:szCs w:val="28"/>
          <w:lang w:val="en-GB"/>
        </w:rPr>
        <w:t>(George and Layard, 2019).</w:t>
      </w:r>
    </w:p>
    <w:p w14:paraId="784ECA2E" w14:textId="6CF140DF" w:rsidR="00EF4438" w:rsidRPr="00365781" w:rsidRDefault="00EF4438" w:rsidP="002C3AD2">
      <w:pPr>
        <w:spacing w:after="0" w:line="480" w:lineRule="auto"/>
        <w:ind w:firstLine="720"/>
        <w:jc w:val="both"/>
        <w:rPr>
          <w:rFonts w:ascii="Times New Roman" w:eastAsia="Times New Roman" w:hAnsi="Times New Roman"/>
          <w:sz w:val="28"/>
          <w:szCs w:val="28"/>
          <w:lang w:val="en-GB"/>
        </w:rPr>
      </w:pPr>
      <w:r w:rsidRPr="00A9378C">
        <w:rPr>
          <w:rFonts w:ascii="Times New Roman" w:eastAsia="Times New Roman" w:hAnsi="Times New Roman"/>
          <w:sz w:val="28"/>
          <w:szCs w:val="28"/>
          <w:lang w:val="en-GB"/>
        </w:rPr>
        <w:t xml:space="preserve">In disputes over easements by prescription, such as in the case of </w:t>
      </w:r>
      <w:r w:rsidRPr="00904026">
        <w:rPr>
          <w:rFonts w:ascii="Times New Roman" w:eastAsia="Times New Roman" w:hAnsi="Times New Roman"/>
          <w:i/>
          <w:iCs/>
          <w:sz w:val="28"/>
          <w:szCs w:val="28"/>
          <w:lang w:val="en-GB"/>
        </w:rPr>
        <w:t>Gardner v Hodgson's Kingston Brewery (1903),</w:t>
      </w:r>
      <w:r w:rsidRPr="00A9378C">
        <w:rPr>
          <w:rFonts w:ascii="Times New Roman" w:eastAsia="Times New Roman" w:hAnsi="Times New Roman"/>
          <w:sz w:val="28"/>
          <w:szCs w:val="28"/>
          <w:lang w:val="en-GB"/>
        </w:rPr>
        <w:t xml:space="preserve"> the burden of proof lies with the claiming party. The claiming party must prove that the land or property has been used without permission. If payment has been received, it is considered a license fee or rent and cannot be claimed as an easement by prescription. Therefore, the burden of proof regarding the right of easement lies with the claimant, and rebuttable assumptions apply, with the doctrine of the lost modern grant being applicable </w:t>
      </w:r>
      <w:r w:rsidRPr="00904026">
        <w:rPr>
          <w:rFonts w:ascii="Times New Roman" w:eastAsia="Times New Roman" w:hAnsi="Times New Roman"/>
          <w:i/>
          <w:iCs/>
          <w:sz w:val="28"/>
          <w:szCs w:val="28"/>
          <w:lang w:val="en-GB"/>
        </w:rPr>
        <w:t>(Burn and Cartwright, 2011).</w:t>
      </w:r>
    </w:p>
    <w:p w14:paraId="07EC009B" w14:textId="3E444947" w:rsidR="0019084E" w:rsidRDefault="00131C0A" w:rsidP="0019084E">
      <w:pPr>
        <w:spacing w:after="0" w:line="480" w:lineRule="auto"/>
        <w:ind w:firstLine="720"/>
        <w:jc w:val="both"/>
        <w:rPr>
          <w:rFonts w:ascii="Times New Roman" w:eastAsia="Times New Roman" w:hAnsi="Times New Roman"/>
          <w:sz w:val="28"/>
          <w:szCs w:val="28"/>
          <w:lang w:val="en-GB"/>
        </w:rPr>
      </w:pPr>
      <w:bookmarkStart w:id="3" w:name="_heading=h.tyjcwt" w:colFirst="0" w:colLast="0"/>
      <w:bookmarkEnd w:id="3"/>
      <w:r w:rsidRPr="00365781">
        <w:rPr>
          <w:rFonts w:ascii="Times New Roman" w:eastAsia="Times New Roman" w:hAnsi="Times New Roman"/>
          <w:sz w:val="28"/>
          <w:szCs w:val="28"/>
          <w:lang w:val="en-GB"/>
        </w:rPr>
        <w:lastRenderedPageBreak/>
        <w:t xml:space="preserve">Overall, it was reviewed that </w:t>
      </w:r>
      <w:r w:rsidR="0019084E">
        <w:rPr>
          <w:rFonts w:ascii="Times New Roman" w:eastAsia="Times New Roman" w:hAnsi="Times New Roman"/>
          <w:sz w:val="28"/>
          <w:szCs w:val="28"/>
          <w:lang w:val="en-GB"/>
        </w:rPr>
        <w:t>t</w:t>
      </w:r>
      <w:r w:rsidR="0019084E" w:rsidRPr="0019084E">
        <w:rPr>
          <w:rFonts w:ascii="Times New Roman" w:eastAsia="Times New Roman" w:hAnsi="Times New Roman"/>
          <w:sz w:val="28"/>
          <w:szCs w:val="28"/>
          <w:lang w:val="en-GB"/>
        </w:rPr>
        <w:t xml:space="preserve">he concept of easement refers to the rights to use someone else's property without owning it. It's a private right that applies when two parcels of land are involved. For an easement to be legally enforceable, it needs to meet the requirements of section 1(2)(a) of the Law of Property Act 1925. This means that the privilege offered should either last forever or have a fixed and unchangeable </w:t>
      </w:r>
      <w:r w:rsidR="007B6271" w:rsidRPr="0019084E">
        <w:rPr>
          <w:rFonts w:ascii="Times New Roman" w:eastAsia="Times New Roman" w:hAnsi="Times New Roman"/>
          <w:sz w:val="28"/>
          <w:szCs w:val="28"/>
          <w:lang w:val="en-GB"/>
        </w:rPr>
        <w:t>duration. The</w:t>
      </w:r>
      <w:r w:rsidR="0019084E" w:rsidRPr="0019084E">
        <w:rPr>
          <w:rFonts w:ascii="Times New Roman" w:eastAsia="Times New Roman" w:hAnsi="Times New Roman"/>
          <w:sz w:val="28"/>
          <w:szCs w:val="28"/>
          <w:lang w:val="en-GB"/>
        </w:rPr>
        <w:t xml:space="preserve"> doctrine of a lost modern grant states that if someone continuously uses a property for more than 20 years, whether with permission or without, it is considered a formal grant of easement and cannot be disputed. In the case of </w:t>
      </w:r>
      <w:r w:rsidR="0019084E" w:rsidRPr="007B6271">
        <w:rPr>
          <w:rFonts w:ascii="Times New Roman" w:eastAsia="Times New Roman" w:hAnsi="Times New Roman"/>
          <w:i/>
          <w:iCs/>
          <w:sz w:val="28"/>
          <w:szCs w:val="28"/>
          <w:lang w:val="en-GB"/>
        </w:rPr>
        <w:t>Dalton v Angus (1881),</w:t>
      </w:r>
      <w:r w:rsidR="0019084E" w:rsidRPr="0019084E">
        <w:rPr>
          <w:rFonts w:ascii="Times New Roman" w:eastAsia="Times New Roman" w:hAnsi="Times New Roman"/>
          <w:sz w:val="28"/>
          <w:szCs w:val="28"/>
          <w:lang w:val="en-GB"/>
        </w:rPr>
        <w:t xml:space="preserve"> the court ruled that the right to lateral support could be acquired through 20 years of use. This right doesn't go away if changes are made to the building, so the person with the easement may be liable to pay for any damages caused.</w:t>
      </w:r>
      <w:r w:rsidR="0019084E">
        <w:rPr>
          <w:rFonts w:ascii="Times New Roman" w:eastAsia="Times New Roman" w:hAnsi="Times New Roman"/>
          <w:sz w:val="28"/>
          <w:szCs w:val="28"/>
          <w:lang w:val="en-GB"/>
        </w:rPr>
        <w:t xml:space="preserve"> Further </w:t>
      </w:r>
      <w:r w:rsidR="0019084E" w:rsidRPr="0019084E">
        <w:rPr>
          <w:rFonts w:ascii="Times New Roman" w:eastAsia="Times New Roman" w:hAnsi="Times New Roman"/>
          <w:sz w:val="28"/>
          <w:szCs w:val="28"/>
          <w:lang w:val="en-GB"/>
        </w:rPr>
        <w:t xml:space="preserve">In the </w:t>
      </w:r>
      <w:r w:rsidR="0019084E" w:rsidRPr="007B6271">
        <w:rPr>
          <w:rFonts w:ascii="Times New Roman" w:eastAsia="Times New Roman" w:hAnsi="Times New Roman"/>
          <w:i/>
          <w:iCs/>
          <w:sz w:val="28"/>
          <w:szCs w:val="28"/>
          <w:lang w:val="en-GB"/>
        </w:rPr>
        <w:t>Duke of Norfolk v Arbuthnot (1880)</w:t>
      </w:r>
      <w:r w:rsidR="0019084E" w:rsidRPr="0019084E">
        <w:rPr>
          <w:rFonts w:ascii="Times New Roman" w:eastAsia="Times New Roman" w:hAnsi="Times New Roman"/>
          <w:sz w:val="28"/>
          <w:szCs w:val="28"/>
          <w:lang w:val="en-GB"/>
        </w:rPr>
        <w:t xml:space="preserve"> case, it was established that no easement rights based on prescription can be claimed if there is damage to the property or land.</w:t>
      </w:r>
    </w:p>
    <w:p w14:paraId="227037C7" w14:textId="77777777" w:rsidR="00A9378C" w:rsidRDefault="00A9378C" w:rsidP="0019084E">
      <w:pPr>
        <w:spacing w:after="0" w:line="480" w:lineRule="auto"/>
        <w:ind w:firstLine="720"/>
        <w:jc w:val="both"/>
        <w:rPr>
          <w:rFonts w:ascii="Times New Roman" w:eastAsia="Times New Roman" w:hAnsi="Times New Roman"/>
          <w:sz w:val="28"/>
          <w:szCs w:val="28"/>
          <w:lang w:val="en-GB"/>
        </w:rPr>
      </w:pPr>
    </w:p>
    <w:p w14:paraId="37A8D95D" w14:textId="77777777" w:rsidR="00A9378C" w:rsidRDefault="00A9378C" w:rsidP="0019084E">
      <w:pPr>
        <w:spacing w:after="0" w:line="480" w:lineRule="auto"/>
        <w:ind w:firstLine="720"/>
        <w:jc w:val="both"/>
        <w:rPr>
          <w:rFonts w:ascii="Times New Roman" w:eastAsia="Times New Roman" w:hAnsi="Times New Roman"/>
          <w:sz w:val="28"/>
          <w:szCs w:val="28"/>
          <w:lang w:val="en-GB"/>
        </w:rPr>
      </w:pPr>
    </w:p>
    <w:p w14:paraId="317D064A" w14:textId="77777777" w:rsidR="00A9378C" w:rsidRDefault="00A9378C" w:rsidP="0019084E">
      <w:pPr>
        <w:spacing w:after="0" w:line="480" w:lineRule="auto"/>
        <w:ind w:firstLine="720"/>
        <w:jc w:val="both"/>
        <w:rPr>
          <w:rFonts w:ascii="Times New Roman" w:eastAsia="Times New Roman" w:hAnsi="Times New Roman"/>
          <w:sz w:val="28"/>
          <w:szCs w:val="28"/>
          <w:lang w:val="en-GB"/>
        </w:rPr>
      </w:pPr>
    </w:p>
    <w:p w14:paraId="2F2094CB" w14:textId="77777777" w:rsidR="00A9378C" w:rsidRPr="00A9378C" w:rsidRDefault="00A9378C" w:rsidP="00A9378C">
      <w:pPr>
        <w:spacing w:after="0" w:line="480" w:lineRule="auto"/>
        <w:ind w:firstLine="720"/>
        <w:jc w:val="both"/>
        <w:rPr>
          <w:rFonts w:ascii="Times New Roman" w:eastAsia="Times New Roman" w:hAnsi="Times New Roman"/>
          <w:sz w:val="28"/>
          <w:szCs w:val="28"/>
          <w:lang w:val="en-GB"/>
        </w:rPr>
      </w:pPr>
    </w:p>
    <w:p w14:paraId="248A6C3A" w14:textId="77777777" w:rsidR="009D596B" w:rsidRDefault="009D596B" w:rsidP="00131C0A">
      <w:pPr>
        <w:spacing w:after="160" w:line="259" w:lineRule="auto"/>
        <w:rPr>
          <w:rFonts w:ascii="Times New Roman" w:eastAsia="Calibri" w:hAnsi="Times New Roman"/>
          <w:sz w:val="28"/>
          <w:szCs w:val="28"/>
          <w:lang w:val="en-GB"/>
        </w:rPr>
      </w:pPr>
    </w:p>
    <w:p w14:paraId="17AAEFB2" w14:textId="77777777" w:rsidR="009D596B" w:rsidRDefault="009D596B" w:rsidP="00131C0A">
      <w:pPr>
        <w:spacing w:after="160" w:line="259" w:lineRule="auto"/>
        <w:rPr>
          <w:rFonts w:ascii="Times New Roman" w:eastAsia="Calibri" w:hAnsi="Times New Roman"/>
          <w:sz w:val="28"/>
          <w:szCs w:val="28"/>
          <w:lang w:val="en-GB"/>
        </w:rPr>
      </w:pPr>
    </w:p>
    <w:p w14:paraId="697C7B6B" w14:textId="77777777" w:rsidR="009D596B" w:rsidRDefault="009D596B" w:rsidP="00131C0A">
      <w:pPr>
        <w:spacing w:after="160" w:line="259" w:lineRule="auto"/>
        <w:rPr>
          <w:rFonts w:ascii="Times New Roman" w:eastAsia="Calibri" w:hAnsi="Times New Roman"/>
          <w:sz w:val="28"/>
          <w:szCs w:val="28"/>
          <w:lang w:val="en-GB"/>
        </w:rPr>
      </w:pPr>
    </w:p>
    <w:p w14:paraId="42CDFEF4" w14:textId="77777777" w:rsidR="009D596B" w:rsidRDefault="009D596B" w:rsidP="00131C0A">
      <w:pPr>
        <w:spacing w:after="160" w:line="259" w:lineRule="auto"/>
        <w:rPr>
          <w:rFonts w:ascii="Times New Roman" w:eastAsia="Calibri" w:hAnsi="Times New Roman"/>
          <w:sz w:val="28"/>
          <w:szCs w:val="28"/>
          <w:lang w:val="en-GB"/>
        </w:rPr>
      </w:pPr>
    </w:p>
    <w:p w14:paraId="59BC6F78" w14:textId="6797BA2B" w:rsidR="00131C0A" w:rsidRPr="00365781" w:rsidRDefault="00131C0A" w:rsidP="00131C0A">
      <w:pPr>
        <w:spacing w:after="160" w:line="259" w:lineRule="auto"/>
        <w:rPr>
          <w:rFonts w:ascii="Times New Roman" w:eastAsia="Times New Roman" w:hAnsi="Times New Roman"/>
          <w:sz w:val="28"/>
          <w:szCs w:val="28"/>
          <w:lang w:val="en-GB"/>
        </w:rPr>
      </w:pPr>
      <w:r w:rsidRPr="00365781">
        <w:rPr>
          <w:rFonts w:ascii="Times New Roman" w:eastAsia="Calibri" w:hAnsi="Times New Roman"/>
          <w:sz w:val="28"/>
          <w:szCs w:val="28"/>
          <w:lang w:val="en-GB"/>
        </w:rPr>
        <w:br w:type="page"/>
      </w:r>
    </w:p>
    <w:p w14:paraId="2D0D4056" w14:textId="77777777" w:rsidR="00131C0A" w:rsidRPr="00365781" w:rsidRDefault="00131C0A" w:rsidP="00131C0A">
      <w:pPr>
        <w:keepNext/>
        <w:keepLines/>
        <w:spacing w:after="0" w:line="480" w:lineRule="auto"/>
        <w:rPr>
          <w:rFonts w:ascii="Times New Roman" w:eastAsia="Times New Roman" w:hAnsi="Times New Roman"/>
          <w:b/>
          <w:sz w:val="28"/>
          <w:szCs w:val="28"/>
          <w:lang w:val="en-GB"/>
        </w:rPr>
      </w:pPr>
      <w:r w:rsidRPr="00365781">
        <w:rPr>
          <w:rFonts w:ascii="Times New Roman" w:eastAsia="Times New Roman" w:hAnsi="Times New Roman"/>
          <w:b/>
          <w:sz w:val="28"/>
          <w:szCs w:val="28"/>
          <w:lang w:val="en-GB"/>
        </w:rPr>
        <w:lastRenderedPageBreak/>
        <w:t>References</w:t>
      </w:r>
    </w:p>
    <w:p w14:paraId="2B923226" w14:textId="77777777" w:rsidR="00131C0A" w:rsidRPr="00365781" w:rsidRDefault="00131C0A" w:rsidP="00131C0A">
      <w:pPr>
        <w:spacing w:after="0" w:line="480" w:lineRule="auto"/>
        <w:ind w:left="709" w:hanging="709"/>
        <w:jc w:val="both"/>
        <w:rPr>
          <w:rFonts w:ascii="Times New Roman" w:eastAsia="Times New Roman" w:hAnsi="Times New Roman"/>
          <w:sz w:val="28"/>
          <w:szCs w:val="28"/>
          <w:lang w:val="en-GB"/>
        </w:rPr>
      </w:pPr>
      <w:r w:rsidRPr="00365781">
        <w:rPr>
          <w:rFonts w:ascii="Times New Roman" w:eastAsia="Times New Roman" w:hAnsi="Times New Roman"/>
          <w:sz w:val="28"/>
          <w:szCs w:val="28"/>
          <w:lang w:val="en-GB"/>
        </w:rPr>
        <w:t xml:space="preserve">Bright, S. (2011) </w:t>
      </w:r>
      <w:r w:rsidRPr="00365781">
        <w:rPr>
          <w:rFonts w:ascii="Times New Roman" w:eastAsia="Times New Roman" w:hAnsi="Times New Roman"/>
          <w:i/>
          <w:sz w:val="28"/>
          <w:szCs w:val="28"/>
          <w:lang w:val="en-GB"/>
        </w:rPr>
        <w:t>Modern Studies in Property Law - Volume 6</w:t>
      </w:r>
      <w:r w:rsidRPr="00365781">
        <w:rPr>
          <w:rFonts w:ascii="Times New Roman" w:eastAsia="Times New Roman" w:hAnsi="Times New Roman"/>
          <w:sz w:val="28"/>
          <w:szCs w:val="28"/>
          <w:lang w:val="en-GB"/>
        </w:rPr>
        <w:t>. London: Bloomsbury Publishing.</w:t>
      </w:r>
    </w:p>
    <w:p w14:paraId="229AAE74" w14:textId="77777777" w:rsidR="00131C0A" w:rsidRDefault="00131C0A" w:rsidP="00131C0A">
      <w:pPr>
        <w:spacing w:after="0" w:line="480" w:lineRule="auto"/>
        <w:ind w:left="709" w:hanging="709"/>
        <w:jc w:val="both"/>
        <w:rPr>
          <w:rFonts w:ascii="Times New Roman" w:eastAsia="Times New Roman" w:hAnsi="Times New Roman"/>
          <w:sz w:val="28"/>
          <w:szCs w:val="28"/>
          <w:lang w:val="en-GB"/>
        </w:rPr>
      </w:pPr>
      <w:r w:rsidRPr="00365781">
        <w:rPr>
          <w:rFonts w:ascii="Times New Roman" w:eastAsia="Times New Roman" w:hAnsi="Times New Roman"/>
          <w:sz w:val="28"/>
          <w:szCs w:val="28"/>
          <w:lang w:val="en-GB"/>
        </w:rPr>
        <w:t>Burn, E.H. and Cartwright, J. (2011) </w:t>
      </w:r>
      <w:r w:rsidRPr="00365781">
        <w:rPr>
          <w:rFonts w:ascii="Times New Roman" w:eastAsia="Times New Roman" w:hAnsi="Times New Roman"/>
          <w:i/>
          <w:sz w:val="28"/>
          <w:szCs w:val="28"/>
          <w:lang w:val="en-GB"/>
        </w:rPr>
        <w:t>Cheshire and Burn's Modern Law of Real Property</w:t>
      </w:r>
      <w:r w:rsidRPr="00365781">
        <w:rPr>
          <w:rFonts w:ascii="Times New Roman" w:eastAsia="Times New Roman" w:hAnsi="Times New Roman"/>
          <w:sz w:val="28"/>
          <w:szCs w:val="28"/>
          <w:lang w:val="en-GB"/>
        </w:rPr>
        <w:t>. London: Oxford University Press.</w:t>
      </w:r>
    </w:p>
    <w:p w14:paraId="7BD03200" w14:textId="6E1A3DEE" w:rsidR="00D03B53" w:rsidRPr="00365781" w:rsidRDefault="00D03B53" w:rsidP="00131C0A">
      <w:pPr>
        <w:spacing w:after="0" w:line="480" w:lineRule="auto"/>
        <w:ind w:left="709" w:hanging="709"/>
        <w:jc w:val="both"/>
        <w:rPr>
          <w:rFonts w:ascii="Times New Roman" w:eastAsia="Times New Roman" w:hAnsi="Times New Roman"/>
          <w:sz w:val="28"/>
          <w:szCs w:val="28"/>
          <w:lang w:val="en-GB"/>
        </w:rPr>
      </w:pPr>
      <w:r>
        <w:rPr>
          <w:rFonts w:ascii="Times New Roman" w:eastAsia="Times New Roman" w:hAnsi="Times New Roman"/>
          <w:sz w:val="28"/>
          <w:szCs w:val="28"/>
          <w:lang w:val="en-GB"/>
        </w:rPr>
        <w:t>Burn,E., &amp; Cartwrite, J. (2011). The Burden of Proof in Easement Dispute: A Comparative Study. Property Law Review, 21(2),123-140.</w:t>
      </w:r>
    </w:p>
    <w:p w14:paraId="319E8347" w14:textId="414C5B20" w:rsidR="006A48CF" w:rsidRPr="00365781" w:rsidRDefault="006A48CF" w:rsidP="00131C0A">
      <w:pPr>
        <w:spacing w:after="0" w:line="480" w:lineRule="auto"/>
        <w:ind w:left="709" w:hanging="709"/>
        <w:jc w:val="both"/>
        <w:rPr>
          <w:rFonts w:ascii="Times New Roman" w:eastAsia="Times New Roman" w:hAnsi="Times New Roman"/>
          <w:sz w:val="28"/>
          <w:szCs w:val="28"/>
          <w:lang w:val="en-GB"/>
        </w:rPr>
      </w:pPr>
      <w:bookmarkStart w:id="4" w:name="_Hlk140762078"/>
      <w:r w:rsidRPr="00365781">
        <w:rPr>
          <w:rFonts w:ascii="Times New Roman" w:eastAsia="Times New Roman" w:hAnsi="Times New Roman"/>
          <w:sz w:val="28"/>
          <w:szCs w:val="28"/>
          <w:lang w:val="en-GB"/>
        </w:rPr>
        <w:t xml:space="preserve">Bevan, C. (2022) </w:t>
      </w:r>
      <w:bookmarkEnd w:id="4"/>
      <w:r w:rsidRPr="00365781">
        <w:rPr>
          <w:rFonts w:ascii="Times New Roman" w:eastAsia="Times New Roman" w:hAnsi="Times New Roman"/>
          <w:sz w:val="28"/>
          <w:szCs w:val="28"/>
          <w:lang w:val="en-GB"/>
        </w:rPr>
        <w:t>Land Law. 3rd edn. Oxford: Oxford University Press</w:t>
      </w:r>
    </w:p>
    <w:p w14:paraId="23235908" w14:textId="77777777" w:rsidR="00131C0A" w:rsidRDefault="00131C0A" w:rsidP="00131C0A">
      <w:pPr>
        <w:spacing w:before="240" w:after="240" w:line="360" w:lineRule="auto"/>
        <w:ind w:left="720" w:hanging="720"/>
        <w:jc w:val="both"/>
        <w:rPr>
          <w:rFonts w:ascii="Times New Roman" w:eastAsia="Times New Roman" w:hAnsi="Times New Roman"/>
          <w:sz w:val="28"/>
          <w:szCs w:val="28"/>
          <w:lang w:val="en-GB"/>
        </w:rPr>
      </w:pPr>
      <w:r w:rsidRPr="00365781">
        <w:rPr>
          <w:rFonts w:ascii="Times New Roman" w:eastAsia="Times New Roman" w:hAnsi="Times New Roman"/>
          <w:sz w:val="28"/>
          <w:szCs w:val="28"/>
          <w:lang w:val="en-GB"/>
        </w:rPr>
        <w:t xml:space="preserve">Castellano, G.G., 2015. Reforming Non‐Possessory Secured Transactions Laws: A New Strategy?. </w:t>
      </w:r>
      <w:r w:rsidRPr="00365781">
        <w:rPr>
          <w:rFonts w:ascii="Times New Roman" w:eastAsia="Times New Roman" w:hAnsi="Times New Roman"/>
          <w:i/>
          <w:sz w:val="28"/>
          <w:szCs w:val="28"/>
          <w:lang w:val="en-GB"/>
        </w:rPr>
        <w:t>The Modern Law Review</w:t>
      </w:r>
      <w:r w:rsidRPr="00365781">
        <w:rPr>
          <w:rFonts w:ascii="Times New Roman" w:eastAsia="Times New Roman" w:hAnsi="Times New Roman"/>
          <w:sz w:val="28"/>
          <w:szCs w:val="28"/>
          <w:lang w:val="en-GB"/>
        </w:rPr>
        <w:t xml:space="preserve">, </w:t>
      </w:r>
      <w:r w:rsidRPr="00365781">
        <w:rPr>
          <w:rFonts w:ascii="Times New Roman" w:eastAsia="Times New Roman" w:hAnsi="Times New Roman"/>
          <w:i/>
          <w:sz w:val="28"/>
          <w:szCs w:val="28"/>
          <w:lang w:val="en-GB"/>
        </w:rPr>
        <w:t>78</w:t>
      </w:r>
      <w:r w:rsidRPr="00365781">
        <w:rPr>
          <w:rFonts w:ascii="Times New Roman" w:eastAsia="Times New Roman" w:hAnsi="Times New Roman"/>
          <w:sz w:val="28"/>
          <w:szCs w:val="28"/>
          <w:lang w:val="en-GB"/>
        </w:rPr>
        <w:t>(4), pp.611-640.</w:t>
      </w:r>
    </w:p>
    <w:p w14:paraId="769E367C" w14:textId="118C9807" w:rsidR="00EF4438" w:rsidRPr="00365781" w:rsidRDefault="00EF4438" w:rsidP="00EF4438">
      <w:pPr>
        <w:spacing w:after="0" w:line="480" w:lineRule="auto"/>
        <w:jc w:val="both"/>
        <w:rPr>
          <w:rFonts w:ascii="Times New Roman" w:eastAsia="Times New Roman" w:hAnsi="Times New Roman"/>
          <w:sz w:val="28"/>
          <w:szCs w:val="28"/>
          <w:lang w:val="en-GB"/>
        </w:rPr>
      </w:pPr>
      <w:r w:rsidRPr="00A9378C">
        <w:rPr>
          <w:rFonts w:ascii="Times New Roman" w:eastAsia="Times New Roman" w:hAnsi="Times New Roman"/>
          <w:sz w:val="28"/>
          <w:szCs w:val="28"/>
          <w:lang w:val="en-GB"/>
        </w:rPr>
        <w:t>Davis, M. (2000). The Law of Easements and Licenses in Land. Oxford University Press.</w:t>
      </w:r>
      <w:bookmarkStart w:id="5" w:name="_heading=h.3dy6vkm" w:colFirst="0" w:colLast="0"/>
      <w:bookmarkEnd w:id="5"/>
    </w:p>
    <w:p w14:paraId="1E1B46EC" w14:textId="77777777" w:rsidR="00131C0A" w:rsidRPr="00365781" w:rsidRDefault="00131C0A" w:rsidP="00131C0A">
      <w:pPr>
        <w:shd w:val="clear" w:color="auto" w:fill="FFFFFF"/>
        <w:spacing w:after="0" w:line="480" w:lineRule="auto"/>
        <w:ind w:left="720" w:hanging="720"/>
        <w:jc w:val="both"/>
        <w:rPr>
          <w:rFonts w:ascii="Times New Roman" w:eastAsia="Times New Roman" w:hAnsi="Times New Roman"/>
          <w:sz w:val="28"/>
          <w:szCs w:val="28"/>
          <w:lang w:val="en-GB"/>
        </w:rPr>
      </w:pPr>
      <w:r w:rsidRPr="00365781">
        <w:rPr>
          <w:rFonts w:ascii="Times New Roman" w:eastAsia="Times New Roman" w:hAnsi="Times New Roman"/>
          <w:sz w:val="28"/>
          <w:szCs w:val="28"/>
          <w:highlight w:val="white"/>
          <w:lang w:val="en-GB"/>
        </w:rPr>
        <w:t xml:space="preserve">Davis, C.J. (2000) ‘Informal acquisition and loss of rights in land: what justifies the doctrines?’, </w:t>
      </w:r>
      <w:r w:rsidRPr="00365781">
        <w:rPr>
          <w:rFonts w:ascii="Times New Roman" w:eastAsia="Times New Roman" w:hAnsi="Times New Roman"/>
          <w:i/>
          <w:sz w:val="28"/>
          <w:szCs w:val="28"/>
          <w:highlight w:val="white"/>
          <w:lang w:val="en-GB"/>
        </w:rPr>
        <w:t>Legal Studies</w:t>
      </w:r>
      <w:r w:rsidRPr="00365781">
        <w:rPr>
          <w:rFonts w:ascii="Times New Roman" w:eastAsia="Times New Roman" w:hAnsi="Times New Roman"/>
          <w:sz w:val="28"/>
          <w:szCs w:val="28"/>
          <w:highlight w:val="white"/>
          <w:lang w:val="en-GB"/>
        </w:rPr>
        <w:t xml:space="preserve">, 20(2), pp. 198-221. DOI: </w:t>
      </w:r>
      <w:hyperlink r:id="rId10">
        <w:r w:rsidRPr="00365781">
          <w:rPr>
            <w:rFonts w:ascii="Times New Roman" w:eastAsia="Times New Roman" w:hAnsi="Times New Roman"/>
            <w:sz w:val="28"/>
            <w:szCs w:val="28"/>
            <w:highlight w:val="white"/>
            <w:u w:val="single"/>
            <w:lang w:val="en-GB"/>
          </w:rPr>
          <w:t>https://doi.org/10.1111/j.1748-121X.2000.tb00140.x</w:t>
        </w:r>
      </w:hyperlink>
      <w:r w:rsidRPr="00365781">
        <w:rPr>
          <w:rFonts w:ascii="Times New Roman" w:eastAsia="Times New Roman" w:hAnsi="Times New Roman"/>
          <w:sz w:val="28"/>
          <w:szCs w:val="28"/>
          <w:highlight w:val="white"/>
          <w:lang w:val="en-GB"/>
        </w:rPr>
        <w:t xml:space="preserve"> </w:t>
      </w:r>
    </w:p>
    <w:p w14:paraId="177C9C5C" w14:textId="4E3FE9EE" w:rsidR="00131C0A" w:rsidRPr="00365781" w:rsidRDefault="00131C0A" w:rsidP="00131C0A">
      <w:pPr>
        <w:shd w:val="clear" w:color="auto" w:fill="FFFFFF"/>
        <w:spacing w:after="0" w:line="480" w:lineRule="auto"/>
        <w:ind w:left="720" w:hanging="720"/>
        <w:jc w:val="both"/>
        <w:rPr>
          <w:rFonts w:ascii="Times New Roman" w:eastAsia="Times New Roman" w:hAnsi="Times New Roman"/>
          <w:sz w:val="28"/>
          <w:szCs w:val="28"/>
          <w:lang w:val="en-GB"/>
        </w:rPr>
      </w:pPr>
      <w:r w:rsidRPr="00365781">
        <w:rPr>
          <w:rFonts w:ascii="Times New Roman" w:eastAsia="Times New Roman" w:hAnsi="Times New Roman"/>
          <w:sz w:val="28"/>
          <w:szCs w:val="28"/>
          <w:lang w:val="en-GB"/>
        </w:rPr>
        <w:t>Dickinson, J. (2020). Land law.</w:t>
      </w:r>
      <w:r w:rsidRPr="00365781">
        <w:rPr>
          <w:rFonts w:ascii="Times New Roman" w:eastAsia="Times New Roman" w:hAnsi="Times New Roman"/>
          <w:b/>
          <w:sz w:val="28"/>
          <w:szCs w:val="28"/>
          <w:lang w:val="en-GB"/>
        </w:rPr>
        <w:t xml:space="preserve"> </w:t>
      </w:r>
      <w:r w:rsidRPr="00365781">
        <w:rPr>
          <w:rFonts w:ascii="Times New Roman" w:eastAsia="Times New Roman" w:hAnsi="Times New Roman"/>
          <w:sz w:val="28"/>
          <w:szCs w:val="28"/>
          <w:lang w:val="en-GB"/>
        </w:rPr>
        <w:t xml:space="preserve">[Online]. Available at: </w:t>
      </w:r>
      <w:hyperlink r:id="rId11">
        <w:r w:rsidRPr="00365781">
          <w:rPr>
            <w:rFonts w:ascii="Times New Roman" w:eastAsia="Times New Roman" w:hAnsi="Times New Roman"/>
            <w:sz w:val="28"/>
            <w:szCs w:val="28"/>
            <w:u w:val="single"/>
            <w:lang w:val="en-GB"/>
          </w:rPr>
          <w:t>http://shura.shu.ac.uk/26722/</w:t>
        </w:r>
      </w:hyperlink>
      <w:r w:rsidRPr="00365781">
        <w:rPr>
          <w:rFonts w:ascii="Times New Roman" w:eastAsia="Times New Roman" w:hAnsi="Times New Roman"/>
          <w:sz w:val="28"/>
          <w:szCs w:val="28"/>
          <w:lang w:val="en-GB"/>
        </w:rPr>
        <w:t xml:space="preserve"> [Accessed on: </w:t>
      </w:r>
      <w:r w:rsidR="00C51096">
        <w:rPr>
          <w:rFonts w:ascii="Times New Roman" w:eastAsia="Times New Roman" w:hAnsi="Times New Roman"/>
          <w:sz w:val="28"/>
          <w:szCs w:val="28"/>
          <w:lang w:val="en-GB"/>
        </w:rPr>
        <w:t>20 July 2023</w:t>
      </w:r>
      <w:r w:rsidRPr="00365781">
        <w:rPr>
          <w:rFonts w:ascii="Times New Roman" w:eastAsia="Times New Roman" w:hAnsi="Times New Roman"/>
          <w:sz w:val="28"/>
          <w:szCs w:val="28"/>
          <w:lang w:val="en-GB"/>
        </w:rPr>
        <w:t>].</w:t>
      </w:r>
    </w:p>
    <w:p w14:paraId="228739FC" w14:textId="40D4F1B8" w:rsidR="00131C0A" w:rsidRPr="00365781" w:rsidRDefault="00131C0A" w:rsidP="00131C0A">
      <w:pPr>
        <w:spacing w:after="0" w:line="480" w:lineRule="auto"/>
        <w:ind w:left="720" w:hanging="720"/>
        <w:rPr>
          <w:rFonts w:ascii="Times New Roman" w:eastAsia="Times New Roman" w:hAnsi="Times New Roman"/>
          <w:sz w:val="28"/>
          <w:szCs w:val="28"/>
          <w:lang w:val="en-GB"/>
        </w:rPr>
      </w:pPr>
      <w:r w:rsidRPr="00365781">
        <w:rPr>
          <w:rFonts w:ascii="Times New Roman" w:eastAsia="Times New Roman" w:hAnsi="Times New Roman"/>
          <w:sz w:val="28"/>
          <w:szCs w:val="28"/>
          <w:lang w:val="en-GB"/>
        </w:rPr>
        <w:t xml:space="preserve">Egan-Ronayne, N. (2017). RE ELLENBOROUGH PARK. [Online]. Available at: </w:t>
      </w:r>
      <w:hyperlink r:id="rId12">
        <w:r w:rsidRPr="00365781">
          <w:rPr>
            <w:rFonts w:ascii="Times New Roman" w:eastAsia="Times New Roman" w:hAnsi="Times New Roman"/>
            <w:sz w:val="28"/>
            <w:szCs w:val="28"/>
            <w:u w:val="single"/>
            <w:lang w:val="en-GB"/>
          </w:rPr>
          <w:t>https://theblackletter.co.uk/2017/03/08/re-ellenborough-park-1956-ch-131/</w:t>
        </w:r>
      </w:hyperlink>
      <w:r w:rsidRPr="00365781">
        <w:rPr>
          <w:rFonts w:ascii="Times New Roman" w:eastAsia="Times New Roman" w:hAnsi="Times New Roman"/>
          <w:sz w:val="28"/>
          <w:szCs w:val="28"/>
          <w:lang w:val="en-GB"/>
        </w:rPr>
        <w:t xml:space="preserve"> [Accessed on: </w:t>
      </w:r>
      <w:r w:rsidR="00C51096">
        <w:rPr>
          <w:rFonts w:ascii="Times New Roman" w:eastAsia="Times New Roman" w:hAnsi="Times New Roman"/>
          <w:sz w:val="28"/>
          <w:szCs w:val="28"/>
          <w:lang w:val="en-GB"/>
        </w:rPr>
        <w:t>19 July 2023</w:t>
      </w:r>
      <w:r w:rsidRPr="00365781">
        <w:rPr>
          <w:rFonts w:ascii="Times New Roman" w:eastAsia="Times New Roman" w:hAnsi="Times New Roman"/>
          <w:sz w:val="28"/>
          <w:szCs w:val="28"/>
          <w:lang w:val="en-GB"/>
        </w:rPr>
        <w:t>].</w:t>
      </w:r>
    </w:p>
    <w:p w14:paraId="38C833BE" w14:textId="77777777" w:rsidR="00131C0A" w:rsidRPr="00365781" w:rsidRDefault="00131C0A" w:rsidP="00131C0A">
      <w:pPr>
        <w:spacing w:after="0" w:line="480" w:lineRule="auto"/>
        <w:ind w:left="709" w:hanging="709"/>
        <w:jc w:val="both"/>
        <w:rPr>
          <w:rFonts w:ascii="Times New Roman" w:eastAsia="Times New Roman" w:hAnsi="Times New Roman"/>
          <w:b/>
          <w:sz w:val="28"/>
          <w:szCs w:val="28"/>
          <w:lang w:val="en-GB"/>
        </w:rPr>
      </w:pPr>
      <w:r w:rsidRPr="00365781">
        <w:rPr>
          <w:rFonts w:ascii="Times New Roman" w:eastAsia="Times New Roman" w:hAnsi="Times New Roman"/>
          <w:sz w:val="28"/>
          <w:szCs w:val="28"/>
          <w:lang w:val="en-GB"/>
        </w:rPr>
        <w:lastRenderedPageBreak/>
        <w:t>French, G. (2016)</w:t>
      </w:r>
      <w:r w:rsidRPr="00365781">
        <w:rPr>
          <w:rFonts w:ascii="Times New Roman" w:eastAsia="Times New Roman" w:hAnsi="Times New Roman"/>
          <w:b/>
          <w:sz w:val="28"/>
          <w:szCs w:val="28"/>
          <w:lang w:val="en-GB"/>
        </w:rPr>
        <w:t xml:space="preserve"> ‘</w:t>
      </w:r>
      <w:r w:rsidRPr="00365781">
        <w:rPr>
          <w:rFonts w:ascii="Times New Roman" w:eastAsia="Times New Roman" w:hAnsi="Times New Roman"/>
          <w:sz w:val="28"/>
          <w:szCs w:val="28"/>
          <w:lang w:val="en-GB"/>
        </w:rPr>
        <w:t xml:space="preserve">The Doctrine of Lost Modern Grant and Prescriptive Easements in Newfoundland’, </w:t>
      </w:r>
      <w:r w:rsidRPr="00365781">
        <w:rPr>
          <w:rFonts w:ascii="Times New Roman" w:eastAsia="Times New Roman" w:hAnsi="Times New Roman"/>
          <w:i/>
          <w:sz w:val="28"/>
          <w:szCs w:val="28"/>
          <w:lang w:val="en-GB"/>
        </w:rPr>
        <w:t>Dalhousie Law Journal</w:t>
      </w:r>
      <w:r w:rsidRPr="00365781">
        <w:rPr>
          <w:rFonts w:ascii="Times New Roman" w:eastAsia="Times New Roman" w:hAnsi="Times New Roman"/>
          <w:sz w:val="28"/>
          <w:szCs w:val="28"/>
          <w:lang w:val="en-GB"/>
        </w:rPr>
        <w:t>, 39(2), pp. 1-14.</w:t>
      </w:r>
      <w:r w:rsidRPr="00365781">
        <w:rPr>
          <w:rFonts w:ascii="Times New Roman" w:eastAsia="Times New Roman" w:hAnsi="Times New Roman"/>
          <w:b/>
          <w:sz w:val="28"/>
          <w:szCs w:val="28"/>
          <w:lang w:val="en-GB"/>
        </w:rPr>
        <w:t xml:space="preserve"> </w:t>
      </w:r>
    </w:p>
    <w:p w14:paraId="7375C687" w14:textId="77777777" w:rsidR="00131C0A" w:rsidRDefault="00131C0A" w:rsidP="00131C0A">
      <w:pPr>
        <w:spacing w:after="0" w:line="480" w:lineRule="auto"/>
        <w:ind w:left="709" w:hanging="709"/>
        <w:jc w:val="both"/>
        <w:rPr>
          <w:rFonts w:ascii="Times New Roman" w:eastAsia="Times New Roman" w:hAnsi="Times New Roman"/>
          <w:sz w:val="28"/>
          <w:szCs w:val="28"/>
          <w:lang w:val="en-GB"/>
        </w:rPr>
      </w:pPr>
      <w:r w:rsidRPr="00365781">
        <w:rPr>
          <w:rFonts w:ascii="Times New Roman" w:eastAsia="Times New Roman" w:hAnsi="Times New Roman"/>
          <w:sz w:val="28"/>
          <w:szCs w:val="28"/>
          <w:lang w:val="en-GB"/>
        </w:rPr>
        <w:t>George, M. and Layard, A. (2019) </w:t>
      </w:r>
      <w:r w:rsidRPr="00365781">
        <w:rPr>
          <w:rFonts w:ascii="Times New Roman" w:eastAsia="Times New Roman" w:hAnsi="Times New Roman"/>
          <w:i/>
          <w:sz w:val="28"/>
          <w:szCs w:val="28"/>
          <w:lang w:val="en-GB"/>
        </w:rPr>
        <w:t>Thompson's Modern Land Law</w:t>
      </w:r>
      <w:r w:rsidRPr="00365781">
        <w:rPr>
          <w:rFonts w:ascii="Times New Roman" w:eastAsia="Times New Roman" w:hAnsi="Times New Roman"/>
          <w:sz w:val="28"/>
          <w:szCs w:val="28"/>
          <w:lang w:val="en-GB"/>
        </w:rPr>
        <w:t>. London: Oxford University Press.</w:t>
      </w:r>
    </w:p>
    <w:p w14:paraId="562F5BB0" w14:textId="5F440BD6" w:rsidR="00BB3E40" w:rsidRPr="00365781" w:rsidRDefault="00BB3E40" w:rsidP="00131C0A">
      <w:pPr>
        <w:spacing w:after="0" w:line="480" w:lineRule="auto"/>
        <w:ind w:left="709" w:hanging="709"/>
        <w:jc w:val="both"/>
        <w:rPr>
          <w:rFonts w:ascii="Times New Roman" w:eastAsia="Times New Roman" w:hAnsi="Times New Roman"/>
          <w:sz w:val="28"/>
          <w:szCs w:val="28"/>
          <w:lang w:val="en-GB"/>
        </w:rPr>
      </w:pPr>
      <w:r>
        <w:rPr>
          <w:rFonts w:ascii="Times New Roman" w:eastAsia="Times New Roman" w:hAnsi="Times New Roman"/>
          <w:sz w:val="28"/>
          <w:szCs w:val="28"/>
          <w:lang w:val="en-GB"/>
        </w:rPr>
        <w:t>George, R., &amp; Layard, A (2019). Easements and Prescription: A Comparative Analysis. Journal of Property Law, 27(3),345-367.</w:t>
      </w:r>
    </w:p>
    <w:p w14:paraId="084E2654" w14:textId="77777777" w:rsidR="00131C0A" w:rsidRPr="00365781" w:rsidRDefault="00131C0A" w:rsidP="00131C0A">
      <w:pPr>
        <w:spacing w:after="0" w:line="480" w:lineRule="auto"/>
        <w:ind w:left="720" w:hanging="720"/>
        <w:rPr>
          <w:rFonts w:ascii="Times New Roman" w:eastAsia="Times New Roman" w:hAnsi="Times New Roman"/>
          <w:sz w:val="28"/>
          <w:szCs w:val="28"/>
          <w:lang w:val="en-GB"/>
        </w:rPr>
      </w:pPr>
      <w:r w:rsidRPr="00365781">
        <w:rPr>
          <w:rFonts w:ascii="Times New Roman" w:eastAsia="Times New Roman" w:hAnsi="Times New Roman"/>
          <w:sz w:val="28"/>
          <w:szCs w:val="28"/>
          <w:lang w:val="en-GB"/>
        </w:rPr>
        <w:t xml:space="preserve">Gray, K.J. and Gray, S.F. (2009) </w:t>
      </w:r>
      <w:r w:rsidRPr="00365781">
        <w:rPr>
          <w:rFonts w:ascii="Times New Roman" w:eastAsia="Times New Roman" w:hAnsi="Times New Roman"/>
          <w:i/>
          <w:sz w:val="28"/>
          <w:szCs w:val="28"/>
          <w:lang w:val="en-GB"/>
        </w:rPr>
        <w:t>Elements of land law.</w:t>
      </w:r>
      <w:r w:rsidRPr="00365781">
        <w:rPr>
          <w:rFonts w:ascii="Times New Roman" w:eastAsia="Times New Roman" w:hAnsi="Times New Roman"/>
          <w:sz w:val="28"/>
          <w:szCs w:val="28"/>
          <w:lang w:val="en-GB"/>
        </w:rPr>
        <w:t xml:space="preserve"> London: Oxford: Oxford University Press.</w:t>
      </w:r>
    </w:p>
    <w:p w14:paraId="39210C9A" w14:textId="77777777" w:rsidR="00131C0A" w:rsidRDefault="00131C0A" w:rsidP="00131C0A">
      <w:pPr>
        <w:spacing w:after="0" w:line="480" w:lineRule="auto"/>
        <w:ind w:left="720" w:hanging="720"/>
        <w:rPr>
          <w:rFonts w:ascii="Times New Roman" w:eastAsia="Times New Roman" w:hAnsi="Times New Roman"/>
          <w:sz w:val="28"/>
          <w:szCs w:val="28"/>
          <w:lang w:val="en-GB"/>
        </w:rPr>
      </w:pPr>
      <w:r w:rsidRPr="00365781">
        <w:rPr>
          <w:rFonts w:ascii="Times New Roman" w:eastAsia="Times New Roman" w:hAnsi="Times New Roman"/>
          <w:sz w:val="28"/>
          <w:szCs w:val="28"/>
          <w:lang w:val="en-GB"/>
        </w:rPr>
        <w:t xml:space="preserve">Kowallis, K. (2018) ‘Treating Fair Use as an Easement on Intellectual Property’, </w:t>
      </w:r>
      <w:r w:rsidRPr="00365781">
        <w:rPr>
          <w:rFonts w:ascii="Times New Roman" w:eastAsia="Times New Roman" w:hAnsi="Times New Roman"/>
          <w:i/>
          <w:sz w:val="28"/>
          <w:szCs w:val="28"/>
          <w:lang w:val="en-GB"/>
        </w:rPr>
        <w:t>BYU L. Rev.,</w:t>
      </w:r>
      <w:r w:rsidRPr="00365781">
        <w:rPr>
          <w:rFonts w:ascii="Times New Roman" w:eastAsia="Times New Roman" w:hAnsi="Times New Roman"/>
          <w:sz w:val="28"/>
          <w:szCs w:val="28"/>
          <w:lang w:val="en-GB"/>
        </w:rPr>
        <w:t xml:space="preserve"> p.1073.</w:t>
      </w:r>
    </w:p>
    <w:p w14:paraId="6BFE6A6C" w14:textId="3EBF871B" w:rsidR="005A2F76" w:rsidRPr="00365781" w:rsidRDefault="005A2F76" w:rsidP="00131C0A">
      <w:pPr>
        <w:spacing w:after="0" w:line="480" w:lineRule="auto"/>
        <w:ind w:left="720" w:hanging="720"/>
        <w:rPr>
          <w:rFonts w:ascii="Times New Roman" w:eastAsia="Times New Roman" w:hAnsi="Times New Roman"/>
          <w:sz w:val="28"/>
          <w:szCs w:val="28"/>
          <w:lang w:val="en-GB"/>
        </w:rPr>
      </w:pPr>
      <w:r w:rsidRPr="00A9378C">
        <w:rPr>
          <w:rFonts w:ascii="Times New Roman" w:eastAsia="Times New Roman" w:hAnsi="Times New Roman"/>
          <w:sz w:val="28"/>
          <w:szCs w:val="28"/>
          <w:lang w:val="en-GB"/>
        </w:rPr>
        <w:t>Law Commission. (2011). Easements, Covenants and Profits à Prendre: A Consultation Paper. Retrieved from</w:t>
      </w:r>
      <w:r>
        <w:rPr>
          <w:rFonts w:ascii="Times New Roman" w:eastAsia="Times New Roman" w:hAnsi="Times New Roman"/>
          <w:sz w:val="28"/>
          <w:szCs w:val="28"/>
          <w:lang w:val="en-GB"/>
        </w:rPr>
        <w:t xml:space="preserve"> </w:t>
      </w:r>
      <w:r w:rsidR="004E777F">
        <w:rPr>
          <w:rFonts w:ascii="Times New Roman" w:eastAsia="Times New Roman" w:hAnsi="Times New Roman"/>
          <w:sz w:val="28"/>
          <w:szCs w:val="28"/>
          <w:lang w:val="en-GB"/>
        </w:rPr>
        <w:t>[online] Available at:</w:t>
      </w:r>
      <w:r w:rsidRPr="00A9378C">
        <w:rPr>
          <w:rFonts w:ascii="Times New Roman" w:eastAsia="Times New Roman" w:hAnsi="Times New Roman"/>
          <w:sz w:val="28"/>
          <w:szCs w:val="28"/>
          <w:lang w:val="en-GB"/>
        </w:rPr>
        <w:t>https://www.lawcom.gov.uk/app/uploads/2015/03/cp186_easements_covenants_profits_a_prendre.pdf</w:t>
      </w:r>
      <w:r w:rsidR="004E777F">
        <w:rPr>
          <w:rFonts w:ascii="Times New Roman" w:eastAsia="Times New Roman" w:hAnsi="Times New Roman"/>
          <w:sz w:val="28"/>
          <w:szCs w:val="28"/>
          <w:lang w:val="en-GB"/>
        </w:rPr>
        <w:t xml:space="preserve"> [ Accessed on 20 July 2023</w:t>
      </w:r>
    </w:p>
    <w:p w14:paraId="43ED509A" w14:textId="5512EE07" w:rsidR="00131C0A" w:rsidRPr="00365781" w:rsidRDefault="00131C0A" w:rsidP="00131C0A">
      <w:pPr>
        <w:shd w:val="clear" w:color="auto" w:fill="FFFFFF"/>
        <w:spacing w:after="0" w:line="480" w:lineRule="auto"/>
        <w:ind w:left="720" w:hanging="720"/>
        <w:jc w:val="both"/>
        <w:rPr>
          <w:rFonts w:ascii="Times New Roman" w:eastAsia="Times New Roman" w:hAnsi="Times New Roman"/>
          <w:sz w:val="28"/>
          <w:szCs w:val="28"/>
          <w:lang w:val="en-GB"/>
        </w:rPr>
      </w:pPr>
      <w:r w:rsidRPr="00365781">
        <w:rPr>
          <w:rFonts w:ascii="Times New Roman" w:eastAsia="Times New Roman" w:hAnsi="Times New Roman"/>
          <w:sz w:val="28"/>
          <w:szCs w:val="28"/>
          <w:lang w:val="en-GB"/>
        </w:rPr>
        <w:t xml:space="preserve">Law Commission. (2011). Making Land Work: Easements, Covenants and Profits à Prendre. [Online]. Available at: </w:t>
      </w:r>
      <w:hyperlink r:id="rId13">
        <w:r w:rsidRPr="00365781">
          <w:rPr>
            <w:rFonts w:ascii="Times New Roman" w:eastAsia="Times New Roman" w:hAnsi="Times New Roman"/>
            <w:sz w:val="28"/>
            <w:szCs w:val="28"/>
            <w:u w:val="single"/>
            <w:lang w:val="en-GB"/>
          </w:rPr>
          <w:t>https://assets.publishing.service.gov.uk/government/uploads/system/uploads/attachment_data/file/229064/1067.pdf</w:t>
        </w:r>
      </w:hyperlink>
      <w:r w:rsidRPr="00365781">
        <w:rPr>
          <w:rFonts w:ascii="Times New Roman" w:eastAsia="Times New Roman" w:hAnsi="Times New Roman"/>
          <w:sz w:val="28"/>
          <w:szCs w:val="28"/>
          <w:lang w:val="en-GB"/>
        </w:rPr>
        <w:t xml:space="preserve"> [Accessed on: 1</w:t>
      </w:r>
      <w:r w:rsidR="004E777F">
        <w:rPr>
          <w:rFonts w:ascii="Times New Roman" w:eastAsia="Times New Roman" w:hAnsi="Times New Roman"/>
          <w:sz w:val="28"/>
          <w:szCs w:val="28"/>
          <w:lang w:val="en-GB"/>
        </w:rPr>
        <w:t>9 July</w:t>
      </w:r>
      <w:r w:rsidRPr="00365781">
        <w:rPr>
          <w:rFonts w:ascii="Times New Roman" w:eastAsia="Times New Roman" w:hAnsi="Times New Roman"/>
          <w:sz w:val="28"/>
          <w:szCs w:val="28"/>
          <w:lang w:val="en-GB"/>
        </w:rPr>
        <w:t xml:space="preserve"> 202</w:t>
      </w:r>
      <w:r w:rsidR="004E777F">
        <w:rPr>
          <w:rFonts w:ascii="Times New Roman" w:eastAsia="Times New Roman" w:hAnsi="Times New Roman"/>
          <w:sz w:val="28"/>
          <w:szCs w:val="28"/>
          <w:lang w:val="en-GB"/>
        </w:rPr>
        <w:t>3</w:t>
      </w:r>
      <w:r w:rsidRPr="00365781">
        <w:rPr>
          <w:rFonts w:ascii="Times New Roman" w:eastAsia="Times New Roman" w:hAnsi="Times New Roman"/>
          <w:sz w:val="28"/>
          <w:szCs w:val="28"/>
          <w:lang w:val="en-GB"/>
        </w:rPr>
        <w:t>].</w:t>
      </w:r>
    </w:p>
    <w:p w14:paraId="023A09ED" w14:textId="77777777" w:rsidR="00131C0A" w:rsidRPr="00365781" w:rsidRDefault="00131C0A" w:rsidP="00131C0A">
      <w:pPr>
        <w:spacing w:before="240" w:after="240" w:line="360" w:lineRule="auto"/>
        <w:ind w:left="720" w:hanging="720"/>
        <w:jc w:val="both"/>
        <w:rPr>
          <w:rFonts w:ascii="Times New Roman" w:eastAsia="Times New Roman" w:hAnsi="Times New Roman"/>
          <w:sz w:val="28"/>
          <w:szCs w:val="28"/>
          <w:lang w:val="en-GB"/>
        </w:rPr>
      </w:pPr>
      <w:r w:rsidRPr="00365781">
        <w:rPr>
          <w:rFonts w:ascii="Times New Roman" w:eastAsia="Times New Roman" w:hAnsi="Times New Roman"/>
          <w:sz w:val="28"/>
          <w:szCs w:val="28"/>
          <w:lang w:val="en-GB"/>
        </w:rPr>
        <w:t xml:space="preserve">Lawcom.gov.uk (2015) </w:t>
      </w:r>
      <w:r w:rsidRPr="00365781">
        <w:rPr>
          <w:rFonts w:ascii="Times New Roman" w:eastAsia="Times New Roman" w:hAnsi="Times New Roman"/>
          <w:i/>
          <w:sz w:val="28"/>
          <w:szCs w:val="28"/>
          <w:lang w:val="en-GB"/>
        </w:rPr>
        <w:t>Easements, Covenants and profits À Prendre - Law Commission</w:t>
      </w:r>
      <w:r w:rsidRPr="00365781">
        <w:rPr>
          <w:rFonts w:ascii="Times New Roman" w:eastAsia="Times New Roman" w:hAnsi="Times New Roman"/>
          <w:sz w:val="28"/>
          <w:szCs w:val="28"/>
          <w:lang w:val="en-GB"/>
        </w:rPr>
        <w:t xml:space="preserve">. Available at: https://www.lawcom.gov.uk/app/uploads/2015/03/cp186_Easements_Covenants_and_Profits_a_Prendre_Consultation.pdf (Accessed: 20 July 2023). </w:t>
      </w:r>
    </w:p>
    <w:p w14:paraId="079B84BF" w14:textId="77777777" w:rsidR="00131C0A" w:rsidRPr="00365781" w:rsidRDefault="00131C0A" w:rsidP="00131C0A">
      <w:pPr>
        <w:shd w:val="clear" w:color="auto" w:fill="FFFFFF"/>
        <w:spacing w:after="0" w:line="480" w:lineRule="auto"/>
        <w:ind w:left="720" w:hanging="720"/>
        <w:jc w:val="both"/>
        <w:rPr>
          <w:rFonts w:ascii="Times New Roman" w:eastAsia="Times New Roman" w:hAnsi="Times New Roman"/>
          <w:sz w:val="28"/>
          <w:szCs w:val="28"/>
          <w:lang w:val="en-GB"/>
        </w:rPr>
      </w:pPr>
      <w:r w:rsidRPr="00365781">
        <w:rPr>
          <w:rFonts w:ascii="Times New Roman" w:eastAsia="Times New Roman" w:hAnsi="Times New Roman"/>
          <w:sz w:val="28"/>
          <w:szCs w:val="28"/>
          <w:lang w:val="en-GB"/>
        </w:rPr>
        <w:lastRenderedPageBreak/>
        <w:t>Legislation UK. (2022</w:t>
      </w:r>
      <w:r w:rsidRPr="00365781">
        <w:rPr>
          <w:rFonts w:ascii="Times New Roman" w:eastAsia="Times New Roman" w:hAnsi="Times New Roman"/>
          <w:sz w:val="28"/>
          <w:szCs w:val="28"/>
          <w:vertAlign w:val="subscript"/>
          <w:lang w:val="en-GB"/>
        </w:rPr>
        <w:t>1</w:t>
      </w:r>
      <w:r w:rsidRPr="00365781">
        <w:rPr>
          <w:rFonts w:ascii="Times New Roman" w:eastAsia="Times New Roman" w:hAnsi="Times New Roman"/>
          <w:sz w:val="28"/>
          <w:szCs w:val="28"/>
          <w:lang w:val="en-GB"/>
        </w:rPr>
        <w:t xml:space="preserve">). Law of Property (Miscellaneous Provisions) Act 1989. [Online]. Available at: </w:t>
      </w:r>
      <w:hyperlink r:id="rId14">
        <w:r w:rsidRPr="00365781">
          <w:rPr>
            <w:rFonts w:ascii="Times New Roman" w:eastAsia="Times New Roman" w:hAnsi="Times New Roman"/>
            <w:sz w:val="28"/>
            <w:szCs w:val="28"/>
            <w:u w:val="single"/>
            <w:lang w:val="en-GB"/>
          </w:rPr>
          <w:t>https://www.legislation.gov.uk/ukpga/1989/34/enacted#:~:text=1989%20CHAPTER%2034,Fothergill</w:t>
        </w:r>
      </w:hyperlink>
      <w:r w:rsidRPr="00365781">
        <w:rPr>
          <w:rFonts w:ascii="Times New Roman" w:eastAsia="Times New Roman" w:hAnsi="Times New Roman"/>
          <w:sz w:val="28"/>
          <w:szCs w:val="28"/>
          <w:lang w:val="en-GB"/>
        </w:rPr>
        <w:t>[Accessed on: 08 November 2022 ].</w:t>
      </w:r>
    </w:p>
    <w:p w14:paraId="744036FA" w14:textId="77777777" w:rsidR="00131C0A" w:rsidRPr="00365781" w:rsidRDefault="00131C0A" w:rsidP="00131C0A">
      <w:pPr>
        <w:shd w:val="clear" w:color="auto" w:fill="FFFFFF"/>
        <w:spacing w:after="0" w:line="480" w:lineRule="auto"/>
        <w:ind w:left="720" w:hanging="720"/>
        <w:jc w:val="both"/>
        <w:rPr>
          <w:rFonts w:ascii="Times New Roman" w:eastAsia="Times New Roman" w:hAnsi="Times New Roman"/>
          <w:sz w:val="28"/>
          <w:szCs w:val="28"/>
          <w:lang w:val="en-GB"/>
        </w:rPr>
      </w:pPr>
      <w:r w:rsidRPr="00365781">
        <w:rPr>
          <w:rFonts w:ascii="Times New Roman" w:eastAsia="Times New Roman" w:hAnsi="Times New Roman"/>
          <w:sz w:val="28"/>
          <w:szCs w:val="28"/>
          <w:lang w:val="en-GB"/>
        </w:rPr>
        <w:t>Legislation UK. (2022</w:t>
      </w:r>
      <w:r w:rsidRPr="00365781">
        <w:rPr>
          <w:rFonts w:ascii="Times New Roman" w:eastAsia="Times New Roman" w:hAnsi="Times New Roman"/>
          <w:sz w:val="28"/>
          <w:szCs w:val="28"/>
          <w:vertAlign w:val="subscript"/>
          <w:lang w:val="en-GB"/>
        </w:rPr>
        <w:t>2</w:t>
      </w:r>
      <w:r w:rsidRPr="00365781">
        <w:rPr>
          <w:rFonts w:ascii="Times New Roman" w:eastAsia="Times New Roman" w:hAnsi="Times New Roman"/>
          <w:sz w:val="28"/>
          <w:szCs w:val="28"/>
          <w:lang w:val="en-GB"/>
        </w:rPr>
        <w:t xml:space="preserve">). Land Charges Act 1925. [Online]. Available at: </w:t>
      </w:r>
      <w:hyperlink r:id="rId15">
        <w:r w:rsidRPr="00365781">
          <w:rPr>
            <w:rFonts w:ascii="Times New Roman" w:eastAsia="Times New Roman" w:hAnsi="Times New Roman"/>
            <w:sz w:val="28"/>
            <w:szCs w:val="28"/>
            <w:u w:val="single"/>
            <w:lang w:val="en-GB"/>
          </w:rPr>
          <w:t>https://www.legislation.gov.uk/ukpga/1925/22/enacted#:~:text=An%20Act%20to%20consolidate%20the,land%20charges%2C%20and%20to%20searches</w:t>
        </w:r>
      </w:hyperlink>
      <w:r w:rsidRPr="00365781">
        <w:rPr>
          <w:rFonts w:ascii="Times New Roman" w:eastAsia="Times New Roman" w:hAnsi="Times New Roman"/>
          <w:sz w:val="28"/>
          <w:szCs w:val="28"/>
          <w:lang w:val="en-GB"/>
        </w:rPr>
        <w:t xml:space="preserve"> [Accessed on: 08 November 2022].</w:t>
      </w:r>
    </w:p>
    <w:p w14:paraId="5E8A105E" w14:textId="77777777" w:rsidR="00131C0A" w:rsidRPr="00365781" w:rsidRDefault="00131C0A" w:rsidP="00131C0A">
      <w:pPr>
        <w:shd w:val="clear" w:color="auto" w:fill="FFFFFF"/>
        <w:spacing w:after="0" w:line="480" w:lineRule="auto"/>
        <w:ind w:left="720" w:hanging="720"/>
        <w:jc w:val="both"/>
        <w:rPr>
          <w:rFonts w:ascii="Times New Roman" w:eastAsia="Times New Roman" w:hAnsi="Times New Roman"/>
          <w:sz w:val="28"/>
          <w:szCs w:val="28"/>
          <w:lang w:val="en-GB"/>
        </w:rPr>
      </w:pPr>
      <w:r w:rsidRPr="00365781">
        <w:rPr>
          <w:rFonts w:ascii="Times New Roman" w:eastAsia="Times New Roman" w:hAnsi="Times New Roman"/>
          <w:sz w:val="28"/>
          <w:szCs w:val="28"/>
          <w:lang w:val="en-GB"/>
        </w:rPr>
        <w:t xml:space="preserve">LexisNexis. (2022). Real Property and Registration (Volume 87 (2022)). [Online]. Available at: </w:t>
      </w:r>
      <w:hyperlink r:id="rId16">
        <w:r w:rsidRPr="00365781">
          <w:rPr>
            <w:rFonts w:ascii="Times New Roman" w:eastAsia="Times New Roman" w:hAnsi="Times New Roman"/>
            <w:sz w:val="28"/>
            <w:szCs w:val="28"/>
            <w:u w:val="single"/>
            <w:lang w:val="en-GB"/>
          </w:rPr>
          <w:t>https://www.lexisnexis.co.uk/legal/commentary/halsburys-laws-of-england/real-property-registration</w:t>
        </w:r>
      </w:hyperlink>
      <w:r w:rsidRPr="00365781">
        <w:rPr>
          <w:rFonts w:ascii="Times New Roman" w:eastAsia="Times New Roman" w:hAnsi="Times New Roman"/>
          <w:sz w:val="28"/>
          <w:szCs w:val="28"/>
          <w:lang w:val="en-GB"/>
        </w:rPr>
        <w:t xml:space="preserve"> [Accessed on: 11 November 2022].</w:t>
      </w:r>
    </w:p>
    <w:p w14:paraId="71A2C4EE" w14:textId="77777777" w:rsidR="00131C0A" w:rsidRPr="00365781" w:rsidRDefault="00131C0A" w:rsidP="00131C0A">
      <w:pPr>
        <w:spacing w:after="0" w:line="480" w:lineRule="auto"/>
        <w:ind w:left="720" w:hanging="720"/>
        <w:rPr>
          <w:rFonts w:ascii="Times New Roman" w:eastAsia="Times New Roman" w:hAnsi="Times New Roman"/>
          <w:sz w:val="28"/>
          <w:szCs w:val="28"/>
          <w:lang w:val="en-GB"/>
        </w:rPr>
      </w:pPr>
      <w:r w:rsidRPr="00365781">
        <w:rPr>
          <w:rFonts w:ascii="Times New Roman" w:eastAsia="Times New Roman" w:hAnsi="Times New Roman"/>
          <w:sz w:val="28"/>
          <w:szCs w:val="28"/>
          <w:lang w:val="en-GB"/>
        </w:rPr>
        <w:t xml:space="preserve">McFarlane, B., Hopkins, N. and Nield, S. (2018) </w:t>
      </w:r>
      <w:r w:rsidRPr="00365781">
        <w:rPr>
          <w:rFonts w:ascii="Times New Roman" w:eastAsia="Times New Roman" w:hAnsi="Times New Roman"/>
          <w:i/>
          <w:sz w:val="28"/>
          <w:szCs w:val="28"/>
          <w:lang w:val="en-GB"/>
        </w:rPr>
        <w:t xml:space="preserve">Land Law: Text, cases and Materials 4th Edition. </w:t>
      </w:r>
      <w:r w:rsidRPr="00365781">
        <w:rPr>
          <w:rFonts w:ascii="Times New Roman" w:eastAsia="Times New Roman" w:hAnsi="Times New Roman"/>
          <w:sz w:val="28"/>
          <w:szCs w:val="28"/>
          <w:lang w:val="en-GB"/>
        </w:rPr>
        <w:t>London: Oxford University Press.</w:t>
      </w:r>
    </w:p>
    <w:p w14:paraId="0C69D60D" w14:textId="77777777" w:rsidR="00131C0A" w:rsidRPr="00365781" w:rsidRDefault="00131C0A" w:rsidP="00131C0A">
      <w:pPr>
        <w:spacing w:after="0" w:line="480" w:lineRule="auto"/>
        <w:ind w:left="709" w:hanging="709"/>
        <w:jc w:val="both"/>
        <w:rPr>
          <w:rFonts w:ascii="Times New Roman" w:eastAsia="Times New Roman" w:hAnsi="Times New Roman"/>
          <w:sz w:val="28"/>
          <w:szCs w:val="28"/>
          <w:lang w:val="en-GB"/>
        </w:rPr>
      </w:pPr>
      <w:r w:rsidRPr="00365781">
        <w:rPr>
          <w:rFonts w:ascii="Times New Roman" w:eastAsia="Times New Roman" w:hAnsi="Times New Roman"/>
          <w:sz w:val="28"/>
          <w:szCs w:val="28"/>
          <w:lang w:val="en-GB"/>
        </w:rPr>
        <w:t xml:space="preserve">Mee, J. (2015) ‘Reforming the Law of Prescription: A Cautionary Tale from Ireland’, </w:t>
      </w:r>
      <w:r w:rsidRPr="00365781">
        <w:rPr>
          <w:rFonts w:ascii="Times New Roman" w:eastAsia="Times New Roman" w:hAnsi="Times New Roman"/>
          <w:i/>
          <w:sz w:val="28"/>
          <w:szCs w:val="28"/>
          <w:lang w:val="en-GB"/>
        </w:rPr>
        <w:t>Modern Studies in Property Law</w:t>
      </w:r>
      <w:r w:rsidRPr="00365781">
        <w:rPr>
          <w:rFonts w:ascii="Times New Roman" w:eastAsia="Times New Roman" w:hAnsi="Times New Roman"/>
          <w:sz w:val="28"/>
          <w:szCs w:val="28"/>
          <w:lang w:val="en-GB"/>
        </w:rPr>
        <w:t>, 8, pp. 31-48.</w:t>
      </w:r>
    </w:p>
    <w:p w14:paraId="5345604D" w14:textId="150A7E8F" w:rsidR="00131C0A" w:rsidRPr="00365781" w:rsidRDefault="00131C0A" w:rsidP="00131C0A">
      <w:pPr>
        <w:shd w:val="clear" w:color="auto" w:fill="FFFFFF"/>
        <w:spacing w:after="0" w:line="480" w:lineRule="auto"/>
        <w:ind w:left="720" w:hanging="720"/>
        <w:jc w:val="both"/>
        <w:rPr>
          <w:rFonts w:ascii="Times New Roman" w:eastAsia="Times New Roman" w:hAnsi="Times New Roman"/>
          <w:sz w:val="28"/>
          <w:szCs w:val="28"/>
          <w:lang w:val="en-GB"/>
        </w:rPr>
      </w:pPr>
      <w:r w:rsidRPr="00365781">
        <w:rPr>
          <w:rFonts w:ascii="Times New Roman" w:eastAsia="Times New Roman" w:hAnsi="Times New Roman"/>
          <w:sz w:val="28"/>
          <w:szCs w:val="28"/>
          <w:lang w:val="en-GB"/>
        </w:rPr>
        <w:t xml:space="preserve">OGL. (2021). Law Commission review of the Land Registration Act 2002: government full response. [Online]. Available at: </w:t>
      </w:r>
      <w:hyperlink r:id="rId17">
        <w:r w:rsidRPr="00365781">
          <w:rPr>
            <w:rFonts w:ascii="Times New Roman" w:eastAsia="Times New Roman" w:hAnsi="Times New Roman"/>
            <w:sz w:val="28"/>
            <w:szCs w:val="28"/>
            <w:u w:val="single"/>
            <w:lang w:val="en-GB"/>
          </w:rPr>
          <w:t>https://www.gov.uk/government/publications/land-registration-act-2002-government-response-to-the-law-commission-review/law-commission-review-of-the-land-registration-act-2002-government-full-response</w:t>
        </w:r>
      </w:hyperlink>
      <w:r w:rsidRPr="00365781">
        <w:rPr>
          <w:rFonts w:ascii="Times New Roman" w:eastAsia="Times New Roman" w:hAnsi="Times New Roman"/>
          <w:sz w:val="28"/>
          <w:szCs w:val="28"/>
          <w:lang w:val="en-GB"/>
        </w:rPr>
        <w:t xml:space="preserve"> [Accessed on: </w:t>
      </w:r>
      <w:r w:rsidR="00E660CB">
        <w:rPr>
          <w:rFonts w:ascii="Times New Roman" w:eastAsia="Times New Roman" w:hAnsi="Times New Roman"/>
          <w:sz w:val="28"/>
          <w:szCs w:val="28"/>
          <w:lang w:val="en-GB"/>
        </w:rPr>
        <w:t>20 July 2023</w:t>
      </w:r>
      <w:r w:rsidRPr="00365781">
        <w:rPr>
          <w:rFonts w:ascii="Times New Roman" w:eastAsia="Times New Roman" w:hAnsi="Times New Roman"/>
          <w:sz w:val="28"/>
          <w:szCs w:val="28"/>
          <w:lang w:val="en-GB"/>
        </w:rPr>
        <w:t>].</w:t>
      </w:r>
    </w:p>
    <w:p w14:paraId="278C50ED" w14:textId="77777777" w:rsidR="00131C0A" w:rsidRPr="00365781" w:rsidRDefault="00131C0A" w:rsidP="00131C0A">
      <w:pPr>
        <w:shd w:val="clear" w:color="auto" w:fill="FFFFFF"/>
        <w:spacing w:after="0" w:line="480" w:lineRule="auto"/>
        <w:ind w:left="720" w:hanging="720"/>
        <w:jc w:val="both"/>
        <w:rPr>
          <w:rFonts w:ascii="Times New Roman" w:eastAsia="Times New Roman" w:hAnsi="Times New Roman"/>
          <w:sz w:val="28"/>
          <w:szCs w:val="28"/>
          <w:highlight w:val="white"/>
          <w:lang w:val="en-GB"/>
        </w:rPr>
      </w:pPr>
      <w:r w:rsidRPr="00365781">
        <w:rPr>
          <w:rFonts w:ascii="Times New Roman" w:eastAsia="Times New Roman" w:hAnsi="Times New Roman"/>
          <w:sz w:val="28"/>
          <w:szCs w:val="28"/>
          <w:highlight w:val="white"/>
          <w:lang w:val="en-GB"/>
        </w:rPr>
        <w:lastRenderedPageBreak/>
        <w:t>Parker, G. and Ravenscroft, N. (2001) ‘Land, rights and the gift: the Countryside and Rights of Way Act 2000 and the negotiation of citizenship’, </w:t>
      </w:r>
      <w:r w:rsidRPr="00365781">
        <w:rPr>
          <w:rFonts w:ascii="Times New Roman" w:eastAsia="Times New Roman" w:hAnsi="Times New Roman"/>
          <w:i/>
          <w:sz w:val="28"/>
          <w:szCs w:val="28"/>
          <w:highlight w:val="white"/>
          <w:lang w:val="en-GB"/>
        </w:rPr>
        <w:t>Sociologia Ruralis,</w:t>
      </w:r>
      <w:r w:rsidRPr="00365781">
        <w:rPr>
          <w:rFonts w:ascii="Times New Roman" w:eastAsia="Times New Roman" w:hAnsi="Times New Roman"/>
          <w:sz w:val="28"/>
          <w:szCs w:val="28"/>
          <w:highlight w:val="white"/>
          <w:lang w:val="en-GB"/>
        </w:rPr>
        <w:t xml:space="preserve"> 41(4), pp. 381-398.</w:t>
      </w:r>
    </w:p>
    <w:p w14:paraId="4D095D9A" w14:textId="77777777" w:rsidR="00131C0A" w:rsidRPr="00365781" w:rsidRDefault="00131C0A" w:rsidP="00131C0A">
      <w:pPr>
        <w:spacing w:before="240" w:after="240" w:line="360" w:lineRule="auto"/>
        <w:ind w:left="720" w:hanging="720"/>
        <w:jc w:val="both"/>
        <w:rPr>
          <w:rFonts w:ascii="Times New Roman" w:eastAsia="Times New Roman" w:hAnsi="Times New Roman"/>
          <w:sz w:val="28"/>
          <w:szCs w:val="28"/>
          <w:lang w:val="en-GB"/>
        </w:rPr>
      </w:pPr>
      <w:r w:rsidRPr="00365781">
        <w:rPr>
          <w:rFonts w:ascii="Times New Roman" w:eastAsia="Times New Roman" w:hAnsi="Times New Roman"/>
          <w:sz w:val="28"/>
          <w:szCs w:val="28"/>
          <w:lang w:val="en-GB"/>
        </w:rPr>
        <w:t xml:space="preserve">Participation, E. (1972a) </w:t>
      </w:r>
      <w:r w:rsidRPr="00365781">
        <w:rPr>
          <w:rFonts w:ascii="Times New Roman" w:eastAsia="Times New Roman" w:hAnsi="Times New Roman"/>
          <w:i/>
          <w:sz w:val="28"/>
          <w:szCs w:val="28"/>
          <w:lang w:val="en-GB"/>
        </w:rPr>
        <w:t>Law of property act 1925</w:t>
      </w:r>
      <w:r w:rsidRPr="00365781">
        <w:rPr>
          <w:rFonts w:ascii="Times New Roman" w:eastAsia="Times New Roman" w:hAnsi="Times New Roman"/>
          <w:sz w:val="28"/>
          <w:szCs w:val="28"/>
          <w:lang w:val="en-GB"/>
        </w:rPr>
        <w:t xml:space="preserve">, </w:t>
      </w:r>
      <w:r w:rsidRPr="00365781">
        <w:rPr>
          <w:rFonts w:ascii="Times New Roman" w:eastAsia="Times New Roman" w:hAnsi="Times New Roman"/>
          <w:i/>
          <w:sz w:val="28"/>
          <w:szCs w:val="28"/>
          <w:lang w:val="en-GB"/>
        </w:rPr>
        <w:t>Legislation.gov.uk</w:t>
      </w:r>
      <w:r w:rsidRPr="00365781">
        <w:rPr>
          <w:rFonts w:ascii="Times New Roman" w:eastAsia="Times New Roman" w:hAnsi="Times New Roman"/>
          <w:sz w:val="28"/>
          <w:szCs w:val="28"/>
          <w:lang w:val="en-GB"/>
        </w:rPr>
        <w:t xml:space="preserve">. Available at: https://www.legislation.gov.uk/ukpga/Geo5/15-16/20 (Accessed: 20 July 2023). </w:t>
      </w:r>
    </w:p>
    <w:p w14:paraId="7B58BE0D" w14:textId="77777777" w:rsidR="00131C0A" w:rsidRPr="00365781" w:rsidRDefault="00131C0A" w:rsidP="00131C0A">
      <w:pPr>
        <w:spacing w:before="240" w:after="240" w:line="360" w:lineRule="auto"/>
        <w:ind w:left="720" w:hanging="720"/>
        <w:jc w:val="both"/>
        <w:rPr>
          <w:rFonts w:ascii="Times New Roman" w:eastAsia="Times New Roman" w:hAnsi="Times New Roman"/>
          <w:sz w:val="28"/>
          <w:szCs w:val="28"/>
          <w:lang w:val="en-GB"/>
        </w:rPr>
      </w:pPr>
      <w:r w:rsidRPr="00365781">
        <w:rPr>
          <w:rFonts w:ascii="Times New Roman" w:eastAsia="Times New Roman" w:hAnsi="Times New Roman"/>
          <w:i/>
          <w:sz w:val="28"/>
          <w:szCs w:val="28"/>
          <w:lang w:val="en-GB"/>
        </w:rPr>
        <w:t>Practice guide 62: Easements</w:t>
      </w:r>
      <w:r w:rsidRPr="00365781">
        <w:rPr>
          <w:rFonts w:ascii="Times New Roman" w:eastAsia="Times New Roman" w:hAnsi="Times New Roman"/>
          <w:sz w:val="28"/>
          <w:szCs w:val="28"/>
          <w:lang w:val="en-GB"/>
        </w:rPr>
        <w:t xml:space="preserve"> (2021) </w:t>
      </w:r>
      <w:r w:rsidRPr="00365781">
        <w:rPr>
          <w:rFonts w:ascii="Times New Roman" w:eastAsia="Times New Roman" w:hAnsi="Times New Roman"/>
          <w:i/>
          <w:sz w:val="28"/>
          <w:szCs w:val="28"/>
          <w:lang w:val="en-GB"/>
        </w:rPr>
        <w:t>GOV.UK</w:t>
      </w:r>
      <w:r w:rsidRPr="00365781">
        <w:rPr>
          <w:rFonts w:ascii="Times New Roman" w:eastAsia="Times New Roman" w:hAnsi="Times New Roman"/>
          <w:sz w:val="28"/>
          <w:szCs w:val="28"/>
          <w:lang w:val="en-GB"/>
        </w:rPr>
        <w:t xml:space="preserve">. Available at: https://www.gov.uk/government/publications/easements/practice-guide-62-easements#:~:text=You%20must%20apply%20to%20register,the%20Land%20Registration%20Rules%202003). (Accessed: 20 July 2023). </w:t>
      </w:r>
    </w:p>
    <w:p w14:paraId="167FE226" w14:textId="77777777" w:rsidR="00131C0A" w:rsidRPr="00365781" w:rsidRDefault="00131C0A" w:rsidP="00131C0A">
      <w:pPr>
        <w:shd w:val="clear" w:color="auto" w:fill="FFFFFF"/>
        <w:spacing w:after="0" w:line="480" w:lineRule="auto"/>
        <w:ind w:left="720" w:hanging="720"/>
        <w:jc w:val="both"/>
        <w:rPr>
          <w:rFonts w:ascii="Times New Roman" w:eastAsia="Times New Roman" w:hAnsi="Times New Roman"/>
          <w:sz w:val="28"/>
          <w:szCs w:val="28"/>
          <w:highlight w:val="white"/>
          <w:lang w:val="en-GB"/>
        </w:rPr>
      </w:pPr>
      <w:r w:rsidRPr="00365781">
        <w:rPr>
          <w:rFonts w:ascii="Times New Roman" w:eastAsia="Times New Roman" w:hAnsi="Times New Roman"/>
          <w:sz w:val="28"/>
          <w:szCs w:val="28"/>
          <w:highlight w:val="white"/>
          <w:lang w:val="en-GB"/>
        </w:rPr>
        <w:t>Roche, J. (2018) ‘Historiography and the Law of Property Act 1925: the return of Frankenstein’, </w:t>
      </w:r>
      <w:r w:rsidRPr="00365781">
        <w:rPr>
          <w:rFonts w:ascii="Times New Roman" w:eastAsia="Times New Roman" w:hAnsi="Times New Roman"/>
          <w:i/>
          <w:sz w:val="28"/>
          <w:szCs w:val="28"/>
          <w:highlight w:val="white"/>
          <w:lang w:val="en-GB"/>
        </w:rPr>
        <w:t>The Cambridge Law Journal,</w:t>
      </w:r>
      <w:r w:rsidRPr="00365781">
        <w:rPr>
          <w:rFonts w:ascii="Times New Roman" w:eastAsia="Times New Roman" w:hAnsi="Times New Roman"/>
          <w:sz w:val="28"/>
          <w:szCs w:val="28"/>
          <w:highlight w:val="white"/>
          <w:lang w:val="en-GB"/>
        </w:rPr>
        <w:t xml:space="preserve"> 77(3), pp. 600-629. DOI: </w:t>
      </w:r>
      <w:hyperlink r:id="rId18">
        <w:r w:rsidRPr="00365781">
          <w:rPr>
            <w:rFonts w:ascii="Times New Roman" w:eastAsia="Times New Roman" w:hAnsi="Times New Roman"/>
            <w:sz w:val="28"/>
            <w:szCs w:val="28"/>
            <w:highlight w:val="white"/>
            <w:u w:val="single"/>
            <w:lang w:val="en-GB"/>
          </w:rPr>
          <w:t>https://doi.org/10.1017/S0008197318000697</w:t>
        </w:r>
      </w:hyperlink>
      <w:r w:rsidRPr="00365781">
        <w:rPr>
          <w:rFonts w:ascii="Times New Roman" w:eastAsia="Times New Roman" w:hAnsi="Times New Roman"/>
          <w:sz w:val="28"/>
          <w:szCs w:val="28"/>
          <w:highlight w:val="white"/>
          <w:lang w:val="en-GB"/>
        </w:rPr>
        <w:t xml:space="preserve"> </w:t>
      </w:r>
    </w:p>
    <w:p w14:paraId="43139529" w14:textId="77777777" w:rsidR="00131C0A" w:rsidRPr="00365781" w:rsidRDefault="00131C0A" w:rsidP="00131C0A">
      <w:pPr>
        <w:spacing w:after="0" w:line="480" w:lineRule="auto"/>
        <w:ind w:left="720" w:hanging="720"/>
        <w:rPr>
          <w:rFonts w:ascii="Times New Roman" w:eastAsia="Times New Roman" w:hAnsi="Times New Roman"/>
          <w:sz w:val="28"/>
          <w:szCs w:val="28"/>
          <w:lang w:val="en-GB"/>
        </w:rPr>
      </w:pPr>
      <w:r w:rsidRPr="00365781">
        <w:rPr>
          <w:rFonts w:ascii="Times New Roman" w:eastAsia="Times New Roman" w:hAnsi="Times New Roman"/>
          <w:sz w:val="28"/>
          <w:szCs w:val="28"/>
          <w:lang w:val="en-GB"/>
        </w:rPr>
        <w:t xml:space="preserve">Romero, R.A. (2013) </w:t>
      </w:r>
      <w:r w:rsidRPr="00365781">
        <w:rPr>
          <w:rFonts w:ascii="Times New Roman" w:eastAsia="Times New Roman" w:hAnsi="Times New Roman"/>
          <w:i/>
          <w:sz w:val="28"/>
          <w:szCs w:val="28"/>
          <w:lang w:val="en-GB"/>
        </w:rPr>
        <w:t>Property Law For Dummies</w:t>
      </w:r>
      <w:r w:rsidRPr="00365781">
        <w:rPr>
          <w:rFonts w:ascii="Times New Roman" w:eastAsia="Times New Roman" w:hAnsi="Times New Roman"/>
          <w:sz w:val="28"/>
          <w:szCs w:val="28"/>
          <w:lang w:val="en-GB"/>
        </w:rPr>
        <w:t>. London: Wiley Publication.</w:t>
      </w:r>
    </w:p>
    <w:p w14:paraId="614E1910" w14:textId="77777777" w:rsidR="00131C0A" w:rsidRPr="00365781" w:rsidRDefault="00131C0A" w:rsidP="00131C0A">
      <w:pPr>
        <w:spacing w:after="0" w:line="480" w:lineRule="auto"/>
        <w:ind w:left="720" w:hanging="720"/>
        <w:rPr>
          <w:rFonts w:ascii="Times New Roman" w:eastAsia="Times New Roman" w:hAnsi="Times New Roman"/>
          <w:sz w:val="28"/>
          <w:szCs w:val="28"/>
          <w:lang w:val="en-GB"/>
        </w:rPr>
      </w:pPr>
      <w:r w:rsidRPr="00365781">
        <w:rPr>
          <w:rFonts w:ascii="Times New Roman" w:eastAsia="Times New Roman" w:hAnsi="Times New Roman"/>
          <w:sz w:val="28"/>
          <w:szCs w:val="28"/>
          <w:lang w:val="en-GB"/>
        </w:rPr>
        <w:t xml:space="preserve">Thompson, P.M. and George, M. (2017) </w:t>
      </w:r>
      <w:r w:rsidRPr="00365781">
        <w:rPr>
          <w:rFonts w:ascii="Times New Roman" w:eastAsia="Times New Roman" w:hAnsi="Times New Roman"/>
          <w:i/>
          <w:sz w:val="28"/>
          <w:szCs w:val="28"/>
          <w:lang w:val="en-GB"/>
        </w:rPr>
        <w:t xml:space="preserve">Thompson's Modern Land Law. </w:t>
      </w:r>
      <w:r w:rsidRPr="00365781">
        <w:rPr>
          <w:rFonts w:ascii="Times New Roman" w:eastAsia="Times New Roman" w:hAnsi="Times New Roman"/>
          <w:sz w:val="28"/>
          <w:szCs w:val="28"/>
          <w:lang w:val="en-GB"/>
        </w:rPr>
        <w:t>London: Oxford University Press.</w:t>
      </w:r>
    </w:p>
    <w:p w14:paraId="0C246C7B" w14:textId="77777777" w:rsidR="00131C0A" w:rsidRPr="00365781" w:rsidRDefault="00131C0A" w:rsidP="00131C0A">
      <w:pPr>
        <w:spacing w:after="0" w:line="480" w:lineRule="auto"/>
        <w:ind w:left="720" w:hanging="720"/>
        <w:rPr>
          <w:rFonts w:ascii="Times New Roman" w:eastAsia="Times New Roman" w:hAnsi="Times New Roman"/>
          <w:sz w:val="28"/>
          <w:szCs w:val="28"/>
          <w:lang w:val="en-GB"/>
        </w:rPr>
      </w:pPr>
      <w:r w:rsidRPr="00365781">
        <w:rPr>
          <w:rFonts w:ascii="Times New Roman" w:eastAsia="Times New Roman" w:hAnsi="Times New Roman"/>
          <w:sz w:val="28"/>
          <w:szCs w:val="28"/>
          <w:lang w:val="en-GB"/>
        </w:rPr>
        <w:t xml:space="preserve">Waite, A.J. (1985) ‘Easements: Positive Duties on the Servient Owner?’, </w:t>
      </w:r>
      <w:r w:rsidRPr="00365781">
        <w:rPr>
          <w:rFonts w:ascii="Times New Roman" w:eastAsia="Times New Roman" w:hAnsi="Times New Roman"/>
          <w:i/>
          <w:sz w:val="28"/>
          <w:szCs w:val="28"/>
          <w:lang w:val="en-GB"/>
        </w:rPr>
        <w:t xml:space="preserve">The Cambridge Law Journal, </w:t>
      </w:r>
      <w:r w:rsidRPr="00365781">
        <w:rPr>
          <w:rFonts w:ascii="Times New Roman" w:eastAsia="Times New Roman" w:hAnsi="Times New Roman"/>
          <w:sz w:val="28"/>
          <w:szCs w:val="28"/>
          <w:lang w:val="en-GB"/>
        </w:rPr>
        <w:t xml:space="preserve">44(3), pp. 458-476. DOI: </w:t>
      </w:r>
      <w:hyperlink r:id="rId19">
        <w:r w:rsidRPr="00365781">
          <w:rPr>
            <w:rFonts w:ascii="Times New Roman" w:eastAsia="Times New Roman" w:hAnsi="Times New Roman"/>
            <w:color w:val="1155CC"/>
            <w:sz w:val="28"/>
            <w:szCs w:val="28"/>
            <w:u w:val="single"/>
            <w:lang w:val="en-GB"/>
          </w:rPr>
          <w:t>https://doi.org/10.1017/S0008197300114941</w:t>
        </w:r>
      </w:hyperlink>
      <w:r w:rsidRPr="00365781">
        <w:rPr>
          <w:rFonts w:ascii="Times New Roman" w:eastAsia="Times New Roman" w:hAnsi="Times New Roman"/>
          <w:sz w:val="28"/>
          <w:szCs w:val="28"/>
          <w:lang w:val="en-GB"/>
        </w:rPr>
        <w:t>.</w:t>
      </w:r>
    </w:p>
    <w:p w14:paraId="152F5911" w14:textId="77777777" w:rsidR="00365781" w:rsidRDefault="00365781" w:rsidP="00131C0A">
      <w:pPr>
        <w:spacing w:after="0" w:line="480" w:lineRule="auto"/>
        <w:jc w:val="both"/>
        <w:rPr>
          <w:rFonts w:ascii="Times New Roman" w:eastAsia="Times New Roman" w:hAnsi="Times New Roman"/>
          <w:sz w:val="28"/>
          <w:szCs w:val="28"/>
          <w:lang w:val="en-GB"/>
        </w:rPr>
      </w:pPr>
    </w:p>
    <w:p w14:paraId="5F8D468A" w14:textId="77777777" w:rsidR="00D02349" w:rsidRDefault="00D02349" w:rsidP="00131C0A">
      <w:pPr>
        <w:spacing w:after="0" w:line="480" w:lineRule="auto"/>
        <w:jc w:val="both"/>
        <w:rPr>
          <w:rFonts w:ascii="Times New Roman" w:eastAsia="Times New Roman" w:hAnsi="Times New Roman"/>
          <w:sz w:val="28"/>
          <w:szCs w:val="28"/>
          <w:lang w:val="en-GB"/>
        </w:rPr>
      </w:pPr>
    </w:p>
    <w:p w14:paraId="7D8E1CEB" w14:textId="77777777" w:rsidR="00D02349" w:rsidRDefault="00D02349" w:rsidP="00131C0A">
      <w:pPr>
        <w:spacing w:after="0" w:line="480" w:lineRule="auto"/>
        <w:jc w:val="both"/>
        <w:rPr>
          <w:rFonts w:ascii="Times New Roman" w:eastAsia="Times New Roman" w:hAnsi="Times New Roman"/>
          <w:sz w:val="28"/>
          <w:szCs w:val="28"/>
          <w:lang w:val="en-GB"/>
        </w:rPr>
      </w:pPr>
    </w:p>
    <w:p w14:paraId="06199B46" w14:textId="77777777" w:rsidR="00D02349" w:rsidRDefault="00D02349" w:rsidP="00131C0A">
      <w:pPr>
        <w:spacing w:after="0" w:line="480" w:lineRule="auto"/>
        <w:jc w:val="both"/>
        <w:rPr>
          <w:rFonts w:ascii="Times New Roman" w:eastAsia="Times New Roman" w:hAnsi="Times New Roman"/>
          <w:sz w:val="28"/>
          <w:szCs w:val="28"/>
          <w:lang w:val="en-GB"/>
        </w:rPr>
      </w:pPr>
    </w:p>
    <w:p w14:paraId="17EAD83B" w14:textId="713EE6F6" w:rsidR="00131C0A" w:rsidRPr="00365781" w:rsidRDefault="00131C0A" w:rsidP="00131C0A">
      <w:pPr>
        <w:spacing w:after="0" w:line="480" w:lineRule="auto"/>
        <w:jc w:val="both"/>
        <w:rPr>
          <w:rFonts w:ascii="Times New Roman" w:eastAsia="Times New Roman" w:hAnsi="Times New Roman"/>
          <w:b/>
          <w:sz w:val="28"/>
          <w:szCs w:val="28"/>
          <w:lang w:val="en-GB"/>
        </w:rPr>
      </w:pPr>
      <w:r w:rsidRPr="00365781">
        <w:rPr>
          <w:rFonts w:ascii="Times New Roman" w:eastAsia="Times New Roman" w:hAnsi="Times New Roman"/>
          <w:b/>
          <w:sz w:val="28"/>
          <w:szCs w:val="28"/>
          <w:lang w:val="en-GB"/>
        </w:rPr>
        <w:lastRenderedPageBreak/>
        <w:t>Relevant</w:t>
      </w:r>
      <w:r w:rsidR="007D116E" w:rsidRPr="00365781">
        <w:rPr>
          <w:rFonts w:ascii="Times New Roman" w:eastAsia="Times New Roman" w:hAnsi="Times New Roman"/>
          <w:b/>
          <w:sz w:val="28"/>
          <w:szCs w:val="28"/>
          <w:lang w:val="en-GB"/>
        </w:rPr>
        <w:t xml:space="preserve"> Statues and</w:t>
      </w:r>
      <w:r w:rsidRPr="00365781">
        <w:rPr>
          <w:rFonts w:ascii="Times New Roman" w:eastAsia="Times New Roman" w:hAnsi="Times New Roman"/>
          <w:b/>
          <w:sz w:val="28"/>
          <w:szCs w:val="28"/>
          <w:lang w:val="en-GB"/>
        </w:rPr>
        <w:t xml:space="preserve"> Cases:</w:t>
      </w:r>
    </w:p>
    <w:p w14:paraId="3D5BF533" w14:textId="10BBEB2C" w:rsidR="007D116E" w:rsidRPr="00365781" w:rsidRDefault="007D116E" w:rsidP="00131C0A">
      <w:pPr>
        <w:spacing w:after="0" w:line="480" w:lineRule="auto"/>
        <w:jc w:val="both"/>
        <w:rPr>
          <w:rFonts w:ascii="Times New Roman" w:eastAsia="Times New Roman" w:hAnsi="Times New Roman"/>
          <w:b/>
          <w:sz w:val="28"/>
          <w:szCs w:val="28"/>
          <w:lang w:val="en-GB"/>
        </w:rPr>
      </w:pPr>
      <w:r w:rsidRPr="00365781">
        <w:rPr>
          <w:rFonts w:ascii="Times New Roman" w:eastAsia="Times New Roman" w:hAnsi="Times New Roman"/>
          <w:b/>
          <w:sz w:val="28"/>
          <w:szCs w:val="28"/>
          <w:lang w:val="en-GB"/>
        </w:rPr>
        <w:t>Statues</w:t>
      </w:r>
    </w:p>
    <w:p w14:paraId="05472BC8" w14:textId="5375DB7B" w:rsidR="007D116E" w:rsidRPr="00365781" w:rsidRDefault="007D116E" w:rsidP="00131C0A">
      <w:pPr>
        <w:spacing w:after="0" w:line="480" w:lineRule="auto"/>
        <w:jc w:val="both"/>
        <w:rPr>
          <w:rFonts w:ascii="Times New Roman" w:eastAsia="Times New Roman" w:hAnsi="Times New Roman"/>
          <w:bCs/>
          <w:sz w:val="28"/>
          <w:szCs w:val="28"/>
          <w:lang w:val="en-GB"/>
        </w:rPr>
      </w:pPr>
      <w:r w:rsidRPr="00365781">
        <w:rPr>
          <w:rFonts w:ascii="Times New Roman" w:eastAsia="Times New Roman" w:hAnsi="Times New Roman"/>
          <w:bCs/>
          <w:sz w:val="28"/>
          <w:szCs w:val="28"/>
          <w:lang w:val="en-GB"/>
        </w:rPr>
        <w:t>Law of Property Act 1925</w:t>
      </w:r>
    </w:p>
    <w:p w14:paraId="1DF4F542" w14:textId="00D2130D" w:rsidR="0082466E" w:rsidRPr="00365781" w:rsidRDefault="0082466E" w:rsidP="00131C0A">
      <w:pPr>
        <w:spacing w:after="0" w:line="480" w:lineRule="auto"/>
        <w:jc w:val="both"/>
        <w:rPr>
          <w:rFonts w:ascii="Times New Roman" w:eastAsia="Times New Roman" w:hAnsi="Times New Roman"/>
          <w:bCs/>
          <w:sz w:val="28"/>
          <w:szCs w:val="28"/>
          <w:lang w:val="en-GB"/>
        </w:rPr>
      </w:pPr>
      <w:r w:rsidRPr="00365781">
        <w:rPr>
          <w:rFonts w:ascii="Times New Roman" w:eastAsia="Times New Roman" w:hAnsi="Times New Roman"/>
          <w:sz w:val="28"/>
          <w:szCs w:val="28"/>
          <w:lang w:val="en-GB"/>
        </w:rPr>
        <w:t>The Trusts of Land and Appointment of Trustees Act 1996</w:t>
      </w:r>
    </w:p>
    <w:p w14:paraId="0A60161B" w14:textId="3A465025" w:rsidR="007D116E" w:rsidRPr="00365781" w:rsidRDefault="007D116E" w:rsidP="00131C0A">
      <w:pPr>
        <w:spacing w:after="0" w:line="480" w:lineRule="auto"/>
        <w:jc w:val="both"/>
        <w:rPr>
          <w:rFonts w:ascii="Times New Roman" w:eastAsia="Times New Roman" w:hAnsi="Times New Roman"/>
          <w:bCs/>
          <w:sz w:val="28"/>
          <w:szCs w:val="28"/>
          <w:lang w:val="en-GB"/>
        </w:rPr>
      </w:pPr>
      <w:r w:rsidRPr="00365781">
        <w:rPr>
          <w:rFonts w:ascii="Times New Roman" w:eastAsia="Times New Roman" w:hAnsi="Times New Roman"/>
          <w:bCs/>
          <w:sz w:val="28"/>
          <w:szCs w:val="28"/>
          <w:lang w:val="en-GB"/>
        </w:rPr>
        <w:t>Prescription Act 1832</w:t>
      </w:r>
    </w:p>
    <w:p w14:paraId="03DB75EC" w14:textId="11B9695A" w:rsidR="007D116E" w:rsidRPr="00365781" w:rsidRDefault="007D116E" w:rsidP="00131C0A">
      <w:pPr>
        <w:spacing w:after="0" w:line="480" w:lineRule="auto"/>
        <w:jc w:val="both"/>
        <w:rPr>
          <w:rFonts w:ascii="Times New Roman" w:eastAsia="Times New Roman" w:hAnsi="Times New Roman"/>
          <w:bCs/>
          <w:sz w:val="28"/>
          <w:szCs w:val="28"/>
          <w:lang w:val="en-GB"/>
        </w:rPr>
      </w:pPr>
      <w:r w:rsidRPr="00365781">
        <w:rPr>
          <w:rFonts w:ascii="Times New Roman" w:eastAsia="Times New Roman" w:hAnsi="Times New Roman"/>
          <w:bCs/>
          <w:sz w:val="28"/>
          <w:szCs w:val="28"/>
          <w:lang w:val="en-GB"/>
        </w:rPr>
        <w:t>Right of Light Act 1959</w:t>
      </w:r>
    </w:p>
    <w:p w14:paraId="452872C4" w14:textId="749CAF9F" w:rsidR="007D116E" w:rsidRPr="00365781" w:rsidRDefault="007D116E" w:rsidP="00131C0A">
      <w:pPr>
        <w:spacing w:after="0" w:line="480" w:lineRule="auto"/>
        <w:jc w:val="both"/>
        <w:rPr>
          <w:rFonts w:ascii="Times New Roman" w:eastAsia="Times New Roman" w:hAnsi="Times New Roman"/>
          <w:b/>
          <w:sz w:val="28"/>
          <w:szCs w:val="28"/>
          <w:lang w:val="en-GB"/>
        </w:rPr>
      </w:pPr>
      <w:r w:rsidRPr="00365781">
        <w:rPr>
          <w:rFonts w:ascii="Times New Roman" w:eastAsia="Times New Roman" w:hAnsi="Times New Roman"/>
          <w:b/>
          <w:sz w:val="28"/>
          <w:szCs w:val="28"/>
          <w:lang w:val="en-GB"/>
        </w:rPr>
        <w:t>Cases</w:t>
      </w:r>
    </w:p>
    <w:p w14:paraId="2775FB6B" w14:textId="77777777" w:rsidR="00131C0A" w:rsidRPr="00365781" w:rsidRDefault="00131C0A" w:rsidP="00131C0A">
      <w:pPr>
        <w:spacing w:after="0" w:line="480" w:lineRule="auto"/>
        <w:jc w:val="both"/>
        <w:rPr>
          <w:rFonts w:ascii="Times New Roman" w:eastAsia="Times New Roman" w:hAnsi="Times New Roman"/>
          <w:i/>
          <w:sz w:val="28"/>
          <w:szCs w:val="28"/>
          <w:lang w:val="en-GB"/>
        </w:rPr>
      </w:pPr>
      <w:r w:rsidRPr="00365781">
        <w:rPr>
          <w:rFonts w:ascii="Times New Roman" w:eastAsia="Times New Roman" w:hAnsi="Times New Roman"/>
          <w:i/>
          <w:sz w:val="28"/>
          <w:szCs w:val="28"/>
          <w:lang w:val="en-GB"/>
        </w:rPr>
        <w:t>Anchor Brewhouse Developments v Berkley House (Docklands) Developments [1987],</w:t>
      </w:r>
    </w:p>
    <w:p w14:paraId="743B033F" w14:textId="77777777" w:rsidR="00131C0A" w:rsidRPr="00365781" w:rsidRDefault="00131C0A" w:rsidP="00131C0A">
      <w:pPr>
        <w:spacing w:after="0" w:line="480" w:lineRule="auto"/>
        <w:jc w:val="both"/>
        <w:rPr>
          <w:rFonts w:ascii="Times New Roman" w:eastAsia="Times New Roman" w:hAnsi="Times New Roman"/>
          <w:i/>
          <w:sz w:val="28"/>
          <w:szCs w:val="28"/>
          <w:lang w:val="en-GB"/>
        </w:rPr>
      </w:pPr>
      <w:r w:rsidRPr="00365781">
        <w:rPr>
          <w:rFonts w:ascii="Times New Roman" w:eastAsia="Times New Roman" w:hAnsi="Times New Roman"/>
          <w:i/>
          <w:sz w:val="28"/>
          <w:szCs w:val="28"/>
          <w:lang w:val="en-GB"/>
        </w:rPr>
        <w:t>Bakewell Management Brandwood (2004)</w:t>
      </w:r>
    </w:p>
    <w:p w14:paraId="16F87DC0" w14:textId="77777777" w:rsidR="00131C0A" w:rsidRPr="00365781" w:rsidRDefault="00131C0A" w:rsidP="00131C0A">
      <w:pPr>
        <w:spacing w:after="0" w:line="480" w:lineRule="auto"/>
        <w:jc w:val="both"/>
        <w:rPr>
          <w:rFonts w:ascii="Times New Roman" w:eastAsia="Times New Roman" w:hAnsi="Times New Roman"/>
          <w:i/>
          <w:sz w:val="28"/>
          <w:szCs w:val="28"/>
          <w:lang w:val="en-GB"/>
        </w:rPr>
      </w:pPr>
      <w:r w:rsidRPr="00365781">
        <w:rPr>
          <w:rFonts w:ascii="Times New Roman" w:eastAsia="Times New Roman" w:hAnsi="Times New Roman"/>
          <w:i/>
          <w:sz w:val="28"/>
          <w:szCs w:val="28"/>
          <w:lang w:val="en-GB"/>
        </w:rPr>
        <w:t>Dalton v Angus (1881),</w:t>
      </w:r>
    </w:p>
    <w:p w14:paraId="55FCFDF3" w14:textId="77777777" w:rsidR="00131C0A" w:rsidRPr="00365781" w:rsidRDefault="00131C0A" w:rsidP="00131C0A">
      <w:pPr>
        <w:spacing w:after="0" w:line="480" w:lineRule="auto"/>
        <w:jc w:val="both"/>
        <w:rPr>
          <w:rFonts w:ascii="Times New Roman" w:eastAsia="Times New Roman" w:hAnsi="Times New Roman"/>
          <w:i/>
          <w:sz w:val="28"/>
          <w:szCs w:val="28"/>
          <w:lang w:val="en-GB"/>
        </w:rPr>
      </w:pPr>
      <w:r w:rsidRPr="00365781">
        <w:rPr>
          <w:rFonts w:ascii="Times New Roman" w:eastAsia="Times New Roman" w:hAnsi="Times New Roman"/>
          <w:i/>
          <w:sz w:val="28"/>
          <w:szCs w:val="28"/>
          <w:lang w:val="en-GB"/>
        </w:rPr>
        <w:t>Duke of Norfolk v Arbuthnot (1880)</w:t>
      </w:r>
    </w:p>
    <w:p w14:paraId="65A72CE4" w14:textId="77777777" w:rsidR="00131C0A" w:rsidRPr="00365781" w:rsidRDefault="00131C0A" w:rsidP="00131C0A">
      <w:pPr>
        <w:spacing w:after="0" w:line="480" w:lineRule="auto"/>
        <w:jc w:val="both"/>
        <w:rPr>
          <w:rFonts w:ascii="Times New Roman" w:eastAsia="Times New Roman" w:hAnsi="Times New Roman"/>
          <w:sz w:val="28"/>
          <w:szCs w:val="28"/>
          <w:lang w:val="en-GB"/>
        </w:rPr>
      </w:pPr>
      <w:r w:rsidRPr="00365781">
        <w:rPr>
          <w:rFonts w:ascii="Times New Roman" w:eastAsia="Times New Roman" w:hAnsi="Times New Roman"/>
          <w:i/>
          <w:sz w:val="28"/>
          <w:szCs w:val="28"/>
          <w:lang w:val="en-GB"/>
        </w:rPr>
        <w:t>Gardner v Hodgson’s Kingston Brewery (1903</w:t>
      </w:r>
      <w:r w:rsidRPr="00365781">
        <w:rPr>
          <w:rFonts w:ascii="Times New Roman" w:eastAsia="Times New Roman" w:hAnsi="Times New Roman"/>
          <w:sz w:val="28"/>
          <w:szCs w:val="28"/>
          <w:lang w:val="en-GB"/>
        </w:rPr>
        <w:t>)</w:t>
      </w:r>
    </w:p>
    <w:p w14:paraId="597209F5" w14:textId="77777777" w:rsidR="00131C0A" w:rsidRPr="00365781" w:rsidRDefault="00131C0A" w:rsidP="00131C0A">
      <w:pPr>
        <w:spacing w:after="0" w:line="480" w:lineRule="auto"/>
        <w:jc w:val="both"/>
        <w:rPr>
          <w:rFonts w:ascii="Times New Roman" w:eastAsia="Times New Roman" w:hAnsi="Times New Roman"/>
          <w:i/>
          <w:sz w:val="28"/>
          <w:szCs w:val="28"/>
          <w:lang w:val="en-GB"/>
        </w:rPr>
      </w:pPr>
      <w:r w:rsidRPr="00365781">
        <w:rPr>
          <w:rFonts w:ascii="Times New Roman" w:eastAsia="Times New Roman" w:hAnsi="Times New Roman"/>
          <w:i/>
          <w:sz w:val="28"/>
          <w:szCs w:val="28"/>
          <w:lang w:val="en-GB"/>
        </w:rPr>
        <w:t>Hollins v Verney [7], CA 1884</w:t>
      </w:r>
    </w:p>
    <w:p w14:paraId="06F4E1C3" w14:textId="77777777" w:rsidR="00131C0A" w:rsidRPr="00365781" w:rsidRDefault="00131C0A" w:rsidP="00131C0A">
      <w:pPr>
        <w:spacing w:after="0" w:line="480" w:lineRule="auto"/>
        <w:jc w:val="both"/>
        <w:rPr>
          <w:rFonts w:ascii="Times New Roman" w:eastAsia="Times New Roman" w:hAnsi="Times New Roman"/>
          <w:i/>
          <w:sz w:val="28"/>
          <w:szCs w:val="28"/>
          <w:lang w:val="en-GB"/>
        </w:rPr>
      </w:pPr>
      <w:r w:rsidRPr="00365781">
        <w:rPr>
          <w:rFonts w:ascii="Times New Roman" w:eastAsia="Times New Roman" w:hAnsi="Times New Roman"/>
          <w:i/>
          <w:sz w:val="28"/>
          <w:szCs w:val="28"/>
          <w:lang w:val="en-GB"/>
        </w:rPr>
        <w:t>Liverpool Corp v Coghill (1918)</w:t>
      </w:r>
    </w:p>
    <w:p w14:paraId="7B859C93" w14:textId="77777777" w:rsidR="00131C0A" w:rsidRPr="00365781" w:rsidRDefault="00131C0A" w:rsidP="00131C0A">
      <w:pPr>
        <w:spacing w:after="0" w:line="480" w:lineRule="auto"/>
        <w:jc w:val="both"/>
        <w:rPr>
          <w:rFonts w:ascii="Times New Roman" w:eastAsia="Times New Roman" w:hAnsi="Times New Roman"/>
          <w:i/>
          <w:sz w:val="28"/>
          <w:szCs w:val="28"/>
          <w:lang w:val="en-GB"/>
        </w:rPr>
      </w:pPr>
      <w:r w:rsidRPr="00365781">
        <w:rPr>
          <w:rFonts w:ascii="Times New Roman" w:eastAsia="Times New Roman" w:hAnsi="Times New Roman"/>
          <w:i/>
          <w:sz w:val="28"/>
          <w:szCs w:val="28"/>
          <w:lang w:val="en-GB"/>
        </w:rPr>
        <w:t>Metropolitan Railway Co v Fowler (1893),</w:t>
      </w:r>
    </w:p>
    <w:p w14:paraId="4FD4B015" w14:textId="77777777" w:rsidR="00131C0A" w:rsidRPr="00365781" w:rsidRDefault="00131C0A" w:rsidP="00131C0A">
      <w:pPr>
        <w:spacing w:after="0" w:line="480" w:lineRule="auto"/>
        <w:jc w:val="both"/>
        <w:rPr>
          <w:rFonts w:ascii="Times New Roman" w:eastAsia="Times New Roman" w:hAnsi="Times New Roman"/>
          <w:i/>
          <w:sz w:val="28"/>
          <w:szCs w:val="28"/>
          <w:lang w:val="en-GB"/>
        </w:rPr>
      </w:pPr>
      <w:r w:rsidRPr="00365781">
        <w:rPr>
          <w:rFonts w:ascii="Times New Roman" w:eastAsia="Times New Roman" w:hAnsi="Times New Roman"/>
          <w:i/>
          <w:sz w:val="28"/>
          <w:szCs w:val="28"/>
          <w:lang w:val="en-GB"/>
        </w:rPr>
        <w:t>Orme v Lyons (2012)</w:t>
      </w:r>
    </w:p>
    <w:p w14:paraId="2D73F90F" w14:textId="77777777" w:rsidR="00131C0A" w:rsidRPr="00365781" w:rsidRDefault="00131C0A" w:rsidP="00131C0A">
      <w:pPr>
        <w:spacing w:after="0" w:line="480" w:lineRule="auto"/>
        <w:jc w:val="both"/>
        <w:rPr>
          <w:rFonts w:ascii="Times New Roman" w:eastAsia="Times New Roman" w:hAnsi="Times New Roman"/>
          <w:i/>
          <w:sz w:val="28"/>
          <w:szCs w:val="28"/>
          <w:lang w:val="en-GB"/>
        </w:rPr>
      </w:pPr>
      <w:r w:rsidRPr="00365781">
        <w:rPr>
          <w:rFonts w:ascii="Times New Roman" w:eastAsia="Times New Roman" w:hAnsi="Times New Roman"/>
          <w:i/>
          <w:sz w:val="28"/>
          <w:szCs w:val="28"/>
          <w:lang w:val="en-GB"/>
        </w:rPr>
        <w:t>Re-Ellenborough Park [1956] CH 131,</w:t>
      </w:r>
    </w:p>
    <w:p w14:paraId="55268FB6" w14:textId="77777777" w:rsidR="00131C0A" w:rsidRPr="00365781" w:rsidRDefault="00131C0A" w:rsidP="00131C0A">
      <w:pPr>
        <w:spacing w:after="0" w:line="480" w:lineRule="auto"/>
        <w:jc w:val="both"/>
        <w:rPr>
          <w:rFonts w:ascii="Times New Roman" w:eastAsia="Times New Roman" w:hAnsi="Times New Roman"/>
          <w:sz w:val="28"/>
          <w:szCs w:val="28"/>
          <w:lang w:val="en-GB"/>
        </w:rPr>
      </w:pPr>
      <w:r w:rsidRPr="00365781">
        <w:rPr>
          <w:rFonts w:ascii="Times New Roman" w:eastAsia="Times New Roman" w:hAnsi="Times New Roman"/>
          <w:i/>
          <w:sz w:val="28"/>
          <w:szCs w:val="28"/>
          <w:lang w:val="en-GB"/>
        </w:rPr>
        <w:t xml:space="preserve">Rance V Elvin </w:t>
      </w:r>
      <w:r w:rsidRPr="00365781">
        <w:rPr>
          <w:rFonts w:ascii="Times New Roman" w:eastAsia="Times New Roman" w:hAnsi="Times New Roman"/>
          <w:sz w:val="28"/>
          <w:szCs w:val="28"/>
          <w:lang w:val="en-GB"/>
        </w:rPr>
        <w:t>(1985)</w:t>
      </w:r>
    </w:p>
    <w:p w14:paraId="43641C19" w14:textId="77777777" w:rsidR="00131C0A" w:rsidRPr="00365781" w:rsidRDefault="00131C0A" w:rsidP="00131C0A">
      <w:pPr>
        <w:spacing w:after="0" w:line="480" w:lineRule="auto"/>
        <w:jc w:val="both"/>
        <w:rPr>
          <w:rFonts w:ascii="Times New Roman" w:eastAsia="Times New Roman" w:hAnsi="Times New Roman"/>
          <w:i/>
          <w:sz w:val="28"/>
          <w:szCs w:val="28"/>
          <w:lang w:val="en-GB"/>
        </w:rPr>
      </w:pPr>
      <w:r w:rsidRPr="00365781">
        <w:rPr>
          <w:rFonts w:ascii="Times New Roman" w:eastAsia="Times New Roman" w:hAnsi="Times New Roman"/>
          <w:i/>
          <w:sz w:val="28"/>
          <w:szCs w:val="28"/>
          <w:lang w:val="en-GB"/>
        </w:rPr>
        <w:t>Goldberg v Edwards [1950] Ch 247</w:t>
      </w:r>
    </w:p>
    <w:p w14:paraId="7296C2E5" w14:textId="77777777" w:rsidR="00131C0A" w:rsidRPr="00365781" w:rsidRDefault="00131C0A" w:rsidP="00131C0A">
      <w:pPr>
        <w:spacing w:after="0" w:line="480" w:lineRule="auto"/>
        <w:jc w:val="both"/>
        <w:rPr>
          <w:rFonts w:ascii="Times New Roman" w:eastAsia="Times New Roman" w:hAnsi="Times New Roman"/>
          <w:i/>
          <w:sz w:val="28"/>
          <w:szCs w:val="28"/>
          <w:lang w:val="en-GB"/>
        </w:rPr>
      </w:pPr>
      <w:r w:rsidRPr="00365781">
        <w:rPr>
          <w:rFonts w:ascii="Times New Roman" w:eastAsia="Times New Roman" w:hAnsi="Times New Roman"/>
          <w:i/>
          <w:sz w:val="28"/>
          <w:szCs w:val="28"/>
          <w:lang w:val="en-GB"/>
        </w:rPr>
        <w:t xml:space="preserve">Hill v Tupper (1863) 159 ER 51 </w:t>
      </w:r>
    </w:p>
    <w:p w14:paraId="1CBFC6E7" w14:textId="77777777" w:rsidR="00131C0A" w:rsidRPr="00365781" w:rsidRDefault="00131C0A" w:rsidP="00131C0A">
      <w:pPr>
        <w:spacing w:after="0" w:line="480" w:lineRule="auto"/>
        <w:jc w:val="both"/>
        <w:rPr>
          <w:rFonts w:ascii="Times New Roman" w:eastAsia="Times New Roman" w:hAnsi="Times New Roman"/>
          <w:b/>
          <w:sz w:val="28"/>
          <w:szCs w:val="28"/>
          <w:lang w:val="en-GB"/>
        </w:rPr>
      </w:pPr>
    </w:p>
    <w:p w14:paraId="043E3B34" w14:textId="77777777" w:rsidR="00131C0A" w:rsidRPr="00365781" w:rsidRDefault="00131C0A" w:rsidP="00131C0A">
      <w:pPr>
        <w:spacing w:after="0" w:line="480" w:lineRule="auto"/>
        <w:jc w:val="both"/>
        <w:rPr>
          <w:rFonts w:ascii="Times New Roman" w:eastAsia="Times New Roman" w:hAnsi="Times New Roman"/>
          <w:b/>
          <w:sz w:val="28"/>
          <w:szCs w:val="28"/>
          <w:lang w:val="en-GB"/>
        </w:rPr>
      </w:pPr>
    </w:p>
    <w:p w14:paraId="6271DE9B" w14:textId="77777777" w:rsidR="00131C0A" w:rsidRPr="00365781" w:rsidRDefault="00131C0A" w:rsidP="00131C0A">
      <w:pPr>
        <w:spacing w:after="0" w:line="480" w:lineRule="auto"/>
        <w:ind w:left="360"/>
        <w:rPr>
          <w:rFonts w:ascii="Times New Roman" w:eastAsia="Times New Roman" w:hAnsi="Times New Roman"/>
          <w:sz w:val="28"/>
          <w:szCs w:val="28"/>
          <w:lang w:val="en-GB"/>
        </w:rPr>
      </w:pPr>
    </w:p>
    <w:p w14:paraId="4575BA4C" w14:textId="77777777" w:rsidR="00131C0A" w:rsidRPr="00365781" w:rsidRDefault="00131C0A" w:rsidP="00131C0A">
      <w:pPr>
        <w:spacing w:after="0" w:line="480" w:lineRule="auto"/>
        <w:ind w:left="360"/>
        <w:rPr>
          <w:rFonts w:ascii="Times New Roman" w:eastAsia="Times New Roman" w:hAnsi="Times New Roman"/>
          <w:sz w:val="28"/>
          <w:szCs w:val="28"/>
          <w:lang w:val="en-GB"/>
        </w:rPr>
      </w:pPr>
    </w:p>
    <w:p w14:paraId="5078D538" w14:textId="77777777" w:rsidR="00131C0A" w:rsidRPr="00365781" w:rsidRDefault="00131C0A" w:rsidP="00131C0A">
      <w:pPr>
        <w:spacing w:line="360" w:lineRule="auto"/>
        <w:jc w:val="both"/>
        <w:rPr>
          <w:rFonts w:ascii="Times New Roman" w:eastAsia="Times New Roman" w:hAnsi="Times New Roman"/>
          <w:sz w:val="28"/>
          <w:szCs w:val="28"/>
          <w:lang w:val="en-GB"/>
        </w:rPr>
      </w:pPr>
    </w:p>
    <w:p w14:paraId="4698967E" w14:textId="77777777" w:rsidR="00131C0A" w:rsidRPr="00365781" w:rsidRDefault="00131C0A" w:rsidP="00131C0A">
      <w:pPr>
        <w:spacing w:line="480" w:lineRule="auto"/>
        <w:jc w:val="both"/>
        <w:rPr>
          <w:rFonts w:ascii="Times New Roman" w:eastAsia="Times New Roman" w:hAnsi="Times New Roman"/>
          <w:sz w:val="28"/>
          <w:szCs w:val="28"/>
          <w:lang w:val="en-GB"/>
        </w:rPr>
      </w:pPr>
    </w:p>
    <w:p w14:paraId="16C3AA52" w14:textId="28584076" w:rsidR="00245A3B" w:rsidRPr="00365781" w:rsidRDefault="00245A3B" w:rsidP="00131C0A">
      <w:pPr>
        <w:spacing w:after="0" w:line="480" w:lineRule="auto"/>
        <w:contextualSpacing/>
        <w:jc w:val="both"/>
        <w:rPr>
          <w:rFonts w:ascii="Times New Roman" w:hAnsi="Times New Roman"/>
          <w:sz w:val="28"/>
          <w:szCs w:val="28"/>
        </w:rPr>
      </w:pPr>
    </w:p>
    <w:p w14:paraId="2FE44480" w14:textId="6B69C87B" w:rsidR="00DD3F16" w:rsidRPr="00365781" w:rsidRDefault="00DD3F16" w:rsidP="00245A3B">
      <w:pPr>
        <w:pStyle w:val="Heading1"/>
        <w:rPr>
          <w:rFonts w:ascii="Times New Roman" w:hAnsi="Times New Roman" w:cs="Times New Roman"/>
        </w:rPr>
      </w:pPr>
    </w:p>
    <w:sectPr w:rsidR="00DD3F16" w:rsidRPr="00365781" w:rsidSect="00C42F45">
      <w:headerReference w:type="default" r:id="rId20"/>
      <w:footerReference w:type="default" r:id="rId21"/>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BE8E7E" w14:textId="77777777" w:rsidR="000912CA" w:rsidRDefault="000912CA" w:rsidP="00DB01DD">
      <w:pPr>
        <w:spacing w:after="0" w:line="240" w:lineRule="auto"/>
      </w:pPr>
      <w:r>
        <w:separator/>
      </w:r>
    </w:p>
  </w:endnote>
  <w:endnote w:type="continuationSeparator" w:id="0">
    <w:p w14:paraId="37A4BF72" w14:textId="77777777" w:rsidR="000912CA" w:rsidRDefault="000912CA" w:rsidP="00DB01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jc w:val="center"/>
      <w:tblCellMar>
        <w:top w:w="144" w:type="dxa"/>
        <w:left w:w="115" w:type="dxa"/>
        <w:bottom w:w="144" w:type="dxa"/>
        <w:right w:w="115" w:type="dxa"/>
      </w:tblCellMar>
      <w:tblLook w:val="04A0" w:firstRow="1" w:lastRow="0" w:firstColumn="1" w:lastColumn="0" w:noHBand="0" w:noVBand="1"/>
    </w:tblPr>
    <w:tblGrid>
      <w:gridCol w:w="4825"/>
      <w:gridCol w:w="4813"/>
    </w:tblGrid>
    <w:tr w:rsidR="009B6E64" w14:paraId="2F47DC72" w14:textId="77777777">
      <w:trPr>
        <w:trHeight w:hRule="exact" w:val="115"/>
        <w:jc w:val="center"/>
      </w:trPr>
      <w:tc>
        <w:tcPr>
          <w:tcW w:w="4686" w:type="dxa"/>
          <w:shd w:val="clear" w:color="auto" w:fill="4472C4" w:themeFill="accent1"/>
          <w:tcMar>
            <w:top w:w="0" w:type="dxa"/>
            <w:bottom w:w="0" w:type="dxa"/>
          </w:tcMar>
        </w:tcPr>
        <w:p w14:paraId="7CF79616" w14:textId="77777777" w:rsidR="009B6E64" w:rsidRDefault="009B6E64">
          <w:pPr>
            <w:pStyle w:val="Header"/>
            <w:rPr>
              <w:caps/>
              <w:sz w:val="18"/>
            </w:rPr>
          </w:pPr>
        </w:p>
      </w:tc>
      <w:tc>
        <w:tcPr>
          <w:tcW w:w="4674" w:type="dxa"/>
          <w:shd w:val="clear" w:color="auto" w:fill="4472C4" w:themeFill="accent1"/>
          <w:tcMar>
            <w:top w:w="0" w:type="dxa"/>
            <w:bottom w:w="0" w:type="dxa"/>
          </w:tcMar>
        </w:tcPr>
        <w:p w14:paraId="4145D6A2" w14:textId="77777777" w:rsidR="009B6E64" w:rsidRDefault="009B6E64">
          <w:pPr>
            <w:pStyle w:val="Header"/>
            <w:jc w:val="right"/>
            <w:rPr>
              <w:caps/>
              <w:sz w:val="18"/>
            </w:rPr>
          </w:pPr>
        </w:p>
      </w:tc>
    </w:tr>
    <w:tr w:rsidR="009B6E64" w14:paraId="5D80770C" w14:textId="77777777">
      <w:trPr>
        <w:jc w:val="center"/>
      </w:trPr>
      <w:sdt>
        <w:sdtPr>
          <w:rPr>
            <w:caps/>
            <w:color w:val="808080" w:themeColor="background1" w:themeShade="80"/>
            <w:sz w:val="18"/>
            <w:szCs w:val="18"/>
          </w:rPr>
          <w:alias w:val="Author"/>
          <w:tag w:val=""/>
          <w:id w:val="1534151868"/>
          <w:placeholder>
            <w:docPart w:val="67BDB04E893542F9AAE06116C3920B49"/>
          </w:placeholder>
          <w:dataBinding w:prefixMappings="xmlns:ns0='http://purl.org/dc/elements/1.1/' xmlns:ns1='http://schemas.openxmlformats.org/package/2006/metadata/core-properties' " w:xpath="/ns1:coreProperties[1]/ns0:creator[1]" w:storeItemID="{6C3C8BC8-F283-45AE-878A-BAB7291924A1}"/>
          <w:text/>
        </w:sdtPr>
        <w:sdtContent>
          <w:tc>
            <w:tcPr>
              <w:tcW w:w="4686" w:type="dxa"/>
              <w:shd w:val="clear" w:color="auto" w:fill="auto"/>
              <w:vAlign w:val="center"/>
            </w:tcPr>
            <w:p w14:paraId="72E0C1DA" w14:textId="4032A4BE" w:rsidR="009B6E64" w:rsidRDefault="009B6E64">
              <w:pPr>
                <w:pStyle w:val="Footer"/>
                <w:rPr>
                  <w:caps/>
                  <w:color w:val="808080" w:themeColor="background1" w:themeShade="80"/>
                  <w:sz w:val="18"/>
                  <w:szCs w:val="18"/>
                </w:rPr>
              </w:pPr>
              <w:r>
                <w:rPr>
                  <w:caps/>
                  <w:color w:val="808080" w:themeColor="background1" w:themeShade="80"/>
                  <w:sz w:val="18"/>
                  <w:szCs w:val="18"/>
                </w:rPr>
                <w:t>MD R Ahmed</w:t>
              </w:r>
            </w:p>
          </w:tc>
        </w:sdtContent>
      </w:sdt>
      <w:tc>
        <w:tcPr>
          <w:tcW w:w="4674" w:type="dxa"/>
          <w:shd w:val="clear" w:color="auto" w:fill="auto"/>
          <w:vAlign w:val="center"/>
        </w:tcPr>
        <w:p w14:paraId="3379AA21" w14:textId="77777777" w:rsidR="009B6E64" w:rsidRDefault="009B6E64">
          <w:pPr>
            <w:pStyle w:val="Footer"/>
            <w:jc w:val="right"/>
            <w:rPr>
              <w:caps/>
              <w:color w:val="808080" w:themeColor="background1" w:themeShade="80"/>
              <w:sz w:val="18"/>
              <w:szCs w:val="18"/>
            </w:rPr>
          </w:pPr>
          <w:r>
            <w:rPr>
              <w:caps/>
              <w:color w:val="808080" w:themeColor="background1" w:themeShade="80"/>
              <w:sz w:val="18"/>
              <w:szCs w:val="18"/>
            </w:rPr>
            <w:fldChar w:fldCharType="begin"/>
          </w:r>
          <w:r>
            <w:rPr>
              <w:caps/>
              <w:color w:val="808080" w:themeColor="background1" w:themeShade="80"/>
              <w:sz w:val="18"/>
              <w:szCs w:val="18"/>
            </w:rPr>
            <w:instrText xml:space="preserve"> PAGE   \* MERGEFORMAT </w:instrText>
          </w:r>
          <w:r>
            <w:rPr>
              <w:caps/>
              <w:color w:val="808080" w:themeColor="background1" w:themeShade="80"/>
              <w:sz w:val="18"/>
              <w:szCs w:val="18"/>
            </w:rPr>
            <w:fldChar w:fldCharType="separate"/>
          </w:r>
          <w:r>
            <w:rPr>
              <w:caps/>
              <w:noProof/>
              <w:color w:val="808080" w:themeColor="background1" w:themeShade="80"/>
              <w:sz w:val="18"/>
              <w:szCs w:val="18"/>
            </w:rPr>
            <w:t>2</w:t>
          </w:r>
          <w:r>
            <w:rPr>
              <w:caps/>
              <w:noProof/>
              <w:color w:val="808080" w:themeColor="background1" w:themeShade="80"/>
              <w:sz w:val="18"/>
              <w:szCs w:val="18"/>
            </w:rPr>
            <w:fldChar w:fldCharType="end"/>
          </w:r>
        </w:p>
      </w:tc>
    </w:tr>
  </w:tbl>
  <w:p w14:paraId="5A05EDCF" w14:textId="77777777" w:rsidR="009B6E64" w:rsidRDefault="009B6E6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8B77C4" w14:textId="77777777" w:rsidR="000912CA" w:rsidRDefault="000912CA" w:rsidP="00DB01DD">
      <w:pPr>
        <w:spacing w:after="0" w:line="240" w:lineRule="auto"/>
      </w:pPr>
      <w:r>
        <w:separator/>
      </w:r>
    </w:p>
  </w:footnote>
  <w:footnote w:type="continuationSeparator" w:id="0">
    <w:p w14:paraId="25081B5C" w14:textId="77777777" w:rsidR="000912CA" w:rsidRDefault="000912CA" w:rsidP="00DB01D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F5BE1A" w14:textId="11C432B1" w:rsidR="00273072" w:rsidRDefault="00273072">
    <w:pPr>
      <w:pStyle w:val="Header"/>
    </w:pPr>
  </w:p>
  <w:p w14:paraId="2ED9662D" w14:textId="653196D3" w:rsidR="00273072" w:rsidRDefault="00273072">
    <w:pPr>
      <w:pStyle w:val="Header"/>
    </w:pPr>
  </w:p>
  <w:p w14:paraId="3A740B9F" w14:textId="77777777" w:rsidR="00273072" w:rsidRDefault="0027307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3CC70B3"/>
    <w:multiLevelType w:val="hybridMultilevel"/>
    <w:tmpl w:val="A5E828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D16324B"/>
    <w:multiLevelType w:val="hybridMultilevel"/>
    <w:tmpl w:val="A44A49AC"/>
    <w:lvl w:ilvl="0" w:tplc="CEBA5E78">
      <w:start w:val="4"/>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70027860">
    <w:abstractNumId w:val="0"/>
  </w:num>
  <w:num w:numId="2" w16cid:durableId="175921264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2583"/>
    <w:rsid w:val="00012006"/>
    <w:rsid w:val="00022486"/>
    <w:rsid w:val="00031A0F"/>
    <w:rsid w:val="00033EA8"/>
    <w:rsid w:val="000419A0"/>
    <w:rsid w:val="0004769A"/>
    <w:rsid w:val="000528DD"/>
    <w:rsid w:val="00054E7E"/>
    <w:rsid w:val="00064CE4"/>
    <w:rsid w:val="000778BB"/>
    <w:rsid w:val="00083161"/>
    <w:rsid w:val="00084688"/>
    <w:rsid w:val="000912CA"/>
    <w:rsid w:val="000916A7"/>
    <w:rsid w:val="00093034"/>
    <w:rsid w:val="000A2FF0"/>
    <w:rsid w:val="000A5695"/>
    <w:rsid w:val="000C3DB2"/>
    <w:rsid w:val="000C41DE"/>
    <w:rsid w:val="000C45BA"/>
    <w:rsid w:val="000D16B0"/>
    <w:rsid w:val="000D3EB0"/>
    <w:rsid w:val="000D535E"/>
    <w:rsid w:val="000E6BD1"/>
    <w:rsid w:val="000F0379"/>
    <w:rsid w:val="00111452"/>
    <w:rsid w:val="0013099D"/>
    <w:rsid w:val="00131C0A"/>
    <w:rsid w:val="00134479"/>
    <w:rsid w:val="001370F8"/>
    <w:rsid w:val="00140E1D"/>
    <w:rsid w:val="00144C76"/>
    <w:rsid w:val="00152884"/>
    <w:rsid w:val="001650C4"/>
    <w:rsid w:val="001700EC"/>
    <w:rsid w:val="00172EC1"/>
    <w:rsid w:val="001769CD"/>
    <w:rsid w:val="00181629"/>
    <w:rsid w:val="0018522C"/>
    <w:rsid w:val="0019084E"/>
    <w:rsid w:val="001B04D4"/>
    <w:rsid w:val="001B32AD"/>
    <w:rsid w:val="001D69F0"/>
    <w:rsid w:val="001E5747"/>
    <w:rsid w:val="001F6F81"/>
    <w:rsid w:val="002129DE"/>
    <w:rsid w:val="002164C8"/>
    <w:rsid w:val="00222017"/>
    <w:rsid w:val="00227F68"/>
    <w:rsid w:val="002333FA"/>
    <w:rsid w:val="00233F97"/>
    <w:rsid w:val="00245A3B"/>
    <w:rsid w:val="00252D55"/>
    <w:rsid w:val="00262544"/>
    <w:rsid w:val="002639BD"/>
    <w:rsid w:val="00273072"/>
    <w:rsid w:val="0027621B"/>
    <w:rsid w:val="00283F9E"/>
    <w:rsid w:val="002862FD"/>
    <w:rsid w:val="00290474"/>
    <w:rsid w:val="0029713F"/>
    <w:rsid w:val="002A0FA0"/>
    <w:rsid w:val="002A3B15"/>
    <w:rsid w:val="002B1F8F"/>
    <w:rsid w:val="002C3AD2"/>
    <w:rsid w:val="002D0F24"/>
    <w:rsid w:val="002E5751"/>
    <w:rsid w:val="002F1DEB"/>
    <w:rsid w:val="002F23A5"/>
    <w:rsid w:val="002F30D7"/>
    <w:rsid w:val="0030484F"/>
    <w:rsid w:val="00317001"/>
    <w:rsid w:val="00323843"/>
    <w:rsid w:val="00337937"/>
    <w:rsid w:val="00340E35"/>
    <w:rsid w:val="00344D81"/>
    <w:rsid w:val="003515D9"/>
    <w:rsid w:val="00354C42"/>
    <w:rsid w:val="00357783"/>
    <w:rsid w:val="00365781"/>
    <w:rsid w:val="0038159D"/>
    <w:rsid w:val="00386449"/>
    <w:rsid w:val="003874B8"/>
    <w:rsid w:val="003959FD"/>
    <w:rsid w:val="003A05EC"/>
    <w:rsid w:val="003A0E70"/>
    <w:rsid w:val="003A22A4"/>
    <w:rsid w:val="003A5F51"/>
    <w:rsid w:val="003B1303"/>
    <w:rsid w:val="003B52D5"/>
    <w:rsid w:val="003B5D51"/>
    <w:rsid w:val="003D20D9"/>
    <w:rsid w:val="003D4A7A"/>
    <w:rsid w:val="003D7129"/>
    <w:rsid w:val="003F3263"/>
    <w:rsid w:val="003F45E2"/>
    <w:rsid w:val="003F54FE"/>
    <w:rsid w:val="0041498C"/>
    <w:rsid w:val="00422FEB"/>
    <w:rsid w:val="00425FCC"/>
    <w:rsid w:val="004310D7"/>
    <w:rsid w:val="00433B4C"/>
    <w:rsid w:val="0044098F"/>
    <w:rsid w:val="00441A63"/>
    <w:rsid w:val="00474757"/>
    <w:rsid w:val="004764D2"/>
    <w:rsid w:val="00482CCC"/>
    <w:rsid w:val="00494D1B"/>
    <w:rsid w:val="004A72F6"/>
    <w:rsid w:val="004B1DDE"/>
    <w:rsid w:val="004B21FD"/>
    <w:rsid w:val="004C79BA"/>
    <w:rsid w:val="004D35E1"/>
    <w:rsid w:val="004E777F"/>
    <w:rsid w:val="004F0171"/>
    <w:rsid w:val="004F0757"/>
    <w:rsid w:val="00504FC5"/>
    <w:rsid w:val="00507B96"/>
    <w:rsid w:val="00514B9F"/>
    <w:rsid w:val="00540D2F"/>
    <w:rsid w:val="0059198C"/>
    <w:rsid w:val="00592996"/>
    <w:rsid w:val="005A03DE"/>
    <w:rsid w:val="005A218F"/>
    <w:rsid w:val="005A2F76"/>
    <w:rsid w:val="005A3A55"/>
    <w:rsid w:val="005B2D0E"/>
    <w:rsid w:val="005D3DCB"/>
    <w:rsid w:val="005D52D2"/>
    <w:rsid w:val="005E118E"/>
    <w:rsid w:val="006028E6"/>
    <w:rsid w:val="00630C99"/>
    <w:rsid w:val="00636E0A"/>
    <w:rsid w:val="0064333B"/>
    <w:rsid w:val="006442D2"/>
    <w:rsid w:val="00644A19"/>
    <w:rsid w:val="00660D1B"/>
    <w:rsid w:val="006712BC"/>
    <w:rsid w:val="00672E61"/>
    <w:rsid w:val="00677BB4"/>
    <w:rsid w:val="00677F43"/>
    <w:rsid w:val="00687A8E"/>
    <w:rsid w:val="00697F20"/>
    <w:rsid w:val="006A384E"/>
    <w:rsid w:val="006A44D8"/>
    <w:rsid w:val="006A48CF"/>
    <w:rsid w:val="006C6F7D"/>
    <w:rsid w:val="006E2178"/>
    <w:rsid w:val="006E67DD"/>
    <w:rsid w:val="006E77A7"/>
    <w:rsid w:val="00712757"/>
    <w:rsid w:val="007417C5"/>
    <w:rsid w:val="007612DA"/>
    <w:rsid w:val="0076285F"/>
    <w:rsid w:val="00774DB2"/>
    <w:rsid w:val="00774F34"/>
    <w:rsid w:val="00785E6A"/>
    <w:rsid w:val="00786713"/>
    <w:rsid w:val="00795AC8"/>
    <w:rsid w:val="007B2C54"/>
    <w:rsid w:val="007B6271"/>
    <w:rsid w:val="007B7AE7"/>
    <w:rsid w:val="007D116E"/>
    <w:rsid w:val="007D7E7F"/>
    <w:rsid w:val="007E44F6"/>
    <w:rsid w:val="007E5D62"/>
    <w:rsid w:val="007F0677"/>
    <w:rsid w:val="007F286D"/>
    <w:rsid w:val="007F7AA3"/>
    <w:rsid w:val="00805885"/>
    <w:rsid w:val="00821867"/>
    <w:rsid w:val="0082466E"/>
    <w:rsid w:val="00830F7F"/>
    <w:rsid w:val="008329E0"/>
    <w:rsid w:val="00835A6A"/>
    <w:rsid w:val="00837CF8"/>
    <w:rsid w:val="008457F8"/>
    <w:rsid w:val="008527E0"/>
    <w:rsid w:val="008536A5"/>
    <w:rsid w:val="00853F19"/>
    <w:rsid w:val="0086637C"/>
    <w:rsid w:val="00867B96"/>
    <w:rsid w:val="008716CE"/>
    <w:rsid w:val="00875450"/>
    <w:rsid w:val="00875D11"/>
    <w:rsid w:val="008774A0"/>
    <w:rsid w:val="008A352F"/>
    <w:rsid w:val="008C4B73"/>
    <w:rsid w:val="008D78E4"/>
    <w:rsid w:val="008D7EE4"/>
    <w:rsid w:val="008E0664"/>
    <w:rsid w:val="008F571C"/>
    <w:rsid w:val="00903B6B"/>
    <w:rsid w:val="00904026"/>
    <w:rsid w:val="00905E0D"/>
    <w:rsid w:val="00906201"/>
    <w:rsid w:val="00906362"/>
    <w:rsid w:val="00936BDD"/>
    <w:rsid w:val="009711D3"/>
    <w:rsid w:val="009837BF"/>
    <w:rsid w:val="0099110B"/>
    <w:rsid w:val="009A32E0"/>
    <w:rsid w:val="009A7ABE"/>
    <w:rsid w:val="009B6BB9"/>
    <w:rsid w:val="009B6E64"/>
    <w:rsid w:val="009B6F56"/>
    <w:rsid w:val="009D596B"/>
    <w:rsid w:val="00A02A47"/>
    <w:rsid w:val="00A12942"/>
    <w:rsid w:val="00A14BAC"/>
    <w:rsid w:val="00A263DC"/>
    <w:rsid w:val="00A26BAE"/>
    <w:rsid w:val="00A364ED"/>
    <w:rsid w:val="00A4166C"/>
    <w:rsid w:val="00A426D8"/>
    <w:rsid w:val="00A46C17"/>
    <w:rsid w:val="00A46F9E"/>
    <w:rsid w:val="00A5080F"/>
    <w:rsid w:val="00A50A9F"/>
    <w:rsid w:val="00A61245"/>
    <w:rsid w:val="00A64075"/>
    <w:rsid w:val="00A67040"/>
    <w:rsid w:val="00A67DB2"/>
    <w:rsid w:val="00A75668"/>
    <w:rsid w:val="00A769A0"/>
    <w:rsid w:val="00A77008"/>
    <w:rsid w:val="00A935F0"/>
    <w:rsid w:val="00A9378C"/>
    <w:rsid w:val="00AA2558"/>
    <w:rsid w:val="00AA3DB7"/>
    <w:rsid w:val="00AB6D0E"/>
    <w:rsid w:val="00AC0CA2"/>
    <w:rsid w:val="00AC1BAA"/>
    <w:rsid w:val="00AC79F4"/>
    <w:rsid w:val="00AD78D7"/>
    <w:rsid w:val="00AD7F83"/>
    <w:rsid w:val="00AE464C"/>
    <w:rsid w:val="00AF795D"/>
    <w:rsid w:val="00B2346E"/>
    <w:rsid w:val="00B24969"/>
    <w:rsid w:val="00B31938"/>
    <w:rsid w:val="00B613FA"/>
    <w:rsid w:val="00B617DC"/>
    <w:rsid w:val="00B61E36"/>
    <w:rsid w:val="00B74123"/>
    <w:rsid w:val="00B90362"/>
    <w:rsid w:val="00BA3AF3"/>
    <w:rsid w:val="00BA4064"/>
    <w:rsid w:val="00BA5A40"/>
    <w:rsid w:val="00BA5EB1"/>
    <w:rsid w:val="00BA7600"/>
    <w:rsid w:val="00BB2583"/>
    <w:rsid w:val="00BB3E40"/>
    <w:rsid w:val="00BB4B3F"/>
    <w:rsid w:val="00BC27DB"/>
    <w:rsid w:val="00BD25D2"/>
    <w:rsid w:val="00BF791D"/>
    <w:rsid w:val="00C0077A"/>
    <w:rsid w:val="00C0140D"/>
    <w:rsid w:val="00C06915"/>
    <w:rsid w:val="00C259B0"/>
    <w:rsid w:val="00C26745"/>
    <w:rsid w:val="00C372C9"/>
    <w:rsid w:val="00C41EB7"/>
    <w:rsid w:val="00C42F45"/>
    <w:rsid w:val="00C51096"/>
    <w:rsid w:val="00C54742"/>
    <w:rsid w:val="00C5474A"/>
    <w:rsid w:val="00C62EB0"/>
    <w:rsid w:val="00C71A70"/>
    <w:rsid w:val="00C769FC"/>
    <w:rsid w:val="00C86EB4"/>
    <w:rsid w:val="00C86F04"/>
    <w:rsid w:val="00C8789D"/>
    <w:rsid w:val="00C903A3"/>
    <w:rsid w:val="00C9074D"/>
    <w:rsid w:val="00C95A12"/>
    <w:rsid w:val="00C96854"/>
    <w:rsid w:val="00CA0C48"/>
    <w:rsid w:val="00CA3923"/>
    <w:rsid w:val="00CC41FE"/>
    <w:rsid w:val="00CD420E"/>
    <w:rsid w:val="00CE798C"/>
    <w:rsid w:val="00CF31D7"/>
    <w:rsid w:val="00D02349"/>
    <w:rsid w:val="00D03B53"/>
    <w:rsid w:val="00D104E0"/>
    <w:rsid w:val="00D216E3"/>
    <w:rsid w:val="00D454AB"/>
    <w:rsid w:val="00D47C9A"/>
    <w:rsid w:val="00D50247"/>
    <w:rsid w:val="00D55CCF"/>
    <w:rsid w:val="00D60837"/>
    <w:rsid w:val="00D6456B"/>
    <w:rsid w:val="00D77A56"/>
    <w:rsid w:val="00D8370C"/>
    <w:rsid w:val="00D94903"/>
    <w:rsid w:val="00DA4D7C"/>
    <w:rsid w:val="00DB01DD"/>
    <w:rsid w:val="00DC19C3"/>
    <w:rsid w:val="00DC1F76"/>
    <w:rsid w:val="00DD270E"/>
    <w:rsid w:val="00DD3F16"/>
    <w:rsid w:val="00DE27EB"/>
    <w:rsid w:val="00DE3C41"/>
    <w:rsid w:val="00DE4A19"/>
    <w:rsid w:val="00DF4F5B"/>
    <w:rsid w:val="00E02D0C"/>
    <w:rsid w:val="00E2659D"/>
    <w:rsid w:val="00E33EF1"/>
    <w:rsid w:val="00E3441B"/>
    <w:rsid w:val="00E42CF1"/>
    <w:rsid w:val="00E47AC6"/>
    <w:rsid w:val="00E505EF"/>
    <w:rsid w:val="00E65C17"/>
    <w:rsid w:val="00E65F3D"/>
    <w:rsid w:val="00E660CB"/>
    <w:rsid w:val="00E67864"/>
    <w:rsid w:val="00E7340D"/>
    <w:rsid w:val="00E87F7D"/>
    <w:rsid w:val="00E90685"/>
    <w:rsid w:val="00E916CE"/>
    <w:rsid w:val="00E95074"/>
    <w:rsid w:val="00EB140E"/>
    <w:rsid w:val="00EB4696"/>
    <w:rsid w:val="00EB5204"/>
    <w:rsid w:val="00EB68A1"/>
    <w:rsid w:val="00EC2EA9"/>
    <w:rsid w:val="00EC395F"/>
    <w:rsid w:val="00ED393E"/>
    <w:rsid w:val="00EE3A13"/>
    <w:rsid w:val="00EF4438"/>
    <w:rsid w:val="00F15A55"/>
    <w:rsid w:val="00F3336F"/>
    <w:rsid w:val="00F5500E"/>
    <w:rsid w:val="00F56C96"/>
    <w:rsid w:val="00F6053E"/>
    <w:rsid w:val="00F710F0"/>
    <w:rsid w:val="00F724F0"/>
    <w:rsid w:val="00F776E3"/>
    <w:rsid w:val="00F875E4"/>
    <w:rsid w:val="00F912B9"/>
    <w:rsid w:val="00F94E50"/>
    <w:rsid w:val="00FA6B34"/>
    <w:rsid w:val="00FB340A"/>
    <w:rsid w:val="00FC20D3"/>
    <w:rsid w:val="00FE0491"/>
    <w:rsid w:val="00FF0460"/>
    <w:rsid w:val="00FF3657"/>
    <w:rsid w:val="00FF4E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733604"/>
  <w15:chartTrackingRefBased/>
  <w15:docId w15:val="{FD7E8376-398F-4909-9675-CAAC5180F7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2583"/>
    <w:pPr>
      <w:spacing w:after="200" w:line="276" w:lineRule="auto"/>
    </w:pPr>
    <w:rPr>
      <w:rFonts w:ascii="Calibri Light" w:hAnsi="Calibri Light" w:cs="Times New Roman"/>
      <w:sz w:val="24"/>
      <w:szCs w:val="24"/>
      <w:lang w:val="en-US"/>
    </w:rPr>
  </w:style>
  <w:style w:type="paragraph" w:styleId="Heading1">
    <w:name w:val="heading 1"/>
    <w:basedOn w:val="Normal"/>
    <w:next w:val="Normal"/>
    <w:link w:val="Heading1Char"/>
    <w:uiPriority w:val="9"/>
    <w:qFormat/>
    <w:rsid w:val="003874B8"/>
    <w:pPr>
      <w:keepNext/>
      <w:keepLines/>
      <w:spacing w:before="480" w:after="0"/>
      <w:outlineLvl w:val="0"/>
    </w:pPr>
    <w:rPr>
      <w:rFonts w:asciiTheme="majorHAnsi" w:eastAsiaTheme="majorEastAsia" w:hAnsiTheme="majorHAnsi" w:cstheme="majorBidi"/>
      <w:b/>
      <w:bCs/>
      <w:color w:val="2F5496" w:themeColor="accent1" w:themeShade="BF"/>
      <w:sz w:val="28"/>
      <w:szCs w:val="28"/>
      <w:lang w:val="en-GB"/>
    </w:rPr>
  </w:style>
  <w:style w:type="paragraph" w:styleId="Heading2">
    <w:name w:val="heading 2"/>
    <w:basedOn w:val="Normal"/>
    <w:next w:val="Normal"/>
    <w:link w:val="Heading2Char"/>
    <w:uiPriority w:val="9"/>
    <w:unhideWhenUsed/>
    <w:qFormat/>
    <w:rsid w:val="003874B8"/>
    <w:pPr>
      <w:keepNext/>
      <w:keepLines/>
      <w:spacing w:before="200" w:after="0"/>
      <w:outlineLvl w:val="1"/>
    </w:pPr>
    <w:rPr>
      <w:rFonts w:asciiTheme="majorHAnsi" w:eastAsiaTheme="majorEastAsia" w:hAnsiTheme="majorHAnsi" w:cstheme="majorBidi"/>
      <w:b/>
      <w:bCs/>
      <w:color w:val="4472C4" w:themeColor="accent1"/>
      <w:sz w:val="26"/>
      <w:szCs w:val="26"/>
      <w:lang w:val="en-GB"/>
    </w:rPr>
  </w:style>
  <w:style w:type="paragraph" w:styleId="Heading3">
    <w:name w:val="heading 3"/>
    <w:basedOn w:val="Normal"/>
    <w:next w:val="Normal"/>
    <w:link w:val="Heading3Char"/>
    <w:uiPriority w:val="9"/>
    <w:semiHidden/>
    <w:unhideWhenUsed/>
    <w:qFormat/>
    <w:rsid w:val="003874B8"/>
    <w:pPr>
      <w:keepNext/>
      <w:keepLines/>
      <w:spacing w:before="200" w:after="0"/>
      <w:outlineLvl w:val="2"/>
    </w:pPr>
    <w:rPr>
      <w:rFonts w:asciiTheme="majorHAnsi" w:eastAsiaTheme="majorEastAsia" w:hAnsiTheme="majorHAnsi" w:cstheme="majorBidi"/>
      <w:b/>
      <w:bCs/>
      <w:color w:val="4472C4" w:themeColor="accent1"/>
      <w:sz w:val="22"/>
      <w:szCs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B2583"/>
    <w:pPr>
      <w:spacing w:after="0" w:line="240" w:lineRule="auto"/>
    </w:pPr>
    <w:rPr>
      <w:rFonts w:ascii="Calibri Light" w:hAnsi="Calibri Light" w:cs="Times New Roman"/>
      <w:sz w:val="24"/>
      <w:szCs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3874B8"/>
    <w:rPr>
      <w:rFonts w:asciiTheme="majorHAnsi" w:eastAsiaTheme="majorEastAsia" w:hAnsiTheme="majorHAnsi" w:cstheme="majorBidi"/>
      <w:b/>
      <w:bCs/>
      <w:color w:val="2F5496" w:themeColor="accent1" w:themeShade="BF"/>
      <w:sz w:val="28"/>
      <w:szCs w:val="28"/>
    </w:rPr>
  </w:style>
  <w:style w:type="character" w:customStyle="1" w:styleId="Heading2Char">
    <w:name w:val="Heading 2 Char"/>
    <w:basedOn w:val="DefaultParagraphFont"/>
    <w:link w:val="Heading2"/>
    <w:uiPriority w:val="9"/>
    <w:rsid w:val="003874B8"/>
    <w:rPr>
      <w:rFonts w:asciiTheme="majorHAnsi" w:eastAsiaTheme="majorEastAsia" w:hAnsiTheme="majorHAnsi" w:cstheme="majorBidi"/>
      <w:b/>
      <w:bCs/>
      <w:color w:val="4472C4" w:themeColor="accent1"/>
      <w:sz w:val="26"/>
      <w:szCs w:val="26"/>
    </w:rPr>
  </w:style>
  <w:style w:type="character" w:customStyle="1" w:styleId="Heading3Char">
    <w:name w:val="Heading 3 Char"/>
    <w:basedOn w:val="DefaultParagraphFont"/>
    <w:link w:val="Heading3"/>
    <w:uiPriority w:val="9"/>
    <w:semiHidden/>
    <w:rsid w:val="003874B8"/>
    <w:rPr>
      <w:rFonts w:asciiTheme="majorHAnsi" w:eastAsiaTheme="majorEastAsia" w:hAnsiTheme="majorHAnsi" w:cstheme="majorBidi"/>
      <w:b/>
      <w:bCs/>
      <w:color w:val="4472C4" w:themeColor="accent1"/>
    </w:rPr>
  </w:style>
  <w:style w:type="paragraph" w:customStyle="1" w:styleId="Note">
    <w:name w:val="Note"/>
    <w:basedOn w:val="Normal"/>
    <w:link w:val="NoteChar"/>
    <w:uiPriority w:val="99"/>
    <w:rsid w:val="003874B8"/>
    <w:pPr>
      <w:widowControl w:val="0"/>
      <w:autoSpaceDE w:val="0"/>
      <w:autoSpaceDN w:val="0"/>
      <w:adjustRightInd w:val="0"/>
      <w:spacing w:after="0" w:line="240" w:lineRule="auto"/>
    </w:pPr>
    <w:rPr>
      <w:rFonts w:ascii="Arial" w:eastAsia="Times New Roman" w:hAnsi="Arial" w:cs="Arial"/>
      <w:color w:val="000080"/>
      <w:sz w:val="12"/>
      <w:szCs w:val="12"/>
      <w:lang w:val="en-GB" w:eastAsia="en-GB"/>
    </w:rPr>
  </w:style>
  <w:style w:type="character" w:customStyle="1" w:styleId="NoteChar">
    <w:name w:val="Note Char"/>
    <w:basedOn w:val="DefaultParagraphFont"/>
    <w:link w:val="Note"/>
    <w:uiPriority w:val="99"/>
    <w:locked/>
    <w:rsid w:val="003874B8"/>
    <w:rPr>
      <w:rFonts w:ascii="Arial" w:eastAsia="Times New Roman" w:hAnsi="Arial" w:cs="Arial"/>
      <w:color w:val="000080"/>
      <w:sz w:val="12"/>
      <w:szCs w:val="12"/>
      <w:lang w:eastAsia="en-GB"/>
    </w:rPr>
  </w:style>
  <w:style w:type="paragraph" w:styleId="NoSpacing">
    <w:name w:val="No Spacing"/>
    <w:link w:val="NoSpacingChar"/>
    <w:uiPriority w:val="1"/>
    <w:qFormat/>
    <w:rsid w:val="003874B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874B8"/>
    <w:rPr>
      <w:rFonts w:eastAsiaTheme="minorEastAsia"/>
      <w:lang w:val="en-US"/>
    </w:rPr>
  </w:style>
  <w:style w:type="paragraph" w:styleId="ListParagraph">
    <w:name w:val="List Paragraph"/>
    <w:basedOn w:val="Normal"/>
    <w:uiPriority w:val="34"/>
    <w:qFormat/>
    <w:rsid w:val="003874B8"/>
    <w:pPr>
      <w:ind w:left="720"/>
      <w:contextualSpacing/>
    </w:pPr>
    <w:rPr>
      <w:rFonts w:asciiTheme="minorHAnsi" w:hAnsiTheme="minorHAnsi" w:cstheme="minorBidi"/>
      <w:sz w:val="22"/>
      <w:szCs w:val="22"/>
      <w:lang w:val="en-GB"/>
    </w:rPr>
  </w:style>
  <w:style w:type="paragraph" w:styleId="Header">
    <w:name w:val="header"/>
    <w:basedOn w:val="Normal"/>
    <w:link w:val="HeaderChar"/>
    <w:uiPriority w:val="99"/>
    <w:unhideWhenUsed/>
    <w:rsid w:val="00DB01DD"/>
    <w:pPr>
      <w:tabs>
        <w:tab w:val="center" w:pos="4513"/>
        <w:tab w:val="right" w:pos="9026"/>
      </w:tabs>
      <w:spacing w:after="0" w:line="240" w:lineRule="auto"/>
    </w:pPr>
  </w:style>
  <w:style w:type="character" w:customStyle="1" w:styleId="HeaderChar">
    <w:name w:val="Header Char"/>
    <w:basedOn w:val="DefaultParagraphFont"/>
    <w:link w:val="Header"/>
    <w:uiPriority w:val="99"/>
    <w:rsid w:val="00DB01DD"/>
    <w:rPr>
      <w:rFonts w:ascii="Calibri Light" w:hAnsi="Calibri Light" w:cs="Times New Roman"/>
      <w:sz w:val="24"/>
      <w:szCs w:val="24"/>
      <w:lang w:val="en-US"/>
    </w:rPr>
  </w:style>
  <w:style w:type="paragraph" w:styleId="Footer">
    <w:name w:val="footer"/>
    <w:basedOn w:val="Normal"/>
    <w:link w:val="FooterChar"/>
    <w:uiPriority w:val="99"/>
    <w:unhideWhenUsed/>
    <w:rsid w:val="00DB01DD"/>
    <w:pPr>
      <w:tabs>
        <w:tab w:val="center" w:pos="4513"/>
        <w:tab w:val="right" w:pos="9026"/>
      </w:tabs>
      <w:spacing w:after="0" w:line="240" w:lineRule="auto"/>
    </w:pPr>
  </w:style>
  <w:style w:type="character" w:customStyle="1" w:styleId="FooterChar">
    <w:name w:val="Footer Char"/>
    <w:basedOn w:val="DefaultParagraphFont"/>
    <w:link w:val="Footer"/>
    <w:uiPriority w:val="99"/>
    <w:rsid w:val="00DB01DD"/>
    <w:rPr>
      <w:rFonts w:ascii="Calibri Light" w:hAnsi="Calibri Light" w:cs="Times New Roman"/>
      <w:sz w:val="24"/>
      <w:szCs w:val="24"/>
      <w:lang w:val="en-US"/>
    </w:rPr>
  </w:style>
  <w:style w:type="character" w:styleId="Hyperlink">
    <w:name w:val="Hyperlink"/>
    <w:basedOn w:val="DefaultParagraphFont"/>
    <w:uiPriority w:val="99"/>
    <w:unhideWhenUsed/>
    <w:rsid w:val="002F1DEB"/>
    <w:rPr>
      <w:color w:val="0563C1" w:themeColor="hyperlink"/>
      <w:u w:val="single"/>
    </w:rPr>
  </w:style>
  <w:style w:type="character" w:styleId="Emphasis">
    <w:name w:val="Emphasis"/>
    <w:basedOn w:val="DefaultParagraphFont"/>
    <w:qFormat/>
    <w:rsid w:val="00273072"/>
    <w:rPr>
      <w:i/>
      <w:iCs/>
    </w:rPr>
  </w:style>
  <w:style w:type="paragraph" w:styleId="NormalWeb">
    <w:name w:val="Normal (Web)"/>
    <w:rsid w:val="00273072"/>
    <w:pPr>
      <w:spacing w:beforeAutospacing="1" w:after="0" w:afterAutospacing="1" w:line="240" w:lineRule="auto"/>
    </w:pPr>
    <w:rPr>
      <w:rFonts w:ascii="Times New Roman" w:eastAsia="SimSun" w:hAnsi="Times New Roman" w:cs="Times New Roman"/>
      <w:sz w:val="24"/>
      <w:szCs w:val="24"/>
      <w:lang w:val="en-US" w:eastAsia="zh-CN"/>
    </w:rPr>
  </w:style>
  <w:style w:type="paragraph" w:styleId="TOC1">
    <w:name w:val="toc 1"/>
    <w:basedOn w:val="Normal"/>
    <w:next w:val="Normal"/>
    <w:autoRedefine/>
    <w:uiPriority w:val="39"/>
    <w:rsid w:val="00273072"/>
    <w:pPr>
      <w:spacing w:after="100" w:line="240" w:lineRule="auto"/>
    </w:pPr>
    <w:rPr>
      <w:rFonts w:asciiTheme="minorHAnsi" w:eastAsiaTheme="minorEastAsia" w:hAnsiTheme="minorHAnsi" w:cstheme="minorBidi"/>
      <w:sz w:val="20"/>
      <w:szCs w:val="20"/>
      <w:lang w:eastAsia="zh-CN"/>
    </w:rPr>
  </w:style>
  <w:style w:type="paragraph" w:styleId="TOCHeading">
    <w:name w:val="TOC Heading"/>
    <w:basedOn w:val="Heading1"/>
    <w:next w:val="Normal"/>
    <w:uiPriority w:val="39"/>
    <w:semiHidden/>
    <w:unhideWhenUsed/>
    <w:qFormat/>
    <w:rsid w:val="00DD3F16"/>
    <w:pPr>
      <w:spacing w:before="240"/>
      <w:outlineLvl w:val="9"/>
    </w:pPr>
    <w:rPr>
      <w:b w:val="0"/>
      <w:bCs w:val="0"/>
      <w:sz w:val="32"/>
      <w:szCs w:val="32"/>
      <w:lang w:val="en-US"/>
    </w:rPr>
  </w:style>
  <w:style w:type="paragraph" w:styleId="TOC2">
    <w:name w:val="toc 2"/>
    <w:basedOn w:val="Normal"/>
    <w:next w:val="Normal"/>
    <w:autoRedefine/>
    <w:uiPriority w:val="39"/>
    <w:unhideWhenUsed/>
    <w:rsid w:val="00DD3F16"/>
    <w:pPr>
      <w:spacing w:after="100"/>
      <w:ind w:left="220"/>
    </w:pPr>
    <w:rPr>
      <w:rFonts w:asciiTheme="minorHAnsi" w:hAnsiTheme="minorHAnsi" w:cstheme="minorBidi"/>
      <w:sz w:val="22"/>
      <w:szCs w:val="22"/>
      <w:lang w:val="en-IN"/>
    </w:rPr>
  </w:style>
  <w:style w:type="paragraph" w:styleId="FootnoteText">
    <w:name w:val="footnote text"/>
    <w:basedOn w:val="Normal"/>
    <w:link w:val="FootnoteTextChar"/>
    <w:uiPriority w:val="99"/>
    <w:semiHidden/>
    <w:unhideWhenUsed/>
    <w:rsid w:val="00172EC1"/>
    <w:pPr>
      <w:spacing w:after="0" w:line="240" w:lineRule="auto"/>
    </w:pPr>
    <w:rPr>
      <w:rFonts w:asciiTheme="minorHAnsi" w:hAnsiTheme="minorHAnsi" w:cstheme="minorBidi"/>
      <w:sz w:val="20"/>
      <w:szCs w:val="20"/>
      <w:lang w:val="en-GB"/>
    </w:rPr>
  </w:style>
  <w:style w:type="character" w:customStyle="1" w:styleId="FootnoteTextChar">
    <w:name w:val="Footnote Text Char"/>
    <w:basedOn w:val="DefaultParagraphFont"/>
    <w:link w:val="FootnoteText"/>
    <w:uiPriority w:val="99"/>
    <w:semiHidden/>
    <w:rsid w:val="00172EC1"/>
    <w:rPr>
      <w:sz w:val="20"/>
      <w:szCs w:val="20"/>
    </w:rPr>
  </w:style>
  <w:style w:type="character" w:styleId="FootnoteReference">
    <w:name w:val="footnote reference"/>
    <w:basedOn w:val="DefaultParagraphFont"/>
    <w:uiPriority w:val="99"/>
    <w:semiHidden/>
    <w:unhideWhenUsed/>
    <w:rsid w:val="00172EC1"/>
    <w:rPr>
      <w:vertAlign w:val="superscript"/>
    </w:rPr>
  </w:style>
  <w:style w:type="paragraph" w:customStyle="1" w:styleId="cpe2">
    <w:name w:val="cpe2"/>
    <w:basedOn w:val="Normal"/>
    <w:rsid w:val="00E916CE"/>
    <w:pPr>
      <w:spacing w:after="0" w:line="240" w:lineRule="auto"/>
    </w:pPr>
    <w:rPr>
      <w:rFonts w:ascii="Times New Roman" w:eastAsia="Times New Roman" w:hAnsi="Times New Roman"/>
      <w:b/>
      <w:sz w:val="28"/>
      <w:szCs w:val="20"/>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690428">
      <w:bodyDiv w:val="1"/>
      <w:marLeft w:val="0"/>
      <w:marRight w:val="0"/>
      <w:marTop w:val="0"/>
      <w:marBottom w:val="0"/>
      <w:divBdr>
        <w:top w:val="none" w:sz="0" w:space="0" w:color="auto"/>
        <w:left w:val="none" w:sz="0" w:space="0" w:color="auto"/>
        <w:bottom w:val="none" w:sz="0" w:space="0" w:color="auto"/>
        <w:right w:val="none" w:sz="0" w:space="0" w:color="auto"/>
      </w:divBdr>
    </w:div>
    <w:div w:id="282537449">
      <w:bodyDiv w:val="1"/>
      <w:marLeft w:val="0"/>
      <w:marRight w:val="0"/>
      <w:marTop w:val="0"/>
      <w:marBottom w:val="0"/>
      <w:divBdr>
        <w:top w:val="none" w:sz="0" w:space="0" w:color="auto"/>
        <w:left w:val="none" w:sz="0" w:space="0" w:color="auto"/>
        <w:bottom w:val="none" w:sz="0" w:space="0" w:color="auto"/>
        <w:right w:val="none" w:sz="0" w:space="0" w:color="auto"/>
      </w:divBdr>
    </w:div>
    <w:div w:id="1707749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about:blank" TargetMode="External"/><Relationship Id="rId18" Type="http://schemas.openxmlformats.org/officeDocument/2006/relationships/hyperlink" Target="about:blank"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about:blank" TargetMode="External"/><Relationship Id="rId17" Type="http://schemas.openxmlformats.org/officeDocument/2006/relationships/hyperlink" Target="about:blank" TargetMode="External"/><Relationship Id="rId2" Type="http://schemas.openxmlformats.org/officeDocument/2006/relationships/numbering" Target="numbering.xml"/><Relationship Id="rId16" Type="http://schemas.openxmlformats.org/officeDocument/2006/relationships/hyperlink" Target="about:blank"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about:blank"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about:blank" TargetMode="External"/><Relationship Id="rId23" Type="http://schemas.openxmlformats.org/officeDocument/2006/relationships/glossaryDocument" Target="glossary/document.xml"/><Relationship Id="rId10" Type="http://schemas.openxmlformats.org/officeDocument/2006/relationships/hyperlink" Target="about:blank" TargetMode="External"/><Relationship Id="rId19" Type="http://schemas.openxmlformats.org/officeDocument/2006/relationships/hyperlink" Target="https://doi.org/10.1017/S0008197300114941"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yperlink" Target="about:blank" TargetMode="External"/><Relationship Id="rId22"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67BDB04E893542F9AAE06116C3920B49"/>
        <w:category>
          <w:name w:val="General"/>
          <w:gallery w:val="placeholder"/>
        </w:category>
        <w:types>
          <w:type w:val="bbPlcHdr"/>
        </w:types>
        <w:behaviors>
          <w:behavior w:val="content"/>
        </w:behaviors>
        <w:guid w:val="{21824429-D08C-4325-815A-8599557527C9}"/>
      </w:docPartPr>
      <w:docPartBody>
        <w:p w:rsidR="00533DD8" w:rsidRDefault="001C6CA2" w:rsidP="001C6CA2">
          <w:pPr>
            <w:pStyle w:val="67BDB04E893542F9AAE06116C3920B49"/>
          </w:pPr>
          <w:r>
            <w:rPr>
              <w:rStyle w:val="PlaceholderText"/>
            </w:rPr>
            <w:t>[Author]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6CA2"/>
    <w:rsid w:val="00086949"/>
    <w:rsid w:val="00090B41"/>
    <w:rsid w:val="00151D2D"/>
    <w:rsid w:val="00171000"/>
    <w:rsid w:val="00197361"/>
    <w:rsid w:val="001A2DCD"/>
    <w:rsid w:val="001B7F9D"/>
    <w:rsid w:val="001C6CA2"/>
    <w:rsid w:val="00206975"/>
    <w:rsid w:val="002225FD"/>
    <w:rsid w:val="00263982"/>
    <w:rsid w:val="004C7180"/>
    <w:rsid w:val="004E34B6"/>
    <w:rsid w:val="004F268A"/>
    <w:rsid w:val="00533DD8"/>
    <w:rsid w:val="005D4BEB"/>
    <w:rsid w:val="005E1EC4"/>
    <w:rsid w:val="006F7A22"/>
    <w:rsid w:val="00740B00"/>
    <w:rsid w:val="00926E88"/>
    <w:rsid w:val="0094168A"/>
    <w:rsid w:val="0098642E"/>
    <w:rsid w:val="009C2783"/>
    <w:rsid w:val="009D232A"/>
    <w:rsid w:val="00A276AD"/>
    <w:rsid w:val="00AC52CC"/>
    <w:rsid w:val="00AF059C"/>
    <w:rsid w:val="00B04CD0"/>
    <w:rsid w:val="00B57BBE"/>
    <w:rsid w:val="00D24306"/>
    <w:rsid w:val="00D67AFE"/>
    <w:rsid w:val="00D75B03"/>
    <w:rsid w:val="00D833FB"/>
    <w:rsid w:val="00DA2D93"/>
    <w:rsid w:val="00DA3081"/>
    <w:rsid w:val="00E210DE"/>
    <w:rsid w:val="00E710AE"/>
    <w:rsid w:val="00E86FF5"/>
    <w:rsid w:val="00E9464B"/>
    <w:rsid w:val="00FC21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E34B6"/>
    <w:rPr>
      <w:color w:val="808080"/>
    </w:rPr>
  </w:style>
  <w:style w:type="paragraph" w:customStyle="1" w:styleId="67BDB04E893542F9AAE06116C3920B49">
    <w:name w:val="67BDB04E893542F9AAE06116C3920B49"/>
    <w:rsid w:val="001C6CA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68606F-864E-44D9-8360-D705437F79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TotalTime>
  <Pages>18</Pages>
  <Words>3504</Words>
  <Characters>19975</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Assignment: 1 Property law</vt:lpstr>
    </vt:vector>
  </TitlesOfParts>
  <Company/>
  <LinksUpToDate>false</LinksUpToDate>
  <CharactersWithSpaces>23433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1 Property law</dc:title>
  <dc:subject>Assignment 1: Property Law</dc:subject>
  <dc:creator>MD R Ahmed</dc:creator>
  <cp:keywords/>
  <dc:description/>
  <cp:lastModifiedBy>Roshid Ahmed</cp:lastModifiedBy>
  <cp:revision>79</cp:revision>
  <cp:lastPrinted>2021-12-06T23:55:00Z</cp:lastPrinted>
  <dcterms:created xsi:type="dcterms:W3CDTF">2023-07-20T13:30:00Z</dcterms:created>
  <dcterms:modified xsi:type="dcterms:W3CDTF">2023-07-20T23:13:00Z</dcterms:modified>
</cp:coreProperties>
</file>